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A115" w14:textId="054F49C7" w:rsidR="00D535FE" w:rsidRDefault="006B10BE" w:rsidP="006B10BE">
      <w:pPr>
        <w:autoSpaceDE w:val="0"/>
        <w:autoSpaceDN w:val="0"/>
        <w:adjustRightInd w:val="0"/>
        <w:jc w:val="center"/>
        <w:rPr>
          <w:rFonts w:asciiTheme="majorBidi" w:hAnsiTheme="majorBidi" w:cstheme="majorBidi"/>
          <w:szCs w:val="24"/>
        </w:rPr>
      </w:pPr>
      <w:r>
        <w:rPr>
          <w:noProof/>
        </w:rPr>
        <w:drawing>
          <wp:inline distT="0" distB="0" distL="0" distR="0" wp14:anchorId="4E4AA165" wp14:editId="065FD00E">
            <wp:extent cx="2838450" cy="855924"/>
            <wp:effectExtent l="0" t="0" r="0" b="1905"/>
            <wp:docPr id="2" name="Picture 2" descr="C:\Users\ad1xxxdh\AppData\Local\Microsoft\Windows\INetCache\Content.Word\UOSLogo_Primary_Viole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450" cy="855924"/>
                    </a:xfrm>
                    <a:prstGeom prst="rect">
                      <a:avLst/>
                    </a:prstGeom>
                  </pic:spPr>
                </pic:pic>
              </a:graphicData>
            </a:graphic>
          </wp:inline>
        </w:drawing>
      </w:r>
    </w:p>
    <w:p w14:paraId="4E4AA116" w14:textId="77777777" w:rsidR="00D535FE" w:rsidRDefault="00D535FE" w:rsidP="00D535FE">
      <w:pPr>
        <w:autoSpaceDE w:val="0"/>
        <w:autoSpaceDN w:val="0"/>
        <w:adjustRightInd w:val="0"/>
        <w:rPr>
          <w:rFonts w:asciiTheme="majorBidi" w:hAnsiTheme="majorBidi" w:cstheme="majorBidi"/>
          <w:szCs w:val="24"/>
        </w:rPr>
      </w:pPr>
    </w:p>
    <w:p w14:paraId="4E4AA117" w14:textId="77777777" w:rsidR="00D535FE" w:rsidRDefault="00D535FE" w:rsidP="00D535FE">
      <w:pPr>
        <w:autoSpaceDE w:val="0"/>
        <w:autoSpaceDN w:val="0"/>
        <w:adjustRightInd w:val="0"/>
        <w:rPr>
          <w:rFonts w:asciiTheme="majorBidi" w:hAnsiTheme="majorBidi" w:cstheme="majorBidi"/>
          <w:szCs w:val="24"/>
        </w:rPr>
      </w:pPr>
    </w:p>
    <w:p w14:paraId="4E4AA118" w14:textId="77777777" w:rsidR="00D535FE" w:rsidRDefault="00D535FE" w:rsidP="00D535FE">
      <w:pPr>
        <w:autoSpaceDE w:val="0"/>
        <w:autoSpaceDN w:val="0"/>
        <w:adjustRightInd w:val="0"/>
        <w:rPr>
          <w:rFonts w:asciiTheme="majorBidi" w:hAnsiTheme="majorBidi" w:cstheme="majorBidi"/>
          <w:szCs w:val="24"/>
        </w:rPr>
      </w:pPr>
    </w:p>
    <w:p w14:paraId="4E4AA119" w14:textId="77777777" w:rsidR="00D81745" w:rsidRDefault="00D81745" w:rsidP="00D535FE">
      <w:pPr>
        <w:autoSpaceDE w:val="0"/>
        <w:autoSpaceDN w:val="0"/>
        <w:adjustRightInd w:val="0"/>
        <w:jc w:val="center"/>
        <w:rPr>
          <w:rFonts w:asciiTheme="majorBidi" w:hAnsiTheme="majorBidi" w:cstheme="majorBidi"/>
          <w:szCs w:val="24"/>
        </w:rPr>
      </w:pPr>
    </w:p>
    <w:p w14:paraId="4E4AA11A" w14:textId="77777777" w:rsidR="00C66A65" w:rsidRDefault="00C66A65" w:rsidP="00D535FE">
      <w:pPr>
        <w:autoSpaceDE w:val="0"/>
        <w:autoSpaceDN w:val="0"/>
        <w:adjustRightInd w:val="0"/>
        <w:jc w:val="center"/>
        <w:rPr>
          <w:rFonts w:asciiTheme="majorBidi" w:hAnsiTheme="majorBidi" w:cstheme="majorBidi"/>
          <w:szCs w:val="24"/>
        </w:rPr>
      </w:pPr>
    </w:p>
    <w:p w14:paraId="4E4AA11B" w14:textId="77777777" w:rsidR="00C66A65" w:rsidRDefault="00C66A65" w:rsidP="00D535FE">
      <w:pPr>
        <w:autoSpaceDE w:val="0"/>
        <w:autoSpaceDN w:val="0"/>
        <w:adjustRightInd w:val="0"/>
        <w:jc w:val="center"/>
        <w:rPr>
          <w:rFonts w:asciiTheme="majorBidi" w:hAnsiTheme="majorBidi" w:cstheme="majorBidi"/>
          <w:szCs w:val="24"/>
        </w:rPr>
      </w:pPr>
    </w:p>
    <w:p w14:paraId="4E4AA11C" w14:textId="77777777" w:rsidR="00D87252" w:rsidRDefault="00D87252" w:rsidP="00D535FE">
      <w:pPr>
        <w:autoSpaceDE w:val="0"/>
        <w:autoSpaceDN w:val="0"/>
        <w:adjustRightInd w:val="0"/>
        <w:jc w:val="center"/>
        <w:rPr>
          <w:rFonts w:asciiTheme="majorBidi" w:hAnsiTheme="majorBidi" w:cstheme="majorBidi"/>
          <w:szCs w:val="24"/>
        </w:rPr>
      </w:pPr>
    </w:p>
    <w:p w14:paraId="4E4AA11D" w14:textId="77777777" w:rsidR="00C66A65" w:rsidRDefault="00C66A65" w:rsidP="00D535FE">
      <w:pPr>
        <w:autoSpaceDE w:val="0"/>
        <w:autoSpaceDN w:val="0"/>
        <w:adjustRightInd w:val="0"/>
        <w:jc w:val="center"/>
        <w:rPr>
          <w:rFonts w:asciiTheme="majorBidi" w:hAnsiTheme="majorBidi" w:cstheme="majorBidi"/>
          <w:szCs w:val="24"/>
        </w:rPr>
      </w:pPr>
    </w:p>
    <w:p w14:paraId="4E4AA11E" w14:textId="77777777" w:rsidR="00C66A65" w:rsidRDefault="00C66A65" w:rsidP="00D535FE">
      <w:pPr>
        <w:autoSpaceDE w:val="0"/>
        <w:autoSpaceDN w:val="0"/>
        <w:adjustRightInd w:val="0"/>
        <w:jc w:val="center"/>
        <w:rPr>
          <w:rFonts w:asciiTheme="majorBidi" w:hAnsiTheme="majorBidi" w:cstheme="majorBidi"/>
          <w:szCs w:val="24"/>
        </w:rPr>
      </w:pPr>
    </w:p>
    <w:p w14:paraId="4E4AA11F" w14:textId="77777777" w:rsidR="00D81745" w:rsidRDefault="00D81745" w:rsidP="00D535FE">
      <w:pPr>
        <w:autoSpaceDE w:val="0"/>
        <w:autoSpaceDN w:val="0"/>
        <w:adjustRightInd w:val="0"/>
        <w:jc w:val="center"/>
        <w:rPr>
          <w:rFonts w:asciiTheme="majorBidi" w:hAnsiTheme="majorBidi" w:cstheme="majorBidi"/>
          <w:szCs w:val="24"/>
        </w:rPr>
      </w:pPr>
    </w:p>
    <w:p w14:paraId="4E4AA120" w14:textId="77777777" w:rsidR="0070651F" w:rsidRDefault="0070651F" w:rsidP="00E561C9">
      <w:pPr>
        <w:autoSpaceDE w:val="0"/>
        <w:autoSpaceDN w:val="0"/>
        <w:adjustRightInd w:val="0"/>
        <w:jc w:val="center"/>
        <w:rPr>
          <w:rFonts w:asciiTheme="majorBidi" w:hAnsiTheme="majorBidi" w:cstheme="majorBidi"/>
          <w:b/>
          <w:bCs/>
          <w:color w:val="222222"/>
          <w:sz w:val="28"/>
          <w:szCs w:val="28"/>
          <w:shd w:val="clear" w:color="auto" w:fill="FFFFFF"/>
        </w:rPr>
      </w:pPr>
    </w:p>
    <w:p w14:paraId="50DEC16D" w14:textId="77777777" w:rsidR="00B77B63" w:rsidRDefault="009E2EAC" w:rsidP="00E561C9">
      <w:pPr>
        <w:autoSpaceDE w:val="0"/>
        <w:autoSpaceDN w:val="0"/>
        <w:adjustRightInd w:val="0"/>
        <w:jc w:val="center"/>
        <w:rPr>
          <w:rFonts w:cs="Arial"/>
          <w:b/>
          <w:bCs/>
          <w:color w:val="222222"/>
          <w:sz w:val="28"/>
          <w:szCs w:val="28"/>
          <w:shd w:val="clear" w:color="auto" w:fill="FFFFFF"/>
        </w:rPr>
      </w:pPr>
      <w:r w:rsidRPr="00B77B63">
        <w:rPr>
          <w:rFonts w:cs="Arial"/>
          <w:b/>
          <w:bCs/>
          <w:color w:val="222222"/>
          <w:sz w:val="28"/>
          <w:szCs w:val="28"/>
          <w:shd w:val="clear" w:color="auto" w:fill="FFFFFF"/>
        </w:rPr>
        <w:t xml:space="preserve">The </w:t>
      </w:r>
      <w:r w:rsidR="007E524C" w:rsidRPr="00B77B63">
        <w:rPr>
          <w:rFonts w:cs="Arial"/>
          <w:b/>
          <w:bCs/>
          <w:color w:val="222222"/>
          <w:sz w:val="28"/>
          <w:szCs w:val="28"/>
          <w:shd w:val="clear" w:color="auto" w:fill="FFFFFF"/>
        </w:rPr>
        <w:t xml:space="preserve">effectiveness and cost-effectiveness </w:t>
      </w:r>
    </w:p>
    <w:p w14:paraId="4E4AA121" w14:textId="71D9694D" w:rsidR="00177AB6" w:rsidRPr="00B77B63" w:rsidRDefault="007E524C" w:rsidP="00E561C9">
      <w:pPr>
        <w:autoSpaceDE w:val="0"/>
        <w:autoSpaceDN w:val="0"/>
        <w:adjustRightInd w:val="0"/>
        <w:jc w:val="center"/>
        <w:rPr>
          <w:rFonts w:cs="Arial"/>
          <w:b/>
          <w:bCs/>
          <w:color w:val="222222"/>
          <w:sz w:val="28"/>
          <w:szCs w:val="28"/>
          <w:shd w:val="clear" w:color="auto" w:fill="FFFFFF"/>
        </w:rPr>
      </w:pPr>
      <w:r w:rsidRPr="00B77B63">
        <w:rPr>
          <w:rFonts w:cs="Arial"/>
          <w:b/>
          <w:bCs/>
          <w:color w:val="222222"/>
          <w:sz w:val="28"/>
          <w:szCs w:val="28"/>
          <w:shd w:val="clear" w:color="auto" w:fill="FFFFFF"/>
        </w:rPr>
        <w:t xml:space="preserve">of </w:t>
      </w:r>
      <w:r w:rsidR="00BF368D" w:rsidRPr="00B77B63">
        <w:rPr>
          <w:rFonts w:cs="Arial"/>
          <w:b/>
          <w:bCs/>
          <w:color w:val="222222"/>
          <w:sz w:val="28"/>
          <w:szCs w:val="28"/>
          <w:shd w:val="clear" w:color="auto" w:fill="FFFFFF"/>
        </w:rPr>
        <w:t>treatment and child welfare interventions for parents with a substance use disorder in England</w:t>
      </w:r>
      <w:r w:rsidR="001F36AE" w:rsidRPr="00B77B63">
        <w:rPr>
          <w:rFonts w:cs="Arial"/>
          <w:b/>
          <w:bCs/>
          <w:color w:val="222222"/>
          <w:sz w:val="28"/>
          <w:szCs w:val="28"/>
          <w:shd w:val="clear" w:color="auto" w:fill="FFFFFF"/>
        </w:rPr>
        <w:t xml:space="preserve"> </w:t>
      </w:r>
      <w:r w:rsidR="001D3BF3" w:rsidRPr="00B77B63">
        <w:rPr>
          <w:rFonts w:cs="Arial"/>
          <w:b/>
          <w:bCs/>
          <w:color w:val="222222"/>
          <w:sz w:val="28"/>
          <w:szCs w:val="28"/>
        </w:rPr>
        <w:br/>
      </w:r>
      <w:r w:rsidR="001D3BF3" w:rsidRPr="00B77B63">
        <w:rPr>
          <w:rFonts w:cs="Arial"/>
          <w:b/>
          <w:bCs/>
          <w:color w:val="222222"/>
          <w:sz w:val="28"/>
          <w:szCs w:val="28"/>
        </w:rPr>
        <w:br/>
      </w:r>
    </w:p>
    <w:p w14:paraId="4E4AA122" w14:textId="77777777" w:rsidR="001D36B7" w:rsidRPr="00B77B63" w:rsidRDefault="001D36B7" w:rsidP="00D535FE">
      <w:pPr>
        <w:autoSpaceDE w:val="0"/>
        <w:autoSpaceDN w:val="0"/>
        <w:adjustRightInd w:val="0"/>
        <w:jc w:val="center"/>
        <w:rPr>
          <w:rFonts w:cs="Arial"/>
          <w:szCs w:val="24"/>
        </w:rPr>
      </w:pPr>
    </w:p>
    <w:p w14:paraId="4E4AA123" w14:textId="77777777" w:rsidR="0070651F" w:rsidRPr="00B77B63" w:rsidRDefault="0070651F" w:rsidP="00D535FE">
      <w:pPr>
        <w:autoSpaceDE w:val="0"/>
        <w:autoSpaceDN w:val="0"/>
        <w:adjustRightInd w:val="0"/>
        <w:jc w:val="center"/>
        <w:rPr>
          <w:rFonts w:cs="Arial"/>
          <w:b/>
          <w:bCs/>
          <w:sz w:val="28"/>
          <w:szCs w:val="28"/>
        </w:rPr>
      </w:pPr>
    </w:p>
    <w:p w14:paraId="4E4AA124" w14:textId="4E8BDF37" w:rsidR="00D535FE" w:rsidRPr="00B77B63" w:rsidRDefault="00BF368D" w:rsidP="00D535FE">
      <w:pPr>
        <w:autoSpaceDE w:val="0"/>
        <w:autoSpaceDN w:val="0"/>
        <w:adjustRightInd w:val="0"/>
        <w:jc w:val="center"/>
        <w:rPr>
          <w:rFonts w:cs="Arial"/>
          <w:b/>
          <w:bCs/>
          <w:sz w:val="28"/>
          <w:szCs w:val="28"/>
        </w:rPr>
      </w:pPr>
      <w:r w:rsidRPr="00B77B63">
        <w:rPr>
          <w:rFonts w:cs="Arial"/>
          <w:b/>
          <w:bCs/>
          <w:sz w:val="28"/>
          <w:szCs w:val="28"/>
        </w:rPr>
        <w:t>Virginia Musto Wright BA (Hons), MSc</w:t>
      </w:r>
    </w:p>
    <w:p w14:paraId="4E4AA125" w14:textId="77777777" w:rsidR="0070651F" w:rsidRPr="00B77B63" w:rsidRDefault="0070651F" w:rsidP="00D535FE">
      <w:pPr>
        <w:autoSpaceDE w:val="0"/>
        <w:autoSpaceDN w:val="0"/>
        <w:adjustRightInd w:val="0"/>
        <w:jc w:val="center"/>
        <w:rPr>
          <w:rFonts w:cs="Arial"/>
          <w:b/>
          <w:bCs/>
          <w:sz w:val="28"/>
          <w:szCs w:val="28"/>
        </w:rPr>
      </w:pPr>
    </w:p>
    <w:p w14:paraId="4E4AA126" w14:textId="77777777" w:rsidR="0070651F" w:rsidRPr="00B77B63" w:rsidRDefault="0070651F" w:rsidP="00D535FE">
      <w:pPr>
        <w:autoSpaceDE w:val="0"/>
        <w:autoSpaceDN w:val="0"/>
        <w:adjustRightInd w:val="0"/>
        <w:jc w:val="center"/>
        <w:rPr>
          <w:rFonts w:cs="Arial"/>
          <w:b/>
          <w:bCs/>
          <w:sz w:val="28"/>
          <w:szCs w:val="28"/>
        </w:rPr>
      </w:pPr>
    </w:p>
    <w:p w14:paraId="4E4AA127" w14:textId="77777777" w:rsidR="00D535FE" w:rsidRPr="00B77B63" w:rsidRDefault="00D535FE" w:rsidP="00D535FE">
      <w:pPr>
        <w:autoSpaceDE w:val="0"/>
        <w:autoSpaceDN w:val="0"/>
        <w:adjustRightInd w:val="0"/>
        <w:rPr>
          <w:rFonts w:cs="Arial"/>
          <w:sz w:val="28"/>
          <w:szCs w:val="28"/>
        </w:rPr>
      </w:pPr>
    </w:p>
    <w:p w14:paraId="4E4AA128" w14:textId="77777777" w:rsidR="00DD4E40" w:rsidRPr="00B77B63" w:rsidRDefault="00DD4E40" w:rsidP="00D535FE">
      <w:pPr>
        <w:autoSpaceDE w:val="0"/>
        <w:autoSpaceDN w:val="0"/>
        <w:adjustRightInd w:val="0"/>
        <w:rPr>
          <w:rFonts w:cs="Arial"/>
          <w:szCs w:val="24"/>
        </w:rPr>
      </w:pPr>
    </w:p>
    <w:p w14:paraId="4E4AA129" w14:textId="77777777" w:rsidR="00C40509" w:rsidRPr="00B77B63" w:rsidRDefault="00C40509" w:rsidP="00D535FE">
      <w:pPr>
        <w:autoSpaceDE w:val="0"/>
        <w:autoSpaceDN w:val="0"/>
        <w:adjustRightInd w:val="0"/>
        <w:rPr>
          <w:rFonts w:cs="Arial"/>
          <w:szCs w:val="24"/>
        </w:rPr>
      </w:pPr>
    </w:p>
    <w:p w14:paraId="4E4AA12A" w14:textId="77777777" w:rsidR="00DD4E40" w:rsidRPr="00B77B63" w:rsidRDefault="00DD4E40" w:rsidP="00D535FE">
      <w:pPr>
        <w:autoSpaceDE w:val="0"/>
        <w:autoSpaceDN w:val="0"/>
        <w:adjustRightInd w:val="0"/>
        <w:rPr>
          <w:rFonts w:cs="Arial"/>
          <w:szCs w:val="24"/>
        </w:rPr>
      </w:pPr>
    </w:p>
    <w:p w14:paraId="4E4AA12B" w14:textId="34B86F9F" w:rsidR="00D535FE" w:rsidRPr="00B77B63" w:rsidRDefault="00D535FE" w:rsidP="001E7C75">
      <w:pPr>
        <w:autoSpaceDE w:val="0"/>
        <w:autoSpaceDN w:val="0"/>
        <w:adjustRightInd w:val="0"/>
        <w:jc w:val="center"/>
        <w:rPr>
          <w:rFonts w:cs="Arial"/>
          <w:szCs w:val="24"/>
        </w:rPr>
      </w:pPr>
      <w:r w:rsidRPr="00B77B63">
        <w:rPr>
          <w:rFonts w:cs="Arial"/>
          <w:szCs w:val="24"/>
        </w:rPr>
        <w:t xml:space="preserve">A thesis submitted </w:t>
      </w:r>
      <w:r w:rsidR="001E7C75" w:rsidRPr="00B77B63">
        <w:rPr>
          <w:rFonts w:cs="Arial"/>
          <w:szCs w:val="24"/>
        </w:rPr>
        <w:t>for</w:t>
      </w:r>
      <w:r w:rsidRPr="00B77B63">
        <w:rPr>
          <w:rFonts w:cs="Arial"/>
          <w:szCs w:val="24"/>
        </w:rPr>
        <w:t xml:space="preserve"> the degree of</w:t>
      </w:r>
    </w:p>
    <w:p w14:paraId="4E4AA12C" w14:textId="77777777" w:rsidR="001032C0" w:rsidRPr="00B77B63" w:rsidRDefault="00D535FE" w:rsidP="00D87252">
      <w:pPr>
        <w:jc w:val="center"/>
        <w:rPr>
          <w:rFonts w:cs="Arial"/>
          <w:szCs w:val="24"/>
        </w:rPr>
      </w:pPr>
      <w:r w:rsidRPr="00B77B63">
        <w:rPr>
          <w:rFonts w:cs="Arial"/>
          <w:szCs w:val="24"/>
        </w:rPr>
        <w:t>Doctor of Philosophy</w:t>
      </w:r>
      <w:r w:rsidR="006F71DD" w:rsidRPr="00B77B63">
        <w:rPr>
          <w:rFonts w:cs="Arial"/>
          <w:szCs w:val="24"/>
        </w:rPr>
        <w:t xml:space="preserve"> </w:t>
      </w:r>
    </w:p>
    <w:p w14:paraId="4E4AA12D" w14:textId="77777777" w:rsidR="00DD4E40" w:rsidRPr="00B77B63" w:rsidRDefault="00DD4E40" w:rsidP="00D535FE">
      <w:pPr>
        <w:jc w:val="center"/>
        <w:rPr>
          <w:rFonts w:cs="Arial"/>
          <w:szCs w:val="24"/>
        </w:rPr>
      </w:pPr>
    </w:p>
    <w:p w14:paraId="4E4AA12E" w14:textId="77777777" w:rsidR="00B55FD0" w:rsidRPr="00B77B63" w:rsidRDefault="00B55FD0" w:rsidP="00D535FE">
      <w:pPr>
        <w:jc w:val="center"/>
        <w:rPr>
          <w:rFonts w:cs="Arial"/>
          <w:szCs w:val="24"/>
        </w:rPr>
      </w:pPr>
    </w:p>
    <w:p w14:paraId="4E4AA12F" w14:textId="77777777" w:rsidR="00B55FD0" w:rsidRPr="00B77B63" w:rsidRDefault="00B55FD0" w:rsidP="00D535FE">
      <w:pPr>
        <w:jc w:val="center"/>
        <w:rPr>
          <w:rFonts w:cs="Arial"/>
          <w:szCs w:val="24"/>
        </w:rPr>
      </w:pPr>
    </w:p>
    <w:p w14:paraId="4E4AA130" w14:textId="77777777" w:rsidR="00DD4E40" w:rsidRPr="00B77B63" w:rsidRDefault="00DD4E40" w:rsidP="00DD4E40">
      <w:pPr>
        <w:jc w:val="center"/>
        <w:rPr>
          <w:rFonts w:cs="Arial"/>
          <w:szCs w:val="24"/>
        </w:rPr>
      </w:pPr>
      <w:r w:rsidRPr="00B77B63">
        <w:rPr>
          <w:rFonts w:cs="Arial"/>
          <w:szCs w:val="24"/>
        </w:rPr>
        <w:t>The University of Sheffield</w:t>
      </w:r>
    </w:p>
    <w:p w14:paraId="4E4AA132" w14:textId="4A2E77C7" w:rsidR="00D535FE" w:rsidRPr="00B77B63" w:rsidRDefault="00D535FE" w:rsidP="0070651F">
      <w:pPr>
        <w:jc w:val="center"/>
        <w:rPr>
          <w:rFonts w:cs="Arial"/>
          <w:szCs w:val="24"/>
        </w:rPr>
      </w:pPr>
      <w:r w:rsidRPr="00B77B63">
        <w:rPr>
          <w:rFonts w:cs="Arial"/>
          <w:szCs w:val="24"/>
        </w:rPr>
        <w:t>School</w:t>
      </w:r>
      <w:r w:rsidR="001F36AE" w:rsidRPr="00B77B63">
        <w:rPr>
          <w:rFonts w:cs="Arial"/>
          <w:szCs w:val="24"/>
        </w:rPr>
        <w:t xml:space="preserve"> </w:t>
      </w:r>
      <w:r w:rsidRPr="00B77B63">
        <w:rPr>
          <w:rFonts w:cs="Arial"/>
          <w:szCs w:val="24"/>
        </w:rPr>
        <w:t xml:space="preserve">of </w:t>
      </w:r>
      <w:r w:rsidR="00BF368D" w:rsidRPr="00B77B63">
        <w:rPr>
          <w:rFonts w:cs="Arial"/>
          <w:szCs w:val="24"/>
        </w:rPr>
        <w:t>Health and Related Research</w:t>
      </w:r>
    </w:p>
    <w:p w14:paraId="4E4AA133" w14:textId="77777777" w:rsidR="00D535FE" w:rsidRPr="00B77B63" w:rsidRDefault="00D535FE" w:rsidP="00D535FE">
      <w:pPr>
        <w:jc w:val="center"/>
        <w:rPr>
          <w:rFonts w:cs="Arial"/>
          <w:szCs w:val="24"/>
        </w:rPr>
      </w:pPr>
    </w:p>
    <w:p w14:paraId="4E4AA134" w14:textId="77777777" w:rsidR="00DD4E40" w:rsidRPr="00B77B63" w:rsidRDefault="005C08BF" w:rsidP="00D535FE">
      <w:pPr>
        <w:jc w:val="center"/>
        <w:rPr>
          <w:rFonts w:cs="Arial"/>
          <w:szCs w:val="24"/>
        </w:rPr>
      </w:pPr>
      <w:r w:rsidRPr="00B77B63">
        <w:rPr>
          <w:rFonts w:cs="Arial"/>
          <w:szCs w:val="24"/>
        </w:rPr>
        <w:t xml:space="preserve"> </w:t>
      </w:r>
    </w:p>
    <w:p w14:paraId="4E4AA135" w14:textId="215586C1" w:rsidR="0070651F" w:rsidRPr="00B77B63" w:rsidRDefault="528BD273" w:rsidP="315CE427">
      <w:pPr>
        <w:jc w:val="center"/>
        <w:rPr>
          <w:rFonts w:cs="Arial"/>
        </w:rPr>
      </w:pPr>
      <w:r w:rsidRPr="00182A88">
        <w:rPr>
          <w:rFonts w:cs="Arial"/>
        </w:rPr>
        <w:t>15 September</w:t>
      </w:r>
      <w:r w:rsidR="00BF368D" w:rsidRPr="00182A88">
        <w:rPr>
          <w:rFonts w:cs="Arial"/>
        </w:rPr>
        <w:t xml:space="preserve"> 2024</w:t>
      </w:r>
    </w:p>
    <w:p w14:paraId="3F1A5803" w14:textId="2BAEBBDB" w:rsidR="004F6AA5" w:rsidRPr="002956BC" w:rsidRDefault="00EF5689" w:rsidP="0085794C">
      <w:pPr>
        <w:pStyle w:val="Headingnonumber"/>
        <w:numPr>
          <w:ilvl w:val="0"/>
          <w:numId w:val="0"/>
        </w:numPr>
      </w:pPr>
      <w:r>
        <w:br w:type="page"/>
      </w:r>
      <w:r w:rsidR="004F6AA5" w:rsidRPr="008F5445">
        <w:lastRenderedPageBreak/>
        <w:t xml:space="preserve">Acknowledgements </w:t>
      </w:r>
    </w:p>
    <w:p w14:paraId="3031B83C" w14:textId="5B872178" w:rsidR="003D6BC9" w:rsidRDefault="006107D4" w:rsidP="00E60C68">
      <w:pPr>
        <w:spacing w:line="360" w:lineRule="auto"/>
      </w:pPr>
      <w:r>
        <w:t>I would like to thank my supervisors</w:t>
      </w:r>
      <w:r w:rsidR="006816DC">
        <w:t xml:space="preserve">. </w:t>
      </w:r>
      <w:r w:rsidR="0055398A">
        <w:t xml:space="preserve">I have been very privileged to learn from and collaborate with </w:t>
      </w:r>
      <w:r w:rsidR="001364C6">
        <w:t xml:space="preserve">people who are </w:t>
      </w:r>
      <w:r w:rsidR="00CC7F6D">
        <w:t xml:space="preserve">not only </w:t>
      </w:r>
      <w:r w:rsidR="001364C6">
        <w:t>among the best in their field</w:t>
      </w:r>
      <w:r w:rsidR="00C16578">
        <w:t>,</w:t>
      </w:r>
      <w:r w:rsidR="001364C6">
        <w:t xml:space="preserve"> </w:t>
      </w:r>
      <w:r w:rsidR="00CC7F6D">
        <w:t xml:space="preserve">but who are </w:t>
      </w:r>
      <w:r w:rsidR="00300EB5">
        <w:t>caring</w:t>
      </w:r>
      <w:r w:rsidR="00B72A30">
        <w:t xml:space="preserve"> and </w:t>
      </w:r>
      <w:r w:rsidR="00B477C8">
        <w:t>funny</w:t>
      </w:r>
      <w:r w:rsidR="002C2D25">
        <w:t>,</w:t>
      </w:r>
      <w:r w:rsidR="00B72A30">
        <w:t xml:space="preserve"> </w:t>
      </w:r>
      <w:r w:rsidR="004C4AFE">
        <w:t>making every supervision a joy</w:t>
      </w:r>
      <w:r w:rsidR="00CC7F6D">
        <w:t>.</w:t>
      </w:r>
      <w:r w:rsidR="0055398A">
        <w:t xml:space="preserve"> </w:t>
      </w:r>
      <w:r w:rsidRPr="00B17EE8">
        <w:rPr>
          <w:b/>
          <w:bCs/>
        </w:rPr>
        <w:t>Petra</w:t>
      </w:r>
      <w:r w:rsidR="009B2624" w:rsidRPr="00B17EE8">
        <w:rPr>
          <w:b/>
          <w:bCs/>
        </w:rPr>
        <w:t xml:space="preserve"> Meier</w:t>
      </w:r>
      <w:r w:rsidR="00F21FC7">
        <w:t xml:space="preserve"> </w:t>
      </w:r>
      <w:r w:rsidR="008F1C66">
        <w:t>encourag</w:t>
      </w:r>
      <w:r w:rsidR="00DB60E6">
        <w:t>ed</w:t>
      </w:r>
      <w:r w:rsidR="008F1C66">
        <w:t xml:space="preserve"> me to apply for the studentship</w:t>
      </w:r>
      <w:r w:rsidR="002215E7">
        <w:t xml:space="preserve"> and </w:t>
      </w:r>
      <w:r w:rsidR="00DB60E6">
        <w:t xml:space="preserve">helped to </w:t>
      </w:r>
      <w:r w:rsidR="00B31FCE">
        <w:t>convinc</w:t>
      </w:r>
      <w:r w:rsidR="00DB60E6">
        <w:t>e</w:t>
      </w:r>
      <w:r w:rsidR="00B31FCE">
        <w:t xml:space="preserve"> my senior managers that it was the right thing to d</w:t>
      </w:r>
      <w:r w:rsidR="00F55808">
        <w:t>o</w:t>
      </w:r>
      <w:r w:rsidR="009B2624">
        <w:t>, despite only having met me the once</w:t>
      </w:r>
      <w:r w:rsidR="00F21FC7">
        <w:t>.</w:t>
      </w:r>
      <w:r w:rsidR="009B2624">
        <w:t xml:space="preserve"> </w:t>
      </w:r>
      <w:r w:rsidR="00F55808">
        <w:t>I will be eternally grateful</w:t>
      </w:r>
      <w:r w:rsidR="009B2624">
        <w:t xml:space="preserve"> to her for having faith in me</w:t>
      </w:r>
      <w:r w:rsidR="00F65F33">
        <w:t xml:space="preserve"> and for her </w:t>
      </w:r>
      <w:r w:rsidR="00343161">
        <w:t>continued</w:t>
      </w:r>
      <w:r w:rsidR="00C90344">
        <w:t xml:space="preserve"> support</w:t>
      </w:r>
      <w:r w:rsidR="00F55808">
        <w:t xml:space="preserve">. </w:t>
      </w:r>
      <w:r w:rsidR="001340D7">
        <w:t xml:space="preserve"> </w:t>
      </w:r>
      <w:r w:rsidR="00F55808" w:rsidRPr="00B17EE8">
        <w:rPr>
          <w:b/>
          <w:bCs/>
        </w:rPr>
        <w:t>Alan</w:t>
      </w:r>
      <w:r w:rsidR="00B17EE8" w:rsidRPr="00B17EE8">
        <w:rPr>
          <w:b/>
          <w:bCs/>
        </w:rPr>
        <w:t xml:space="preserve"> Brennan</w:t>
      </w:r>
      <w:r w:rsidR="00B17EE8">
        <w:t xml:space="preserve"> has </w:t>
      </w:r>
      <w:r w:rsidR="00802713">
        <w:t xml:space="preserve">been </w:t>
      </w:r>
      <w:r w:rsidR="00F52650">
        <w:t>instrumental</w:t>
      </w:r>
      <w:r w:rsidR="00802713">
        <w:t xml:space="preserve"> in making me </w:t>
      </w:r>
      <w:r w:rsidR="002B0F12">
        <w:t>a more confident researcher</w:t>
      </w:r>
      <w:r w:rsidR="00802713">
        <w:t xml:space="preserve">. </w:t>
      </w:r>
      <w:r w:rsidR="00DB60E6">
        <w:t xml:space="preserve"> </w:t>
      </w:r>
      <w:r w:rsidR="006179D2">
        <w:t>At my most insecure, h</w:t>
      </w:r>
      <w:r w:rsidR="00B14430">
        <w:t xml:space="preserve">e has </w:t>
      </w:r>
      <w:r w:rsidR="006179D2">
        <w:t xml:space="preserve">guided me </w:t>
      </w:r>
      <w:r w:rsidR="003962E4">
        <w:t>and helped</w:t>
      </w:r>
      <w:r w:rsidR="00E843F1">
        <w:t xml:space="preserve"> </w:t>
      </w:r>
      <w:r w:rsidR="00797617">
        <w:t>t</w:t>
      </w:r>
      <w:r w:rsidR="00F61C68">
        <w:t xml:space="preserve">urn my </w:t>
      </w:r>
      <w:r w:rsidR="00574EE4">
        <w:t xml:space="preserve">muddled thoughts into coherent </w:t>
      </w:r>
      <w:r w:rsidR="00882038">
        <w:t xml:space="preserve">and worthy </w:t>
      </w:r>
      <w:r w:rsidR="00574EE4">
        <w:t>idea</w:t>
      </w:r>
      <w:r w:rsidR="00CD0BF5">
        <w:t>s</w:t>
      </w:r>
      <w:r w:rsidR="009D328B">
        <w:t>.</w:t>
      </w:r>
      <w:r w:rsidR="00797617">
        <w:t xml:space="preserve"> </w:t>
      </w:r>
      <w:r w:rsidR="0053434D">
        <w:t>I’ve always admired and appreciated his ability</w:t>
      </w:r>
      <w:r w:rsidR="00797617">
        <w:t xml:space="preserve"> </w:t>
      </w:r>
      <w:r w:rsidR="0053434D">
        <w:t xml:space="preserve">to </w:t>
      </w:r>
      <w:r w:rsidR="00B81544">
        <w:t>problem solve</w:t>
      </w:r>
      <w:r w:rsidR="00030049">
        <w:t xml:space="preserve"> and </w:t>
      </w:r>
      <w:r w:rsidR="006179D2">
        <w:t xml:space="preserve">articulate </w:t>
      </w:r>
      <w:r w:rsidR="00613AE0">
        <w:t xml:space="preserve">complex </w:t>
      </w:r>
      <w:r w:rsidR="00030049">
        <w:t>ideas with such clarity</w:t>
      </w:r>
      <w:r w:rsidR="00564960">
        <w:t>.</w:t>
      </w:r>
      <w:r w:rsidR="00C44E55">
        <w:t xml:space="preserve"> </w:t>
      </w:r>
      <w:r w:rsidR="00C44E55" w:rsidRPr="00C44E55">
        <w:rPr>
          <w:b/>
          <w:bCs/>
        </w:rPr>
        <w:t>Brian Eastwood</w:t>
      </w:r>
      <w:r w:rsidR="00C44E55">
        <w:t xml:space="preserve"> </w:t>
      </w:r>
      <w:r w:rsidR="00AA1303">
        <w:t xml:space="preserve">my supervisor </w:t>
      </w:r>
      <w:r w:rsidR="009C567D">
        <w:t>since 20</w:t>
      </w:r>
      <w:r w:rsidR="00F65F33">
        <w:t>20</w:t>
      </w:r>
      <w:r w:rsidR="009C567D">
        <w:t xml:space="preserve"> but</w:t>
      </w:r>
      <w:r w:rsidR="004C6E77">
        <w:t xml:space="preserve"> a dear</w:t>
      </w:r>
      <w:r w:rsidR="00AA1303">
        <w:t xml:space="preserve"> friend since 2009</w:t>
      </w:r>
      <w:r w:rsidR="005119EC">
        <w:t xml:space="preserve">. </w:t>
      </w:r>
      <w:r w:rsidR="00723435">
        <w:t>I’ve never met anyone who gets so excited about statistics</w:t>
      </w:r>
      <w:r w:rsidR="001A2EE4">
        <w:t xml:space="preserve"> </w:t>
      </w:r>
      <w:r w:rsidR="00401F6A">
        <w:t xml:space="preserve">and </w:t>
      </w:r>
      <w:r w:rsidR="005119EC">
        <w:t xml:space="preserve">simply </w:t>
      </w:r>
      <w:r w:rsidR="00D00B18">
        <w:t>opening</w:t>
      </w:r>
      <w:r w:rsidR="00401F6A">
        <w:t xml:space="preserve"> Stata</w:t>
      </w:r>
      <w:r w:rsidR="00814DB7">
        <w:t>!</w:t>
      </w:r>
      <w:r w:rsidR="00401F6A">
        <w:t xml:space="preserve"> </w:t>
      </w:r>
      <w:r w:rsidR="00814DB7">
        <w:t>H</w:t>
      </w:r>
      <w:r w:rsidR="008263AC">
        <w:t xml:space="preserve">is genuine love of all things data </w:t>
      </w:r>
      <w:r w:rsidR="00E324DD">
        <w:t>has been</w:t>
      </w:r>
      <w:r w:rsidR="00814DB7">
        <w:t xml:space="preserve"> invaluable at times.</w:t>
      </w:r>
      <w:r w:rsidR="003D6BC9">
        <w:t xml:space="preserve"> </w:t>
      </w:r>
    </w:p>
    <w:p w14:paraId="7F6D8519" w14:textId="77777777" w:rsidR="003D6BC9" w:rsidRDefault="003D6BC9" w:rsidP="00E60C68">
      <w:pPr>
        <w:spacing w:line="360" w:lineRule="auto"/>
      </w:pPr>
    </w:p>
    <w:p w14:paraId="51FD5AD7" w14:textId="77777777" w:rsidR="004C6B9A" w:rsidRDefault="00D44A77" w:rsidP="00E60C68">
      <w:pPr>
        <w:spacing w:line="360" w:lineRule="auto"/>
      </w:pPr>
      <w:r w:rsidRPr="00D44A77">
        <w:t xml:space="preserve">I would like to thank </w:t>
      </w:r>
      <w:r w:rsidR="00740F4D" w:rsidRPr="00F93B37">
        <w:rPr>
          <w:b/>
          <w:bCs/>
        </w:rPr>
        <w:t>Public Health England</w:t>
      </w:r>
      <w:r w:rsidR="00740F4D">
        <w:t xml:space="preserve"> for awarding me the studentship, </w:t>
      </w:r>
      <w:r w:rsidR="009E201B" w:rsidRPr="000F049B">
        <w:rPr>
          <w:b/>
          <w:bCs/>
        </w:rPr>
        <w:t>Margaret Mauch</w:t>
      </w:r>
      <w:r w:rsidR="000F049B" w:rsidRPr="000F049B">
        <w:rPr>
          <w:b/>
          <w:bCs/>
        </w:rPr>
        <w:t>l</w:t>
      </w:r>
      <w:r w:rsidR="009E201B" w:rsidRPr="000F049B">
        <w:rPr>
          <w:b/>
          <w:bCs/>
        </w:rPr>
        <w:t>ine</w:t>
      </w:r>
      <w:r w:rsidR="009E201B">
        <w:t xml:space="preserve"> for her </w:t>
      </w:r>
      <w:r w:rsidR="000F049B">
        <w:t>advice,</w:t>
      </w:r>
      <w:r w:rsidR="00740F4D" w:rsidRPr="00F93B37">
        <w:rPr>
          <w:b/>
          <w:bCs/>
        </w:rPr>
        <w:t xml:space="preserve"> </w:t>
      </w:r>
      <w:r w:rsidRPr="00F93B37">
        <w:rPr>
          <w:b/>
          <w:bCs/>
        </w:rPr>
        <w:t>Siri Ranlund</w:t>
      </w:r>
      <w:r w:rsidR="009C6FF0">
        <w:t xml:space="preserve">, </w:t>
      </w:r>
      <w:r w:rsidRPr="00F93B37">
        <w:rPr>
          <w:b/>
          <w:bCs/>
        </w:rPr>
        <w:t>Patrick Horgan</w:t>
      </w:r>
      <w:r w:rsidRPr="00D44A77">
        <w:t xml:space="preserve"> </w:t>
      </w:r>
      <w:r w:rsidR="009C6FF0">
        <w:t xml:space="preserve">and </w:t>
      </w:r>
      <w:r w:rsidR="009C6FF0" w:rsidRPr="009C6FF0">
        <w:rPr>
          <w:b/>
          <w:bCs/>
        </w:rPr>
        <w:t>Craig Wright</w:t>
      </w:r>
      <w:r w:rsidR="009C6FF0">
        <w:t xml:space="preserve"> </w:t>
      </w:r>
      <w:r w:rsidRPr="00D44A77">
        <w:t>who helped extract and code the data used in this researc</w:t>
      </w:r>
      <w:r w:rsidR="00F93B37">
        <w:t>h</w:t>
      </w:r>
      <w:r w:rsidR="00740F4D">
        <w:t xml:space="preserve"> and </w:t>
      </w:r>
      <w:r w:rsidR="00F93B37" w:rsidRPr="00C02BB4">
        <w:rPr>
          <w:b/>
          <w:bCs/>
        </w:rPr>
        <w:t>Brian Ferguson</w:t>
      </w:r>
      <w:r w:rsidR="000F049B">
        <w:t xml:space="preserve"> </w:t>
      </w:r>
      <w:r w:rsidR="00C02BB4">
        <w:t>for seeing potential in my research ideas</w:t>
      </w:r>
      <w:r w:rsidR="00740F4D">
        <w:t>. I would also li</w:t>
      </w:r>
      <w:r w:rsidR="006816DC">
        <w:t>k</w:t>
      </w:r>
      <w:r w:rsidR="00740F4D">
        <w:t>e to exten</w:t>
      </w:r>
      <w:r w:rsidR="00192A00">
        <w:t>d</w:t>
      </w:r>
      <w:r w:rsidR="00740F4D">
        <w:t xml:space="preserve"> my gratitude </w:t>
      </w:r>
      <w:r w:rsidR="00460E7A">
        <w:t>to</w:t>
      </w:r>
      <w:r w:rsidR="00EC2E52">
        <w:t xml:space="preserve"> my </w:t>
      </w:r>
      <w:r w:rsidR="00394BD0">
        <w:t xml:space="preserve">former </w:t>
      </w:r>
      <w:r w:rsidR="00EC2E52">
        <w:t>senior managers</w:t>
      </w:r>
      <w:r w:rsidR="00460E7A">
        <w:t xml:space="preserve"> </w:t>
      </w:r>
      <w:r w:rsidR="00460E7A" w:rsidRPr="00460E7A">
        <w:rPr>
          <w:b/>
          <w:bCs/>
        </w:rPr>
        <w:t>Helen Clark</w:t>
      </w:r>
      <w:r w:rsidR="00460E7A">
        <w:t xml:space="preserve"> and </w:t>
      </w:r>
      <w:r w:rsidR="00460E7A" w:rsidRPr="00460E7A">
        <w:rPr>
          <w:b/>
          <w:bCs/>
        </w:rPr>
        <w:t>Rosanna O’Connor</w:t>
      </w:r>
      <w:r w:rsidR="00460E7A">
        <w:t xml:space="preserve"> who </w:t>
      </w:r>
      <w:r w:rsidR="00262616">
        <w:t xml:space="preserve">gave me </w:t>
      </w:r>
      <w:r w:rsidR="00EC2E52">
        <w:t>a day a week to study</w:t>
      </w:r>
      <w:r w:rsidR="00262616">
        <w:t xml:space="preserve"> and </w:t>
      </w:r>
      <w:r w:rsidR="003211B3">
        <w:t xml:space="preserve">even </w:t>
      </w:r>
      <w:r w:rsidR="00262616">
        <w:t xml:space="preserve">changed my </w:t>
      </w:r>
      <w:r w:rsidR="004C2FB5">
        <w:t>role</w:t>
      </w:r>
      <w:r w:rsidR="00262616">
        <w:t xml:space="preserve"> so that it was </w:t>
      </w:r>
      <w:r w:rsidR="00740F4D">
        <w:t xml:space="preserve">closely related to my studies. </w:t>
      </w:r>
    </w:p>
    <w:p w14:paraId="3B5D1922" w14:textId="77777777" w:rsidR="004C6B9A" w:rsidRDefault="004C6B9A" w:rsidP="00E60C68">
      <w:pPr>
        <w:spacing w:line="360" w:lineRule="auto"/>
      </w:pPr>
    </w:p>
    <w:p w14:paraId="79B944B6" w14:textId="01353919" w:rsidR="00D44A77" w:rsidRPr="003D6BC9" w:rsidRDefault="00192A00" w:rsidP="00E60C68">
      <w:pPr>
        <w:spacing w:line="360" w:lineRule="auto"/>
      </w:pPr>
      <w:r>
        <w:t xml:space="preserve">Last </w:t>
      </w:r>
      <w:r w:rsidR="004E03B9">
        <w:t>but</w:t>
      </w:r>
      <w:r>
        <w:t xml:space="preserve"> certainly not least</w:t>
      </w:r>
      <w:r w:rsidR="004E03B9">
        <w:t>,</w:t>
      </w:r>
      <w:r>
        <w:t xml:space="preserve"> I would like to thank my husband, </w:t>
      </w:r>
      <w:r w:rsidRPr="00192A00">
        <w:rPr>
          <w:b/>
          <w:bCs/>
        </w:rPr>
        <w:t>Craig</w:t>
      </w:r>
      <w:r w:rsidR="007578E8" w:rsidRPr="007578E8">
        <w:t>,</w:t>
      </w:r>
      <w:r w:rsidRPr="00192A00">
        <w:rPr>
          <w:b/>
          <w:bCs/>
        </w:rPr>
        <w:t xml:space="preserve"> </w:t>
      </w:r>
      <w:r>
        <w:t>for his love</w:t>
      </w:r>
      <w:r w:rsidR="00F02AEB">
        <w:t xml:space="preserve">, </w:t>
      </w:r>
      <w:r w:rsidR="00016837">
        <w:t>endless patience</w:t>
      </w:r>
      <w:r>
        <w:t xml:space="preserve"> and support</w:t>
      </w:r>
      <w:r w:rsidR="001D3A98">
        <w:t>,</w:t>
      </w:r>
      <w:r>
        <w:t xml:space="preserve"> </w:t>
      </w:r>
      <w:r w:rsidR="00F02AEB">
        <w:t xml:space="preserve">and </w:t>
      </w:r>
      <w:r w:rsidR="008F3F5E">
        <w:t xml:space="preserve">our </w:t>
      </w:r>
      <w:r w:rsidR="006E4B3C">
        <w:t>precious</w:t>
      </w:r>
      <w:r w:rsidR="00F02AEB">
        <w:t xml:space="preserve"> </w:t>
      </w:r>
      <w:r w:rsidR="00F02AEB" w:rsidRPr="004329B2">
        <w:rPr>
          <w:b/>
          <w:bCs/>
        </w:rPr>
        <w:t>Spencer</w:t>
      </w:r>
      <w:r w:rsidR="00F02AEB">
        <w:t xml:space="preserve"> for making every </w:t>
      </w:r>
      <w:r w:rsidR="004329B2">
        <w:t xml:space="preserve">day </w:t>
      </w:r>
      <w:r w:rsidR="00B76257">
        <w:t xml:space="preserve">shine </w:t>
      </w:r>
      <w:r w:rsidR="004329B2">
        <w:t>bright.</w:t>
      </w:r>
    </w:p>
    <w:p w14:paraId="4E4AA137" w14:textId="2D4E5FEA" w:rsidR="00D535FE" w:rsidRPr="00B77B63" w:rsidRDefault="004F6AA5" w:rsidP="0085794C">
      <w:pPr>
        <w:pStyle w:val="Headingnonumber"/>
        <w:numPr>
          <w:ilvl w:val="0"/>
          <w:numId w:val="0"/>
        </w:numPr>
        <w:rPr>
          <w:rFonts w:ascii="TUOS Blake" w:hAnsi="TUOS Blake"/>
          <w:bCs/>
        </w:rPr>
      </w:pPr>
      <w:r>
        <w:rPr>
          <w:rFonts w:ascii="TUOS Blake" w:hAnsi="TUOS Blake"/>
          <w:bCs/>
        </w:rPr>
        <w:br w:type="page"/>
      </w:r>
      <w:r w:rsidR="0070651F" w:rsidRPr="00CF4416">
        <w:lastRenderedPageBreak/>
        <w:t>Abstract</w:t>
      </w:r>
      <w:r w:rsidR="005415E6" w:rsidRPr="00CF4416">
        <w:t xml:space="preserve"> </w:t>
      </w:r>
    </w:p>
    <w:p w14:paraId="6838E9E0" w14:textId="77777777" w:rsidR="008F5445" w:rsidRDefault="008F5445" w:rsidP="00D8480D">
      <w:pPr>
        <w:spacing w:line="276" w:lineRule="auto"/>
        <w:rPr>
          <w:rFonts w:ascii="TUOS Blake" w:hAnsi="TUOS Blake" w:cstheme="majorBidi"/>
          <w:szCs w:val="24"/>
        </w:rPr>
      </w:pPr>
    </w:p>
    <w:p w14:paraId="4E4AA149" w14:textId="4110EA4A" w:rsidR="0070651F" w:rsidRDefault="00F84853" w:rsidP="007C7678">
      <w:pPr>
        <w:spacing w:line="360" w:lineRule="auto"/>
        <w:rPr>
          <w:rFonts w:ascii="TUOS Blake" w:hAnsi="TUOS Blake" w:cstheme="majorBidi"/>
          <w:szCs w:val="24"/>
        </w:rPr>
      </w:pPr>
      <w:r w:rsidRPr="00D8480D">
        <w:rPr>
          <w:b/>
          <w:bCs/>
        </w:rPr>
        <w:t>Background</w:t>
      </w:r>
      <w:r w:rsidR="008D6E66" w:rsidRPr="00D8480D">
        <w:rPr>
          <w:b/>
          <w:bCs/>
        </w:rPr>
        <w:t xml:space="preserve"> </w:t>
      </w:r>
      <w:r w:rsidR="00BF2179" w:rsidRPr="00BF2179">
        <w:t>Parental substance use disorder (SUD)</w:t>
      </w:r>
      <w:r w:rsidR="00BF2179">
        <w:rPr>
          <w:b/>
          <w:bCs/>
        </w:rPr>
        <w:t xml:space="preserve"> </w:t>
      </w:r>
      <w:r w:rsidR="00BF2179">
        <w:t>is associated with poor outcomes for</w:t>
      </w:r>
      <w:r w:rsidR="00137C91">
        <w:t xml:space="preserve"> parents</w:t>
      </w:r>
      <w:r w:rsidR="00D85E65">
        <w:t xml:space="preserve"> and</w:t>
      </w:r>
      <w:r w:rsidR="00137C91">
        <w:t xml:space="preserve"> their children.</w:t>
      </w:r>
      <w:r w:rsidR="00C54C22">
        <w:t xml:space="preserve"> </w:t>
      </w:r>
      <w:r w:rsidR="008D6E66">
        <w:t xml:space="preserve">There </w:t>
      </w:r>
      <w:r w:rsidR="00137C91">
        <w:t>i</w:t>
      </w:r>
      <w:r w:rsidR="008D6E66">
        <w:t xml:space="preserve">s a paucity of evidence on the </w:t>
      </w:r>
      <w:r w:rsidR="00F871D0">
        <w:t xml:space="preserve">types of interventions received by parents with SUD and their </w:t>
      </w:r>
      <w:r w:rsidR="008D6E66">
        <w:t>effectiveness and cost-effectiveness</w:t>
      </w:r>
      <w:r w:rsidR="00D8480D">
        <w:t xml:space="preserve">, especially in England. </w:t>
      </w:r>
      <w:r w:rsidRPr="00C26DE3">
        <w:rPr>
          <w:b/>
          <w:bCs/>
        </w:rPr>
        <w:t>Methods</w:t>
      </w:r>
      <w:r w:rsidR="00C26DE3">
        <w:rPr>
          <w:b/>
          <w:bCs/>
        </w:rPr>
        <w:t xml:space="preserve"> </w:t>
      </w:r>
      <w:r w:rsidR="00CC43F0">
        <w:t xml:space="preserve">Data from a national administrative database is used to </w:t>
      </w:r>
      <w:r w:rsidR="00BC40E9">
        <w:t>analyse</w:t>
      </w:r>
      <w:r w:rsidR="00B20892">
        <w:t xml:space="preserve"> </w:t>
      </w:r>
      <w:r w:rsidR="00AA5AD9">
        <w:t xml:space="preserve">whether </w:t>
      </w:r>
      <w:r w:rsidR="00540369">
        <w:t xml:space="preserve">sociodemographic </w:t>
      </w:r>
      <w:r w:rsidR="00AA5AD9">
        <w:t>characteristics affected the types of interventions parents received</w:t>
      </w:r>
      <w:r w:rsidR="006D5C2A">
        <w:t xml:space="preserve"> and subsequent outcomes</w:t>
      </w:r>
      <w:r w:rsidR="00DB28D8">
        <w:t>,</w:t>
      </w:r>
      <w:r w:rsidR="006D5C2A">
        <w:t xml:space="preserve"> and whether </w:t>
      </w:r>
      <w:r w:rsidR="00A9611D">
        <w:t xml:space="preserve">integrated treatment and child welfare support was a more effective or cost-effective option than treatment </w:t>
      </w:r>
      <w:r w:rsidR="00493F4D">
        <w:t>only</w:t>
      </w:r>
      <w:r w:rsidR="00465C75">
        <w:t xml:space="preserve">, via three interconnected studies: 1) a descriptive and </w:t>
      </w:r>
      <w:r w:rsidR="003857A0">
        <w:t>exploratory</w:t>
      </w:r>
      <w:r w:rsidR="00465C75">
        <w:t xml:space="preserve"> study of </w:t>
      </w:r>
      <w:r w:rsidR="000520DA">
        <w:t>characteristics, 2) a quasi-experimental study on effectiveness and 3) a cost-effectiveness analysis</w:t>
      </w:r>
      <w:r w:rsidR="003857A0">
        <w:t>.</w:t>
      </w:r>
      <w:r w:rsidR="00A465B2">
        <w:t xml:space="preserve"> </w:t>
      </w:r>
      <w:r w:rsidR="00A465B2">
        <w:rPr>
          <w:b/>
          <w:bCs/>
        </w:rPr>
        <w:t xml:space="preserve">Results </w:t>
      </w:r>
      <w:r w:rsidR="00A465B2">
        <w:t>Parents are not a homogenous group, with</w:t>
      </w:r>
      <w:r w:rsidR="00BE60ED">
        <w:t xml:space="preserve"> those not living with children appearing to have the most complex support needs in the treatment system</w:t>
      </w:r>
      <w:r w:rsidR="00CC698A">
        <w:t xml:space="preserve">. The likelihood of receiving integrated support varied </w:t>
      </w:r>
      <w:r w:rsidR="00CF3397">
        <w:t>between mothers and fathers</w:t>
      </w:r>
      <w:r w:rsidR="00493F4D">
        <w:t>,</w:t>
      </w:r>
      <w:r w:rsidR="00CF3397">
        <w:t xml:space="preserve"> and parents living and not living with children. </w:t>
      </w:r>
      <w:r w:rsidR="002D15DB">
        <w:t>Parents who received treatment in a</w:t>
      </w:r>
      <w:r w:rsidR="00BD1780">
        <w:t xml:space="preserve"> residential setting </w:t>
      </w:r>
      <w:r w:rsidR="002D15DB">
        <w:t xml:space="preserve">were more likely to complete, </w:t>
      </w:r>
      <w:r w:rsidR="00BD1780">
        <w:t>and t</w:t>
      </w:r>
      <w:r w:rsidR="00C84C4F">
        <w:t xml:space="preserve">reatment </w:t>
      </w:r>
      <w:r w:rsidR="00545D7B">
        <w:t>plus</w:t>
      </w:r>
      <w:r w:rsidR="00C84C4F">
        <w:t xml:space="preserve"> parenting and</w:t>
      </w:r>
      <w:r w:rsidR="002E6238">
        <w:t>/or</w:t>
      </w:r>
      <w:r w:rsidR="00C84C4F">
        <w:t xml:space="preserve"> family recovery</w:t>
      </w:r>
      <w:r w:rsidR="002E6238">
        <w:t xml:space="preserve"> support </w:t>
      </w:r>
      <w:r w:rsidR="00BD1780">
        <w:t>appeared to be</w:t>
      </w:r>
      <w:r w:rsidR="002E6238">
        <w:t xml:space="preserve"> more effective than treatment alone for </w:t>
      </w:r>
      <w:r w:rsidR="00BD627F">
        <w:t>non-opiate/ alcohol users</w:t>
      </w:r>
      <w:r w:rsidR="00BD627F" w:rsidRPr="008727F1">
        <w:t xml:space="preserve">. </w:t>
      </w:r>
      <w:r w:rsidR="00460B30" w:rsidRPr="000F6B4D">
        <w:t>Among opiate users, delivery of parenting and/or family recovery support was only associated with better treatment outcomes for fathers not living with their children</w:t>
      </w:r>
      <w:r w:rsidR="00D53B67" w:rsidRPr="008727F1">
        <w:t xml:space="preserve">. </w:t>
      </w:r>
      <w:r w:rsidR="00EF4D38" w:rsidRPr="008727F1">
        <w:t>Further a</w:t>
      </w:r>
      <w:r w:rsidR="00754DF7" w:rsidRPr="008727F1">
        <w:t xml:space="preserve">nalysis </w:t>
      </w:r>
      <w:r w:rsidR="000F6B4D">
        <w:t xml:space="preserve">which </w:t>
      </w:r>
      <w:r w:rsidR="000F6B4D" w:rsidRPr="008727F1">
        <w:t>focus</w:t>
      </w:r>
      <w:r w:rsidR="000F6B4D">
        <w:t>ed</w:t>
      </w:r>
      <w:r w:rsidR="000F6B4D" w:rsidRPr="008727F1">
        <w:t xml:space="preserve"> </w:t>
      </w:r>
      <w:r w:rsidR="00EF4D38" w:rsidRPr="008727F1">
        <w:t xml:space="preserve">on </w:t>
      </w:r>
      <w:r w:rsidR="000F6B4D">
        <w:t>parents with an alcohol use disorder</w:t>
      </w:r>
      <w:r w:rsidR="000F6B4D" w:rsidRPr="008727F1">
        <w:t xml:space="preserve"> </w:t>
      </w:r>
      <w:r w:rsidR="00EF4D38" w:rsidRPr="008727F1">
        <w:t xml:space="preserve">suggested that treatment </w:t>
      </w:r>
      <w:r w:rsidR="00545D7B">
        <w:t>plus</w:t>
      </w:r>
      <w:r w:rsidR="00EF4D38" w:rsidRPr="008727F1">
        <w:t xml:space="preserve"> parenting and/or family recovery support was cost-effective</w:t>
      </w:r>
      <w:r w:rsidR="007A5743" w:rsidRPr="008727F1">
        <w:t xml:space="preserve">. </w:t>
      </w:r>
      <w:r w:rsidR="007A5743" w:rsidRPr="006C1178">
        <w:rPr>
          <w:b/>
          <w:bCs/>
        </w:rPr>
        <w:t>Conclusion</w:t>
      </w:r>
      <w:r w:rsidR="00AB2870" w:rsidRPr="000F6B4D">
        <w:t xml:space="preserve"> </w:t>
      </w:r>
      <w:r w:rsidR="007C7678" w:rsidRPr="00B4190E">
        <w:rPr>
          <w:rFonts w:cs="Arial"/>
          <w:szCs w:val="24"/>
        </w:rPr>
        <w:t xml:space="preserve">This PhD </w:t>
      </w:r>
      <w:r w:rsidR="007C7678" w:rsidRPr="00AF1739">
        <w:rPr>
          <w:rFonts w:cs="Arial"/>
          <w:szCs w:val="24"/>
        </w:rPr>
        <w:t>sets out 14 detailed findings which bring novel evidence together and 10 research recommendations for the field</w:t>
      </w:r>
      <w:r w:rsidR="007C7678" w:rsidRPr="00B4190E">
        <w:rPr>
          <w:rFonts w:cs="Arial"/>
          <w:szCs w:val="24"/>
        </w:rPr>
        <w:t xml:space="preserve">. The strength of this </w:t>
      </w:r>
      <w:r w:rsidR="00A166DE">
        <w:rPr>
          <w:rFonts w:cs="Arial"/>
          <w:szCs w:val="24"/>
        </w:rPr>
        <w:t>thesis</w:t>
      </w:r>
      <w:r w:rsidR="007C7678" w:rsidRPr="00B4190E">
        <w:rPr>
          <w:rFonts w:cs="Arial"/>
          <w:szCs w:val="24"/>
        </w:rPr>
        <w:t xml:space="preserve"> is that it adds to the limited evidence base and provides researchers with replicable techniques </w:t>
      </w:r>
      <w:r w:rsidR="00496A70">
        <w:rPr>
          <w:rFonts w:cs="Arial"/>
          <w:szCs w:val="24"/>
        </w:rPr>
        <w:t xml:space="preserve">to </w:t>
      </w:r>
      <w:r w:rsidR="007C7678" w:rsidRPr="00B4190E">
        <w:rPr>
          <w:rFonts w:cs="Arial"/>
          <w:szCs w:val="24"/>
        </w:rPr>
        <w:t xml:space="preserve">be adopted and adapted in various jurisdictions. Using the recommendations presented, policymakers and decisionmakers </w:t>
      </w:r>
      <w:r w:rsidR="00123D20">
        <w:rPr>
          <w:rFonts w:cs="Arial"/>
          <w:szCs w:val="24"/>
        </w:rPr>
        <w:t>can make informed decisions</w:t>
      </w:r>
      <w:r w:rsidR="007C7678" w:rsidRPr="00B4190E">
        <w:rPr>
          <w:rFonts w:cs="Arial"/>
          <w:szCs w:val="24"/>
        </w:rPr>
        <w:t xml:space="preserve"> on how best to support families.</w:t>
      </w:r>
    </w:p>
    <w:p w14:paraId="4E4AA14D" w14:textId="2F3AD4B7" w:rsidR="00C71F3F" w:rsidRDefault="00F45261">
      <w:pPr>
        <w:spacing w:after="200" w:line="276" w:lineRule="auto"/>
        <w:contextualSpacing w:val="0"/>
        <w:rPr>
          <w:rFonts w:ascii="TUOS Blake" w:hAnsi="TUOS Blake" w:cstheme="majorBidi"/>
          <w:szCs w:val="24"/>
        </w:rPr>
      </w:pPr>
      <w:r>
        <w:rPr>
          <w:rFonts w:ascii="TUOS Blake" w:hAnsi="TUOS Blake" w:cstheme="majorBidi"/>
          <w:szCs w:val="24"/>
        </w:rPr>
        <w:br w:type="page"/>
      </w:r>
    </w:p>
    <w:p w14:paraId="117921C4" w14:textId="77777777" w:rsidR="00C71F3F" w:rsidRDefault="00C71F3F" w:rsidP="00C71F3F">
      <w:pPr>
        <w:rPr>
          <w:rFonts w:ascii="TUOS Blake" w:hAnsi="TUOS Blake" w:cstheme="majorBidi"/>
          <w:szCs w:val="24"/>
        </w:rPr>
      </w:pPr>
    </w:p>
    <w:p w14:paraId="5BD90251" w14:textId="71D3F3E2" w:rsidR="00C71F3F" w:rsidRPr="00C71F3F" w:rsidRDefault="00C71F3F" w:rsidP="00C71F3F">
      <w:pPr>
        <w:pStyle w:val="Headingnonumber"/>
        <w:numPr>
          <w:ilvl w:val="0"/>
          <w:numId w:val="0"/>
        </w:numPr>
      </w:pPr>
      <w:r w:rsidRPr="00C71F3F">
        <w:t>Declaration</w:t>
      </w:r>
    </w:p>
    <w:p w14:paraId="78B8E94F" w14:textId="3A5BA499" w:rsidR="00FB01A9" w:rsidRDefault="00C71F3F" w:rsidP="00FB01A9">
      <w:pPr>
        <w:pStyle w:val="NoSpacing"/>
        <w:spacing w:line="360" w:lineRule="auto"/>
      </w:pPr>
      <w:r w:rsidRPr="00DB06A0">
        <w:t>I am aware of the University’s Guidance on the Use of Unfair Means (</w:t>
      </w:r>
      <w:hyperlink r:id="rId12" w:history="1">
        <w:r w:rsidRPr="00DB06A0">
          <w:rPr>
            <w:rStyle w:val="Hyperlink"/>
            <w:rFonts w:ascii="TUOS Blake" w:hAnsi="TUOS Blake" w:cstheme="majorBidi"/>
            <w:i/>
            <w:iCs/>
          </w:rPr>
          <w:t>www.sheffield.ac.uk/ssid/unfair-means</w:t>
        </w:r>
      </w:hyperlink>
      <w:r w:rsidRPr="00DB06A0">
        <w:t xml:space="preserve">).  This work </w:t>
      </w:r>
      <w:r w:rsidR="00367367" w:rsidRPr="00DB06A0">
        <w:t>has not previously been</w:t>
      </w:r>
      <w:r w:rsidRPr="00DB06A0">
        <w:t xml:space="preserve"> presented for an award at this, or any other, university.</w:t>
      </w:r>
      <w:r w:rsidR="00367367">
        <w:t xml:space="preserve"> </w:t>
      </w:r>
      <w:r w:rsidR="00FB01A9">
        <w:t>This thesis contains manuscripts that have been prepared for and submitted to journals. I confirm that the work submitted in this thesis is my own except for the chapters 3-5 that are jointly authored manuscripts. Individual author contribution</w:t>
      </w:r>
      <w:r w:rsidR="00A21E43">
        <w:t>s</w:t>
      </w:r>
      <w:r w:rsidR="00FB01A9">
        <w:t xml:space="preserve"> </w:t>
      </w:r>
      <w:r w:rsidR="00A21E43">
        <w:t>are</w:t>
      </w:r>
      <w:r w:rsidR="00FB01A9">
        <w:t xml:space="preserve"> stated below. </w:t>
      </w:r>
    </w:p>
    <w:p w14:paraId="68DB6712" w14:textId="77777777" w:rsidR="00FB01A9" w:rsidRDefault="00FB01A9" w:rsidP="00FB01A9">
      <w:pPr>
        <w:pStyle w:val="NoSpacing"/>
        <w:spacing w:line="360" w:lineRule="auto"/>
      </w:pPr>
    </w:p>
    <w:p w14:paraId="440E029E" w14:textId="30C757D9" w:rsidR="00FB01A9" w:rsidRPr="00FB01A9" w:rsidRDefault="00FB01A9" w:rsidP="00477E82">
      <w:pPr>
        <w:pStyle w:val="NoSpacing"/>
        <w:spacing w:line="240" w:lineRule="auto"/>
      </w:pPr>
      <w:r>
        <w:rPr>
          <w:b/>
          <w:bCs/>
        </w:rPr>
        <w:t xml:space="preserve">Chapter 3: </w:t>
      </w:r>
      <w:r w:rsidRPr="00FB01A9">
        <w:rPr>
          <w:b/>
          <w:bCs/>
        </w:rPr>
        <w:t>Exploring characteristics and interventions of parents receiving specialist treatment and child welfare support services in England</w:t>
      </w:r>
      <w:r w:rsidR="00367367">
        <w:rPr>
          <w:b/>
          <w:bCs/>
        </w:rPr>
        <w:t>.</w:t>
      </w:r>
    </w:p>
    <w:p w14:paraId="68874282" w14:textId="77777777" w:rsidR="00FB01A9" w:rsidRDefault="00FB01A9" w:rsidP="00FB01A9">
      <w:pPr>
        <w:pStyle w:val="NoSpacing"/>
        <w:spacing w:line="276" w:lineRule="auto"/>
      </w:pPr>
    </w:p>
    <w:p w14:paraId="0E034D53" w14:textId="2536ACE3" w:rsidR="00FB01A9" w:rsidRDefault="00FB01A9" w:rsidP="00FB01A9">
      <w:pPr>
        <w:pStyle w:val="paragraph"/>
        <w:spacing w:before="0" w:beforeAutospacing="0" w:after="0" w:afterAutospacing="0" w:line="360" w:lineRule="auto"/>
        <w:textAlignment w:val="baseline"/>
        <w:rPr>
          <w:rFonts w:ascii="Arial" w:hAnsi="Arial" w:cs="Arial"/>
        </w:rPr>
      </w:pPr>
      <w:r w:rsidRPr="00F530EC">
        <w:rPr>
          <w:rFonts w:ascii="Arial" w:hAnsi="Arial" w:cs="Arial"/>
          <w:b/>
          <w:bCs/>
        </w:rPr>
        <w:t>Virginia Musto Wright</w:t>
      </w:r>
      <w:r w:rsidRPr="008C4BC3">
        <w:rPr>
          <w:rFonts w:ascii="Arial" w:hAnsi="Arial" w:cs="Arial"/>
        </w:rPr>
        <w:t xml:space="preserve">: Conceptualisation, Methodology, </w:t>
      </w:r>
      <w:r>
        <w:rPr>
          <w:rFonts w:ascii="Arial" w:hAnsi="Arial" w:cs="Arial"/>
        </w:rPr>
        <w:t xml:space="preserve">Software, </w:t>
      </w:r>
      <w:r w:rsidRPr="008C4BC3">
        <w:rPr>
          <w:rFonts w:ascii="Arial" w:hAnsi="Arial" w:cs="Arial"/>
        </w:rPr>
        <w:t xml:space="preserve">Formal analysis, </w:t>
      </w:r>
      <w:r>
        <w:rPr>
          <w:rFonts w:ascii="Arial" w:hAnsi="Arial" w:cs="Arial"/>
        </w:rPr>
        <w:t xml:space="preserve">Investigation, </w:t>
      </w:r>
      <w:r w:rsidRPr="008C4BC3">
        <w:rPr>
          <w:rFonts w:ascii="Arial" w:hAnsi="Arial" w:cs="Arial"/>
        </w:rPr>
        <w:t xml:space="preserve">Data curation, Writing - Original </w:t>
      </w:r>
      <w:r>
        <w:rPr>
          <w:rFonts w:ascii="Arial" w:hAnsi="Arial" w:cs="Arial"/>
        </w:rPr>
        <w:t>d</w:t>
      </w:r>
      <w:r w:rsidRPr="008C4BC3">
        <w:rPr>
          <w:rFonts w:ascii="Arial" w:hAnsi="Arial" w:cs="Arial"/>
        </w:rPr>
        <w:t>raft</w:t>
      </w:r>
      <w:r>
        <w:rPr>
          <w:rFonts w:ascii="Arial" w:hAnsi="Arial" w:cs="Arial"/>
        </w:rPr>
        <w:t xml:space="preserve"> preparation </w:t>
      </w:r>
      <w:r w:rsidRPr="00F530EC">
        <w:rPr>
          <w:rFonts w:ascii="Arial" w:hAnsi="Arial" w:cs="Arial"/>
          <w:b/>
          <w:bCs/>
        </w:rPr>
        <w:t>Brian Eastwood</w:t>
      </w:r>
      <w:r w:rsidRPr="008C4BC3">
        <w:rPr>
          <w:rFonts w:ascii="Arial" w:hAnsi="Arial" w:cs="Arial"/>
        </w:rPr>
        <w:t>: Methodology, Validation</w:t>
      </w:r>
      <w:r>
        <w:rPr>
          <w:rFonts w:ascii="Arial" w:hAnsi="Arial" w:cs="Arial"/>
        </w:rPr>
        <w:t xml:space="preserve">, Visualisation, </w:t>
      </w:r>
      <w:r w:rsidRPr="008C4BC3">
        <w:rPr>
          <w:rFonts w:ascii="Arial" w:hAnsi="Arial" w:cs="Arial"/>
        </w:rPr>
        <w:t xml:space="preserve">Writing - Review </w:t>
      </w:r>
      <w:r>
        <w:rPr>
          <w:rFonts w:ascii="Arial" w:hAnsi="Arial" w:cs="Arial"/>
        </w:rPr>
        <w:t>and</w:t>
      </w:r>
      <w:r w:rsidRPr="008C4BC3">
        <w:rPr>
          <w:rFonts w:ascii="Arial" w:hAnsi="Arial" w:cs="Arial"/>
        </w:rPr>
        <w:t xml:space="preserve"> Editing</w:t>
      </w:r>
      <w:r>
        <w:rPr>
          <w:rFonts w:ascii="Arial" w:hAnsi="Arial" w:cs="Arial"/>
        </w:rPr>
        <w:t xml:space="preserve"> </w:t>
      </w:r>
      <w:r w:rsidRPr="00F530EC">
        <w:rPr>
          <w:rFonts w:ascii="Arial" w:hAnsi="Arial" w:cs="Arial"/>
          <w:b/>
          <w:bCs/>
        </w:rPr>
        <w:t>Petra Meier</w:t>
      </w:r>
      <w:r w:rsidRPr="008C4BC3">
        <w:rPr>
          <w:rFonts w:ascii="Arial" w:hAnsi="Arial" w:cs="Arial"/>
        </w:rPr>
        <w:t xml:space="preserve">: Writing - Review </w:t>
      </w:r>
      <w:r>
        <w:rPr>
          <w:rFonts w:ascii="Arial" w:hAnsi="Arial" w:cs="Arial"/>
        </w:rPr>
        <w:t>and</w:t>
      </w:r>
      <w:r w:rsidRPr="008C4BC3">
        <w:rPr>
          <w:rFonts w:ascii="Arial" w:hAnsi="Arial" w:cs="Arial"/>
        </w:rPr>
        <w:t xml:space="preserve"> Editing</w:t>
      </w:r>
      <w:r>
        <w:rPr>
          <w:rFonts w:ascii="Arial" w:hAnsi="Arial" w:cs="Arial"/>
        </w:rPr>
        <w:t xml:space="preserve"> </w:t>
      </w:r>
      <w:r w:rsidRPr="00F530EC">
        <w:rPr>
          <w:rFonts w:ascii="Arial" w:hAnsi="Arial" w:cs="Arial"/>
          <w:b/>
          <w:bCs/>
        </w:rPr>
        <w:t>Alan Brennan</w:t>
      </w:r>
      <w:r w:rsidRPr="008C4BC3">
        <w:rPr>
          <w:rFonts w:ascii="Arial" w:hAnsi="Arial" w:cs="Arial"/>
        </w:rPr>
        <w:t xml:space="preserve">: Writing - Review </w:t>
      </w:r>
      <w:r>
        <w:rPr>
          <w:rFonts w:ascii="Arial" w:hAnsi="Arial" w:cs="Arial"/>
        </w:rPr>
        <w:t>and</w:t>
      </w:r>
      <w:r w:rsidRPr="008C4BC3">
        <w:rPr>
          <w:rFonts w:ascii="Arial" w:hAnsi="Arial" w:cs="Arial"/>
        </w:rPr>
        <w:t xml:space="preserve"> Editing</w:t>
      </w:r>
      <w:r>
        <w:rPr>
          <w:rFonts w:ascii="Arial" w:hAnsi="Arial" w:cs="Arial"/>
        </w:rPr>
        <w:t xml:space="preserve">, </w:t>
      </w:r>
      <w:r w:rsidRPr="008C4BC3">
        <w:rPr>
          <w:rFonts w:ascii="Arial" w:hAnsi="Arial" w:cs="Arial"/>
        </w:rPr>
        <w:t>Supervision</w:t>
      </w:r>
      <w:r>
        <w:rPr>
          <w:rFonts w:ascii="Arial" w:hAnsi="Arial" w:cs="Arial"/>
        </w:rPr>
        <w:t>.</w:t>
      </w:r>
    </w:p>
    <w:p w14:paraId="748B6ABB" w14:textId="77777777" w:rsidR="00367367" w:rsidRDefault="00367367" w:rsidP="00367367">
      <w:pPr>
        <w:pStyle w:val="NoSpacing"/>
        <w:spacing w:line="360" w:lineRule="auto"/>
      </w:pPr>
    </w:p>
    <w:p w14:paraId="09453D1E" w14:textId="25431831" w:rsidR="00367367" w:rsidRDefault="00367367" w:rsidP="00477E82">
      <w:pPr>
        <w:pStyle w:val="NoSpacing"/>
        <w:spacing w:line="240" w:lineRule="auto"/>
        <w:rPr>
          <w:b/>
          <w:bCs/>
        </w:rPr>
      </w:pPr>
      <w:r w:rsidRPr="00367367">
        <w:rPr>
          <w:b/>
          <w:bCs/>
        </w:rPr>
        <w:t xml:space="preserve">Chapter 4: Do </w:t>
      </w:r>
      <w:r w:rsidR="009F6735">
        <w:rPr>
          <w:b/>
          <w:bCs/>
        </w:rPr>
        <w:t xml:space="preserve">targeted </w:t>
      </w:r>
      <w:r w:rsidR="006011CA">
        <w:rPr>
          <w:b/>
          <w:bCs/>
        </w:rPr>
        <w:t xml:space="preserve">prevention interventions for families </w:t>
      </w:r>
      <w:r w:rsidRPr="00367367">
        <w:rPr>
          <w:b/>
          <w:bCs/>
        </w:rPr>
        <w:t>improve alcohol and drug treatment completions among parents with a substance use disorder? A quasi-experimental study using Generalized Boosted Models.</w:t>
      </w:r>
    </w:p>
    <w:p w14:paraId="54DACFFD" w14:textId="77777777" w:rsidR="006011CA" w:rsidRDefault="006011CA" w:rsidP="00477E82">
      <w:pPr>
        <w:pStyle w:val="NoSpacing"/>
        <w:spacing w:line="360" w:lineRule="auto"/>
        <w:rPr>
          <w:b/>
          <w:bCs/>
        </w:rPr>
      </w:pPr>
    </w:p>
    <w:p w14:paraId="7ED7598E" w14:textId="77777777" w:rsidR="00A23CAC" w:rsidRDefault="00A23CAC" w:rsidP="00477E82">
      <w:pPr>
        <w:pStyle w:val="NoSpacing"/>
        <w:spacing w:line="360" w:lineRule="auto"/>
        <w:rPr>
          <w:rStyle w:val="eop"/>
          <w:color w:val="000000"/>
          <w:shd w:val="clear" w:color="auto" w:fill="FFFFFF"/>
        </w:rPr>
      </w:pPr>
      <w:r>
        <w:rPr>
          <w:rStyle w:val="normaltextrun"/>
          <w:b/>
          <w:bCs/>
          <w:color w:val="000000"/>
          <w:shd w:val="clear" w:color="auto" w:fill="FFFFFF"/>
        </w:rPr>
        <w:t>Virginia Musto Wright</w:t>
      </w:r>
      <w:r>
        <w:rPr>
          <w:rStyle w:val="normaltextrun"/>
          <w:color w:val="000000"/>
          <w:shd w:val="clear" w:color="auto" w:fill="FFFFFF"/>
        </w:rPr>
        <w:t xml:space="preserve">: Conceptualisation, Methodology, Software, Formal analysis, Investigation, Data curation, Writing - Original draft preparation </w:t>
      </w:r>
      <w:r>
        <w:rPr>
          <w:rStyle w:val="normaltextrun"/>
          <w:b/>
          <w:bCs/>
          <w:color w:val="000000"/>
          <w:shd w:val="clear" w:color="auto" w:fill="FFFFFF"/>
        </w:rPr>
        <w:t>Brian Eastwood</w:t>
      </w:r>
      <w:r>
        <w:rPr>
          <w:rStyle w:val="normaltextrun"/>
          <w:color w:val="000000"/>
          <w:shd w:val="clear" w:color="auto" w:fill="FFFFFF"/>
        </w:rPr>
        <w:t xml:space="preserve">: Writing - Review and Editing </w:t>
      </w:r>
      <w:r>
        <w:rPr>
          <w:rStyle w:val="normaltextrun"/>
          <w:b/>
          <w:bCs/>
          <w:color w:val="000000"/>
          <w:shd w:val="clear" w:color="auto" w:fill="FFFFFF"/>
        </w:rPr>
        <w:t>Petra Meier</w:t>
      </w:r>
      <w:r>
        <w:rPr>
          <w:rStyle w:val="normaltextrun"/>
          <w:color w:val="000000"/>
          <w:shd w:val="clear" w:color="auto" w:fill="FFFFFF"/>
        </w:rPr>
        <w:t xml:space="preserve">: Writing - Review and Editing </w:t>
      </w:r>
      <w:r>
        <w:rPr>
          <w:rStyle w:val="normaltextrun"/>
          <w:b/>
          <w:bCs/>
          <w:color w:val="000000"/>
          <w:shd w:val="clear" w:color="auto" w:fill="FFFFFF"/>
        </w:rPr>
        <w:t>Alan Brennan</w:t>
      </w:r>
      <w:r>
        <w:rPr>
          <w:rStyle w:val="normaltextrun"/>
          <w:color w:val="000000"/>
          <w:shd w:val="clear" w:color="auto" w:fill="FFFFFF"/>
        </w:rPr>
        <w:t>: Writing - Review and Editing, Supervision</w:t>
      </w:r>
      <w:r>
        <w:rPr>
          <w:rStyle w:val="eop"/>
          <w:color w:val="000000"/>
          <w:shd w:val="clear" w:color="auto" w:fill="FFFFFF"/>
        </w:rPr>
        <w:t> </w:t>
      </w:r>
    </w:p>
    <w:p w14:paraId="78004094" w14:textId="77777777" w:rsidR="00941D34" w:rsidRDefault="00941D34" w:rsidP="00477E82">
      <w:pPr>
        <w:pStyle w:val="NoSpacing"/>
        <w:spacing w:line="360" w:lineRule="auto"/>
        <w:rPr>
          <w:rStyle w:val="eop"/>
          <w:color w:val="000000"/>
          <w:shd w:val="clear" w:color="auto" w:fill="FFFFFF"/>
        </w:rPr>
      </w:pPr>
    </w:p>
    <w:p w14:paraId="40F9F61D" w14:textId="40F8DF17" w:rsidR="00941D34" w:rsidRDefault="00941D34" w:rsidP="00477E82">
      <w:pPr>
        <w:rPr>
          <w:rFonts w:cs="Arial"/>
          <w:b/>
          <w:bCs/>
          <w:szCs w:val="24"/>
        </w:rPr>
      </w:pPr>
      <w:r>
        <w:rPr>
          <w:rFonts w:cs="Arial"/>
          <w:b/>
          <w:bCs/>
          <w:szCs w:val="24"/>
        </w:rPr>
        <w:t xml:space="preserve">Chapter 5: For parents with an alcohol use disorder, is treatment </w:t>
      </w:r>
      <w:r w:rsidR="00545D7B">
        <w:rPr>
          <w:rFonts w:cs="Arial"/>
          <w:b/>
          <w:bCs/>
          <w:szCs w:val="24"/>
        </w:rPr>
        <w:t>plus</w:t>
      </w:r>
      <w:r>
        <w:rPr>
          <w:rFonts w:cs="Arial"/>
          <w:b/>
          <w:bCs/>
          <w:szCs w:val="24"/>
        </w:rPr>
        <w:t xml:space="preserve"> parenting and/or </w:t>
      </w:r>
      <w:r w:rsidR="002904FF">
        <w:rPr>
          <w:rFonts w:cs="Arial"/>
          <w:b/>
          <w:bCs/>
          <w:szCs w:val="24"/>
        </w:rPr>
        <w:t xml:space="preserve">family </w:t>
      </w:r>
      <w:r>
        <w:rPr>
          <w:rFonts w:cs="Arial"/>
          <w:b/>
          <w:bCs/>
          <w:szCs w:val="24"/>
        </w:rPr>
        <w:t>recovery support a more cost-effective option than treatment alone?</w:t>
      </w:r>
    </w:p>
    <w:p w14:paraId="54E06E72" w14:textId="77777777" w:rsidR="00941D34" w:rsidRPr="00B72A0E" w:rsidRDefault="00941D34" w:rsidP="00477E82">
      <w:pPr>
        <w:pStyle w:val="NoSpacing"/>
        <w:spacing w:line="360" w:lineRule="auto"/>
      </w:pPr>
    </w:p>
    <w:p w14:paraId="0A060D3E" w14:textId="4F8CB2AF" w:rsidR="00FB01A9" w:rsidRPr="00703333" w:rsidRDefault="00941D34" w:rsidP="00477E82">
      <w:pPr>
        <w:pStyle w:val="NoSpacing"/>
        <w:spacing w:line="360" w:lineRule="auto"/>
        <w:rPr>
          <w:color w:val="000000"/>
          <w:shd w:val="clear" w:color="auto" w:fill="FFFFFF"/>
        </w:rPr>
      </w:pPr>
      <w:r>
        <w:rPr>
          <w:rStyle w:val="normaltextrun"/>
          <w:b/>
          <w:bCs/>
          <w:color w:val="000000"/>
          <w:shd w:val="clear" w:color="auto" w:fill="FFFFFF"/>
        </w:rPr>
        <w:t>Virginia Musto Wright</w:t>
      </w:r>
      <w:r>
        <w:rPr>
          <w:rStyle w:val="normaltextrun"/>
          <w:color w:val="000000"/>
          <w:shd w:val="clear" w:color="auto" w:fill="FFFFFF"/>
        </w:rPr>
        <w:t xml:space="preserve">: Conceptualisation, Methodology, Software, Formal analysis, Investigation, Data curation, Writing - Original draft preparation </w:t>
      </w:r>
      <w:r>
        <w:rPr>
          <w:rStyle w:val="normaltextrun"/>
          <w:b/>
          <w:bCs/>
          <w:color w:val="000000"/>
          <w:shd w:val="clear" w:color="auto" w:fill="FFFFFF"/>
        </w:rPr>
        <w:t>Alan Brennan</w:t>
      </w:r>
      <w:r>
        <w:rPr>
          <w:rStyle w:val="normaltextrun"/>
          <w:color w:val="000000"/>
          <w:shd w:val="clear" w:color="auto" w:fill="FFFFFF"/>
        </w:rPr>
        <w:t xml:space="preserve">: </w:t>
      </w:r>
      <w:r w:rsidR="008957CD">
        <w:rPr>
          <w:rStyle w:val="normaltextrun"/>
          <w:color w:val="000000"/>
          <w:shd w:val="clear" w:color="auto" w:fill="FFFFFF"/>
        </w:rPr>
        <w:t xml:space="preserve">Validation, Visualisation, </w:t>
      </w:r>
      <w:r>
        <w:rPr>
          <w:rStyle w:val="normaltextrun"/>
          <w:color w:val="000000"/>
          <w:shd w:val="clear" w:color="auto" w:fill="FFFFFF"/>
        </w:rPr>
        <w:t>Writing - Review and Editing, Supervision</w:t>
      </w:r>
      <w:r w:rsidR="008957CD">
        <w:rPr>
          <w:rStyle w:val="eop"/>
          <w:color w:val="000000"/>
          <w:shd w:val="clear" w:color="auto" w:fill="FFFFFF"/>
        </w:rPr>
        <w:t>.</w:t>
      </w:r>
      <w:r w:rsidR="00FB01A9">
        <w:rPr>
          <w:rFonts w:asciiTheme="minorHAnsi" w:hAnsiTheme="minorHAnsi"/>
          <w:b/>
          <w:sz w:val="22"/>
        </w:rPr>
        <w:br w:type="page"/>
      </w:r>
    </w:p>
    <w:sdt>
      <w:sdtPr>
        <w:rPr>
          <w:rFonts w:asciiTheme="minorHAnsi" w:hAnsiTheme="minorHAnsi"/>
          <w:b w:val="0"/>
          <w:sz w:val="22"/>
        </w:rPr>
        <w:id w:val="-708726632"/>
        <w:docPartObj>
          <w:docPartGallery w:val="Table of Contents"/>
          <w:docPartUnique/>
        </w:docPartObj>
      </w:sdtPr>
      <w:sdtEndPr>
        <w:rPr>
          <w:sz w:val="24"/>
          <w:szCs w:val="24"/>
        </w:rPr>
      </w:sdtEndPr>
      <w:sdtContent>
        <w:p w14:paraId="0061AFEA" w14:textId="0240C65A" w:rsidR="00765DC8" w:rsidRDefault="00765DC8" w:rsidP="00CF4416">
          <w:pPr>
            <w:pStyle w:val="Headingnonumber"/>
            <w:numPr>
              <w:ilvl w:val="0"/>
              <w:numId w:val="0"/>
            </w:numPr>
          </w:pPr>
          <w:r>
            <w:t>Table of contents</w:t>
          </w:r>
        </w:p>
        <w:p w14:paraId="00B6144E" w14:textId="44093904" w:rsidR="006B573F" w:rsidRDefault="00765DC8">
          <w:pPr>
            <w:pStyle w:val="TOC1"/>
            <w:tabs>
              <w:tab w:val="left" w:pos="440"/>
              <w:tab w:val="right" w:leader="dot" w:pos="9016"/>
            </w:tabs>
            <w:rPr>
              <w:rFonts w:asciiTheme="minorHAnsi" w:hAnsiTheme="minorHAnsi" w:cstheme="minorBidi"/>
              <w:noProof/>
              <w:kern w:val="2"/>
              <w:szCs w:val="24"/>
              <w:lang w:val="en-GB" w:eastAsia="en-GB"/>
              <w14:ligatures w14:val="standardContextual"/>
            </w:rPr>
          </w:pPr>
          <w:r>
            <w:fldChar w:fldCharType="begin"/>
          </w:r>
          <w:r>
            <w:instrText xml:space="preserve"> TOC \o "1-3" \h \z \u </w:instrText>
          </w:r>
          <w:r>
            <w:fldChar w:fldCharType="separate"/>
          </w:r>
          <w:hyperlink w:anchor="_Toc189229641" w:history="1">
            <w:r w:rsidR="006B573F" w:rsidRPr="00ED7C5F">
              <w:rPr>
                <w:rStyle w:val="Hyperlink"/>
                <w:noProof/>
              </w:rPr>
              <w:t>1</w:t>
            </w:r>
            <w:r w:rsidR="006B573F">
              <w:rPr>
                <w:rFonts w:asciiTheme="minorHAnsi" w:hAnsiTheme="minorHAnsi" w:cstheme="minorBidi"/>
                <w:noProof/>
                <w:kern w:val="2"/>
                <w:szCs w:val="24"/>
                <w:lang w:val="en-GB" w:eastAsia="en-GB"/>
                <w14:ligatures w14:val="standardContextual"/>
              </w:rPr>
              <w:tab/>
            </w:r>
            <w:r w:rsidR="006B573F" w:rsidRPr="00ED7C5F">
              <w:rPr>
                <w:rStyle w:val="Hyperlink"/>
                <w:noProof/>
              </w:rPr>
              <w:t>Introduction</w:t>
            </w:r>
            <w:r w:rsidR="006B573F">
              <w:rPr>
                <w:noProof/>
                <w:webHidden/>
              </w:rPr>
              <w:tab/>
            </w:r>
            <w:r w:rsidR="006B573F">
              <w:rPr>
                <w:noProof/>
                <w:webHidden/>
              </w:rPr>
              <w:fldChar w:fldCharType="begin"/>
            </w:r>
            <w:r w:rsidR="006B573F">
              <w:rPr>
                <w:noProof/>
                <w:webHidden/>
              </w:rPr>
              <w:instrText xml:space="preserve"> PAGEREF _Toc189229641 \h </w:instrText>
            </w:r>
            <w:r w:rsidR="006B573F">
              <w:rPr>
                <w:noProof/>
                <w:webHidden/>
              </w:rPr>
            </w:r>
            <w:r w:rsidR="006B573F">
              <w:rPr>
                <w:noProof/>
                <w:webHidden/>
              </w:rPr>
              <w:fldChar w:fldCharType="separate"/>
            </w:r>
            <w:r w:rsidR="006B573F">
              <w:rPr>
                <w:noProof/>
                <w:webHidden/>
              </w:rPr>
              <w:t>11</w:t>
            </w:r>
            <w:r w:rsidR="006B573F">
              <w:rPr>
                <w:noProof/>
                <w:webHidden/>
              </w:rPr>
              <w:fldChar w:fldCharType="end"/>
            </w:r>
          </w:hyperlink>
        </w:p>
        <w:p w14:paraId="64359C45" w14:textId="39E9DF01"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42" w:history="1">
            <w:r w:rsidRPr="00ED7C5F">
              <w:rPr>
                <w:rStyle w:val="Hyperlink"/>
                <w:noProof/>
              </w:rPr>
              <w:t>1.1</w:t>
            </w:r>
            <w:r>
              <w:rPr>
                <w:rFonts w:asciiTheme="minorHAnsi" w:hAnsiTheme="minorHAnsi" w:cstheme="minorBidi"/>
                <w:noProof/>
                <w:kern w:val="2"/>
                <w:szCs w:val="24"/>
                <w:lang w:val="en-GB" w:eastAsia="en-GB"/>
                <w14:ligatures w14:val="standardContextual"/>
              </w:rPr>
              <w:tab/>
            </w:r>
            <w:r w:rsidRPr="00ED7C5F">
              <w:rPr>
                <w:rStyle w:val="Hyperlink"/>
                <w:noProof/>
              </w:rPr>
              <w:t>Thesis overview</w:t>
            </w:r>
            <w:r>
              <w:rPr>
                <w:noProof/>
                <w:webHidden/>
              </w:rPr>
              <w:tab/>
            </w:r>
            <w:r>
              <w:rPr>
                <w:noProof/>
                <w:webHidden/>
              </w:rPr>
              <w:fldChar w:fldCharType="begin"/>
            </w:r>
            <w:r>
              <w:rPr>
                <w:noProof/>
                <w:webHidden/>
              </w:rPr>
              <w:instrText xml:space="preserve"> PAGEREF _Toc189229642 \h </w:instrText>
            </w:r>
            <w:r>
              <w:rPr>
                <w:noProof/>
                <w:webHidden/>
              </w:rPr>
            </w:r>
            <w:r>
              <w:rPr>
                <w:noProof/>
                <w:webHidden/>
              </w:rPr>
              <w:fldChar w:fldCharType="separate"/>
            </w:r>
            <w:r>
              <w:rPr>
                <w:noProof/>
                <w:webHidden/>
              </w:rPr>
              <w:t>11</w:t>
            </w:r>
            <w:r>
              <w:rPr>
                <w:noProof/>
                <w:webHidden/>
              </w:rPr>
              <w:fldChar w:fldCharType="end"/>
            </w:r>
          </w:hyperlink>
        </w:p>
        <w:p w14:paraId="77B8FC26" w14:textId="392958D2"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43" w:history="1">
            <w:r w:rsidRPr="00ED7C5F">
              <w:rPr>
                <w:rStyle w:val="Hyperlink"/>
                <w:noProof/>
              </w:rPr>
              <w:t>1.2</w:t>
            </w:r>
            <w:r>
              <w:rPr>
                <w:rFonts w:asciiTheme="minorHAnsi" w:hAnsiTheme="minorHAnsi" w:cstheme="minorBidi"/>
                <w:noProof/>
                <w:kern w:val="2"/>
                <w:szCs w:val="24"/>
                <w:lang w:val="en-GB" w:eastAsia="en-GB"/>
                <w14:ligatures w14:val="standardContextual"/>
              </w:rPr>
              <w:tab/>
            </w:r>
            <w:r w:rsidRPr="00ED7C5F">
              <w:rPr>
                <w:rStyle w:val="Hyperlink"/>
                <w:noProof/>
              </w:rPr>
              <w:t>What is meant by ‘substance use disorder’?</w:t>
            </w:r>
            <w:r>
              <w:rPr>
                <w:noProof/>
                <w:webHidden/>
              </w:rPr>
              <w:tab/>
            </w:r>
            <w:r>
              <w:rPr>
                <w:noProof/>
                <w:webHidden/>
              </w:rPr>
              <w:fldChar w:fldCharType="begin"/>
            </w:r>
            <w:r>
              <w:rPr>
                <w:noProof/>
                <w:webHidden/>
              </w:rPr>
              <w:instrText xml:space="preserve"> PAGEREF _Toc189229643 \h </w:instrText>
            </w:r>
            <w:r>
              <w:rPr>
                <w:noProof/>
                <w:webHidden/>
              </w:rPr>
            </w:r>
            <w:r>
              <w:rPr>
                <w:noProof/>
                <w:webHidden/>
              </w:rPr>
              <w:fldChar w:fldCharType="separate"/>
            </w:r>
            <w:r>
              <w:rPr>
                <w:noProof/>
                <w:webHidden/>
              </w:rPr>
              <w:t>13</w:t>
            </w:r>
            <w:r>
              <w:rPr>
                <w:noProof/>
                <w:webHidden/>
              </w:rPr>
              <w:fldChar w:fldCharType="end"/>
            </w:r>
          </w:hyperlink>
        </w:p>
        <w:p w14:paraId="0EAE377E" w14:textId="4A6A055D"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44" w:history="1">
            <w:r w:rsidRPr="00ED7C5F">
              <w:rPr>
                <w:rStyle w:val="Hyperlink"/>
                <w:noProof/>
              </w:rPr>
              <w:t>1.3</w:t>
            </w:r>
            <w:r>
              <w:rPr>
                <w:rFonts w:asciiTheme="minorHAnsi" w:hAnsiTheme="minorHAnsi" w:cstheme="minorBidi"/>
                <w:noProof/>
                <w:kern w:val="2"/>
                <w:szCs w:val="24"/>
                <w:lang w:val="en-GB" w:eastAsia="en-GB"/>
                <w14:ligatures w14:val="standardContextual"/>
              </w:rPr>
              <w:tab/>
            </w:r>
            <w:r w:rsidRPr="00ED7C5F">
              <w:rPr>
                <w:rStyle w:val="Hyperlink"/>
                <w:noProof/>
              </w:rPr>
              <w:t>Prevalence of SUD</w:t>
            </w:r>
            <w:r>
              <w:rPr>
                <w:noProof/>
                <w:webHidden/>
              </w:rPr>
              <w:tab/>
            </w:r>
            <w:r>
              <w:rPr>
                <w:noProof/>
                <w:webHidden/>
              </w:rPr>
              <w:fldChar w:fldCharType="begin"/>
            </w:r>
            <w:r>
              <w:rPr>
                <w:noProof/>
                <w:webHidden/>
              </w:rPr>
              <w:instrText xml:space="preserve"> PAGEREF _Toc189229644 \h </w:instrText>
            </w:r>
            <w:r>
              <w:rPr>
                <w:noProof/>
                <w:webHidden/>
              </w:rPr>
            </w:r>
            <w:r>
              <w:rPr>
                <w:noProof/>
                <w:webHidden/>
              </w:rPr>
              <w:fldChar w:fldCharType="separate"/>
            </w:r>
            <w:r>
              <w:rPr>
                <w:noProof/>
                <w:webHidden/>
              </w:rPr>
              <w:t>14</w:t>
            </w:r>
            <w:r>
              <w:rPr>
                <w:noProof/>
                <w:webHidden/>
              </w:rPr>
              <w:fldChar w:fldCharType="end"/>
            </w:r>
          </w:hyperlink>
        </w:p>
        <w:p w14:paraId="4C938FA6" w14:textId="7BBD79C2"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45" w:history="1">
            <w:r w:rsidRPr="00ED7C5F">
              <w:rPr>
                <w:rStyle w:val="Hyperlink"/>
                <w:noProof/>
              </w:rPr>
              <w:t>1.4</w:t>
            </w:r>
            <w:r>
              <w:rPr>
                <w:rFonts w:asciiTheme="minorHAnsi" w:hAnsiTheme="minorHAnsi" w:cstheme="minorBidi"/>
                <w:noProof/>
                <w:kern w:val="2"/>
                <w:szCs w:val="24"/>
                <w:lang w:val="en-GB" w:eastAsia="en-GB"/>
                <w14:ligatures w14:val="standardContextual"/>
              </w:rPr>
              <w:tab/>
            </w:r>
            <w:r w:rsidRPr="00ED7C5F">
              <w:rPr>
                <w:rStyle w:val="Hyperlink"/>
                <w:noProof/>
              </w:rPr>
              <w:t>Impact of parental SUD on children</w:t>
            </w:r>
            <w:r>
              <w:rPr>
                <w:noProof/>
                <w:webHidden/>
              </w:rPr>
              <w:tab/>
            </w:r>
            <w:r>
              <w:rPr>
                <w:noProof/>
                <w:webHidden/>
              </w:rPr>
              <w:fldChar w:fldCharType="begin"/>
            </w:r>
            <w:r>
              <w:rPr>
                <w:noProof/>
                <w:webHidden/>
              </w:rPr>
              <w:instrText xml:space="preserve"> PAGEREF _Toc189229645 \h </w:instrText>
            </w:r>
            <w:r>
              <w:rPr>
                <w:noProof/>
                <w:webHidden/>
              </w:rPr>
            </w:r>
            <w:r>
              <w:rPr>
                <w:noProof/>
                <w:webHidden/>
              </w:rPr>
              <w:fldChar w:fldCharType="separate"/>
            </w:r>
            <w:r>
              <w:rPr>
                <w:noProof/>
                <w:webHidden/>
              </w:rPr>
              <w:t>17</w:t>
            </w:r>
            <w:r>
              <w:rPr>
                <w:noProof/>
                <w:webHidden/>
              </w:rPr>
              <w:fldChar w:fldCharType="end"/>
            </w:r>
          </w:hyperlink>
        </w:p>
        <w:p w14:paraId="53FAB9F5" w14:textId="2C428FA3"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46" w:history="1">
            <w:r w:rsidRPr="00ED7C5F">
              <w:rPr>
                <w:rStyle w:val="Hyperlink"/>
                <w:noProof/>
              </w:rPr>
              <w:t>1.4.1</w:t>
            </w:r>
            <w:r>
              <w:rPr>
                <w:rFonts w:asciiTheme="minorHAnsi" w:hAnsiTheme="minorHAnsi" w:cstheme="minorBidi"/>
                <w:noProof/>
                <w:kern w:val="2"/>
                <w:szCs w:val="24"/>
                <w:lang w:val="en-GB" w:eastAsia="en-GB"/>
                <w14:ligatures w14:val="standardContextual"/>
              </w:rPr>
              <w:tab/>
            </w:r>
            <w:r w:rsidRPr="00ED7C5F">
              <w:rPr>
                <w:rStyle w:val="Hyperlink"/>
                <w:noProof/>
              </w:rPr>
              <w:t>Parent-child relationships in the context of SUD</w:t>
            </w:r>
            <w:r>
              <w:rPr>
                <w:noProof/>
                <w:webHidden/>
              </w:rPr>
              <w:tab/>
            </w:r>
            <w:r>
              <w:rPr>
                <w:noProof/>
                <w:webHidden/>
              </w:rPr>
              <w:fldChar w:fldCharType="begin"/>
            </w:r>
            <w:r>
              <w:rPr>
                <w:noProof/>
                <w:webHidden/>
              </w:rPr>
              <w:instrText xml:space="preserve"> PAGEREF _Toc189229646 \h </w:instrText>
            </w:r>
            <w:r>
              <w:rPr>
                <w:noProof/>
                <w:webHidden/>
              </w:rPr>
            </w:r>
            <w:r>
              <w:rPr>
                <w:noProof/>
                <w:webHidden/>
              </w:rPr>
              <w:fldChar w:fldCharType="separate"/>
            </w:r>
            <w:r>
              <w:rPr>
                <w:noProof/>
                <w:webHidden/>
              </w:rPr>
              <w:t>18</w:t>
            </w:r>
            <w:r>
              <w:rPr>
                <w:noProof/>
                <w:webHidden/>
              </w:rPr>
              <w:fldChar w:fldCharType="end"/>
            </w:r>
          </w:hyperlink>
        </w:p>
        <w:p w14:paraId="54BCBFFF" w14:textId="059F653F"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47" w:history="1">
            <w:r w:rsidRPr="00ED7C5F">
              <w:rPr>
                <w:rStyle w:val="Hyperlink"/>
                <w:noProof/>
              </w:rPr>
              <w:t>1.4.2</w:t>
            </w:r>
            <w:r>
              <w:rPr>
                <w:rFonts w:asciiTheme="minorHAnsi" w:hAnsiTheme="minorHAnsi" w:cstheme="minorBidi"/>
                <w:noProof/>
                <w:kern w:val="2"/>
                <w:szCs w:val="24"/>
                <w:lang w:val="en-GB" w:eastAsia="en-GB"/>
                <w14:ligatures w14:val="standardContextual"/>
              </w:rPr>
              <w:tab/>
            </w:r>
            <w:r w:rsidRPr="00ED7C5F">
              <w:rPr>
                <w:rStyle w:val="Hyperlink"/>
                <w:noProof/>
              </w:rPr>
              <w:t>Resilience</w:t>
            </w:r>
            <w:r>
              <w:rPr>
                <w:noProof/>
                <w:webHidden/>
              </w:rPr>
              <w:tab/>
            </w:r>
            <w:r>
              <w:rPr>
                <w:noProof/>
                <w:webHidden/>
              </w:rPr>
              <w:fldChar w:fldCharType="begin"/>
            </w:r>
            <w:r>
              <w:rPr>
                <w:noProof/>
                <w:webHidden/>
              </w:rPr>
              <w:instrText xml:space="preserve"> PAGEREF _Toc189229647 \h </w:instrText>
            </w:r>
            <w:r>
              <w:rPr>
                <w:noProof/>
                <w:webHidden/>
              </w:rPr>
            </w:r>
            <w:r>
              <w:rPr>
                <w:noProof/>
                <w:webHidden/>
              </w:rPr>
              <w:fldChar w:fldCharType="separate"/>
            </w:r>
            <w:r>
              <w:rPr>
                <w:noProof/>
                <w:webHidden/>
              </w:rPr>
              <w:t>22</w:t>
            </w:r>
            <w:r>
              <w:rPr>
                <w:noProof/>
                <w:webHidden/>
              </w:rPr>
              <w:fldChar w:fldCharType="end"/>
            </w:r>
          </w:hyperlink>
        </w:p>
        <w:p w14:paraId="681E8B3A" w14:textId="33D741B9"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48" w:history="1">
            <w:r w:rsidRPr="00ED7C5F">
              <w:rPr>
                <w:rStyle w:val="Hyperlink"/>
                <w:noProof/>
              </w:rPr>
              <w:t>1.5</w:t>
            </w:r>
            <w:r>
              <w:rPr>
                <w:rFonts w:asciiTheme="minorHAnsi" w:hAnsiTheme="minorHAnsi" w:cstheme="minorBidi"/>
                <w:noProof/>
                <w:kern w:val="2"/>
                <w:szCs w:val="24"/>
                <w:lang w:val="en-GB" w:eastAsia="en-GB"/>
                <w14:ligatures w14:val="standardContextual"/>
              </w:rPr>
              <w:tab/>
            </w:r>
            <w:r w:rsidRPr="00ED7C5F">
              <w:rPr>
                <w:rStyle w:val="Hyperlink"/>
                <w:noProof/>
              </w:rPr>
              <w:t>Social and economic burden</w:t>
            </w:r>
            <w:r>
              <w:rPr>
                <w:noProof/>
                <w:webHidden/>
              </w:rPr>
              <w:tab/>
            </w:r>
            <w:r>
              <w:rPr>
                <w:noProof/>
                <w:webHidden/>
              </w:rPr>
              <w:fldChar w:fldCharType="begin"/>
            </w:r>
            <w:r>
              <w:rPr>
                <w:noProof/>
                <w:webHidden/>
              </w:rPr>
              <w:instrText xml:space="preserve"> PAGEREF _Toc189229648 \h </w:instrText>
            </w:r>
            <w:r>
              <w:rPr>
                <w:noProof/>
                <w:webHidden/>
              </w:rPr>
            </w:r>
            <w:r>
              <w:rPr>
                <w:noProof/>
                <w:webHidden/>
              </w:rPr>
              <w:fldChar w:fldCharType="separate"/>
            </w:r>
            <w:r>
              <w:rPr>
                <w:noProof/>
                <w:webHidden/>
              </w:rPr>
              <w:t>24</w:t>
            </w:r>
            <w:r>
              <w:rPr>
                <w:noProof/>
                <w:webHidden/>
              </w:rPr>
              <w:fldChar w:fldCharType="end"/>
            </w:r>
          </w:hyperlink>
        </w:p>
        <w:p w14:paraId="76D017FE" w14:textId="296BA261"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49" w:history="1">
            <w:r w:rsidRPr="00ED7C5F">
              <w:rPr>
                <w:rStyle w:val="Hyperlink"/>
                <w:noProof/>
              </w:rPr>
              <w:t>1.6</w:t>
            </w:r>
            <w:r>
              <w:rPr>
                <w:rFonts w:asciiTheme="minorHAnsi" w:hAnsiTheme="minorHAnsi" w:cstheme="minorBidi"/>
                <w:noProof/>
                <w:kern w:val="2"/>
                <w:szCs w:val="24"/>
                <w:lang w:val="en-GB" w:eastAsia="en-GB"/>
                <w14:ligatures w14:val="standardContextual"/>
              </w:rPr>
              <w:tab/>
            </w:r>
            <w:r w:rsidRPr="00ED7C5F">
              <w:rPr>
                <w:rStyle w:val="Hyperlink"/>
                <w:noProof/>
              </w:rPr>
              <w:t>Interventions to support parents and children affected by parental SUD</w:t>
            </w:r>
            <w:r>
              <w:rPr>
                <w:noProof/>
                <w:webHidden/>
              </w:rPr>
              <w:tab/>
            </w:r>
            <w:r>
              <w:rPr>
                <w:noProof/>
                <w:webHidden/>
              </w:rPr>
              <w:fldChar w:fldCharType="begin"/>
            </w:r>
            <w:r>
              <w:rPr>
                <w:noProof/>
                <w:webHidden/>
              </w:rPr>
              <w:instrText xml:space="preserve"> PAGEREF _Toc189229649 \h </w:instrText>
            </w:r>
            <w:r>
              <w:rPr>
                <w:noProof/>
                <w:webHidden/>
              </w:rPr>
            </w:r>
            <w:r>
              <w:rPr>
                <w:noProof/>
                <w:webHidden/>
              </w:rPr>
              <w:fldChar w:fldCharType="separate"/>
            </w:r>
            <w:r>
              <w:rPr>
                <w:noProof/>
                <w:webHidden/>
              </w:rPr>
              <w:t>27</w:t>
            </w:r>
            <w:r>
              <w:rPr>
                <w:noProof/>
                <w:webHidden/>
              </w:rPr>
              <w:fldChar w:fldCharType="end"/>
            </w:r>
          </w:hyperlink>
        </w:p>
        <w:p w14:paraId="28356901" w14:textId="321400FD"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50" w:history="1">
            <w:r w:rsidRPr="00ED7C5F">
              <w:rPr>
                <w:rStyle w:val="Hyperlink"/>
                <w:noProof/>
              </w:rPr>
              <w:t>1.6.1</w:t>
            </w:r>
            <w:r>
              <w:rPr>
                <w:rFonts w:asciiTheme="minorHAnsi" w:hAnsiTheme="minorHAnsi" w:cstheme="minorBidi"/>
                <w:noProof/>
                <w:kern w:val="2"/>
                <w:szCs w:val="24"/>
                <w:lang w:val="en-GB" w:eastAsia="en-GB"/>
                <w14:ligatures w14:val="standardContextual"/>
              </w:rPr>
              <w:tab/>
            </w:r>
            <w:r w:rsidRPr="00ED7C5F">
              <w:rPr>
                <w:rStyle w:val="Hyperlink"/>
                <w:noProof/>
              </w:rPr>
              <w:t>Specialist treatment for SUD</w:t>
            </w:r>
            <w:r>
              <w:rPr>
                <w:noProof/>
                <w:webHidden/>
              </w:rPr>
              <w:tab/>
            </w:r>
            <w:r>
              <w:rPr>
                <w:noProof/>
                <w:webHidden/>
              </w:rPr>
              <w:fldChar w:fldCharType="begin"/>
            </w:r>
            <w:r>
              <w:rPr>
                <w:noProof/>
                <w:webHidden/>
              </w:rPr>
              <w:instrText xml:space="preserve"> PAGEREF _Toc189229650 \h </w:instrText>
            </w:r>
            <w:r>
              <w:rPr>
                <w:noProof/>
                <w:webHidden/>
              </w:rPr>
            </w:r>
            <w:r>
              <w:rPr>
                <w:noProof/>
                <w:webHidden/>
              </w:rPr>
              <w:fldChar w:fldCharType="separate"/>
            </w:r>
            <w:r>
              <w:rPr>
                <w:noProof/>
                <w:webHidden/>
              </w:rPr>
              <w:t>27</w:t>
            </w:r>
            <w:r>
              <w:rPr>
                <w:noProof/>
                <w:webHidden/>
              </w:rPr>
              <w:fldChar w:fldCharType="end"/>
            </w:r>
          </w:hyperlink>
        </w:p>
        <w:p w14:paraId="240A1D69" w14:textId="13BFE2B1"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51" w:history="1">
            <w:r w:rsidRPr="00ED7C5F">
              <w:rPr>
                <w:rStyle w:val="Hyperlink"/>
                <w:noProof/>
              </w:rPr>
              <w:t>1.6.2</w:t>
            </w:r>
            <w:r>
              <w:rPr>
                <w:rFonts w:asciiTheme="minorHAnsi" w:hAnsiTheme="minorHAnsi" w:cstheme="minorBidi"/>
                <w:noProof/>
                <w:kern w:val="2"/>
                <w:szCs w:val="24"/>
                <w:lang w:val="en-GB" w:eastAsia="en-GB"/>
                <w14:ligatures w14:val="standardContextual"/>
              </w:rPr>
              <w:tab/>
            </w:r>
            <w:r w:rsidRPr="00ED7C5F">
              <w:rPr>
                <w:rStyle w:val="Hyperlink"/>
                <w:noProof/>
              </w:rPr>
              <w:t>Targeted prevention</w:t>
            </w:r>
            <w:r>
              <w:rPr>
                <w:noProof/>
                <w:webHidden/>
              </w:rPr>
              <w:tab/>
            </w:r>
            <w:r>
              <w:rPr>
                <w:noProof/>
                <w:webHidden/>
              </w:rPr>
              <w:fldChar w:fldCharType="begin"/>
            </w:r>
            <w:r>
              <w:rPr>
                <w:noProof/>
                <w:webHidden/>
              </w:rPr>
              <w:instrText xml:space="preserve"> PAGEREF _Toc189229651 \h </w:instrText>
            </w:r>
            <w:r>
              <w:rPr>
                <w:noProof/>
                <w:webHidden/>
              </w:rPr>
            </w:r>
            <w:r>
              <w:rPr>
                <w:noProof/>
                <w:webHidden/>
              </w:rPr>
              <w:fldChar w:fldCharType="separate"/>
            </w:r>
            <w:r>
              <w:rPr>
                <w:noProof/>
                <w:webHidden/>
              </w:rPr>
              <w:t>29</w:t>
            </w:r>
            <w:r>
              <w:rPr>
                <w:noProof/>
                <w:webHidden/>
              </w:rPr>
              <w:fldChar w:fldCharType="end"/>
            </w:r>
          </w:hyperlink>
        </w:p>
        <w:p w14:paraId="33171B03" w14:textId="71F19662"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52" w:history="1">
            <w:r w:rsidRPr="00ED7C5F">
              <w:rPr>
                <w:rStyle w:val="Hyperlink"/>
                <w:noProof/>
              </w:rPr>
              <w:t>1.6.3</w:t>
            </w:r>
            <w:r>
              <w:rPr>
                <w:rFonts w:asciiTheme="minorHAnsi" w:hAnsiTheme="minorHAnsi" w:cstheme="minorBidi"/>
                <w:noProof/>
                <w:kern w:val="2"/>
                <w:szCs w:val="24"/>
                <w:lang w:val="en-GB" w:eastAsia="en-GB"/>
                <w14:ligatures w14:val="standardContextual"/>
              </w:rPr>
              <w:tab/>
            </w:r>
            <w:r w:rsidRPr="00ED7C5F">
              <w:rPr>
                <w:rStyle w:val="Hyperlink"/>
                <w:noProof/>
              </w:rPr>
              <w:t>Statutory children’s social care services</w:t>
            </w:r>
            <w:r>
              <w:rPr>
                <w:noProof/>
                <w:webHidden/>
              </w:rPr>
              <w:tab/>
            </w:r>
            <w:r>
              <w:rPr>
                <w:noProof/>
                <w:webHidden/>
              </w:rPr>
              <w:fldChar w:fldCharType="begin"/>
            </w:r>
            <w:r>
              <w:rPr>
                <w:noProof/>
                <w:webHidden/>
              </w:rPr>
              <w:instrText xml:space="preserve"> PAGEREF _Toc189229652 \h </w:instrText>
            </w:r>
            <w:r>
              <w:rPr>
                <w:noProof/>
                <w:webHidden/>
              </w:rPr>
            </w:r>
            <w:r>
              <w:rPr>
                <w:noProof/>
                <w:webHidden/>
              </w:rPr>
              <w:fldChar w:fldCharType="separate"/>
            </w:r>
            <w:r>
              <w:rPr>
                <w:noProof/>
                <w:webHidden/>
              </w:rPr>
              <w:t>30</w:t>
            </w:r>
            <w:r>
              <w:rPr>
                <w:noProof/>
                <w:webHidden/>
              </w:rPr>
              <w:fldChar w:fldCharType="end"/>
            </w:r>
          </w:hyperlink>
        </w:p>
        <w:p w14:paraId="18742213" w14:textId="6CB910C4"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53" w:history="1">
            <w:r w:rsidRPr="00ED7C5F">
              <w:rPr>
                <w:rStyle w:val="Hyperlink"/>
                <w:noProof/>
              </w:rPr>
              <w:t>1.6.4</w:t>
            </w:r>
            <w:r>
              <w:rPr>
                <w:rFonts w:asciiTheme="minorHAnsi" w:hAnsiTheme="minorHAnsi" w:cstheme="minorBidi"/>
                <w:noProof/>
                <w:kern w:val="2"/>
                <w:szCs w:val="24"/>
                <w:lang w:val="en-GB" w:eastAsia="en-GB"/>
                <w14:ligatures w14:val="standardContextual"/>
              </w:rPr>
              <w:tab/>
            </w:r>
            <w:r w:rsidRPr="00ED7C5F">
              <w:rPr>
                <w:rStyle w:val="Hyperlink"/>
                <w:noProof/>
              </w:rPr>
              <w:t>Summary of support available to children and families affected by parental SUD in England</w:t>
            </w:r>
            <w:r>
              <w:rPr>
                <w:noProof/>
                <w:webHidden/>
              </w:rPr>
              <w:tab/>
            </w:r>
            <w:r>
              <w:rPr>
                <w:noProof/>
                <w:webHidden/>
              </w:rPr>
              <w:fldChar w:fldCharType="begin"/>
            </w:r>
            <w:r>
              <w:rPr>
                <w:noProof/>
                <w:webHidden/>
              </w:rPr>
              <w:instrText xml:space="preserve"> PAGEREF _Toc189229653 \h </w:instrText>
            </w:r>
            <w:r>
              <w:rPr>
                <w:noProof/>
                <w:webHidden/>
              </w:rPr>
            </w:r>
            <w:r>
              <w:rPr>
                <w:noProof/>
                <w:webHidden/>
              </w:rPr>
              <w:fldChar w:fldCharType="separate"/>
            </w:r>
            <w:r>
              <w:rPr>
                <w:noProof/>
                <w:webHidden/>
              </w:rPr>
              <w:t>31</w:t>
            </w:r>
            <w:r>
              <w:rPr>
                <w:noProof/>
                <w:webHidden/>
              </w:rPr>
              <w:fldChar w:fldCharType="end"/>
            </w:r>
          </w:hyperlink>
        </w:p>
        <w:p w14:paraId="3A4C0087" w14:textId="7A3C84C2"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54" w:history="1">
            <w:r w:rsidRPr="00ED7C5F">
              <w:rPr>
                <w:rStyle w:val="Hyperlink"/>
                <w:noProof/>
              </w:rPr>
              <w:t>1.6.5</w:t>
            </w:r>
            <w:r>
              <w:rPr>
                <w:rFonts w:asciiTheme="minorHAnsi" w:hAnsiTheme="minorHAnsi" w:cstheme="minorBidi"/>
                <w:noProof/>
                <w:kern w:val="2"/>
                <w:szCs w:val="24"/>
                <w:lang w:val="en-GB" w:eastAsia="en-GB"/>
                <w14:ligatures w14:val="standardContextual"/>
              </w:rPr>
              <w:tab/>
            </w:r>
            <w:r w:rsidRPr="00ED7C5F">
              <w:rPr>
                <w:rStyle w:val="Hyperlink"/>
                <w:noProof/>
              </w:rPr>
              <w:t>Working together</w:t>
            </w:r>
            <w:r>
              <w:rPr>
                <w:noProof/>
                <w:webHidden/>
              </w:rPr>
              <w:tab/>
            </w:r>
            <w:r>
              <w:rPr>
                <w:noProof/>
                <w:webHidden/>
              </w:rPr>
              <w:fldChar w:fldCharType="begin"/>
            </w:r>
            <w:r>
              <w:rPr>
                <w:noProof/>
                <w:webHidden/>
              </w:rPr>
              <w:instrText xml:space="preserve"> PAGEREF _Toc189229654 \h </w:instrText>
            </w:r>
            <w:r>
              <w:rPr>
                <w:noProof/>
                <w:webHidden/>
              </w:rPr>
            </w:r>
            <w:r>
              <w:rPr>
                <w:noProof/>
                <w:webHidden/>
              </w:rPr>
              <w:fldChar w:fldCharType="separate"/>
            </w:r>
            <w:r>
              <w:rPr>
                <w:noProof/>
                <w:webHidden/>
              </w:rPr>
              <w:t>31</w:t>
            </w:r>
            <w:r>
              <w:rPr>
                <w:noProof/>
                <w:webHidden/>
              </w:rPr>
              <w:fldChar w:fldCharType="end"/>
            </w:r>
          </w:hyperlink>
        </w:p>
        <w:p w14:paraId="10BD1BC7" w14:textId="643ED948"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55" w:history="1">
            <w:r w:rsidRPr="00ED7C5F">
              <w:rPr>
                <w:rStyle w:val="Hyperlink"/>
                <w:noProof/>
              </w:rPr>
              <w:t>1.7</w:t>
            </w:r>
            <w:r>
              <w:rPr>
                <w:rFonts w:asciiTheme="minorHAnsi" w:hAnsiTheme="minorHAnsi" w:cstheme="minorBidi"/>
                <w:noProof/>
                <w:kern w:val="2"/>
                <w:szCs w:val="24"/>
                <w:lang w:val="en-GB" w:eastAsia="en-GB"/>
                <w14:ligatures w14:val="standardContextual"/>
              </w:rPr>
              <w:tab/>
            </w:r>
            <w:r w:rsidRPr="00ED7C5F">
              <w:rPr>
                <w:rStyle w:val="Hyperlink"/>
                <w:noProof/>
              </w:rPr>
              <w:t>The effectiveness and cost-effectiveness of interventions to support parents, children and families affected by parental SUD</w:t>
            </w:r>
            <w:r>
              <w:rPr>
                <w:noProof/>
                <w:webHidden/>
              </w:rPr>
              <w:tab/>
            </w:r>
            <w:r>
              <w:rPr>
                <w:noProof/>
                <w:webHidden/>
              </w:rPr>
              <w:fldChar w:fldCharType="begin"/>
            </w:r>
            <w:r>
              <w:rPr>
                <w:noProof/>
                <w:webHidden/>
              </w:rPr>
              <w:instrText xml:space="preserve"> PAGEREF _Toc189229655 \h </w:instrText>
            </w:r>
            <w:r>
              <w:rPr>
                <w:noProof/>
                <w:webHidden/>
              </w:rPr>
            </w:r>
            <w:r>
              <w:rPr>
                <w:noProof/>
                <w:webHidden/>
              </w:rPr>
              <w:fldChar w:fldCharType="separate"/>
            </w:r>
            <w:r>
              <w:rPr>
                <w:noProof/>
                <w:webHidden/>
              </w:rPr>
              <w:t>34</w:t>
            </w:r>
            <w:r>
              <w:rPr>
                <w:noProof/>
                <w:webHidden/>
              </w:rPr>
              <w:fldChar w:fldCharType="end"/>
            </w:r>
          </w:hyperlink>
        </w:p>
        <w:p w14:paraId="41DF67E0" w14:textId="418F021B"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56" w:history="1">
            <w:r w:rsidRPr="00ED7C5F">
              <w:rPr>
                <w:rStyle w:val="Hyperlink"/>
                <w:noProof/>
              </w:rPr>
              <w:t>1.7.1</w:t>
            </w:r>
            <w:r>
              <w:rPr>
                <w:rFonts w:asciiTheme="minorHAnsi" w:hAnsiTheme="minorHAnsi" w:cstheme="minorBidi"/>
                <w:noProof/>
                <w:kern w:val="2"/>
                <w:szCs w:val="24"/>
                <w:lang w:val="en-GB" w:eastAsia="en-GB"/>
                <w14:ligatures w14:val="standardContextual"/>
              </w:rPr>
              <w:tab/>
            </w:r>
            <w:r w:rsidRPr="00ED7C5F">
              <w:rPr>
                <w:rStyle w:val="Hyperlink"/>
                <w:noProof/>
              </w:rPr>
              <w:t>UK Government funded programmes</w:t>
            </w:r>
            <w:r>
              <w:rPr>
                <w:noProof/>
                <w:webHidden/>
              </w:rPr>
              <w:tab/>
            </w:r>
            <w:r>
              <w:rPr>
                <w:noProof/>
                <w:webHidden/>
              </w:rPr>
              <w:fldChar w:fldCharType="begin"/>
            </w:r>
            <w:r>
              <w:rPr>
                <w:noProof/>
                <w:webHidden/>
              </w:rPr>
              <w:instrText xml:space="preserve"> PAGEREF _Toc189229656 \h </w:instrText>
            </w:r>
            <w:r>
              <w:rPr>
                <w:noProof/>
                <w:webHidden/>
              </w:rPr>
            </w:r>
            <w:r>
              <w:rPr>
                <w:noProof/>
                <w:webHidden/>
              </w:rPr>
              <w:fldChar w:fldCharType="separate"/>
            </w:r>
            <w:r>
              <w:rPr>
                <w:noProof/>
                <w:webHidden/>
              </w:rPr>
              <w:t>34</w:t>
            </w:r>
            <w:r>
              <w:rPr>
                <w:noProof/>
                <w:webHidden/>
              </w:rPr>
              <w:fldChar w:fldCharType="end"/>
            </w:r>
          </w:hyperlink>
        </w:p>
        <w:p w14:paraId="32A0DA43" w14:textId="1E292508"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57" w:history="1">
            <w:r w:rsidRPr="00ED7C5F">
              <w:rPr>
                <w:rStyle w:val="Hyperlink"/>
                <w:noProof/>
              </w:rPr>
              <w:t>1.7.2</w:t>
            </w:r>
            <w:r>
              <w:rPr>
                <w:rFonts w:asciiTheme="minorHAnsi" w:hAnsiTheme="minorHAnsi" w:cstheme="minorBidi"/>
                <w:noProof/>
                <w:kern w:val="2"/>
                <w:szCs w:val="24"/>
                <w:lang w:val="en-GB" w:eastAsia="en-GB"/>
                <w14:ligatures w14:val="standardContextual"/>
              </w:rPr>
              <w:tab/>
            </w:r>
            <w:r w:rsidRPr="00ED7C5F">
              <w:rPr>
                <w:rStyle w:val="Hyperlink"/>
                <w:noProof/>
              </w:rPr>
              <w:t>Scientifically evaluated programmes</w:t>
            </w:r>
            <w:r>
              <w:rPr>
                <w:noProof/>
                <w:webHidden/>
              </w:rPr>
              <w:tab/>
            </w:r>
            <w:r>
              <w:rPr>
                <w:noProof/>
                <w:webHidden/>
              </w:rPr>
              <w:fldChar w:fldCharType="begin"/>
            </w:r>
            <w:r>
              <w:rPr>
                <w:noProof/>
                <w:webHidden/>
              </w:rPr>
              <w:instrText xml:space="preserve"> PAGEREF _Toc189229657 \h </w:instrText>
            </w:r>
            <w:r>
              <w:rPr>
                <w:noProof/>
                <w:webHidden/>
              </w:rPr>
            </w:r>
            <w:r>
              <w:rPr>
                <w:noProof/>
                <w:webHidden/>
              </w:rPr>
              <w:fldChar w:fldCharType="separate"/>
            </w:r>
            <w:r>
              <w:rPr>
                <w:noProof/>
                <w:webHidden/>
              </w:rPr>
              <w:t>38</w:t>
            </w:r>
            <w:r>
              <w:rPr>
                <w:noProof/>
                <w:webHidden/>
              </w:rPr>
              <w:fldChar w:fldCharType="end"/>
            </w:r>
          </w:hyperlink>
        </w:p>
        <w:p w14:paraId="5FE206AB" w14:textId="2A7A4E00"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58" w:history="1">
            <w:r w:rsidRPr="00ED7C5F">
              <w:rPr>
                <w:rStyle w:val="Hyperlink"/>
                <w:noProof/>
              </w:rPr>
              <w:t>1.8</w:t>
            </w:r>
            <w:r>
              <w:rPr>
                <w:rFonts w:asciiTheme="minorHAnsi" w:hAnsiTheme="minorHAnsi" w:cstheme="minorBidi"/>
                <w:noProof/>
                <w:kern w:val="2"/>
                <w:szCs w:val="24"/>
                <w:lang w:val="en-GB" w:eastAsia="en-GB"/>
                <w14:ligatures w14:val="standardContextual"/>
              </w:rPr>
              <w:tab/>
            </w:r>
            <w:r w:rsidRPr="00ED7C5F">
              <w:rPr>
                <w:rStyle w:val="Hyperlink"/>
                <w:noProof/>
              </w:rPr>
              <w:t>Summary of main points raised in the introduction</w:t>
            </w:r>
            <w:r>
              <w:rPr>
                <w:noProof/>
                <w:webHidden/>
              </w:rPr>
              <w:tab/>
            </w:r>
            <w:r>
              <w:rPr>
                <w:noProof/>
                <w:webHidden/>
              </w:rPr>
              <w:fldChar w:fldCharType="begin"/>
            </w:r>
            <w:r>
              <w:rPr>
                <w:noProof/>
                <w:webHidden/>
              </w:rPr>
              <w:instrText xml:space="preserve"> PAGEREF _Toc189229658 \h </w:instrText>
            </w:r>
            <w:r>
              <w:rPr>
                <w:noProof/>
                <w:webHidden/>
              </w:rPr>
            </w:r>
            <w:r>
              <w:rPr>
                <w:noProof/>
                <w:webHidden/>
              </w:rPr>
              <w:fldChar w:fldCharType="separate"/>
            </w:r>
            <w:r>
              <w:rPr>
                <w:noProof/>
                <w:webHidden/>
              </w:rPr>
              <w:t>43</w:t>
            </w:r>
            <w:r>
              <w:rPr>
                <w:noProof/>
                <w:webHidden/>
              </w:rPr>
              <w:fldChar w:fldCharType="end"/>
            </w:r>
          </w:hyperlink>
        </w:p>
        <w:p w14:paraId="7D26AF26" w14:textId="4E88AC1A"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59" w:history="1">
            <w:r w:rsidRPr="00ED7C5F">
              <w:rPr>
                <w:rStyle w:val="Hyperlink"/>
                <w:noProof/>
              </w:rPr>
              <w:t>1.9</w:t>
            </w:r>
            <w:r>
              <w:rPr>
                <w:rFonts w:asciiTheme="minorHAnsi" w:hAnsiTheme="minorHAnsi" w:cstheme="minorBidi"/>
                <w:noProof/>
                <w:kern w:val="2"/>
                <w:szCs w:val="24"/>
                <w:lang w:val="en-GB" w:eastAsia="en-GB"/>
                <w14:ligatures w14:val="standardContextual"/>
              </w:rPr>
              <w:tab/>
            </w:r>
            <w:r w:rsidRPr="00ED7C5F">
              <w:rPr>
                <w:rStyle w:val="Hyperlink"/>
                <w:noProof/>
              </w:rPr>
              <w:t>Thesis research questions and aims</w:t>
            </w:r>
            <w:r>
              <w:rPr>
                <w:noProof/>
                <w:webHidden/>
              </w:rPr>
              <w:tab/>
            </w:r>
            <w:r>
              <w:rPr>
                <w:noProof/>
                <w:webHidden/>
              </w:rPr>
              <w:fldChar w:fldCharType="begin"/>
            </w:r>
            <w:r>
              <w:rPr>
                <w:noProof/>
                <w:webHidden/>
              </w:rPr>
              <w:instrText xml:space="preserve"> PAGEREF _Toc189229659 \h </w:instrText>
            </w:r>
            <w:r>
              <w:rPr>
                <w:noProof/>
                <w:webHidden/>
              </w:rPr>
            </w:r>
            <w:r>
              <w:rPr>
                <w:noProof/>
                <w:webHidden/>
              </w:rPr>
              <w:fldChar w:fldCharType="separate"/>
            </w:r>
            <w:r>
              <w:rPr>
                <w:noProof/>
                <w:webHidden/>
              </w:rPr>
              <w:t>43</w:t>
            </w:r>
            <w:r>
              <w:rPr>
                <w:noProof/>
                <w:webHidden/>
              </w:rPr>
              <w:fldChar w:fldCharType="end"/>
            </w:r>
          </w:hyperlink>
        </w:p>
        <w:p w14:paraId="501A4DA0" w14:textId="49CDEF84" w:rsidR="006B573F" w:rsidRDefault="006B573F">
          <w:pPr>
            <w:pStyle w:val="TOC1"/>
            <w:tabs>
              <w:tab w:val="left" w:pos="440"/>
              <w:tab w:val="right" w:leader="dot" w:pos="9016"/>
            </w:tabs>
            <w:rPr>
              <w:rFonts w:asciiTheme="minorHAnsi" w:hAnsiTheme="minorHAnsi" w:cstheme="minorBidi"/>
              <w:noProof/>
              <w:kern w:val="2"/>
              <w:szCs w:val="24"/>
              <w:lang w:val="en-GB" w:eastAsia="en-GB"/>
              <w14:ligatures w14:val="standardContextual"/>
            </w:rPr>
          </w:pPr>
          <w:hyperlink w:anchor="_Toc189229660" w:history="1">
            <w:r w:rsidRPr="00ED7C5F">
              <w:rPr>
                <w:rStyle w:val="Hyperlink"/>
                <w:noProof/>
              </w:rPr>
              <w:t>2</w:t>
            </w:r>
            <w:r>
              <w:rPr>
                <w:rFonts w:asciiTheme="minorHAnsi" w:hAnsiTheme="minorHAnsi" w:cstheme="minorBidi"/>
                <w:noProof/>
                <w:kern w:val="2"/>
                <w:szCs w:val="24"/>
                <w:lang w:val="en-GB" w:eastAsia="en-GB"/>
                <w14:ligatures w14:val="standardContextual"/>
              </w:rPr>
              <w:tab/>
            </w:r>
            <w:r w:rsidRPr="00ED7C5F">
              <w:rPr>
                <w:rStyle w:val="Hyperlink"/>
                <w:noProof/>
              </w:rPr>
              <w:t>Methods</w:t>
            </w:r>
            <w:r>
              <w:rPr>
                <w:noProof/>
                <w:webHidden/>
              </w:rPr>
              <w:tab/>
            </w:r>
            <w:r>
              <w:rPr>
                <w:noProof/>
                <w:webHidden/>
              </w:rPr>
              <w:fldChar w:fldCharType="begin"/>
            </w:r>
            <w:r>
              <w:rPr>
                <w:noProof/>
                <w:webHidden/>
              </w:rPr>
              <w:instrText xml:space="preserve"> PAGEREF _Toc189229660 \h </w:instrText>
            </w:r>
            <w:r>
              <w:rPr>
                <w:noProof/>
                <w:webHidden/>
              </w:rPr>
            </w:r>
            <w:r>
              <w:rPr>
                <w:noProof/>
                <w:webHidden/>
              </w:rPr>
              <w:fldChar w:fldCharType="separate"/>
            </w:r>
            <w:r>
              <w:rPr>
                <w:noProof/>
                <w:webHidden/>
              </w:rPr>
              <w:t>45</w:t>
            </w:r>
            <w:r>
              <w:rPr>
                <w:noProof/>
                <w:webHidden/>
              </w:rPr>
              <w:fldChar w:fldCharType="end"/>
            </w:r>
          </w:hyperlink>
        </w:p>
        <w:p w14:paraId="1C20C0AE" w14:textId="269DC371"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61" w:history="1">
            <w:r w:rsidRPr="00ED7C5F">
              <w:rPr>
                <w:rStyle w:val="Hyperlink"/>
                <w:noProof/>
              </w:rPr>
              <w:t>2.1</w:t>
            </w:r>
            <w:r>
              <w:rPr>
                <w:rFonts w:asciiTheme="minorHAnsi" w:hAnsiTheme="minorHAnsi" w:cstheme="minorBidi"/>
                <w:noProof/>
                <w:kern w:val="2"/>
                <w:szCs w:val="24"/>
                <w:lang w:val="en-GB" w:eastAsia="en-GB"/>
                <w14:ligatures w14:val="standardContextual"/>
              </w:rPr>
              <w:tab/>
            </w:r>
            <w:r w:rsidRPr="00ED7C5F">
              <w:rPr>
                <w:rStyle w:val="Hyperlink"/>
                <w:noProof/>
              </w:rPr>
              <w:t>Background and context to the methods chosen for this thesis</w:t>
            </w:r>
            <w:r>
              <w:rPr>
                <w:noProof/>
                <w:webHidden/>
              </w:rPr>
              <w:tab/>
            </w:r>
            <w:r>
              <w:rPr>
                <w:noProof/>
                <w:webHidden/>
              </w:rPr>
              <w:fldChar w:fldCharType="begin"/>
            </w:r>
            <w:r>
              <w:rPr>
                <w:noProof/>
                <w:webHidden/>
              </w:rPr>
              <w:instrText xml:space="preserve"> PAGEREF _Toc189229661 \h </w:instrText>
            </w:r>
            <w:r>
              <w:rPr>
                <w:noProof/>
                <w:webHidden/>
              </w:rPr>
            </w:r>
            <w:r>
              <w:rPr>
                <w:noProof/>
                <w:webHidden/>
              </w:rPr>
              <w:fldChar w:fldCharType="separate"/>
            </w:r>
            <w:r>
              <w:rPr>
                <w:noProof/>
                <w:webHidden/>
              </w:rPr>
              <w:t>45</w:t>
            </w:r>
            <w:r>
              <w:rPr>
                <w:noProof/>
                <w:webHidden/>
              </w:rPr>
              <w:fldChar w:fldCharType="end"/>
            </w:r>
          </w:hyperlink>
        </w:p>
        <w:p w14:paraId="2F8C869D" w14:textId="2E6DC236"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62" w:history="1">
            <w:r w:rsidRPr="00ED7C5F">
              <w:rPr>
                <w:rStyle w:val="Hyperlink"/>
                <w:noProof/>
              </w:rPr>
              <w:t>2.1.1</w:t>
            </w:r>
            <w:r>
              <w:rPr>
                <w:rFonts w:asciiTheme="minorHAnsi" w:hAnsiTheme="minorHAnsi" w:cstheme="minorBidi"/>
                <w:noProof/>
                <w:kern w:val="2"/>
                <w:szCs w:val="24"/>
                <w:lang w:val="en-GB" w:eastAsia="en-GB"/>
                <w14:ligatures w14:val="standardContextual"/>
              </w:rPr>
              <w:tab/>
            </w:r>
            <w:r w:rsidRPr="00ED7C5F">
              <w:rPr>
                <w:rStyle w:val="Hyperlink"/>
                <w:noProof/>
              </w:rPr>
              <w:t>Initial thesis plan submitted for confirmation review</w:t>
            </w:r>
            <w:r>
              <w:rPr>
                <w:noProof/>
                <w:webHidden/>
              </w:rPr>
              <w:tab/>
            </w:r>
            <w:r>
              <w:rPr>
                <w:noProof/>
                <w:webHidden/>
              </w:rPr>
              <w:fldChar w:fldCharType="begin"/>
            </w:r>
            <w:r>
              <w:rPr>
                <w:noProof/>
                <w:webHidden/>
              </w:rPr>
              <w:instrText xml:space="preserve"> PAGEREF _Toc189229662 \h </w:instrText>
            </w:r>
            <w:r>
              <w:rPr>
                <w:noProof/>
                <w:webHidden/>
              </w:rPr>
            </w:r>
            <w:r>
              <w:rPr>
                <w:noProof/>
                <w:webHidden/>
              </w:rPr>
              <w:fldChar w:fldCharType="separate"/>
            </w:r>
            <w:r>
              <w:rPr>
                <w:noProof/>
                <w:webHidden/>
              </w:rPr>
              <w:t>47</w:t>
            </w:r>
            <w:r>
              <w:rPr>
                <w:noProof/>
                <w:webHidden/>
              </w:rPr>
              <w:fldChar w:fldCharType="end"/>
            </w:r>
          </w:hyperlink>
        </w:p>
        <w:p w14:paraId="3D14FFBD" w14:textId="63617453"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63" w:history="1">
            <w:r w:rsidRPr="00ED7C5F">
              <w:rPr>
                <w:rStyle w:val="Hyperlink"/>
                <w:noProof/>
              </w:rPr>
              <w:t>2.1.2</w:t>
            </w:r>
            <w:r>
              <w:rPr>
                <w:rFonts w:asciiTheme="minorHAnsi" w:hAnsiTheme="minorHAnsi" w:cstheme="minorBidi"/>
                <w:noProof/>
                <w:kern w:val="2"/>
                <w:szCs w:val="24"/>
                <w:lang w:val="en-GB" w:eastAsia="en-GB"/>
                <w14:ligatures w14:val="standardContextual"/>
              </w:rPr>
              <w:tab/>
            </w:r>
            <w:r w:rsidRPr="00ED7C5F">
              <w:rPr>
                <w:rStyle w:val="Hyperlink"/>
                <w:noProof/>
              </w:rPr>
              <w:t>The COVID-19 pandemic and its impact on the initial thesis plan</w:t>
            </w:r>
            <w:r>
              <w:rPr>
                <w:noProof/>
                <w:webHidden/>
              </w:rPr>
              <w:tab/>
            </w:r>
            <w:r>
              <w:rPr>
                <w:noProof/>
                <w:webHidden/>
              </w:rPr>
              <w:fldChar w:fldCharType="begin"/>
            </w:r>
            <w:r>
              <w:rPr>
                <w:noProof/>
                <w:webHidden/>
              </w:rPr>
              <w:instrText xml:space="preserve"> PAGEREF _Toc189229663 \h </w:instrText>
            </w:r>
            <w:r>
              <w:rPr>
                <w:noProof/>
                <w:webHidden/>
              </w:rPr>
            </w:r>
            <w:r>
              <w:rPr>
                <w:noProof/>
                <w:webHidden/>
              </w:rPr>
              <w:fldChar w:fldCharType="separate"/>
            </w:r>
            <w:r>
              <w:rPr>
                <w:noProof/>
                <w:webHidden/>
              </w:rPr>
              <w:t>50</w:t>
            </w:r>
            <w:r>
              <w:rPr>
                <w:noProof/>
                <w:webHidden/>
              </w:rPr>
              <w:fldChar w:fldCharType="end"/>
            </w:r>
          </w:hyperlink>
        </w:p>
        <w:p w14:paraId="69A3D32B" w14:textId="2997A83D"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64" w:history="1">
            <w:r w:rsidRPr="00ED7C5F">
              <w:rPr>
                <w:rStyle w:val="Hyperlink"/>
                <w:noProof/>
              </w:rPr>
              <w:t>2.1.3</w:t>
            </w:r>
            <w:r>
              <w:rPr>
                <w:rFonts w:asciiTheme="minorHAnsi" w:hAnsiTheme="minorHAnsi" w:cstheme="minorBidi"/>
                <w:noProof/>
                <w:kern w:val="2"/>
                <w:szCs w:val="24"/>
                <w:lang w:val="en-GB" w:eastAsia="en-GB"/>
                <w14:ligatures w14:val="standardContextual"/>
              </w:rPr>
              <w:tab/>
            </w:r>
            <w:r w:rsidRPr="00ED7C5F">
              <w:rPr>
                <w:rStyle w:val="Hyperlink"/>
                <w:noProof/>
              </w:rPr>
              <w:t>The ‘worst-case’ scenario for data: The NDTMS (‘it’s really pretty good!’)</w:t>
            </w:r>
            <w:r>
              <w:rPr>
                <w:noProof/>
                <w:webHidden/>
              </w:rPr>
              <w:tab/>
            </w:r>
            <w:r>
              <w:rPr>
                <w:noProof/>
                <w:webHidden/>
              </w:rPr>
              <w:fldChar w:fldCharType="begin"/>
            </w:r>
            <w:r>
              <w:rPr>
                <w:noProof/>
                <w:webHidden/>
              </w:rPr>
              <w:instrText xml:space="preserve"> PAGEREF _Toc189229664 \h </w:instrText>
            </w:r>
            <w:r>
              <w:rPr>
                <w:noProof/>
                <w:webHidden/>
              </w:rPr>
            </w:r>
            <w:r>
              <w:rPr>
                <w:noProof/>
                <w:webHidden/>
              </w:rPr>
              <w:fldChar w:fldCharType="separate"/>
            </w:r>
            <w:r>
              <w:rPr>
                <w:noProof/>
                <w:webHidden/>
              </w:rPr>
              <w:t>52</w:t>
            </w:r>
            <w:r>
              <w:rPr>
                <w:noProof/>
                <w:webHidden/>
              </w:rPr>
              <w:fldChar w:fldCharType="end"/>
            </w:r>
          </w:hyperlink>
        </w:p>
        <w:p w14:paraId="4CE90CD6" w14:textId="54EEEA6F"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65" w:history="1">
            <w:r w:rsidRPr="00ED7C5F">
              <w:rPr>
                <w:rStyle w:val="Hyperlink"/>
                <w:noProof/>
              </w:rPr>
              <w:t>2.1.4</w:t>
            </w:r>
            <w:r>
              <w:rPr>
                <w:rFonts w:asciiTheme="minorHAnsi" w:hAnsiTheme="minorHAnsi" w:cstheme="minorBidi"/>
                <w:noProof/>
                <w:kern w:val="2"/>
                <w:szCs w:val="24"/>
                <w:lang w:val="en-GB" w:eastAsia="en-GB"/>
                <w14:ligatures w14:val="standardContextual"/>
              </w:rPr>
              <w:tab/>
            </w:r>
            <w:r w:rsidRPr="00ED7C5F">
              <w:rPr>
                <w:rStyle w:val="Hyperlink"/>
                <w:noProof/>
              </w:rPr>
              <w:t>Positionality linked to informing study design</w:t>
            </w:r>
            <w:r>
              <w:rPr>
                <w:noProof/>
                <w:webHidden/>
              </w:rPr>
              <w:tab/>
            </w:r>
            <w:r>
              <w:rPr>
                <w:noProof/>
                <w:webHidden/>
              </w:rPr>
              <w:fldChar w:fldCharType="begin"/>
            </w:r>
            <w:r>
              <w:rPr>
                <w:noProof/>
                <w:webHidden/>
              </w:rPr>
              <w:instrText xml:space="preserve"> PAGEREF _Toc189229665 \h </w:instrText>
            </w:r>
            <w:r>
              <w:rPr>
                <w:noProof/>
                <w:webHidden/>
              </w:rPr>
            </w:r>
            <w:r>
              <w:rPr>
                <w:noProof/>
                <w:webHidden/>
              </w:rPr>
              <w:fldChar w:fldCharType="separate"/>
            </w:r>
            <w:r>
              <w:rPr>
                <w:noProof/>
                <w:webHidden/>
              </w:rPr>
              <w:t>53</w:t>
            </w:r>
            <w:r>
              <w:rPr>
                <w:noProof/>
                <w:webHidden/>
              </w:rPr>
              <w:fldChar w:fldCharType="end"/>
            </w:r>
          </w:hyperlink>
        </w:p>
        <w:p w14:paraId="239E3D05" w14:textId="6D288EB4"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66" w:history="1">
            <w:r w:rsidRPr="00ED7C5F">
              <w:rPr>
                <w:rStyle w:val="Hyperlink"/>
                <w:noProof/>
              </w:rPr>
              <w:t>2.2</w:t>
            </w:r>
            <w:r>
              <w:rPr>
                <w:rFonts w:asciiTheme="minorHAnsi" w:hAnsiTheme="minorHAnsi" w:cstheme="minorBidi"/>
                <w:noProof/>
                <w:kern w:val="2"/>
                <w:szCs w:val="24"/>
                <w:lang w:val="en-GB" w:eastAsia="en-GB"/>
                <w14:ligatures w14:val="standardContextual"/>
              </w:rPr>
              <w:tab/>
            </w:r>
            <w:r w:rsidRPr="00ED7C5F">
              <w:rPr>
                <w:rStyle w:val="Hyperlink"/>
                <w:noProof/>
              </w:rPr>
              <w:t>The revised thesis plan</w:t>
            </w:r>
            <w:r>
              <w:rPr>
                <w:noProof/>
                <w:webHidden/>
              </w:rPr>
              <w:tab/>
            </w:r>
            <w:r>
              <w:rPr>
                <w:noProof/>
                <w:webHidden/>
              </w:rPr>
              <w:fldChar w:fldCharType="begin"/>
            </w:r>
            <w:r>
              <w:rPr>
                <w:noProof/>
                <w:webHidden/>
              </w:rPr>
              <w:instrText xml:space="preserve"> PAGEREF _Toc189229666 \h </w:instrText>
            </w:r>
            <w:r>
              <w:rPr>
                <w:noProof/>
                <w:webHidden/>
              </w:rPr>
            </w:r>
            <w:r>
              <w:rPr>
                <w:noProof/>
                <w:webHidden/>
              </w:rPr>
              <w:fldChar w:fldCharType="separate"/>
            </w:r>
            <w:r>
              <w:rPr>
                <w:noProof/>
                <w:webHidden/>
              </w:rPr>
              <w:t>53</w:t>
            </w:r>
            <w:r>
              <w:rPr>
                <w:noProof/>
                <w:webHidden/>
              </w:rPr>
              <w:fldChar w:fldCharType="end"/>
            </w:r>
          </w:hyperlink>
        </w:p>
        <w:p w14:paraId="0897A30A" w14:textId="4E31C9FC"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67" w:history="1">
            <w:r w:rsidRPr="00ED7C5F">
              <w:rPr>
                <w:rStyle w:val="Hyperlink"/>
                <w:noProof/>
              </w:rPr>
              <w:t>2.3</w:t>
            </w:r>
            <w:r>
              <w:rPr>
                <w:rFonts w:asciiTheme="minorHAnsi" w:hAnsiTheme="minorHAnsi" w:cstheme="minorBidi"/>
                <w:noProof/>
                <w:kern w:val="2"/>
                <w:szCs w:val="24"/>
                <w:lang w:val="en-GB" w:eastAsia="en-GB"/>
                <w14:ligatures w14:val="standardContextual"/>
              </w:rPr>
              <w:tab/>
            </w:r>
            <w:r w:rsidRPr="00ED7C5F">
              <w:rPr>
                <w:rStyle w:val="Hyperlink"/>
                <w:noProof/>
              </w:rPr>
              <w:t>Overarching methods common to all three studies</w:t>
            </w:r>
            <w:r>
              <w:rPr>
                <w:noProof/>
                <w:webHidden/>
              </w:rPr>
              <w:tab/>
            </w:r>
            <w:r>
              <w:rPr>
                <w:noProof/>
                <w:webHidden/>
              </w:rPr>
              <w:fldChar w:fldCharType="begin"/>
            </w:r>
            <w:r>
              <w:rPr>
                <w:noProof/>
                <w:webHidden/>
              </w:rPr>
              <w:instrText xml:space="preserve"> PAGEREF _Toc189229667 \h </w:instrText>
            </w:r>
            <w:r>
              <w:rPr>
                <w:noProof/>
                <w:webHidden/>
              </w:rPr>
            </w:r>
            <w:r>
              <w:rPr>
                <w:noProof/>
                <w:webHidden/>
              </w:rPr>
              <w:fldChar w:fldCharType="separate"/>
            </w:r>
            <w:r>
              <w:rPr>
                <w:noProof/>
                <w:webHidden/>
              </w:rPr>
              <w:t>56</w:t>
            </w:r>
            <w:r>
              <w:rPr>
                <w:noProof/>
                <w:webHidden/>
              </w:rPr>
              <w:fldChar w:fldCharType="end"/>
            </w:r>
          </w:hyperlink>
        </w:p>
        <w:p w14:paraId="3C566F47" w14:textId="53F1D46D"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68" w:history="1">
            <w:r w:rsidRPr="00ED7C5F">
              <w:rPr>
                <w:rStyle w:val="Hyperlink"/>
                <w:noProof/>
              </w:rPr>
              <w:t>2.3.1</w:t>
            </w:r>
            <w:r>
              <w:rPr>
                <w:rFonts w:asciiTheme="minorHAnsi" w:hAnsiTheme="minorHAnsi" w:cstheme="minorBidi"/>
                <w:noProof/>
                <w:kern w:val="2"/>
                <w:szCs w:val="24"/>
                <w:lang w:val="en-GB" w:eastAsia="en-GB"/>
                <w14:ligatures w14:val="standardContextual"/>
              </w:rPr>
              <w:tab/>
            </w:r>
            <w:r w:rsidRPr="00ED7C5F">
              <w:rPr>
                <w:rStyle w:val="Hyperlink"/>
                <w:noProof/>
              </w:rPr>
              <w:t>Population</w:t>
            </w:r>
            <w:r>
              <w:rPr>
                <w:noProof/>
                <w:webHidden/>
              </w:rPr>
              <w:tab/>
            </w:r>
            <w:r>
              <w:rPr>
                <w:noProof/>
                <w:webHidden/>
              </w:rPr>
              <w:fldChar w:fldCharType="begin"/>
            </w:r>
            <w:r>
              <w:rPr>
                <w:noProof/>
                <w:webHidden/>
              </w:rPr>
              <w:instrText xml:space="preserve"> PAGEREF _Toc189229668 \h </w:instrText>
            </w:r>
            <w:r>
              <w:rPr>
                <w:noProof/>
                <w:webHidden/>
              </w:rPr>
            </w:r>
            <w:r>
              <w:rPr>
                <w:noProof/>
                <w:webHidden/>
              </w:rPr>
              <w:fldChar w:fldCharType="separate"/>
            </w:r>
            <w:r>
              <w:rPr>
                <w:noProof/>
                <w:webHidden/>
              </w:rPr>
              <w:t>56</w:t>
            </w:r>
            <w:r>
              <w:rPr>
                <w:noProof/>
                <w:webHidden/>
              </w:rPr>
              <w:fldChar w:fldCharType="end"/>
            </w:r>
          </w:hyperlink>
        </w:p>
        <w:p w14:paraId="5AF7DCEB" w14:textId="4AF266E6"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69" w:history="1">
            <w:r w:rsidRPr="00ED7C5F">
              <w:rPr>
                <w:rStyle w:val="Hyperlink"/>
                <w:noProof/>
              </w:rPr>
              <w:t>2.3.1</w:t>
            </w:r>
            <w:r>
              <w:rPr>
                <w:rFonts w:asciiTheme="minorHAnsi" w:hAnsiTheme="minorHAnsi" w:cstheme="minorBidi"/>
                <w:noProof/>
                <w:kern w:val="2"/>
                <w:szCs w:val="24"/>
                <w:lang w:val="en-GB" w:eastAsia="en-GB"/>
                <w14:ligatures w14:val="standardContextual"/>
              </w:rPr>
              <w:tab/>
            </w:r>
            <w:r w:rsidRPr="00ED7C5F">
              <w:rPr>
                <w:rStyle w:val="Hyperlink"/>
                <w:noProof/>
              </w:rPr>
              <w:t>Treatment exposure</w:t>
            </w:r>
            <w:r>
              <w:rPr>
                <w:noProof/>
                <w:webHidden/>
              </w:rPr>
              <w:tab/>
            </w:r>
            <w:r>
              <w:rPr>
                <w:noProof/>
                <w:webHidden/>
              </w:rPr>
              <w:fldChar w:fldCharType="begin"/>
            </w:r>
            <w:r>
              <w:rPr>
                <w:noProof/>
                <w:webHidden/>
              </w:rPr>
              <w:instrText xml:space="preserve"> PAGEREF _Toc189229669 \h </w:instrText>
            </w:r>
            <w:r>
              <w:rPr>
                <w:noProof/>
                <w:webHidden/>
              </w:rPr>
            </w:r>
            <w:r>
              <w:rPr>
                <w:noProof/>
                <w:webHidden/>
              </w:rPr>
              <w:fldChar w:fldCharType="separate"/>
            </w:r>
            <w:r>
              <w:rPr>
                <w:noProof/>
                <w:webHidden/>
              </w:rPr>
              <w:t>60</w:t>
            </w:r>
            <w:r>
              <w:rPr>
                <w:noProof/>
                <w:webHidden/>
              </w:rPr>
              <w:fldChar w:fldCharType="end"/>
            </w:r>
          </w:hyperlink>
        </w:p>
        <w:p w14:paraId="71E31350" w14:textId="42F80A07"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70" w:history="1">
            <w:r w:rsidRPr="00ED7C5F">
              <w:rPr>
                <w:rStyle w:val="Hyperlink"/>
                <w:noProof/>
              </w:rPr>
              <w:t>2.3.2</w:t>
            </w:r>
            <w:r>
              <w:rPr>
                <w:rFonts w:asciiTheme="minorHAnsi" w:hAnsiTheme="minorHAnsi" w:cstheme="minorBidi"/>
                <w:noProof/>
                <w:kern w:val="2"/>
                <w:szCs w:val="24"/>
                <w:lang w:val="en-GB" w:eastAsia="en-GB"/>
                <w14:ligatures w14:val="standardContextual"/>
              </w:rPr>
              <w:tab/>
            </w:r>
            <w:r w:rsidRPr="00ED7C5F">
              <w:rPr>
                <w:rStyle w:val="Hyperlink"/>
                <w:noProof/>
              </w:rPr>
              <w:t>Treatment journeys</w:t>
            </w:r>
            <w:r>
              <w:rPr>
                <w:noProof/>
                <w:webHidden/>
              </w:rPr>
              <w:tab/>
            </w:r>
            <w:r>
              <w:rPr>
                <w:noProof/>
                <w:webHidden/>
              </w:rPr>
              <w:fldChar w:fldCharType="begin"/>
            </w:r>
            <w:r>
              <w:rPr>
                <w:noProof/>
                <w:webHidden/>
              </w:rPr>
              <w:instrText xml:space="preserve"> PAGEREF _Toc189229670 \h </w:instrText>
            </w:r>
            <w:r>
              <w:rPr>
                <w:noProof/>
                <w:webHidden/>
              </w:rPr>
            </w:r>
            <w:r>
              <w:rPr>
                <w:noProof/>
                <w:webHidden/>
              </w:rPr>
              <w:fldChar w:fldCharType="separate"/>
            </w:r>
            <w:r>
              <w:rPr>
                <w:noProof/>
                <w:webHidden/>
              </w:rPr>
              <w:t>60</w:t>
            </w:r>
            <w:r>
              <w:rPr>
                <w:noProof/>
                <w:webHidden/>
              </w:rPr>
              <w:fldChar w:fldCharType="end"/>
            </w:r>
          </w:hyperlink>
        </w:p>
        <w:p w14:paraId="2F68CC24" w14:textId="00368C14"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71" w:history="1">
            <w:r w:rsidRPr="00ED7C5F">
              <w:rPr>
                <w:rStyle w:val="Hyperlink"/>
                <w:noProof/>
              </w:rPr>
              <w:t>2.3.3</w:t>
            </w:r>
            <w:r>
              <w:rPr>
                <w:rFonts w:asciiTheme="minorHAnsi" w:hAnsiTheme="minorHAnsi" w:cstheme="minorBidi"/>
                <w:noProof/>
                <w:kern w:val="2"/>
                <w:szCs w:val="24"/>
                <w:lang w:val="en-GB" w:eastAsia="en-GB"/>
                <w14:ligatures w14:val="standardContextual"/>
              </w:rPr>
              <w:tab/>
            </w:r>
            <w:r w:rsidRPr="00ED7C5F">
              <w:rPr>
                <w:rStyle w:val="Hyperlink"/>
                <w:noProof/>
              </w:rPr>
              <w:t>Outcome variables</w:t>
            </w:r>
            <w:r>
              <w:rPr>
                <w:noProof/>
                <w:webHidden/>
              </w:rPr>
              <w:tab/>
            </w:r>
            <w:r>
              <w:rPr>
                <w:noProof/>
                <w:webHidden/>
              </w:rPr>
              <w:fldChar w:fldCharType="begin"/>
            </w:r>
            <w:r>
              <w:rPr>
                <w:noProof/>
                <w:webHidden/>
              </w:rPr>
              <w:instrText xml:space="preserve"> PAGEREF _Toc189229671 \h </w:instrText>
            </w:r>
            <w:r>
              <w:rPr>
                <w:noProof/>
                <w:webHidden/>
              </w:rPr>
            </w:r>
            <w:r>
              <w:rPr>
                <w:noProof/>
                <w:webHidden/>
              </w:rPr>
              <w:fldChar w:fldCharType="separate"/>
            </w:r>
            <w:r>
              <w:rPr>
                <w:noProof/>
                <w:webHidden/>
              </w:rPr>
              <w:t>61</w:t>
            </w:r>
            <w:r>
              <w:rPr>
                <w:noProof/>
                <w:webHidden/>
              </w:rPr>
              <w:fldChar w:fldCharType="end"/>
            </w:r>
          </w:hyperlink>
        </w:p>
        <w:p w14:paraId="626C4017" w14:textId="14E4E0A6"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72" w:history="1">
            <w:r w:rsidRPr="00ED7C5F">
              <w:rPr>
                <w:rStyle w:val="Hyperlink"/>
                <w:noProof/>
              </w:rPr>
              <w:t>2.3.4</w:t>
            </w:r>
            <w:r>
              <w:rPr>
                <w:rFonts w:asciiTheme="minorHAnsi" w:hAnsiTheme="minorHAnsi" w:cstheme="minorBidi"/>
                <w:noProof/>
                <w:kern w:val="2"/>
                <w:szCs w:val="24"/>
                <w:lang w:val="en-GB" w:eastAsia="en-GB"/>
                <w14:ligatures w14:val="standardContextual"/>
              </w:rPr>
              <w:tab/>
            </w:r>
            <w:r w:rsidRPr="00ED7C5F">
              <w:rPr>
                <w:rStyle w:val="Hyperlink"/>
                <w:noProof/>
              </w:rPr>
              <w:t>Data restrictions</w:t>
            </w:r>
            <w:r>
              <w:rPr>
                <w:noProof/>
                <w:webHidden/>
              </w:rPr>
              <w:tab/>
            </w:r>
            <w:r>
              <w:rPr>
                <w:noProof/>
                <w:webHidden/>
              </w:rPr>
              <w:fldChar w:fldCharType="begin"/>
            </w:r>
            <w:r>
              <w:rPr>
                <w:noProof/>
                <w:webHidden/>
              </w:rPr>
              <w:instrText xml:space="preserve"> PAGEREF _Toc189229672 \h </w:instrText>
            </w:r>
            <w:r>
              <w:rPr>
                <w:noProof/>
                <w:webHidden/>
              </w:rPr>
            </w:r>
            <w:r>
              <w:rPr>
                <w:noProof/>
                <w:webHidden/>
              </w:rPr>
              <w:fldChar w:fldCharType="separate"/>
            </w:r>
            <w:r>
              <w:rPr>
                <w:noProof/>
                <w:webHidden/>
              </w:rPr>
              <w:t>61</w:t>
            </w:r>
            <w:r>
              <w:rPr>
                <w:noProof/>
                <w:webHidden/>
              </w:rPr>
              <w:fldChar w:fldCharType="end"/>
            </w:r>
          </w:hyperlink>
        </w:p>
        <w:p w14:paraId="6DE3A957" w14:textId="36C7A3E0"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73" w:history="1">
            <w:r w:rsidRPr="00ED7C5F">
              <w:rPr>
                <w:rStyle w:val="Hyperlink"/>
                <w:noProof/>
              </w:rPr>
              <w:t>2.3.5</w:t>
            </w:r>
            <w:r>
              <w:rPr>
                <w:rFonts w:asciiTheme="minorHAnsi" w:hAnsiTheme="minorHAnsi" w:cstheme="minorBidi"/>
                <w:noProof/>
                <w:kern w:val="2"/>
                <w:szCs w:val="24"/>
                <w:lang w:val="en-GB" w:eastAsia="en-GB"/>
                <w14:ligatures w14:val="standardContextual"/>
              </w:rPr>
              <w:tab/>
            </w:r>
            <w:r w:rsidRPr="00ED7C5F">
              <w:rPr>
                <w:rStyle w:val="Hyperlink"/>
                <w:noProof/>
              </w:rPr>
              <w:t>Missing data</w:t>
            </w:r>
            <w:r>
              <w:rPr>
                <w:noProof/>
                <w:webHidden/>
              </w:rPr>
              <w:tab/>
            </w:r>
            <w:r>
              <w:rPr>
                <w:noProof/>
                <w:webHidden/>
              </w:rPr>
              <w:fldChar w:fldCharType="begin"/>
            </w:r>
            <w:r>
              <w:rPr>
                <w:noProof/>
                <w:webHidden/>
              </w:rPr>
              <w:instrText xml:space="preserve"> PAGEREF _Toc189229673 \h </w:instrText>
            </w:r>
            <w:r>
              <w:rPr>
                <w:noProof/>
                <w:webHidden/>
              </w:rPr>
            </w:r>
            <w:r>
              <w:rPr>
                <w:noProof/>
                <w:webHidden/>
              </w:rPr>
              <w:fldChar w:fldCharType="separate"/>
            </w:r>
            <w:r>
              <w:rPr>
                <w:noProof/>
                <w:webHidden/>
              </w:rPr>
              <w:t>61</w:t>
            </w:r>
            <w:r>
              <w:rPr>
                <w:noProof/>
                <w:webHidden/>
              </w:rPr>
              <w:fldChar w:fldCharType="end"/>
            </w:r>
          </w:hyperlink>
        </w:p>
        <w:p w14:paraId="51E45987" w14:textId="34568ADC"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74" w:history="1">
            <w:r w:rsidRPr="00ED7C5F">
              <w:rPr>
                <w:rStyle w:val="Hyperlink"/>
                <w:noProof/>
              </w:rPr>
              <w:t>2.4</w:t>
            </w:r>
            <w:r>
              <w:rPr>
                <w:rFonts w:asciiTheme="minorHAnsi" w:hAnsiTheme="minorHAnsi" w:cstheme="minorBidi"/>
                <w:noProof/>
                <w:kern w:val="2"/>
                <w:szCs w:val="24"/>
                <w:lang w:val="en-GB" w:eastAsia="en-GB"/>
                <w14:ligatures w14:val="standardContextual"/>
              </w:rPr>
              <w:tab/>
            </w:r>
            <w:r w:rsidRPr="00ED7C5F">
              <w:rPr>
                <w:rStyle w:val="Hyperlink"/>
                <w:noProof/>
              </w:rPr>
              <w:t>Chapter conclusion</w:t>
            </w:r>
            <w:r>
              <w:rPr>
                <w:noProof/>
                <w:webHidden/>
              </w:rPr>
              <w:tab/>
            </w:r>
            <w:r>
              <w:rPr>
                <w:noProof/>
                <w:webHidden/>
              </w:rPr>
              <w:fldChar w:fldCharType="begin"/>
            </w:r>
            <w:r>
              <w:rPr>
                <w:noProof/>
                <w:webHidden/>
              </w:rPr>
              <w:instrText xml:space="preserve"> PAGEREF _Toc189229674 \h </w:instrText>
            </w:r>
            <w:r>
              <w:rPr>
                <w:noProof/>
                <w:webHidden/>
              </w:rPr>
            </w:r>
            <w:r>
              <w:rPr>
                <w:noProof/>
                <w:webHidden/>
              </w:rPr>
              <w:fldChar w:fldCharType="separate"/>
            </w:r>
            <w:r>
              <w:rPr>
                <w:noProof/>
                <w:webHidden/>
              </w:rPr>
              <w:t>62</w:t>
            </w:r>
            <w:r>
              <w:rPr>
                <w:noProof/>
                <w:webHidden/>
              </w:rPr>
              <w:fldChar w:fldCharType="end"/>
            </w:r>
          </w:hyperlink>
        </w:p>
        <w:p w14:paraId="404B71AD" w14:textId="6758200E" w:rsidR="006B573F" w:rsidRDefault="006B573F">
          <w:pPr>
            <w:pStyle w:val="TOC1"/>
            <w:tabs>
              <w:tab w:val="left" w:pos="440"/>
              <w:tab w:val="right" w:leader="dot" w:pos="9016"/>
            </w:tabs>
            <w:rPr>
              <w:rFonts w:asciiTheme="minorHAnsi" w:hAnsiTheme="minorHAnsi" w:cstheme="minorBidi"/>
              <w:noProof/>
              <w:kern w:val="2"/>
              <w:szCs w:val="24"/>
              <w:lang w:val="en-GB" w:eastAsia="en-GB"/>
              <w14:ligatures w14:val="standardContextual"/>
            </w:rPr>
          </w:pPr>
          <w:hyperlink w:anchor="_Toc189229675" w:history="1">
            <w:r w:rsidRPr="00ED7C5F">
              <w:rPr>
                <w:rStyle w:val="Hyperlink"/>
                <w:noProof/>
              </w:rPr>
              <w:t>3</w:t>
            </w:r>
            <w:r>
              <w:rPr>
                <w:rFonts w:asciiTheme="minorHAnsi" w:hAnsiTheme="minorHAnsi" w:cstheme="minorBidi"/>
                <w:noProof/>
                <w:kern w:val="2"/>
                <w:szCs w:val="24"/>
                <w:lang w:val="en-GB" w:eastAsia="en-GB"/>
                <w14:ligatures w14:val="standardContextual"/>
              </w:rPr>
              <w:tab/>
            </w:r>
            <w:r w:rsidRPr="00ED7C5F">
              <w:rPr>
                <w:rStyle w:val="Hyperlink"/>
                <w:noProof/>
              </w:rPr>
              <w:t>Study 1: Exploring characteristics and interventions of parents receiving specialist treatment and child welfare support services in England</w:t>
            </w:r>
            <w:r>
              <w:rPr>
                <w:noProof/>
                <w:webHidden/>
              </w:rPr>
              <w:tab/>
            </w:r>
            <w:r>
              <w:rPr>
                <w:noProof/>
                <w:webHidden/>
              </w:rPr>
              <w:fldChar w:fldCharType="begin"/>
            </w:r>
            <w:r>
              <w:rPr>
                <w:noProof/>
                <w:webHidden/>
              </w:rPr>
              <w:instrText xml:space="preserve"> PAGEREF _Toc189229675 \h </w:instrText>
            </w:r>
            <w:r>
              <w:rPr>
                <w:noProof/>
                <w:webHidden/>
              </w:rPr>
            </w:r>
            <w:r>
              <w:rPr>
                <w:noProof/>
                <w:webHidden/>
              </w:rPr>
              <w:fldChar w:fldCharType="separate"/>
            </w:r>
            <w:r>
              <w:rPr>
                <w:noProof/>
                <w:webHidden/>
              </w:rPr>
              <w:t>63</w:t>
            </w:r>
            <w:r>
              <w:rPr>
                <w:noProof/>
                <w:webHidden/>
              </w:rPr>
              <w:fldChar w:fldCharType="end"/>
            </w:r>
          </w:hyperlink>
        </w:p>
        <w:p w14:paraId="2954C753" w14:textId="52E42442"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76" w:history="1">
            <w:r w:rsidRPr="00ED7C5F">
              <w:rPr>
                <w:rStyle w:val="Hyperlink"/>
                <w:noProof/>
              </w:rPr>
              <w:t>3.1</w:t>
            </w:r>
            <w:r>
              <w:rPr>
                <w:rFonts w:asciiTheme="minorHAnsi" w:hAnsiTheme="minorHAnsi" w:cstheme="minorBidi"/>
                <w:noProof/>
                <w:kern w:val="2"/>
                <w:szCs w:val="24"/>
                <w:lang w:val="en-GB" w:eastAsia="en-GB"/>
                <w14:ligatures w14:val="standardContextual"/>
              </w:rPr>
              <w:tab/>
            </w:r>
            <w:r w:rsidRPr="00ED7C5F">
              <w:rPr>
                <w:rStyle w:val="Hyperlink"/>
                <w:noProof/>
              </w:rPr>
              <w:t>Abstract</w:t>
            </w:r>
            <w:r>
              <w:rPr>
                <w:noProof/>
                <w:webHidden/>
              </w:rPr>
              <w:tab/>
            </w:r>
            <w:r>
              <w:rPr>
                <w:noProof/>
                <w:webHidden/>
              </w:rPr>
              <w:fldChar w:fldCharType="begin"/>
            </w:r>
            <w:r>
              <w:rPr>
                <w:noProof/>
                <w:webHidden/>
              </w:rPr>
              <w:instrText xml:space="preserve"> PAGEREF _Toc189229676 \h </w:instrText>
            </w:r>
            <w:r>
              <w:rPr>
                <w:noProof/>
                <w:webHidden/>
              </w:rPr>
            </w:r>
            <w:r>
              <w:rPr>
                <w:noProof/>
                <w:webHidden/>
              </w:rPr>
              <w:fldChar w:fldCharType="separate"/>
            </w:r>
            <w:r>
              <w:rPr>
                <w:noProof/>
                <w:webHidden/>
              </w:rPr>
              <w:t>63</w:t>
            </w:r>
            <w:r>
              <w:rPr>
                <w:noProof/>
                <w:webHidden/>
              </w:rPr>
              <w:fldChar w:fldCharType="end"/>
            </w:r>
          </w:hyperlink>
        </w:p>
        <w:p w14:paraId="346F8DF3" w14:textId="4307FD67"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77" w:history="1">
            <w:r w:rsidRPr="00ED7C5F">
              <w:rPr>
                <w:rStyle w:val="Hyperlink"/>
                <w:noProof/>
              </w:rPr>
              <w:t>3.2</w:t>
            </w:r>
            <w:r>
              <w:rPr>
                <w:rFonts w:asciiTheme="minorHAnsi" w:hAnsiTheme="minorHAnsi" w:cstheme="minorBidi"/>
                <w:noProof/>
                <w:kern w:val="2"/>
                <w:szCs w:val="24"/>
                <w:lang w:val="en-GB" w:eastAsia="en-GB"/>
                <w14:ligatures w14:val="standardContextual"/>
              </w:rPr>
              <w:tab/>
            </w:r>
            <w:r w:rsidRPr="00ED7C5F">
              <w:rPr>
                <w:rStyle w:val="Hyperlink"/>
                <w:noProof/>
              </w:rPr>
              <w:t>Introduction</w:t>
            </w:r>
            <w:r>
              <w:rPr>
                <w:noProof/>
                <w:webHidden/>
              </w:rPr>
              <w:tab/>
            </w:r>
            <w:r>
              <w:rPr>
                <w:noProof/>
                <w:webHidden/>
              </w:rPr>
              <w:fldChar w:fldCharType="begin"/>
            </w:r>
            <w:r>
              <w:rPr>
                <w:noProof/>
                <w:webHidden/>
              </w:rPr>
              <w:instrText xml:space="preserve"> PAGEREF _Toc189229677 \h </w:instrText>
            </w:r>
            <w:r>
              <w:rPr>
                <w:noProof/>
                <w:webHidden/>
              </w:rPr>
            </w:r>
            <w:r>
              <w:rPr>
                <w:noProof/>
                <w:webHidden/>
              </w:rPr>
              <w:fldChar w:fldCharType="separate"/>
            </w:r>
            <w:r>
              <w:rPr>
                <w:noProof/>
                <w:webHidden/>
              </w:rPr>
              <w:t>64</w:t>
            </w:r>
            <w:r>
              <w:rPr>
                <w:noProof/>
                <w:webHidden/>
              </w:rPr>
              <w:fldChar w:fldCharType="end"/>
            </w:r>
          </w:hyperlink>
        </w:p>
        <w:p w14:paraId="36A5721A" w14:textId="0EAA2FD9"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78" w:history="1">
            <w:r w:rsidRPr="00ED7C5F">
              <w:rPr>
                <w:rStyle w:val="Hyperlink"/>
                <w:noProof/>
              </w:rPr>
              <w:t>3.3</w:t>
            </w:r>
            <w:r>
              <w:rPr>
                <w:rFonts w:asciiTheme="minorHAnsi" w:hAnsiTheme="minorHAnsi" w:cstheme="minorBidi"/>
                <w:noProof/>
                <w:kern w:val="2"/>
                <w:szCs w:val="24"/>
                <w:lang w:val="en-GB" w:eastAsia="en-GB"/>
                <w14:ligatures w14:val="standardContextual"/>
              </w:rPr>
              <w:tab/>
            </w:r>
            <w:r w:rsidRPr="00ED7C5F">
              <w:rPr>
                <w:rStyle w:val="Hyperlink"/>
                <w:noProof/>
              </w:rPr>
              <w:t>Methods</w:t>
            </w:r>
            <w:r>
              <w:rPr>
                <w:noProof/>
                <w:webHidden/>
              </w:rPr>
              <w:tab/>
            </w:r>
            <w:r>
              <w:rPr>
                <w:noProof/>
                <w:webHidden/>
              </w:rPr>
              <w:fldChar w:fldCharType="begin"/>
            </w:r>
            <w:r>
              <w:rPr>
                <w:noProof/>
                <w:webHidden/>
              </w:rPr>
              <w:instrText xml:space="preserve"> PAGEREF _Toc189229678 \h </w:instrText>
            </w:r>
            <w:r>
              <w:rPr>
                <w:noProof/>
                <w:webHidden/>
              </w:rPr>
            </w:r>
            <w:r>
              <w:rPr>
                <w:noProof/>
                <w:webHidden/>
              </w:rPr>
              <w:fldChar w:fldCharType="separate"/>
            </w:r>
            <w:r>
              <w:rPr>
                <w:noProof/>
                <w:webHidden/>
              </w:rPr>
              <w:t>66</w:t>
            </w:r>
            <w:r>
              <w:rPr>
                <w:noProof/>
                <w:webHidden/>
              </w:rPr>
              <w:fldChar w:fldCharType="end"/>
            </w:r>
          </w:hyperlink>
        </w:p>
        <w:p w14:paraId="04172C96" w14:textId="3B956756"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79" w:history="1">
            <w:r w:rsidRPr="00ED7C5F">
              <w:rPr>
                <w:rStyle w:val="Hyperlink"/>
                <w:noProof/>
              </w:rPr>
              <w:t>3.3.1</w:t>
            </w:r>
            <w:r>
              <w:rPr>
                <w:rFonts w:asciiTheme="minorHAnsi" w:hAnsiTheme="minorHAnsi" w:cstheme="minorBidi"/>
                <w:noProof/>
                <w:kern w:val="2"/>
                <w:szCs w:val="24"/>
                <w:lang w:val="en-GB" w:eastAsia="en-GB"/>
                <w14:ligatures w14:val="standardContextual"/>
              </w:rPr>
              <w:tab/>
            </w:r>
            <w:r w:rsidRPr="00ED7C5F">
              <w:rPr>
                <w:rStyle w:val="Hyperlink"/>
                <w:noProof/>
              </w:rPr>
              <w:t>Dataset, population and setting</w:t>
            </w:r>
            <w:r>
              <w:rPr>
                <w:noProof/>
                <w:webHidden/>
              </w:rPr>
              <w:tab/>
            </w:r>
            <w:r>
              <w:rPr>
                <w:noProof/>
                <w:webHidden/>
              </w:rPr>
              <w:fldChar w:fldCharType="begin"/>
            </w:r>
            <w:r>
              <w:rPr>
                <w:noProof/>
                <w:webHidden/>
              </w:rPr>
              <w:instrText xml:space="preserve"> PAGEREF _Toc189229679 \h </w:instrText>
            </w:r>
            <w:r>
              <w:rPr>
                <w:noProof/>
                <w:webHidden/>
              </w:rPr>
            </w:r>
            <w:r>
              <w:rPr>
                <w:noProof/>
                <w:webHidden/>
              </w:rPr>
              <w:fldChar w:fldCharType="separate"/>
            </w:r>
            <w:r>
              <w:rPr>
                <w:noProof/>
                <w:webHidden/>
              </w:rPr>
              <w:t>67</w:t>
            </w:r>
            <w:r>
              <w:rPr>
                <w:noProof/>
                <w:webHidden/>
              </w:rPr>
              <w:fldChar w:fldCharType="end"/>
            </w:r>
          </w:hyperlink>
        </w:p>
        <w:p w14:paraId="08162181" w14:textId="5B593191"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80" w:history="1">
            <w:r w:rsidRPr="00ED7C5F">
              <w:rPr>
                <w:rStyle w:val="Hyperlink"/>
                <w:noProof/>
              </w:rPr>
              <w:t>3.3.2</w:t>
            </w:r>
            <w:r>
              <w:rPr>
                <w:rFonts w:asciiTheme="minorHAnsi" w:hAnsiTheme="minorHAnsi" w:cstheme="minorBidi"/>
                <w:noProof/>
                <w:kern w:val="2"/>
                <w:szCs w:val="24"/>
                <w:lang w:val="en-GB" w:eastAsia="en-GB"/>
                <w14:ligatures w14:val="standardContextual"/>
              </w:rPr>
              <w:tab/>
            </w:r>
            <w:r w:rsidRPr="00ED7C5F">
              <w:rPr>
                <w:rStyle w:val="Hyperlink"/>
                <w:noProof/>
              </w:rPr>
              <w:t>Baseline characteristics and treatment completion variables</w:t>
            </w:r>
            <w:r>
              <w:rPr>
                <w:noProof/>
                <w:webHidden/>
              </w:rPr>
              <w:tab/>
            </w:r>
            <w:r>
              <w:rPr>
                <w:noProof/>
                <w:webHidden/>
              </w:rPr>
              <w:fldChar w:fldCharType="begin"/>
            </w:r>
            <w:r>
              <w:rPr>
                <w:noProof/>
                <w:webHidden/>
              </w:rPr>
              <w:instrText xml:space="preserve"> PAGEREF _Toc189229680 \h </w:instrText>
            </w:r>
            <w:r>
              <w:rPr>
                <w:noProof/>
                <w:webHidden/>
              </w:rPr>
            </w:r>
            <w:r>
              <w:rPr>
                <w:noProof/>
                <w:webHidden/>
              </w:rPr>
              <w:fldChar w:fldCharType="separate"/>
            </w:r>
            <w:r>
              <w:rPr>
                <w:noProof/>
                <w:webHidden/>
              </w:rPr>
              <w:t>68</w:t>
            </w:r>
            <w:r>
              <w:rPr>
                <w:noProof/>
                <w:webHidden/>
              </w:rPr>
              <w:fldChar w:fldCharType="end"/>
            </w:r>
          </w:hyperlink>
        </w:p>
        <w:p w14:paraId="54100F61" w14:textId="3EDB9BFF"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81" w:history="1">
            <w:r w:rsidRPr="00ED7C5F">
              <w:rPr>
                <w:rStyle w:val="Hyperlink"/>
                <w:noProof/>
              </w:rPr>
              <w:t>3.3.3</w:t>
            </w:r>
            <w:r>
              <w:rPr>
                <w:rFonts w:asciiTheme="minorHAnsi" w:hAnsiTheme="minorHAnsi" w:cstheme="minorBidi"/>
                <w:noProof/>
                <w:kern w:val="2"/>
                <w:szCs w:val="24"/>
                <w:lang w:val="en-GB" w:eastAsia="en-GB"/>
                <w14:ligatures w14:val="standardContextual"/>
              </w:rPr>
              <w:tab/>
            </w:r>
            <w:r w:rsidRPr="00ED7C5F">
              <w:rPr>
                <w:rStyle w:val="Hyperlink"/>
                <w:noProof/>
              </w:rPr>
              <w:t>Treatment exposure</w:t>
            </w:r>
            <w:r>
              <w:rPr>
                <w:noProof/>
                <w:webHidden/>
              </w:rPr>
              <w:tab/>
            </w:r>
            <w:r>
              <w:rPr>
                <w:noProof/>
                <w:webHidden/>
              </w:rPr>
              <w:fldChar w:fldCharType="begin"/>
            </w:r>
            <w:r>
              <w:rPr>
                <w:noProof/>
                <w:webHidden/>
              </w:rPr>
              <w:instrText xml:space="preserve"> PAGEREF _Toc189229681 \h </w:instrText>
            </w:r>
            <w:r>
              <w:rPr>
                <w:noProof/>
                <w:webHidden/>
              </w:rPr>
            </w:r>
            <w:r>
              <w:rPr>
                <w:noProof/>
                <w:webHidden/>
              </w:rPr>
              <w:fldChar w:fldCharType="separate"/>
            </w:r>
            <w:r>
              <w:rPr>
                <w:noProof/>
                <w:webHidden/>
              </w:rPr>
              <w:t>69</w:t>
            </w:r>
            <w:r>
              <w:rPr>
                <w:noProof/>
                <w:webHidden/>
              </w:rPr>
              <w:fldChar w:fldCharType="end"/>
            </w:r>
          </w:hyperlink>
        </w:p>
        <w:p w14:paraId="072ADAF4" w14:textId="174D750C"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82" w:history="1">
            <w:r w:rsidRPr="00ED7C5F">
              <w:rPr>
                <w:rStyle w:val="Hyperlink"/>
                <w:rFonts w:cs="Arial"/>
                <w:noProof/>
              </w:rPr>
              <w:t>3.3.4</w:t>
            </w:r>
            <w:r>
              <w:rPr>
                <w:rFonts w:asciiTheme="minorHAnsi" w:hAnsiTheme="minorHAnsi" w:cstheme="minorBidi"/>
                <w:noProof/>
                <w:kern w:val="2"/>
                <w:szCs w:val="24"/>
                <w:lang w:val="en-GB" w:eastAsia="en-GB"/>
                <w14:ligatures w14:val="standardContextual"/>
              </w:rPr>
              <w:tab/>
            </w:r>
            <w:r w:rsidRPr="00ED7C5F">
              <w:rPr>
                <w:rStyle w:val="Hyperlink"/>
                <w:noProof/>
              </w:rPr>
              <w:t>Outcome</w:t>
            </w:r>
            <w:r>
              <w:rPr>
                <w:noProof/>
                <w:webHidden/>
              </w:rPr>
              <w:tab/>
            </w:r>
            <w:r>
              <w:rPr>
                <w:noProof/>
                <w:webHidden/>
              </w:rPr>
              <w:fldChar w:fldCharType="begin"/>
            </w:r>
            <w:r>
              <w:rPr>
                <w:noProof/>
                <w:webHidden/>
              </w:rPr>
              <w:instrText xml:space="preserve"> PAGEREF _Toc189229682 \h </w:instrText>
            </w:r>
            <w:r>
              <w:rPr>
                <w:noProof/>
                <w:webHidden/>
              </w:rPr>
            </w:r>
            <w:r>
              <w:rPr>
                <w:noProof/>
                <w:webHidden/>
              </w:rPr>
              <w:fldChar w:fldCharType="separate"/>
            </w:r>
            <w:r>
              <w:rPr>
                <w:noProof/>
                <w:webHidden/>
              </w:rPr>
              <w:t>69</w:t>
            </w:r>
            <w:r>
              <w:rPr>
                <w:noProof/>
                <w:webHidden/>
              </w:rPr>
              <w:fldChar w:fldCharType="end"/>
            </w:r>
          </w:hyperlink>
        </w:p>
        <w:p w14:paraId="121E6689" w14:textId="4DC1AABA"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83" w:history="1">
            <w:r w:rsidRPr="00ED7C5F">
              <w:rPr>
                <w:rStyle w:val="Hyperlink"/>
                <w:noProof/>
              </w:rPr>
              <w:t>3.3.5</w:t>
            </w:r>
            <w:r>
              <w:rPr>
                <w:rFonts w:asciiTheme="minorHAnsi" w:hAnsiTheme="minorHAnsi" w:cstheme="minorBidi"/>
                <w:noProof/>
                <w:kern w:val="2"/>
                <w:szCs w:val="24"/>
                <w:lang w:val="en-GB" w:eastAsia="en-GB"/>
                <w14:ligatures w14:val="standardContextual"/>
              </w:rPr>
              <w:tab/>
            </w:r>
            <w:r w:rsidRPr="00ED7C5F">
              <w:rPr>
                <w:rStyle w:val="Hyperlink"/>
                <w:noProof/>
              </w:rPr>
              <w:t>Statistical analysis</w:t>
            </w:r>
            <w:r>
              <w:rPr>
                <w:noProof/>
                <w:webHidden/>
              </w:rPr>
              <w:tab/>
            </w:r>
            <w:r>
              <w:rPr>
                <w:noProof/>
                <w:webHidden/>
              </w:rPr>
              <w:fldChar w:fldCharType="begin"/>
            </w:r>
            <w:r>
              <w:rPr>
                <w:noProof/>
                <w:webHidden/>
              </w:rPr>
              <w:instrText xml:space="preserve"> PAGEREF _Toc189229683 \h </w:instrText>
            </w:r>
            <w:r>
              <w:rPr>
                <w:noProof/>
                <w:webHidden/>
              </w:rPr>
            </w:r>
            <w:r>
              <w:rPr>
                <w:noProof/>
                <w:webHidden/>
              </w:rPr>
              <w:fldChar w:fldCharType="separate"/>
            </w:r>
            <w:r>
              <w:rPr>
                <w:noProof/>
                <w:webHidden/>
              </w:rPr>
              <w:t>69</w:t>
            </w:r>
            <w:r>
              <w:rPr>
                <w:noProof/>
                <w:webHidden/>
              </w:rPr>
              <w:fldChar w:fldCharType="end"/>
            </w:r>
          </w:hyperlink>
        </w:p>
        <w:p w14:paraId="33504979" w14:textId="14E4316C"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84" w:history="1">
            <w:r w:rsidRPr="00ED7C5F">
              <w:rPr>
                <w:rStyle w:val="Hyperlink"/>
                <w:noProof/>
              </w:rPr>
              <w:t>3.4</w:t>
            </w:r>
            <w:r>
              <w:rPr>
                <w:rFonts w:asciiTheme="minorHAnsi" w:hAnsiTheme="minorHAnsi" w:cstheme="minorBidi"/>
                <w:noProof/>
                <w:kern w:val="2"/>
                <w:szCs w:val="24"/>
                <w:lang w:val="en-GB" w:eastAsia="en-GB"/>
                <w14:ligatures w14:val="standardContextual"/>
              </w:rPr>
              <w:tab/>
            </w:r>
            <w:r w:rsidRPr="00ED7C5F">
              <w:rPr>
                <w:rStyle w:val="Hyperlink"/>
                <w:noProof/>
              </w:rPr>
              <w:t>Results</w:t>
            </w:r>
            <w:r>
              <w:rPr>
                <w:noProof/>
                <w:webHidden/>
              </w:rPr>
              <w:tab/>
            </w:r>
            <w:r>
              <w:rPr>
                <w:noProof/>
                <w:webHidden/>
              </w:rPr>
              <w:fldChar w:fldCharType="begin"/>
            </w:r>
            <w:r>
              <w:rPr>
                <w:noProof/>
                <w:webHidden/>
              </w:rPr>
              <w:instrText xml:space="preserve"> PAGEREF _Toc189229684 \h </w:instrText>
            </w:r>
            <w:r>
              <w:rPr>
                <w:noProof/>
                <w:webHidden/>
              </w:rPr>
            </w:r>
            <w:r>
              <w:rPr>
                <w:noProof/>
                <w:webHidden/>
              </w:rPr>
              <w:fldChar w:fldCharType="separate"/>
            </w:r>
            <w:r>
              <w:rPr>
                <w:noProof/>
                <w:webHidden/>
              </w:rPr>
              <w:t>72</w:t>
            </w:r>
            <w:r>
              <w:rPr>
                <w:noProof/>
                <w:webHidden/>
              </w:rPr>
              <w:fldChar w:fldCharType="end"/>
            </w:r>
          </w:hyperlink>
        </w:p>
        <w:p w14:paraId="2A1F672C" w14:textId="08755636"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85" w:history="1">
            <w:r w:rsidRPr="00ED7C5F">
              <w:rPr>
                <w:rStyle w:val="Hyperlink"/>
                <w:noProof/>
              </w:rPr>
              <w:t>3.5</w:t>
            </w:r>
            <w:r>
              <w:rPr>
                <w:rFonts w:asciiTheme="minorHAnsi" w:hAnsiTheme="minorHAnsi" w:cstheme="minorBidi"/>
                <w:noProof/>
                <w:kern w:val="2"/>
                <w:szCs w:val="24"/>
                <w:lang w:val="en-GB" w:eastAsia="en-GB"/>
                <w14:ligatures w14:val="standardContextual"/>
              </w:rPr>
              <w:tab/>
            </w:r>
            <w:r w:rsidRPr="00ED7C5F">
              <w:rPr>
                <w:rStyle w:val="Hyperlink"/>
                <w:noProof/>
              </w:rPr>
              <w:t>Discussion</w:t>
            </w:r>
            <w:r>
              <w:rPr>
                <w:noProof/>
                <w:webHidden/>
              </w:rPr>
              <w:tab/>
            </w:r>
            <w:r>
              <w:rPr>
                <w:noProof/>
                <w:webHidden/>
              </w:rPr>
              <w:fldChar w:fldCharType="begin"/>
            </w:r>
            <w:r>
              <w:rPr>
                <w:noProof/>
                <w:webHidden/>
              </w:rPr>
              <w:instrText xml:space="preserve"> PAGEREF _Toc189229685 \h </w:instrText>
            </w:r>
            <w:r>
              <w:rPr>
                <w:noProof/>
                <w:webHidden/>
              </w:rPr>
            </w:r>
            <w:r>
              <w:rPr>
                <w:noProof/>
                <w:webHidden/>
              </w:rPr>
              <w:fldChar w:fldCharType="separate"/>
            </w:r>
            <w:r>
              <w:rPr>
                <w:noProof/>
                <w:webHidden/>
              </w:rPr>
              <w:t>80</w:t>
            </w:r>
            <w:r>
              <w:rPr>
                <w:noProof/>
                <w:webHidden/>
              </w:rPr>
              <w:fldChar w:fldCharType="end"/>
            </w:r>
          </w:hyperlink>
        </w:p>
        <w:p w14:paraId="11C5D004" w14:textId="4E973EC9"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86" w:history="1">
            <w:r w:rsidRPr="00ED7C5F">
              <w:rPr>
                <w:rStyle w:val="Hyperlink"/>
                <w:noProof/>
              </w:rPr>
              <w:t>3.6</w:t>
            </w:r>
            <w:r>
              <w:rPr>
                <w:rFonts w:asciiTheme="minorHAnsi" w:hAnsiTheme="minorHAnsi" w:cstheme="minorBidi"/>
                <w:noProof/>
                <w:kern w:val="2"/>
                <w:szCs w:val="24"/>
                <w:lang w:val="en-GB" w:eastAsia="en-GB"/>
                <w14:ligatures w14:val="standardContextual"/>
              </w:rPr>
              <w:tab/>
            </w:r>
            <w:r w:rsidRPr="00ED7C5F">
              <w:rPr>
                <w:rStyle w:val="Hyperlink"/>
                <w:noProof/>
              </w:rPr>
              <w:t>Conclusion</w:t>
            </w:r>
            <w:r>
              <w:rPr>
                <w:noProof/>
                <w:webHidden/>
              </w:rPr>
              <w:tab/>
            </w:r>
            <w:r>
              <w:rPr>
                <w:noProof/>
                <w:webHidden/>
              </w:rPr>
              <w:fldChar w:fldCharType="begin"/>
            </w:r>
            <w:r>
              <w:rPr>
                <w:noProof/>
                <w:webHidden/>
              </w:rPr>
              <w:instrText xml:space="preserve"> PAGEREF _Toc189229686 \h </w:instrText>
            </w:r>
            <w:r>
              <w:rPr>
                <w:noProof/>
                <w:webHidden/>
              </w:rPr>
            </w:r>
            <w:r>
              <w:rPr>
                <w:noProof/>
                <w:webHidden/>
              </w:rPr>
              <w:fldChar w:fldCharType="separate"/>
            </w:r>
            <w:r>
              <w:rPr>
                <w:noProof/>
                <w:webHidden/>
              </w:rPr>
              <w:t>82</w:t>
            </w:r>
            <w:r>
              <w:rPr>
                <w:noProof/>
                <w:webHidden/>
              </w:rPr>
              <w:fldChar w:fldCharType="end"/>
            </w:r>
          </w:hyperlink>
        </w:p>
        <w:p w14:paraId="6CC9D270" w14:textId="7E3046C4"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87" w:history="1">
            <w:r w:rsidRPr="00ED7C5F">
              <w:rPr>
                <w:rStyle w:val="Hyperlink"/>
                <w:noProof/>
              </w:rPr>
              <w:t>3.7</w:t>
            </w:r>
            <w:r>
              <w:rPr>
                <w:rFonts w:asciiTheme="minorHAnsi" w:hAnsiTheme="minorHAnsi" w:cstheme="minorBidi"/>
                <w:noProof/>
                <w:kern w:val="2"/>
                <w:szCs w:val="24"/>
                <w:lang w:val="en-GB" w:eastAsia="en-GB"/>
                <w14:ligatures w14:val="standardContextual"/>
              </w:rPr>
              <w:tab/>
            </w:r>
            <w:r w:rsidRPr="00ED7C5F">
              <w:rPr>
                <w:rStyle w:val="Hyperlink"/>
                <w:noProof/>
              </w:rPr>
              <w:t>Supplementary analysis</w:t>
            </w:r>
            <w:r>
              <w:rPr>
                <w:noProof/>
                <w:webHidden/>
              </w:rPr>
              <w:tab/>
            </w:r>
            <w:r>
              <w:rPr>
                <w:noProof/>
                <w:webHidden/>
              </w:rPr>
              <w:fldChar w:fldCharType="begin"/>
            </w:r>
            <w:r>
              <w:rPr>
                <w:noProof/>
                <w:webHidden/>
              </w:rPr>
              <w:instrText xml:space="preserve"> PAGEREF _Toc189229687 \h </w:instrText>
            </w:r>
            <w:r>
              <w:rPr>
                <w:noProof/>
                <w:webHidden/>
              </w:rPr>
            </w:r>
            <w:r>
              <w:rPr>
                <w:noProof/>
                <w:webHidden/>
              </w:rPr>
              <w:fldChar w:fldCharType="separate"/>
            </w:r>
            <w:r>
              <w:rPr>
                <w:noProof/>
                <w:webHidden/>
              </w:rPr>
              <w:t>82</w:t>
            </w:r>
            <w:r>
              <w:rPr>
                <w:noProof/>
                <w:webHidden/>
              </w:rPr>
              <w:fldChar w:fldCharType="end"/>
            </w:r>
          </w:hyperlink>
        </w:p>
        <w:p w14:paraId="159AFA3E" w14:textId="55608007" w:rsidR="006B573F" w:rsidRDefault="006B573F">
          <w:pPr>
            <w:pStyle w:val="TOC1"/>
            <w:tabs>
              <w:tab w:val="left" w:pos="440"/>
              <w:tab w:val="right" w:leader="dot" w:pos="9016"/>
            </w:tabs>
            <w:rPr>
              <w:rFonts w:asciiTheme="minorHAnsi" w:hAnsiTheme="minorHAnsi" w:cstheme="minorBidi"/>
              <w:noProof/>
              <w:kern w:val="2"/>
              <w:szCs w:val="24"/>
              <w:lang w:val="en-GB" w:eastAsia="en-GB"/>
              <w14:ligatures w14:val="standardContextual"/>
            </w:rPr>
          </w:pPr>
          <w:hyperlink w:anchor="_Toc189229688" w:history="1">
            <w:r w:rsidRPr="00ED7C5F">
              <w:rPr>
                <w:rStyle w:val="Hyperlink"/>
                <w:noProof/>
              </w:rPr>
              <w:t>4</w:t>
            </w:r>
            <w:r>
              <w:rPr>
                <w:rFonts w:asciiTheme="minorHAnsi" w:hAnsiTheme="minorHAnsi" w:cstheme="minorBidi"/>
                <w:noProof/>
                <w:kern w:val="2"/>
                <w:szCs w:val="24"/>
                <w:lang w:val="en-GB" w:eastAsia="en-GB"/>
                <w14:ligatures w14:val="standardContextual"/>
              </w:rPr>
              <w:tab/>
            </w:r>
            <w:r w:rsidRPr="00ED7C5F">
              <w:rPr>
                <w:rStyle w:val="Hyperlink"/>
                <w:noProof/>
              </w:rPr>
              <w:t>Study 2: Do targeted prevention interventions for families improve alcohol and drug treatment completions among parents with a substance use disorder? A quasi-experimental study using Generalized Boosted Models.</w:t>
            </w:r>
            <w:r>
              <w:rPr>
                <w:noProof/>
                <w:webHidden/>
              </w:rPr>
              <w:tab/>
            </w:r>
            <w:r>
              <w:rPr>
                <w:noProof/>
                <w:webHidden/>
              </w:rPr>
              <w:fldChar w:fldCharType="begin"/>
            </w:r>
            <w:r>
              <w:rPr>
                <w:noProof/>
                <w:webHidden/>
              </w:rPr>
              <w:instrText xml:space="preserve"> PAGEREF _Toc189229688 \h </w:instrText>
            </w:r>
            <w:r>
              <w:rPr>
                <w:noProof/>
                <w:webHidden/>
              </w:rPr>
            </w:r>
            <w:r>
              <w:rPr>
                <w:noProof/>
                <w:webHidden/>
              </w:rPr>
              <w:fldChar w:fldCharType="separate"/>
            </w:r>
            <w:r>
              <w:rPr>
                <w:noProof/>
                <w:webHidden/>
              </w:rPr>
              <w:t>93</w:t>
            </w:r>
            <w:r>
              <w:rPr>
                <w:noProof/>
                <w:webHidden/>
              </w:rPr>
              <w:fldChar w:fldCharType="end"/>
            </w:r>
          </w:hyperlink>
        </w:p>
        <w:p w14:paraId="757ED132" w14:textId="3C1983ED"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89" w:history="1">
            <w:r w:rsidRPr="00ED7C5F">
              <w:rPr>
                <w:rStyle w:val="Hyperlink"/>
                <w:noProof/>
              </w:rPr>
              <w:t>4.1</w:t>
            </w:r>
            <w:r>
              <w:rPr>
                <w:rFonts w:asciiTheme="minorHAnsi" w:hAnsiTheme="minorHAnsi" w:cstheme="minorBidi"/>
                <w:noProof/>
                <w:kern w:val="2"/>
                <w:szCs w:val="24"/>
                <w:lang w:val="en-GB" w:eastAsia="en-GB"/>
                <w14:ligatures w14:val="standardContextual"/>
              </w:rPr>
              <w:tab/>
            </w:r>
            <w:r w:rsidRPr="00ED7C5F">
              <w:rPr>
                <w:rStyle w:val="Hyperlink"/>
                <w:noProof/>
              </w:rPr>
              <w:t>Abstract</w:t>
            </w:r>
            <w:r>
              <w:rPr>
                <w:noProof/>
                <w:webHidden/>
              </w:rPr>
              <w:tab/>
            </w:r>
            <w:r>
              <w:rPr>
                <w:noProof/>
                <w:webHidden/>
              </w:rPr>
              <w:fldChar w:fldCharType="begin"/>
            </w:r>
            <w:r>
              <w:rPr>
                <w:noProof/>
                <w:webHidden/>
              </w:rPr>
              <w:instrText xml:space="preserve"> PAGEREF _Toc189229689 \h </w:instrText>
            </w:r>
            <w:r>
              <w:rPr>
                <w:noProof/>
                <w:webHidden/>
              </w:rPr>
            </w:r>
            <w:r>
              <w:rPr>
                <w:noProof/>
                <w:webHidden/>
              </w:rPr>
              <w:fldChar w:fldCharType="separate"/>
            </w:r>
            <w:r>
              <w:rPr>
                <w:noProof/>
                <w:webHidden/>
              </w:rPr>
              <w:t>93</w:t>
            </w:r>
            <w:r>
              <w:rPr>
                <w:noProof/>
                <w:webHidden/>
              </w:rPr>
              <w:fldChar w:fldCharType="end"/>
            </w:r>
          </w:hyperlink>
        </w:p>
        <w:p w14:paraId="1D2C5F9B" w14:textId="0147BABB"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90" w:history="1">
            <w:r w:rsidRPr="00ED7C5F">
              <w:rPr>
                <w:rStyle w:val="Hyperlink"/>
                <w:noProof/>
              </w:rPr>
              <w:t>4.2</w:t>
            </w:r>
            <w:r>
              <w:rPr>
                <w:rFonts w:asciiTheme="minorHAnsi" w:hAnsiTheme="minorHAnsi" w:cstheme="minorBidi"/>
                <w:noProof/>
                <w:kern w:val="2"/>
                <w:szCs w:val="24"/>
                <w:lang w:val="en-GB" w:eastAsia="en-GB"/>
                <w14:ligatures w14:val="standardContextual"/>
              </w:rPr>
              <w:tab/>
            </w:r>
            <w:r w:rsidRPr="00ED7C5F">
              <w:rPr>
                <w:rStyle w:val="Hyperlink"/>
                <w:noProof/>
              </w:rPr>
              <w:t>Introduction</w:t>
            </w:r>
            <w:r>
              <w:rPr>
                <w:noProof/>
                <w:webHidden/>
              </w:rPr>
              <w:tab/>
            </w:r>
            <w:r>
              <w:rPr>
                <w:noProof/>
                <w:webHidden/>
              </w:rPr>
              <w:fldChar w:fldCharType="begin"/>
            </w:r>
            <w:r>
              <w:rPr>
                <w:noProof/>
                <w:webHidden/>
              </w:rPr>
              <w:instrText xml:space="preserve"> PAGEREF _Toc189229690 \h </w:instrText>
            </w:r>
            <w:r>
              <w:rPr>
                <w:noProof/>
                <w:webHidden/>
              </w:rPr>
            </w:r>
            <w:r>
              <w:rPr>
                <w:noProof/>
                <w:webHidden/>
              </w:rPr>
              <w:fldChar w:fldCharType="separate"/>
            </w:r>
            <w:r>
              <w:rPr>
                <w:noProof/>
                <w:webHidden/>
              </w:rPr>
              <w:t>94</w:t>
            </w:r>
            <w:r>
              <w:rPr>
                <w:noProof/>
                <w:webHidden/>
              </w:rPr>
              <w:fldChar w:fldCharType="end"/>
            </w:r>
          </w:hyperlink>
        </w:p>
        <w:p w14:paraId="4A5C7B46" w14:textId="1EDA28DA"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91" w:history="1">
            <w:r w:rsidRPr="00ED7C5F">
              <w:rPr>
                <w:rStyle w:val="Hyperlink"/>
                <w:noProof/>
              </w:rPr>
              <w:t>4.3</w:t>
            </w:r>
            <w:r>
              <w:rPr>
                <w:rFonts w:asciiTheme="minorHAnsi" w:hAnsiTheme="minorHAnsi" w:cstheme="minorBidi"/>
                <w:noProof/>
                <w:kern w:val="2"/>
                <w:szCs w:val="24"/>
                <w:lang w:val="en-GB" w:eastAsia="en-GB"/>
                <w14:ligatures w14:val="standardContextual"/>
              </w:rPr>
              <w:tab/>
            </w:r>
            <w:r w:rsidRPr="00ED7C5F">
              <w:rPr>
                <w:rStyle w:val="Hyperlink"/>
                <w:noProof/>
              </w:rPr>
              <w:t>Methods</w:t>
            </w:r>
            <w:r>
              <w:rPr>
                <w:noProof/>
                <w:webHidden/>
              </w:rPr>
              <w:tab/>
            </w:r>
            <w:r>
              <w:rPr>
                <w:noProof/>
                <w:webHidden/>
              </w:rPr>
              <w:fldChar w:fldCharType="begin"/>
            </w:r>
            <w:r>
              <w:rPr>
                <w:noProof/>
                <w:webHidden/>
              </w:rPr>
              <w:instrText xml:space="preserve"> PAGEREF _Toc189229691 \h </w:instrText>
            </w:r>
            <w:r>
              <w:rPr>
                <w:noProof/>
                <w:webHidden/>
              </w:rPr>
            </w:r>
            <w:r>
              <w:rPr>
                <w:noProof/>
                <w:webHidden/>
              </w:rPr>
              <w:fldChar w:fldCharType="separate"/>
            </w:r>
            <w:r>
              <w:rPr>
                <w:noProof/>
                <w:webHidden/>
              </w:rPr>
              <w:t>96</w:t>
            </w:r>
            <w:r>
              <w:rPr>
                <w:noProof/>
                <w:webHidden/>
              </w:rPr>
              <w:fldChar w:fldCharType="end"/>
            </w:r>
          </w:hyperlink>
        </w:p>
        <w:p w14:paraId="58F20E96" w14:textId="7BD6ACE3"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92" w:history="1">
            <w:r w:rsidRPr="00ED7C5F">
              <w:rPr>
                <w:rStyle w:val="Hyperlink"/>
                <w:noProof/>
              </w:rPr>
              <w:t>4.3.1</w:t>
            </w:r>
            <w:r>
              <w:rPr>
                <w:rFonts w:asciiTheme="minorHAnsi" w:hAnsiTheme="minorHAnsi" w:cstheme="minorBidi"/>
                <w:noProof/>
                <w:kern w:val="2"/>
                <w:szCs w:val="24"/>
                <w:lang w:val="en-GB" w:eastAsia="en-GB"/>
                <w14:ligatures w14:val="standardContextual"/>
              </w:rPr>
              <w:tab/>
            </w:r>
            <w:r w:rsidRPr="00ED7C5F">
              <w:rPr>
                <w:rStyle w:val="Hyperlink"/>
                <w:noProof/>
              </w:rPr>
              <w:t>Study design and setting</w:t>
            </w:r>
            <w:r>
              <w:rPr>
                <w:noProof/>
                <w:webHidden/>
              </w:rPr>
              <w:tab/>
            </w:r>
            <w:r>
              <w:rPr>
                <w:noProof/>
                <w:webHidden/>
              </w:rPr>
              <w:fldChar w:fldCharType="begin"/>
            </w:r>
            <w:r>
              <w:rPr>
                <w:noProof/>
                <w:webHidden/>
              </w:rPr>
              <w:instrText xml:space="preserve"> PAGEREF _Toc189229692 \h </w:instrText>
            </w:r>
            <w:r>
              <w:rPr>
                <w:noProof/>
                <w:webHidden/>
              </w:rPr>
            </w:r>
            <w:r>
              <w:rPr>
                <w:noProof/>
                <w:webHidden/>
              </w:rPr>
              <w:fldChar w:fldCharType="separate"/>
            </w:r>
            <w:r>
              <w:rPr>
                <w:noProof/>
                <w:webHidden/>
              </w:rPr>
              <w:t>96</w:t>
            </w:r>
            <w:r>
              <w:rPr>
                <w:noProof/>
                <w:webHidden/>
              </w:rPr>
              <w:fldChar w:fldCharType="end"/>
            </w:r>
          </w:hyperlink>
        </w:p>
        <w:p w14:paraId="59266862" w14:textId="6AFE97C0"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93" w:history="1">
            <w:r w:rsidRPr="00ED7C5F">
              <w:rPr>
                <w:rStyle w:val="Hyperlink"/>
                <w:noProof/>
              </w:rPr>
              <w:t>4.3.2</w:t>
            </w:r>
            <w:r>
              <w:rPr>
                <w:rFonts w:asciiTheme="minorHAnsi" w:hAnsiTheme="minorHAnsi" w:cstheme="minorBidi"/>
                <w:noProof/>
                <w:kern w:val="2"/>
                <w:szCs w:val="24"/>
                <w:lang w:val="en-GB" w:eastAsia="en-GB"/>
                <w14:ligatures w14:val="standardContextual"/>
              </w:rPr>
              <w:tab/>
            </w:r>
            <w:r w:rsidRPr="00ED7C5F">
              <w:rPr>
                <w:rStyle w:val="Hyperlink"/>
                <w:noProof/>
              </w:rPr>
              <w:t>Population</w:t>
            </w:r>
            <w:r>
              <w:rPr>
                <w:noProof/>
                <w:webHidden/>
              </w:rPr>
              <w:tab/>
            </w:r>
            <w:r>
              <w:rPr>
                <w:noProof/>
                <w:webHidden/>
              </w:rPr>
              <w:fldChar w:fldCharType="begin"/>
            </w:r>
            <w:r>
              <w:rPr>
                <w:noProof/>
                <w:webHidden/>
              </w:rPr>
              <w:instrText xml:space="preserve"> PAGEREF _Toc189229693 \h </w:instrText>
            </w:r>
            <w:r>
              <w:rPr>
                <w:noProof/>
                <w:webHidden/>
              </w:rPr>
            </w:r>
            <w:r>
              <w:rPr>
                <w:noProof/>
                <w:webHidden/>
              </w:rPr>
              <w:fldChar w:fldCharType="separate"/>
            </w:r>
            <w:r>
              <w:rPr>
                <w:noProof/>
                <w:webHidden/>
              </w:rPr>
              <w:t>96</w:t>
            </w:r>
            <w:r>
              <w:rPr>
                <w:noProof/>
                <w:webHidden/>
              </w:rPr>
              <w:fldChar w:fldCharType="end"/>
            </w:r>
          </w:hyperlink>
        </w:p>
        <w:p w14:paraId="317F53EA" w14:textId="503A9867"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94" w:history="1">
            <w:r w:rsidRPr="00ED7C5F">
              <w:rPr>
                <w:rStyle w:val="Hyperlink"/>
                <w:noProof/>
              </w:rPr>
              <w:t>4.3.3</w:t>
            </w:r>
            <w:r>
              <w:rPr>
                <w:rFonts w:asciiTheme="minorHAnsi" w:hAnsiTheme="minorHAnsi" w:cstheme="minorBidi"/>
                <w:noProof/>
                <w:kern w:val="2"/>
                <w:szCs w:val="24"/>
                <w:lang w:val="en-GB" w:eastAsia="en-GB"/>
                <w14:ligatures w14:val="standardContextual"/>
              </w:rPr>
              <w:tab/>
            </w:r>
            <w:r w:rsidRPr="00ED7C5F">
              <w:rPr>
                <w:rStyle w:val="Hyperlink"/>
                <w:noProof/>
              </w:rPr>
              <w:t>Interventions and outcome</w:t>
            </w:r>
            <w:r>
              <w:rPr>
                <w:noProof/>
                <w:webHidden/>
              </w:rPr>
              <w:tab/>
            </w:r>
            <w:r>
              <w:rPr>
                <w:noProof/>
                <w:webHidden/>
              </w:rPr>
              <w:fldChar w:fldCharType="begin"/>
            </w:r>
            <w:r>
              <w:rPr>
                <w:noProof/>
                <w:webHidden/>
              </w:rPr>
              <w:instrText xml:space="preserve"> PAGEREF _Toc189229694 \h </w:instrText>
            </w:r>
            <w:r>
              <w:rPr>
                <w:noProof/>
                <w:webHidden/>
              </w:rPr>
            </w:r>
            <w:r>
              <w:rPr>
                <w:noProof/>
                <w:webHidden/>
              </w:rPr>
              <w:fldChar w:fldCharType="separate"/>
            </w:r>
            <w:r>
              <w:rPr>
                <w:noProof/>
                <w:webHidden/>
              </w:rPr>
              <w:t>97</w:t>
            </w:r>
            <w:r>
              <w:rPr>
                <w:noProof/>
                <w:webHidden/>
              </w:rPr>
              <w:fldChar w:fldCharType="end"/>
            </w:r>
          </w:hyperlink>
        </w:p>
        <w:p w14:paraId="7CC30974" w14:textId="06E0829C"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695" w:history="1">
            <w:r w:rsidRPr="00ED7C5F">
              <w:rPr>
                <w:rStyle w:val="Hyperlink"/>
                <w:noProof/>
              </w:rPr>
              <w:t>4.3.4</w:t>
            </w:r>
            <w:r>
              <w:rPr>
                <w:rFonts w:asciiTheme="minorHAnsi" w:hAnsiTheme="minorHAnsi" w:cstheme="minorBidi"/>
                <w:noProof/>
                <w:kern w:val="2"/>
                <w:szCs w:val="24"/>
                <w:lang w:val="en-GB" w:eastAsia="en-GB"/>
                <w14:ligatures w14:val="standardContextual"/>
              </w:rPr>
              <w:tab/>
            </w:r>
            <w:r w:rsidRPr="00ED7C5F">
              <w:rPr>
                <w:rStyle w:val="Hyperlink"/>
                <w:noProof/>
              </w:rPr>
              <w:t>Statistical analysis</w:t>
            </w:r>
            <w:r>
              <w:rPr>
                <w:noProof/>
                <w:webHidden/>
              </w:rPr>
              <w:tab/>
            </w:r>
            <w:r>
              <w:rPr>
                <w:noProof/>
                <w:webHidden/>
              </w:rPr>
              <w:fldChar w:fldCharType="begin"/>
            </w:r>
            <w:r>
              <w:rPr>
                <w:noProof/>
                <w:webHidden/>
              </w:rPr>
              <w:instrText xml:space="preserve"> PAGEREF _Toc189229695 \h </w:instrText>
            </w:r>
            <w:r>
              <w:rPr>
                <w:noProof/>
                <w:webHidden/>
              </w:rPr>
            </w:r>
            <w:r>
              <w:rPr>
                <w:noProof/>
                <w:webHidden/>
              </w:rPr>
              <w:fldChar w:fldCharType="separate"/>
            </w:r>
            <w:r>
              <w:rPr>
                <w:noProof/>
                <w:webHidden/>
              </w:rPr>
              <w:t>98</w:t>
            </w:r>
            <w:r>
              <w:rPr>
                <w:noProof/>
                <w:webHidden/>
              </w:rPr>
              <w:fldChar w:fldCharType="end"/>
            </w:r>
          </w:hyperlink>
        </w:p>
        <w:p w14:paraId="614E91FD" w14:textId="32752B25"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96" w:history="1">
            <w:r w:rsidRPr="00ED7C5F">
              <w:rPr>
                <w:rStyle w:val="Hyperlink"/>
                <w:noProof/>
              </w:rPr>
              <w:t>4.4</w:t>
            </w:r>
            <w:r>
              <w:rPr>
                <w:rFonts w:asciiTheme="minorHAnsi" w:hAnsiTheme="minorHAnsi" w:cstheme="minorBidi"/>
                <w:noProof/>
                <w:kern w:val="2"/>
                <w:szCs w:val="24"/>
                <w:lang w:val="en-GB" w:eastAsia="en-GB"/>
                <w14:ligatures w14:val="standardContextual"/>
              </w:rPr>
              <w:tab/>
            </w:r>
            <w:r w:rsidRPr="00ED7C5F">
              <w:rPr>
                <w:rStyle w:val="Hyperlink"/>
                <w:noProof/>
              </w:rPr>
              <w:t>Results</w:t>
            </w:r>
            <w:r>
              <w:rPr>
                <w:noProof/>
                <w:webHidden/>
              </w:rPr>
              <w:tab/>
            </w:r>
            <w:r>
              <w:rPr>
                <w:noProof/>
                <w:webHidden/>
              </w:rPr>
              <w:fldChar w:fldCharType="begin"/>
            </w:r>
            <w:r>
              <w:rPr>
                <w:noProof/>
                <w:webHidden/>
              </w:rPr>
              <w:instrText xml:space="preserve"> PAGEREF _Toc189229696 \h </w:instrText>
            </w:r>
            <w:r>
              <w:rPr>
                <w:noProof/>
                <w:webHidden/>
              </w:rPr>
            </w:r>
            <w:r>
              <w:rPr>
                <w:noProof/>
                <w:webHidden/>
              </w:rPr>
              <w:fldChar w:fldCharType="separate"/>
            </w:r>
            <w:r>
              <w:rPr>
                <w:noProof/>
                <w:webHidden/>
              </w:rPr>
              <w:t>100</w:t>
            </w:r>
            <w:r>
              <w:rPr>
                <w:noProof/>
                <w:webHidden/>
              </w:rPr>
              <w:fldChar w:fldCharType="end"/>
            </w:r>
          </w:hyperlink>
        </w:p>
        <w:p w14:paraId="1E4371A7" w14:textId="237FDBE0"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97" w:history="1">
            <w:r w:rsidRPr="00ED7C5F">
              <w:rPr>
                <w:rStyle w:val="Hyperlink"/>
                <w:noProof/>
              </w:rPr>
              <w:t>4.5</w:t>
            </w:r>
            <w:r>
              <w:rPr>
                <w:rFonts w:asciiTheme="minorHAnsi" w:hAnsiTheme="minorHAnsi" w:cstheme="minorBidi"/>
                <w:noProof/>
                <w:kern w:val="2"/>
                <w:szCs w:val="24"/>
                <w:lang w:val="en-GB" w:eastAsia="en-GB"/>
                <w14:ligatures w14:val="standardContextual"/>
              </w:rPr>
              <w:tab/>
            </w:r>
            <w:r w:rsidRPr="00ED7C5F">
              <w:rPr>
                <w:rStyle w:val="Hyperlink"/>
                <w:noProof/>
              </w:rPr>
              <w:t>Discussion</w:t>
            </w:r>
            <w:r>
              <w:rPr>
                <w:noProof/>
                <w:webHidden/>
              </w:rPr>
              <w:tab/>
            </w:r>
            <w:r>
              <w:rPr>
                <w:noProof/>
                <w:webHidden/>
              </w:rPr>
              <w:fldChar w:fldCharType="begin"/>
            </w:r>
            <w:r>
              <w:rPr>
                <w:noProof/>
                <w:webHidden/>
              </w:rPr>
              <w:instrText xml:space="preserve"> PAGEREF _Toc189229697 \h </w:instrText>
            </w:r>
            <w:r>
              <w:rPr>
                <w:noProof/>
                <w:webHidden/>
              </w:rPr>
            </w:r>
            <w:r>
              <w:rPr>
                <w:noProof/>
                <w:webHidden/>
              </w:rPr>
              <w:fldChar w:fldCharType="separate"/>
            </w:r>
            <w:r>
              <w:rPr>
                <w:noProof/>
                <w:webHidden/>
              </w:rPr>
              <w:t>106</w:t>
            </w:r>
            <w:r>
              <w:rPr>
                <w:noProof/>
                <w:webHidden/>
              </w:rPr>
              <w:fldChar w:fldCharType="end"/>
            </w:r>
          </w:hyperlink>
        </w:p>
        <w:p w14:paraId="1C6BC5DF" w14:textId="7BAD746C"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698" w:history="1">
            <w:r w:rsidRPr="00ED7C5F">
              <w:rPr>
                <w:rStyle w:val="Hyperlink"/>
                <w:noProof/>
              </w:rPr>
              <w:t>4.6</w:t>
            </w:r>
            <w:r>
              <w:rPr>
                <w:rFonts w:asciiTheme="minorHAnsi" w:hAnsiTheme="minorHAnsi" w:cstheme="minorBidi"/>
                <w:noProof/>
                <w:kern w:val="2"/>
                <w:szCs w:val="24"/>
                <w:lang w:val="en-GB" w:eastAsia="en-GB"/>
                <w14:ligatures w14:val="standardContextual"/>
              </w:rPr>
              <w:tab/>
            </w:r>
            <w:r w:rsidRPr="00ED7C5F">
              <w:rPr>
                <w:rStyle w:val="Hyperlink"/>
                <w:noProof/>
              </w:rPr>
              <w:t>Conclusion</w:t>
            </w:r>
            <w:r>
              <w:rPr>
                <w:noProof/>
                <w:webHidden/>
              </w:rPr>
              <w:tab/>
            </w:r>
            <w:r>
              <w:rPr>
                <w:noProof/>
                <w:webHidden/>
              </w:rPr>
              <w:fldChar w:fldCharType="begin"/>
            </w:r>
            <w:r>
              <w:rPr>
                <w:noProof/>
                <w:webHidden/>
              </w:rPr>
              <w:instrText xml:space="preserve"> PAGEREF _Toc189229698 \h </w:instrText>
            </w:r>
            <w:r>
              <w:rPr>
                <w:noProof/>
                <w:webHidden/>
              </w:rPr>
            </w:r>
            <w:r>
              <w:rPr>
                <w:noProof/>
                <w:webHidden/>
              </w:rPr>
              <w:fldChar w:fldCharType="separate"/>
            </w:r>
            <w:r>
              <w:rPr>
                <w:noProof/>
                <w:webHidden/>
              </w:rPr>
              <w:t>109</w:t>
            </w:r>
            <w:r>
              <w:rPr>
                <w:noProof/>
                <w:webHidden/>
              </w:rPr>
              <w:fldChar w:fldCharType="end"/>
            </w:r>
          </w:hyperlink>
        </w:p>
        <w:p w14:paraId="6D92CA4F" w14:textId="0E381715" w:rsidR="006B573F" w:rsidRDefault="006B573F">
          <w:pPr>
            <w:pStyle w:val="TOC1"/>
            <w:tabs>
              <w:tab w:val="left" w:pos="440"/>
              <w:tab w:val="right" w:leader="dot" w:pos="9016"/>
            </w:tabs>
            <w:rPr>
              <w:rFonts w:asciiTheme="minorHAnsi" w:hAnsiTheme="minorHAnsi" w:cstheme="minorBidi"/>
              <w:noProof/>
              <w:kern w:val="2"/>
              <w:szCs w:val="24"/>
              <w:lang w:val="en-GB" w:eastAsia="en-GB"/>
              <w14:ligatures w14:val="standardContextual"/>
            </w:rPr>
          </w:pPr>
          <w:hyperlink w:anchor="_Toc189229699" w:history="1">
            <w:r w:rsidRPr="00ED7C5F">
              <w:rPr>
                <w:rStyle w:val="Hyperlink"/>
                <w:noProof/>
              </w:rPr>
              <w:t>5</w:t>
            </w:r>
            <w:r>
              <w:rPr>
                <w:rFonts w:asciiTheme="minorHAnsi" w:hAnsiTheme="minorHAnsi" w:cstheme="minorBidi"/>
                <w:noProof/>
                <w:kern w:val="2"/>
                <w:szCs w:val="24"/>
                <w:lang w:val="en-GB" w:eastAsia="en-GB"/>
                <w14:ligatures w14:val="standardContextual"/>
              </w:rPr>
              <w:tab/>
            </w:r>
            <w:r w:rsidRPr="00ED7C5F">
              <w:rPr>
                <w:rStyle w:val="Hyperlink"/>
                <w:noProof/>
              </w:rPr>
              <w:t>Study 3: For parents with an alcohol use disorder, is treatment plus parenting and/or family recovery support a more cost-effective option than treatment only?</w:t>
            </w:r>
            <w:r>
              <w:rPr>
                <w:noProof/>
                <w:webHidden/>
              </w:rPr>
              <w:tab/>
            </w:r>
            <w:r>
              <w:rPr>
                <w:noProof/>
                <w:webHidden/>
              </w:rPr>
              <w:fldChar w:fldCharType="begin"/>
            </w:r>
            <w:r>
              <w:rPr>
                <w:noProof/>
                <w:webHidden/>
              </w:rPr>
              <w:instrText xml:space="preserve"> PAGEREF _Toc189229699 \h </w:instrText>
            </w:r>
            <w:r>
              <w:rPr>
                <w:noProof/>
                <w:webHidden/>
              </w:rPr>
            </w:r>
            <w:r>
              <w:rPr>
                <w:noProof/>
                <w:webHidden/>
              </w:rPr>
              <w:fldChar w:fldCharType="separate"/>
            </w:r>
            <w:r>
              <w:rPr>
                <w:noProof/>
                <w:webHidden/>
              </w:rPr>
              <w:t>110</w:t>
            </w:r>
            <w:r>
              <w:rPr>
                <w:noProof/>
                <w:webHidden/>
              </w:rPr>
              <w:fldChar w:fldCharType="end"/>
            </w:r>
          </w:hyperlink>
        </w:p>
        <w:p w14:paraId="336831C9" w14:textId="4910D022"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00" w:history="1">
            <w:r w:rsidRPr="00ED7C5F">
              <w:rPr>
                <w:rStyle w:val="Hyperlink"/>
                <w:noProof/>
              </w:rPr>
              <w:t>5.1</w:t>
            </w:r>
            <w:r>
              <w:rPr>
                <w:rFonts w:asciiTheme="minorHAnsi" w:hAnsiTheme="minorHAnsi" w:cstheme="minorBidi"/>
                <w:noProof/>
                <w:kern w:val="2"/>
                <w:szCs w:val="24"/>
                <w:lang w:val="en-GB" w:eastAsia="en-GB"/>
                <w14:ligatures w14:val="standardContextual"/>
              </w:rPr>
              <w:tab/>
            </w:r>
            <w:r w:rsidRPr="00ED7C5F">
              <w:rPr>
                <w:rStyle w:val="Hyperlink"/>
                <w:noProof/>
              </w:rPr>
              <w:t>Abstract</w:t>
            </w:r>
            <w:r>
              <w:rPr>
                <w:noProof/>
                <w:webHidden/>
              </w:rPr>
              <w:tab/>
            </w:r>
            <w:r>
              <w:rPr>
                <w:noProof/>
                <w:webHidden/>
              </w:rPr>
              <w:fldChar w:fldCharType="begin"/>
            </w:r>
            <w:r>
              <w:rPr>
                <w:noProof/>
                <w:webHidden/>
              </w:rPr>
              <w:instrText xml:space="preserve"> PAGEREF _Toc189229700 \h </w:instrText>
            </w:r>
            <w:r>
              <w:rPr>
                <w:noProof/>
                <w:webHidden/>
              </w:rPr>
            </w:r>
            <w:r>
              <w:rPr>
                <w:noProof/>
                <w:webHidden/>
              </w:rPr>
              <w:fldChar w:fldCharType="separate"/>
            </w:r>
            <w:r>
              <w:rPr>
                <w:noProof/>
                <w:webHidden/>
              </w:rPr>
              <w:t>110</w:t>
            </w:r>
            <w:r>
              <w:rPr>
                <w:noProof/>
                <w:webHidden/>
              </w:rPr>
              <w:fldChar w:fldCharType="end"/>
            </w:r>
          </w:hyperlink>
        </w:p>
        <w:p w14:paraId="3F4AB3E0" w14:textId="77CCB49E"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01" w:history="1">
            <w:r w:rsidRPr="00ED7C5F">
              <w:rPr>
                <w:rStyle w:val="Hyperlink"/>
                <w:noProof/>
              </w:rPr>
              <w:t>5.2</w:t>
            </w:r>
            <w:r>
              <w:rPr>
                <w:rFonts w:asciiTheme="minorHAnsi" w:hAnsiTheme="minorHAnsi" w:cstheme="minorBidi"/>
                <w:noProof/>
                <w:kern w:val="2"/>
                <w:szCs w:val="24"/>
                <w:lang w:val="en-GB" w:eastAsia="en-GB"/>
                <w14:ligatures w14:val="standardContextual"/>
              </w:rPr>
              <w:tab/>
            </w:r>
            <w:r w:rsidRPr="00ED7C5F">
              <w:rPr>
                <w:rStyle w:val="Hyperlink"/>
                <w:noProof/>
              </w:rPr>
              <w:t>Introduction</w:t>
            </w:r>
            <w:r>
              <w:rPr>
                <w:noProof/>
                <w:webHidden/>
              </w:rPr>
              <w:tab/>
            </w:r>
            <w:r>
              <w:rPr>
                <w:noProof/>
                <w:webHidden/>
              </w:rPr>
              <w:fldChar w:fldCharType="begin"/>
            </w:r>
            <w:r>
              <w:rPr>
                <w:noProof/>
                <w:webHidden/>
              </w:rPr>
              <w:instrText xml:space="preserve"> PAGEREF _Toc189229701 \h </w:instrText>
            </w:r>
            <w:r>
              <w:rPr>
                <w:noProof/>
                <w:webHidden/>
              </w:rPr>
            </w:r>
            <w:r>
              <w:rPr>
                <w:noProof/>
                <w:webHidden/>
              </w:rPr>
              <w:fldChar w:fldCharType="separate"/>
            </w:r>
            <w:r>
              <w:rPr>
                <w:noProof/>
                <w:webHidden/>
              </w:rPr>
              <w:t>111</w:t>
            </w:r>
            <w:r>
              <w:rPr>
                <w:noProof/>
                <w:webHidden/>
              </w:rPr>
              <w:fldChar w:fldCharType="end"/>
            </w:r>
          </w:hyperlink>
        </w:p>
        <w:p w14:paraId="2FE379A2" w14:textId="63790EF0"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02" w:history="1">
            <w:r w:rsidRPr="00ED7C5F">
              <w:rPr>
                <w:rStyle w:val="Hyperlink"/>
                <w:bCs/>
                <w:noProof/>
              </w:rPr>
              <w:t>5.3</w:t>
            </w:r>
            <w:r>
              <w:rPr>
                <w:rFonts w:asciiTheme="minorHAnsi" w:hAnsiTheme="minorHAnsi" w:cstheme="minorBidi"/>
                <w:noProof/>
                <w:kern w:val="2"/>
                <w:szCs w:val="24"/>
                <w:lang w:val="en-GB" w:eastAsia="en-GB"/>
                <w14:ligatures w14:val="standardContextual"/>
              </w:rPr>
              <w:tab/>
            </w:r>
            <w:r w:rsidRPr="00ED7C5F">
              <w:rPr>
                <w:rStyle w:val="Hyperlink"/>
                <w:noProof/>
              </w:rPr>
              <w:t>Methods</w:t>
            </w:r>
            <w:r>
              <w:rPr>
                <w:noProof/>
                <w:webHidden/>
              </w:rPr>
              <w:tab/>
            </w:r>
            <w:r>
              <w:rPr>
                <w:noProof/>
                <w:webHidden/>
              </w:rPr>
              <w:fldChar w:fldCharType="begin"/>
            </w:r>
            <w:r>
              <w:rPr>
                <w:noProof/>
                <w:webHidden/>
              </w:rPr>
              <w:instrText xml:space="preserve"> PAGEREF _Toc189229702 \h </w:instrText>
            </w:r>
            <w:r>
              <w:rPr>
                <w:noProof/>
                <w:webHidden/>
              </w:rPr>
            </w:r>
            <w:r>
              <w:rPr>
                <w:noProof/>
                <w:webHidden/>
              </w:rPr>
              <w:fldChar w:fldCharType="separate"/>
            </w:r>
            <w:r>
              <w:rPr>
                <w:noProof/>
                <w:webHidden/>
              </w:rPr>
              <w:t>113</w:t>
            </w:r>
            <w:r>
              <w:rPr>
                <w:noProof/>
                <w:webHidden/>
              </w:rPr>
              <w:fldChar w:fldCharType="end"/>
            </w:r>
          </w:hyperlink>
        </w:p>
        <w:p w14:paraId="44BE0CD9" w14:textId="3F3C9B2C"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703" w:history="1">
            <w:r w:rsidRPr="00ED7C5F">
              <w:rPr>
                <w:rStyle w:val="Hyperlink"/>
                <w:noProof/>
              </w:rPr>
              <w:t>5.3.1</w:t>
            </w:r>
            <w:r>
              <w:rPr>
                <w:rFonts w:asciiTheme="minorHAnsi" w:hAnsiTheme="minorHAnsi" w:cstheme="minorBidi"/>
                <w:noProof/>
                <w:kern w:val="2"/>
                <w:szCs w:val="24"/>
                <w:lang w:val="en-GB" w:eastAsia="en-GB"/>
                <w14:ligatures w14:val="standardContextual"/>
              </w:rPr>
              <w:tab/>
            </w:r>
            <w:r w:rsidRPr="00ED7C5F">
              <w:rPr>
                <w:rStyle w:val="Hyperlink"/>
                <w:noProof/>
              </w:rPr>
              <w:t>Population and setting</w:t>
            </w:r>
            <w:r>
              <w:rPr>
                <w:noProof/>
                <w:webHidden/>
              </w:rPr>
              <w:tab/>
            </w:r>
            <w:r>
              <w:rPr>
                <w:noProof/>
                <w:webHidden/>
              </w:rPr>
              <w:fldChar w:fldCharType="begin"/>
            </w:r>
            <w:r>
              <w:rPr>
                <w:noProof/>
                <w:webHidden/>
              </w:rPr>
              <w:instrText xml:space="preserve"> PAGEREF _Toc189229703 \h </w:instrText>
            </w:r>
            <w:r>
              <w:rPr>
                <w:noProof/>
                <w:webHidden/>
              </w:rPr>
            </w:r>
            <w:r>
              <w:rPr>
                <w:noProof/>
                <w:webHidden/>
              </w:rPr>
              <w:fldChar w:fldCharType="separate"/>
            </w:r>
            <w:r>
              <w:rPr>
                <w:noProof/>
                <w:webHidden/>
              </w:rPr>
              <w:t>113</w:t>
            </w:r>
            <w:r>
              <w:rPr>
                <w:noProof/>
                <w:webHidden/>
              </w:rPr>
              <w:fldChar w:fldCharType="end"/>
            </w:r>
          </w:hyperlink>
        </w:p>
        <w:p w14:paraId="49FFC83C" w14:textId="64894E7A"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704" w:history="1">
            <w:r w:rsidRPr="00ED7C5F">
              <w:rPr>
                <w:rStyle w:val="Hyperlink"/>
                <w:noProof/>
              </w:rPr>
              <w:t>5.3.2</w:t>
            </w:r>
            <w:r>
              <w:rPr>
                <w:rFonts w:asciiTheme="minorHAnsi" w:hAnsiTheme="minorHAnsi" w:cstheme="minorBidi"/>
                <w:noProof/>
                <w:kern w:val="2"/>
                <w:szCs w:val="24"/>
                <w:lang w:val="en-GB" w:eastAsia="en-GB"/>
                <w14:ligatures w14:val="standardContextual"/>
              </w:rPr>
              <w:tab/>
            </w:r>
            <w:r w:rsidRPr="00ED7C5F">
              <w:rPr>
                <w:rStyle w:val="Hyperlink"/>
                <w:noProof/>
              </w:rPr>
              <w:t>Comparators and treatment effect</w:t>
            </w:r>
            <w:r>
              <w:rPr>
                <w:noProof/>
                <w:webHidden/>
              </w:rPr>
              <w:tab/>
            </w:r>
            <w:r>
              <w:rPr>
                <w:noProof/>
                <w:webHidden/>
              </w:rPr>
              <w:fldChar w:fldCharType="begin"/>
            </w:r>
            <w:r>
              <w:rPr>
                <w:noProof/>
                <w:webHidden/>
              </w:rPr>
              <w:instrText xml:space="preserve"> PAGEREF _Toc189229704 \h </w:instrText>
            </w:r>
            <w:r>
              <w:rPr>
                <w:noProof/>
                <w:webHidden/>
              </w:rPr>
            </w:r>
            <w:r>
              <w:rPr>
                <w:noProof/>
                <w:webHidden/>
              </w:rPr>
              <w:fldChar w:fldCharType="separate"/>
            </w:r>
            <w:r>
              <w:rPr>
                <w:noProof/>
                <w:webHidden/>
              </w:rPr>
              <w:t>114</w:t>
            </w:r>
            <w:r>
              <w:rPr>
                <w:noProof/>
                <w:webHidden/>
              </w:rPr>
              <w:fldChar w:fldCharType="end"/>
            </w:r>
          </w:hyperlink>
        </w:p>
        <w:p w14:paraId="74B172BF" w14:textId="0367BDBB"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705" w:history="1">
            <w:r w:rsidRPr="00ED7C5F">
              <w:rPr>
                <w:rStyle w:val="Hyperlink"/>
                <w:noProof/>
              </w:rPr>
              <w:t>5.3.3</w:t>
            </w:r>
            <w:r>
              <w:rPr>
                <w:rFonts w:asciiTheme="minorHAnsi" w:hAnsiTheme="minorHAnsi" w:cstheme="minorBidi"/>
                <w:noProof/>
                <w:kern w:val="2"/>
                <w:szCs w:val="24"/>
                <w:lang w:val="en-GB" w:eastAsia="en-GB"/>
                <w14:ligatures w14:val="standardContextual"/>
              </w:rPr>
              <w:tab/>
            </w:r>
            <w:r w:rsidRPr="00ED7C5F">
              <w:rPr>
                <w:rStyle w:val="Hyperlink"/>
                <w:noProof/>
              </w:rPr>
              <w:t>Deterministic Markov model for each subgroup</w:t>
            </w:r>
            <w:r>
              <w:rPr>
                <w:noProof/>
                <w:webHidden/>
              </w:rPr>
              <w:tab/>
            </w:r>
            <w:r>
              <w:rPr>
                <w:noProof/>
                <w:webHidden/>
              </w:rPr>
              <w:fldChar w:fldCharType="begin"/>
            </w:r>
            <w:r>
              <w:rPr>
                <w:noProof/>
                <w:webHidden/>
              </w:rPr>
              <w:instrText xml:space="preserve"> PAGEREF _Toc189229705 \h </w:instrText>
            </w:r>
            <w:r>
              <w:rPr>
                <w:noProof/>
                <w:webHidden/>
              </w:rPr>
            </w:r>
            <w:r>
              <w:rPr>
                <w:noProof/>
                <w:webHidden/>
              </w:rPr>
              <w:fldChar w:fldCharType="separate"/>
            </w:r>
            <w:r>
              <w:rPr>
                <w:noProof/>
                <w:webHidden/>
              </w:rPr>
              <w:t>115</w:t>
            </w:r>
            <w:r>
              <w:rPr>
                <w:noProof/>
                <w:webHidden/>
              </w:rPr>
              <w:fldChar w:fldCharType="end"/>
            </w:r>
          </w:hyperlink>
        </w:p>
        <w:p w14:paraId="568BF821" w14:textId="2AE42FE6"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706" w:history="1">
            <w:r w:rsidRPr="00ED7C5F">
              <w:rPr>
                <w:rStyle w:val="Hyperlink"/>
                <w:noProof/>
              </w:rPr>
              <w:t>5.3.4</w:t>
            </w:r>
            <w:r>
              <w:rPr>
                <w:rFonts w:asciiTheme="minorHAnsi" w:hAnsiTheme="minorHAnsi" w:cstheme="minorBidi"/>
                <w:noProof/>
                <w:kern w:val="2"/>
                <w:szCs w:val="24"/>
                <w:lang w:val="en-GB" w:eastAsia="en-GB"/>
                <w14:ligatures w14:val="standardContextual"/>
              </w:rPr>
              <w:tab/>
            </w:r>
            <w:r w:rsidRPr="00ED7C5F">
              <w:rPr>
                <w:rStyle w:val="Hyperlink"/>
                <w:noProof/>
              </w:rPr>
              <w:t>Transition probabilities for specialist alcohol treatment only</w:t>
            </w:r>
            <w:r>
              <w:rPr>
                <w:noProof/>
                <w:webHidden/>
              </w:rPr>
              <w:tab/>
            </w:r>
            <w:r>
              <w:rPr>
                <w:noProof/>
                <w:webHidden/>
              </w:rPr>
              <w:fldChar w:fldCharType="begin"/>
            </w:r>
            <w:r>
              <w:rPr>
                <w:noProof/>
                <w:webHidden/>
              </w:rPr>
              <w:instrText xml:space="preserve"> PAGEREF _Toc189229706 \h </w:instrText>
            </w:r>
            <w:r>
              <w:rPr>
                <w:noProof/>
                <w:webHidden/>
              </w:rPr>
            </w:r>
            <w:r>
              <w:rPr>
                <w:noProof/>
                <w:webHidden/>
              </w:rPr>
              <w:fldChar w:fldCharType="separate"/>
            </w:r>
            <w:r>
              <w:rPr>
                <w:noProof/>
                <w:webHidden/>
              </w:rPr>
              <w:t>115</w:t>
            </w:r>
            <w:r>
              <w:rPr>
                <w:noProof/>
                <w:webHidden/>
              </w:rPr>
              <w:fldChar w:fldCharType="end"/>
            </w:r>
          </w:hyperlink>
        </w:p>
        <w:p w14:paraId="52BAF5CF" w14:textId="2F0A4C02"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707" w:history="1">
            <w:r w:rsidRPr="00ED7C5F">
              <w:rPr>
                <w:rStyle w:val="Hyperlink"/>
                <w:noProof/>
              </w:rPr>
              <w:t>5.3.5</w:t>
            </w:r>
            <w:r>
              <w:rPr>
                <w:rFonts w:asciiTheme="minorHAnsi" w:hAnsiTheme="minorHAnsi" w:cstheme="minorBidi"/>
                <w:noProof/>
                <w:kern w:val="2"/>
                <w:szCs w:val="24"/>
                <w:lang w:val="en-GB" w:eastAsia="en-GB"/>
                <w14:ligatures w14:val="standardContextual"/>
              </w:rPr>
              <w:tab/>
            </w:r>
            <w:r w:rsidRPr="00ED7C5F">
              <w:rPr>
                <w:rStyle w:val="Hyperlink"/>
                <w:noProof/>
              </w:rPr>
              <w:t>Estimating transition probabilities for treatment plus parenting and/or family recovery support</w:t>
            </w:r>
            <w:r>
              <w:rPr>
                <w:noProof/>
                <w:webHidden/>
              </w:rPr>
              <w:tab/>
            </w:r>
            <w:r>
              <w:rPr>
                <w:noProof/>
                <w:webHidden/>
              </w:rPr>
              <w:fldChar w:fldCharType="begin"/>
            </w:r>
            <w:r>
              <w:rPr>
                <w:noProof/>
                <w:webHidden/>
              </w:rPr>
              <w:instrText xml:space="preserve"> PAGEREF _Toc189229707 \h </w:instrText>
            </w:r>
            <w:r>
              <w:rPr>
                <w:noProof/>
                <w:webHidden/>
              </w:rPr>
            </w:r>
            <w:r>
              <w:rPr>
                <w:noProof/>
                <w:webHidden/>
              </w:rPr>
              <w:fldChar w:fldCharType="separate"/>
            </w:r>
            <w:r>
              <w:rPr>
                <w:noProof/>
                <w:webHidden/>
              </w:rPr>
              <w:t>116</w:t>
            </w:r>
            <w:r>
              <w:rPr>
                <w:noProof/>
                <w:webHidden/>
              </w:rPr>
              <w:fldChar w:fldCharType="end"/>
            </w:r>
          </w:hyperlink>
        </w:p>
        <w:p w14:paraId="6974EEA6" w14:textId="00695EE5"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708" w:history="1">
            <w:r w:rsidRPr="00ED7C5F">
              <w:rPr>
                <w:rStyle w:val="Hyperlink"/>
                <w:noProof/>
              </w:rPr>
              <w:t>5.3.6</w:t>
            </w:r>
            <w:r>
              <w:rPr>
                <w:rFonts w:asciiTheme="minorHAnsi" w:hAnsiTheme="minorHAnsi" w:cstheme="minorBidi"/>
                <w:noProof/>
                <w:kern w:val="2"/>
                <w:szCs w:val="24"/>
                <w:lang w:val="en-GB" w:eastAsia="en-GB"/>
                <w14:ligatures w14:val="standardContextual"/>
              </w:rPr>
              <w:tab/>
            </w:r>
            <w:r w:rsidRPr="00ED7C5F">
              <w:rPr>
                <w:rStyle w:val="Hyperlink"/>
                <w:noProof/>
              </w:rPr>
              <w:t>Utility scores</w:t>
            </w:r>
            <w:r>
              <w:rPr>
                <w:noProof/>
                <w:webHidden/>
              </w:rPr>
              <w:tab/>
            </w:r>
            <w:r>
              <w:rPr>
                <w:noProof/>
                <w:webHidden/>
              </w:rPr>
              <w:fldChar w:fldCharType="begin"/>
            </w:r>
            <w:r>
              <w:rPr>
                <w:noProof/>
                <w:webHidden/>
              </w:rPr>
              <w:instrText xml:space="preserve"> PAGEREF _Toc189229708 \h </w:instrText>
            </w:r>
            <w:r>
              <w:rPr>
                <w:noProof/>
                <w:webHidden/>
              </w:rPr>
            </w:r>
            <w:r>
              <w:rPr>
                <w:noProof/>
                <w:webHidden/>
              </w:rPr>
              <w:fldChar w:fldCharType="separate"/>
            </w:r>
            <w:r>
              <w:rPr>
                <w:noProof/>
                <w:webHidden/>
              </w:rPr>
              <w:t>118</w:t>
            </w:r>
            <w:r>
              <w:rPr>
                <w:noProof/>
                <w:webHidden/>
              </w:rPr>
              <w:fldChar w:fldCharType="end"/>
            </w:r>
          </w:hyperlink>
        </w:p>
        <w:p w14:paraId="45F43816" w14:textId="56950B57"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709" w:history="1">
            <w:r w:rsidRPr="00ED7C5F">
              <w:rPr>
                <w:rStyle w:val="Hyperlink"/>
                <w:noProof/>
              </w:rPr>
              <w:t>5.3.7</w:t>
            </w:r>
            <w:r>
              <w:rPr>
                <w:rFonts w:asciiTheme="minorHAnsi" w:hAnsiTheme="minorHAnsi" w:cstheme="minorBidi"/>
                <w:noProof/>
                <w:kern w:val="2"/>
                <w:szCs w:val="24"/>
                <w:lang w:val="en-GB" w:eastAsia="en-GB"/>
                <w14:ligatures w14:val="standardContextual"/>
              </w:rPr>
              <w:tab/>
            </w:r>
            <w:r w:rsidRPr="00ED7C5F">
              <w:rPr>
                <w:rStyle w:val="Hyperlink"/>
                <w:noProof/>
              </w:rPr>
              <w:t>Costs</w:t>
            </w:r>
            <w:r>
              <w:rPr>
                <w:noProof/>
                <w:webHidden/>
              </w:rPr>
              <w:tab/>
            </w:r>
            <w:r>
              <w:rPr>
                <w:noProof/>
                <w:webHidden/>
              </w:rPr>
              <w:fldChar w:fldCharType="begin"/>
            </w:r>
            <w:r>
              <w:rPr>
                <w:noProof/>
                <w:webHidden/>
              </w:rPr>
              <w:instrText xml:space="preserve"> PAGEREF _Toc189229709 \h </w:instrText>
            </w:r>
            <w:r>
              <w:rPr>
                <w:noProof/>
                <w:webHidden/>
              </w:rPr>
            </w:r>
            <w:r>
              <w:rPr>
                <w:noProof/>
                <w:webHidden/>
              </w:rPr>
              <w:fldChar w:fldCharType="separate"/>
            </w:r>
            <w:r>
              <w:rPr>
                <w:noProof/>
                <w:webHidden/>
              </w:rPr>
              <w:t>119</w:t>
            </w:r>
            <w:r>
              <w:rPr>
                <w:noProof/>
                <w:webHidden/>
              </w:rPr>
              <w:fldChar w:fldCharType="end"/>
            </w:r>
          </w:hyperlink>
        </w:p>
        <w:p w14:paraId="45187F68" w14:textId="1120986A"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710" w:history="1">
            <w:r w:rsidRPr="00ED7C5F">
              <w:rPr>
                <w:rStyle w:val="Hyperlink"/>
                <w:noProof/>
              </w:rPr>
              <w:t>5.3.8</w:t>
            </w:r>
            <w:r>
              <w:rPr>
                <w:rFonts w:asciiTheme="minorHAnsi" w:hAnsiTheme="minorHAnsi" w:cstheme="minorBidi"/>
                <w:noProof/>
                <w:kern w:val="2"/>
                <w:szCs w:val="24"/>
                <w:lang w:val="en-GB" w:eastAsia="en-GB"/>
                <w14:ligatures w14:val="standardContextual"/>
              </w:rPr>
              <w:tab/>
            </w:r>
            <w:r w:rsidRPr="00ED7C5F">
              <w:rPr>
                <w:rStyle w:val="Hyperlink"/>
                <w:noProof/>
              </w:rPr>
              <w:t>Perspective and thresholds</w:t>
            </w:r>
            <w:r>
              <w:rPr>
                <w:noProof/>
                <w:webHidden/>
              </w:rPr>
              <w:tab/>
            </w:r>
            <w:r>
              <w:rPr>
                <w:noProof/>
                <w:webHidden/>
              </w:rPr>
              <w:fldChar w:fldCharType="begin"/>
            </w:r>
            <w:r>
              <w:rPr>
                <w:noProof/>
                <w:webHidden/>
              </w:rPr>
              <w:instrText xml:space="preserve"> PAGEREF _Toc189229710 \h </w:instrText>
            </w:r>
            <w:r>
              <w:rPr>
                <w:noProof/>
                <w:webHidden/>
              </w:rPr>
            </w:r>
            <w:r>
              <w:rPr>
                <w:noProof/>
                <w:webHidden/>
              </w:rPr>
              <w:fldChar w:fldCharType="separate"/>
            </w:r>
            <w:r>
              <w:rPr>
                <w:noProof/>
                <w:webHidden/>
              </w:rPr>
              <w:t>120</w:t>
            </w:r>
            <w:r>
              <w:rPr>
                <w:noProof/>
                <w:webHidden/>
              </w:rPr>
              <w:fldChar w:fldCharType="end"/>
            </w:r>
          </w:hyperlink>
        </w:p>
        <w:p w14:paraId="57DC8355" w14:textId="50C14CC3"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711" w:history="1">
            <w:r w:rsidRPr="00ED7C5F">
              <w:rPr>
                <w:rStyle w:val="Hyperlink"/>
                <w:noProof/>
              </w:rPr>
              <w:t>5.3.9</w:t>
            </w:r>
            <w:r>
              <w:rPr>
                <w:rFonts w:asciiTheme="minorHAnsi" w:hAnsiTheme="minorHAnsi" w:cstheme="minorBidi"/>
                <w:noProof/>
                <w:kern w:val="2"/>
                <w:szCs w:val="24"/>
                <w:lang w:val="en-GB" w:eastAsia="en-GB"/>
                <w14:ligatures w14:val="standardContextual"/>
              </w:rPr>
              <w:tab/>
            </w:r>
            <w:r w:rsidRPr="00ED7C5F">
              <w:rPr>
                <w:rStyle w:val="Hyperlink"/>
                <w:noProof/>
              </w:rPr>
              <w:t>Time horizon and discounting</w:t>
            </w:r>
            <w:r>
              <w:rPr>
                <w:noProof/>
                <w:webHidden/>
              </w:rPr>
              <w:tab/>
            </w:r>
            <w:r>
              <w:rPr>
                <w:noProof/>
                <w:webHidden/>
              </w:rPr>
              <w:fldChar w:fldCharType="begin"/>
            </w:r>
            <w:r>
              <w:rPr>
                <w:noProof/>
                <w:webHidden/>
              </w:rPr>
              <w:instrText xml:space="preserve"> PAGEREF _Toc189229711 \h </w:instrText>
            </w:r>
            <w:r>
              <w:rPr>
                <w:noProof/>
                <w:webHidden/>
              </w:rPr>
            </w:r>
            <w:r>
              <w:rPr>
                <w:noProof/>
                <w:webHidden/>
              </w:rPr>
              <w:fldChar w:fldCharType="separate"/>
            </w:r>
            <w:r>
              <w:rPr>
                <w:noProof/>
                <w:webHidden/>
              </w:rPr>
              <w:t>123</w:t>
            </w:r>
            <w:r>
              <w:rPr>
                <w:noProof/>
                <w:webHidden/>
              </w:rPr>
              <w:fldChar w:fldCharType="end"/>
            </w:r>
          </w:hyperlink>
        </w:p>
        <w:p w14:paraId="41A749D1" w14:textId="7F8EB19A" w:rsidR="006B573F" w:rsidRDefault="006B573F">
          <w:pPr>
            <w:pStyle w:val="TOC3"/>
            <w:tabs>
              <w:tab w:val="left" w:pos="1540"/>
              <w:tab w:val="right" w:leader="dot" w:pos="9016"/>
            </w:tabs>
            <w:rPr>
              <w:rFonts w:asciiTheme="minorHAnsi" w:hAnsiTheme="minorHAnsi" w:cstheme="minorBidi"/>
              <w:noProof/>
              <w:kern w:val="2"/>
              <w:szCs w:val="24"/>
              <w:lang w:val="en-GB" w:eastAsia="en-GB"/>
              <w14:ligatures w14:val="standardContextual"/>
            </w:rPr>
          </w:pPr>
          <w:hyperlink w:anchor="_Toc189229712" w:history="1">
            <w:r w:rsidRPr="00ED7C5F">
              <w:rPr>
                <w:rStyle w:val="Hyperlink"/>
                <w:noProof/>
              </w:rPr>
              <w:t>5.3.10</w:t>
            </w:r>
            <w:r>
              <w:rPr>
                <w:rFonts w:asciiTheme="minorHAnsi" w:hAnsiTheme="minorHAnsi" w:cstheme="minorBidi"/>
                <w:noProof/>
                <w:kern w:val="2"/>
                <w:szCs w:val="24"/>
                <w:lang w:val="en-GB" w:eastAsia="en-GB"/>
                <w14:ligatures w14:val="standardContextual"/>
              </w:rPr>
              <w:tab/>
            </w:r>
            <w:r w:rsidRPr="00ED7C5F">
              <w:rPr>
                <w:rStyle w:val="Hyperlink"/>
                <w:noProof/>
              </w:rPr>
              <w:t>Deterministic sensitivity analysis</w:t>
            </w:r>
            <w:r>
              <w:rPr>
                <w:noProof/>
                <w:webHidden/>
              </w:rPr>
              <w:tab/>
            </w:r>
            <w:r>
              <w:rPr>
                <w:noProof/>
                <w:webHidden/>
              </w:rPr>
              <w:fldChar w:fldCharType="begin"/>
            </w:r>
            <w:r>
              <w:rPr>
                <w:noProof/>
                <w:webHidden/>
              </w:rPr>
              <w:instrText xml:space="preserve"> PAGEREF _Toc189229712 \h </w:instrText>
            </w:r>
            <w:r>
              <w:rPr>
                <w:noProof/>
                <w:webHidden/>
              </w:rPr>
            </w:r>
            <w:r>
              <w:rPr>
                <w:noProof/>
                <w:webHidden/>
              </w:rPr>
              <w:fldChar w:fldCharType="separate"/>
            </w:r>
            <w:r>
              <w:rPr>
                <w:noProof/>
                <w:webHidden/>
              </w:rPr>
              <w:t>123</w:t>
            </w:r>
            <w:r>
              <w:rPr>
                <w:noProof/>
                <w:webHidden/>
              </w:rPr>
              <w:fldChar w:fldCharType="end"/>
            </w:r>
          </w:hyperlink>
        </w:p>
        <w:p w14:paraId="49C7AD05" w14:textId="20A98515" w:rsidR="006B573F" w:rsidRDefault="006B573F">
          <w:pPr>
            <w:pStyle w:val="TOC3"/>
            <w:tabs>
              <w:tab w:val="left" w:pos="1540"/>
              <w:tab w:val="right" w:leader="dot" w:pos="9016"/>
            </w:tabs>
            <w:rPr>
              <w:rFonts w:asciiTheme="minorHAnsi" w:hAnsiTheme="minorHAnsi" w:cstheme="minorBidi"/>
              <w:noProof/>
              <w:kern w:val="2"/>
              <w:szCs w:val="24"/>
              <w:lang w:val="en-GB" w:eastAsia="en-GB"/>
              <w14:ligatures w14:val="standardContextual"/>
            </w:rPr>
          </w:pPr>
          <w:hyperlink w:anchor="_Toc189229713" w:history="1">
            <w:r w:rsidRPr="00ED7C5F">
              <w:rPr>
                <w:rStyle w:val="Hyperlink"/>
                <w:noProof/>
              </w:rPr>
              <w:t>5.3.11</w:t>
            </w:r>
            <w:r>
              <w:rPr>
                <w:rFonts w:asciiTheme="minorHAnsi" w:hAnsiTheme="minorHAnsi" w:cstheme="minorBidi"/>
                <w:noProof/>
                <w:kern w:val="2"/>
                <w:szCs w:val="24"/>
                <w:lang w:val="en-GB" w:eastAsia="en-GB"/>
                <w14:ligatures w14:val="standardContextual"/>
              </w:rPr>
              <w:tab/>
            </w:r>
            <w:r w:rsidRPr="00ED7C5F">
              <w:rPr>
                <w:rStyle w:val="Hyperlink"/>
                <w:noProof/>
              </w:rPr>
              <w:t>Probabilistic sensitivity analysis</w:t>
            </w:r>
            <w:r>
              <w:rPr>
                <w:noProof/>
                <w:webHidden/>
              </w:rPr>
              <w:tab/>
            </w:r>
            <w:r>
              <w:rPr>
                <w:noProof/>
                <w:webHidden/>
              </w:rPr>
              <w:fldChar w:fldCharType="begin"/>
            </w:r>
            <w:r>
              <w:rPr>
                <w:noProof/>
                <w:webHidden/>
              </w:rPr>
              <w:instrText xml:space="preserve"> PAGEREF _Toc189229713 \h </w:instrText>
            </w:r>
            <w:r>
              <w:rPr>
                <w:noProof/>
                <w:webHidden/>
              </w:rPr>
            </w:r>
            <w:r>
              <w:rPr>
                <w:noProof/>
                <w:webHidden/>
              </w:rPr>
              <w:fldChar w:fldCharType="separate"/>
            </w:r>
            <w:r>
              <w:rPr>
                <w:noProof/>
                <w:webHidden/>
              </w:rPr>
              <w:t>124</w:t>
            </w:r>
            <w:r>
              <w:rPr>
                <w:noProof/>
                <w:webHidden/>
              </w:rPr>
              <w:fldChar w:fldCharType="end"/>
            </w:r>
          </w:hyperlink>
        </w:p>
        <w:p w14:paraId="0C456758" w14:textId="27FA478D"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14" w:history="1">
            <w:r w:rsidRPr="00ED7C5F">
              <w:rPr>
                <w:rStyle w:val="Hyperlink"/>
                <w:noProof/>
              </w:rPr>
              <w:t>5.4</w:t>
            </w:r>
            <w:r>
              <w:rPr>
                <w:rFonts w:asciiTheme="minorHAnsi" w:hAnsiTheme="minorHAnsi" w:cstheme="minorBidi"/>
                <w:noProof/>
                <w:kern w:val="2"/>
                <w:szCs w:val="24"/>
                <w:lang w:val="en-GB" w:eastAsia="en-GB"/>
                <w14:ligatures w14:val="standardContextual"/>
              </w:rPr>
              <w:tab/>
            </w:r>
            <w:r w:rsidRPr="00ED7C5F">
              <w:rPr>
                <w:rStyle w:val="Hyperlink"/>
                <w:noProof/>
              </w:rPr>
              <w:t>Results</w:t>
            </w:r>
            <w:r>
              <w:rPr>
                <w:noProof/>
                <w:webHidden/>
              </w:rPr>
              <w:tab/>
            </w:r>
            <w:r>
              <w:rPr>
                <w:noProof/>
                <w:webHidden/>
              </w:rPr>
              <w:fldChar w:fldCharType="begin"/>
            </w:r>
            <w:r>
              <w:rPr>
                <w:noProof/>
                <w:webHidden/>
              </w:rPr>
              <w:instrText xml:space="preserve"> PAGEREF _Toc189229714 \h </w:instrText>
            </w:r>
            <w:r>
              <w:rPr>
                <w:noProof/>
                <w:webHidden/>
              </w:rPr>
            </w:r>
            <w:r>
              <w:rPr>
                <w:noProof/>
                <w:webHidden/>
              </w:rPr>
              <w:fldChar w:fldCharType="separate"/>
            </w:r>
            <w:r>
              <w:rPr>
                <w:noProof/>
                <w:webHidden/>
              </w:rPr>
              <w:t>125</w:t>
            </w:r>
            <w:r>
              <w:rPr>
                <w:noProof/>
                <w:webHidden/>
              </w:rPr>
              <w:fldChar w:fldCharType="end"/>
            </w:r>
          </w:hyperlink>
        </w:p>
        <w:p w14:paraId="5D9A5C3B" w14:textId="2828E0B8"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15" w:history="1">
            <w:r w:rsidRPr="00ED7C5F">
              <w:rPr>
                <w:rStyle w:val="Hyperlink"/>
                <w:noProof/>
              </w:rPr>
              <w:t>5.5</w:t>
            </w:r>
            <w:r>
              <w:rPr>
                <w:rFonts w:asciiTheme="minorHAnsi" w:hAnsiTheme="minorHAnsi" w:cstheme="minorBidi"/>
                <w:noProof/>
                <w:kern w:val="2"/>
                <w:szCs w:val="24"/>
                <w:lang w:val="en-GB" w:eastAsia="en-GB"/>
                <w14:ligatures w14:val="standardContextual"/>
              </w:rPr>
              <w:tab/>
            </w:r>
            <w:r w:rsidRPr="00ED7C5F">
              <w:rPr>
                <w:rStyle w:val="Hyperlink"/>
                <w:noProof/>
              </w:rPr>
              <w:t>Discussion</w:t>
            </w:r>
            <w:r>
              <w:rPr>
                <w:noProof/>
                <w:webHidden/>
              </w:rPr>
              <w:tab/>
            </w:r>
            <w:r>
              <w:rPr>
                <w:noProof/>
                <w:webHidden/>
              </w:rPr>
              <w:fldChar w:fldCharType="begin"/>
            </w:r>
            <w:r>
              <w:rPr>
                <w:noProof/>
                <w:webHidden/>
              </w:rPr>
              <w:instrText xml:space="preserve"> PAGEREF _Toc189229715 \h </w:instrText>
            </w:r>
            <w:r>
              <w:rPr>
                <w:noProof/>
                <w:webHidden/>
              </w:rPr>
            </w:r>
            <w:r>
              <w:rPr>
                <w:noProof/>
                <w:webHidden/>
              </w:rPr>
              <w:fldChar w:fldCharType="separate"/>
            </w:r>
            <w:r>
              <w:rPr>
                <w:noProof/>
                <w:webHidden/>
              </w:rPr>
              <w:t>130</w:t>
            </w:r>
            <w:r>
              <w:rPr>
                <w:noProof/>
                <w:webHidden/>
              </w:rPr>
              <w:fldChar w:fldCharType="end"/>
            </w:r>
          </w:hyperlink>
        </w:p>
        <w:p w14:paraId="05D1254B" w14:textId="25D97EB3"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16" w:history="1">
            <w:r w:rsidRPr="00ED7C5F">
              <w:rPr>
                <w:rStyle w:val="Hyperlink"/>
                <w:noProof/>
              </w:rPr>
              <w:t>5.6</w:t>
            </w:r>
            <w:r>
              <w:rPr>
                <w:rFonts w:asciiTheme="minorHAnsi" w:hAnsiTheme="minorHAnsi" w:cstheme="minorBidi"/>
                <w:noProof/>
                <w:kern w:val="2"/>
                <w:szCs w:val="24"/>
                <w:lang w:val="en-GB" w:eastAsia="en-GB"/>
                <w14:ligatures w14:val="standardContextual"/>
              </w:rPr>
              <w:tab/>
            </w:r>
            <w:r w:rsidRPr="00ED7C5F">
              <w:rPr>
                <w:rStyle w:val="Hyperlink"/>
                <w:noProof/>
              </w:rPr>
              <w:t>Conclusion</w:t>
            </w:r>
            <w:r>
              <w:rPr>
                <w:noProof/>
                <w:webHidden/>
              </w:rPr>
              <w:tab/>
            </w:r>
            <w:r>
              <w:rPr>
                <w:noProof/>
                <w:webHidden/>
              </w:rPr>
              <w:fldChar w:fldCharType="begin"/>
            </w:r>
            <w:r>
              <w:rPr>
                <w:noProof/>
                <w:webHidden/>
              </w:rPr>
              <w:instrText xml:space="preserve"> PAGEREF _Toc189229716 \h </w:instrText>
            </w:r>
            <w:r>
              <w:rPr>
                <w:noProof/>
                <w:webHidden/>
              </w:rPr>
            </w:r>
            <w:r>
              <w:rPr>
                <w:noProof/>
                <w:webHidden/>
              </w:rPr>
              <w:fldChar w:fldCharType="separate"/>
            </w:r>
            <w:r>
              <w:rPr>
                <w:noProof/>
                <w:webHidden/>
              </w:rPr>
              <w:t>133</w:t>
            </w:r>
            <w:r>
              <w:rPr>
                <w:noProof/>
                <w:webHidden/>
              </w:rPr>
              <w:fldChar w:fldCharType="end"/>
            </w:r>
          </w:hyperlink>
        </w:p>
        <w:p w14:paraId="43906A44" w14:textId="2CFAD54E" w:rsidR="006B573F" w:rsidRDefault="006B573F">
          <w:pPr>
            <w:pStyle w:val="TOC1"/>
            <w:tabs>
              <w:tab w:val="left" w:pos="440"/>
              <w:tab w:val="right" w:leader="dot" w:pos="9016"/>
            </w:tabs>
            <w:rPr>
              <w:rFonts w:asciiTheme="minorHAnsi" w:hAnsiTheme="minorHAnsi" w:cstheme="minorBidi"/>
              <w:noProof/>
              <w:kern w:val="2"/>
              <w:szCs w:val="24"/>
              <w:lang w:val="en-GB" w:eastAsia="en-GB"/>
              <w14:ligatures w14:val="standardContextual"/>
            </w:rPr>
          </w:pPr>
          <w:hyperlink w:anchor="_Toc189229717" w:history="1">
            <w:r w:rsidRPr="00ED7C5F">
              <w:rPr>
                <w:rStyle w:val="Hyperlink"/>
                <w:noProof/>
              </w:rPr>
              <w:t>6</w:t>
            </w:r>
            <w:r>
              <w:rPr>
                <w:rFonts w:asciiTheme="minorHAnsi" w:hAnsiTheme="minorHAnsi" w:cstheme="minorBidi"/>
                <w:noProof/>
                <w:kern w:val="2"/>
                <w:szCs w:val="24"/>
                <w:lang w:val="en-GB" w:eastAsia="en-GB"/>
                <w14:ligatures w14:val="standardContextual"/>
              </w:rPr>
              <w:tab/>
            </w:r>
            <w:r w:rsidRPr="00ED7C5F">
              <w:rPr>
                <w:rStyle w:val="Hyperlink"/>
                <w:noProof/>
              </w:rPr>
              <w:t>Discussion and conclusion</w:t>
            </w:r>
            <w:r>
              <w:rPr>
                <w:noProof/>
                <w:webHidden/>
              </w:rPr>
              <w:tab/>
            </w:r>
            <w:r>
              <w:rPr>
                <w:noProof/>
                <w:webHidden/>
              </w:rPr>
              <w:fldChar w:fldCharType="begin"/>
            </w:r>
            <w:r>
              <w:rPr>
                <w:noProof/>
                <w:webHidden/>
              </w:rPr>
              <w:instrText xml:space="preserve"> PAGEREF _Toc189229717 \h </w:instrText>
            </w:r>
            <w:r>
              <w:rPr>
                <w:noProof/>
                <w:webHidden/>
              </w:rPr>
            </w:r>
            <w:r>
              <w:rPr>
                <w:noProof/>
                <w:webHidden/>
              </w:rPr>
              <w:fldChar w:fldCharType="separate"/>
            </w:r>
            <w:r>
              <w:rPr>
                <w:noProof/>
                <w:webHidden/>
              </w:rPr>
              <w:t>134</w:t>
            </w:r>
            <w:r>
              <w:rPr>
                <w:noProof/>
                <w:webHidden/>
              </w:rPr>
              <w:fldChar w:fldCharType="end"/>
            </w:r>
          </w:hyperlink>
        </w:p>
        <w:p w14:paraId="16497923" w14:textId="14F169DE"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18" w:history="1">
            <w:r w:rsidRPr="00ED7C5F">
              <w:rPr>
                <w:rStyle w:val="Hyperlink"/>
                <w:noProof/>
              </w:rPr>
              <w:t>6.1</w:t>
            </w:r>
            <w:r>
              <w:rPr>
                <w:rFonts w:asciiTheme="minorHAnsi" w:hAnsiTheme="minorHAnsi" w:cstheme="minorBidi"/>
                <w:noProof/>
                <w:kern w:val="2"/>
                <w:szCs w:val="24"/>
                <w:lang w:val="en-GB" w:eastAsia="en-GB"/>
                <w14:ligatures w14:val="standardContextual"/>
              </w:rPr>
              <w:tab/>
            </w:r>
            <w:r w:rsidRPr="00ED7C5F">
              <w:rPr>
                <w:rStyle w:val="Hyperlink"/>
                <w:noProof/>
              </w:rPr>
              <w:t>Summary of key findings</w:t>
            </w:r>
            <w:r>
              <w:rPr>
                <w:noProof/>
                <w:webHidden/>
              </w:rPr>
              <w:tab/>
            </w:r>
            <w:r>
              <w:rPr>
                <w:noProof/>
                <w:webHidden/>
              </w:rPr>
              <w:fldChar w:fldCharType="begin"/>
            </w:r>
            <w:r>
              <w:rPr>
                <w:noProof/>
                <w:webHidden/>
              </w:rPr>
              <w:instrText xml:space="preserve"> PAGEREF _Toc189229718 \h </w:instrText>
            </w:r>
            <w:r>
              <w:rPr>
                <w:noProof/>
                <w:webHidden/>
              </w:rPr>
            </w:r>
            <w:r>
              <w:rPr>
                <w:noProof/>
                <w:webHidden/>
              </w:rPr>
              <w:fldChar w:fldCharType="separate"/>
            </w:r>
            <w:r>
              <w:rPr>
                <w:noProof/>
                <w:webHidden/>
              </w:rPr>
              <w:t>134</w:t>
            </w:r>
            <w:r>
              <w:rPr>
                <w:noProof/>
                <w:webHidden/>
              </w:rPr>
              <w:fldChar w:fldCharType="end"/>
            </w:r>
          </w:hyperlink>
        </w:p>
        <w:p w14:paraId="1BB903AA" w14:textId="154F5A8A"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19" w:history="1">
            <w:r w:rsidRPr="00ED7C5F">
              <w:rPr>
                <w:rStyle w:val="Hyperlink"/>
                <w:noProof/>
              </w:rPr>
              <w:t>6.2</w:t>
            </w:r>
            <w:r>
              <w:rPr>
                <w:rFonts w:asciiTheme="minorHAnsi" w:hAnsiTheme="minorHAnsi" w:cstheme="minorBidi"/>
                <w:noProof/>
                <w:kern w:val="2"/>
                <w:szCs w:val="24"/>
                <w:lang w:val="en-GB" w:eastAsia="en-GB"/>
                <w14:ligatures w14:val="standardContextual"/>
              </w:rPr>
              <w:tab/>
            </w:r>
            <w:r w:rsidRPr="00ED7C5F">
              <w:rPr>
                <w:rStyle w:val="Hyperlink"/>
                <w:noProof/>
              </w:rPr>
              <w:t>Interpretation of findings and their implications</w:t>
            </w:r>
            <w:r>
              <w:rPr>
                <w:noProof/>
                <w:webHidden/>
              </w:rPr>
              <w:tab/>
            </w:r>
            <w:r>
              <w:rPr>
                <w:noProof/>
                <w:webHidden/>
              </w:rPr>
              <w:fldChar w:fldCharType="begin"/>
            </w:r>
            <w:r>
              <w:rPr>
                <w:noProof/>
                <w:webHidden/>
              </w:rPr>
              <w:instrText xml:space="preserve"> PAGEREF _Toc189229719 \h </w:instrText>
            </w:r>
            <w:r>
              <w:rPr>
                <w:noProof/>
                <w:webHidden/>
              </w:rPr>
            </w:r>
            <w:r>
              <w:rPr>
                <w:noProof/>
                <w:webHidden/>
              </w:rPr>
              <w:fldChar w:fldCharType="separate"/>
            </w:r>
            <w:r>
              <w:rPr>
                <w:noProof/>
                <w:webHidden/>
              </w:rPr>
              <w:t>137</w:t>
            </w:r>
            <w:r>
              <w:rPr>
                <w:noProof/>
                <w:webHidden/>
              </w:rPr>
              <w:fldChar w:fldCharType="end"/>
            </w:r>
          </w:hyperlink>
        </w:p>
        <w:p w14:paraId="23CE6355" w14:textId="6D94FA47" w:rsidR="006B573F" w:rsidRDefault="006B573F">
          <w:pPr>
            <w:pStyle w:val="TOC3"/>
            <w:tabs>
              <w:tab w:val="left" w:pos="1320"/>
              <w:tab w:val="right" w:leader="dot" w:pos="9016"/>
            </w:tabs>
            <w:rPr>
              <w:rFonts w:asciiTheme="minorHAnsi" w:hAnsiTheme="minorHAnsi" w:cstheme="minorBidi"/>
              <w:noProof/>
              <w:kern w:val="2"/>
              <w:szCs w:val="24"/>
              <w:lang w:val="en-GB" w:eastAsia="en-GB"/>
              <w14:ligatures w14:val="standardContextual"/>
            </w:rPr>
          </w:pPr>
          <w:hyperlink w:anchor="_Toc189229720" w:history="1">
            <w:r w:rsidRPr="00ED7C5F">
              <w:rPr>
                <w:rStyle w:val="Hyperlink"/>
                <w:noProof/>
              </w:rPr>
              <w:t>6.2.1</w:t>
            </w:r>
            <w:r>
              <w:rPr>
                <w:rFonts w:asciiTheme="minorHAnsi" w:hAnsiTheme="minorHAnsi" w:cstheme="minorBidi"/>
                <w:noProof/>
                <w:kern w:val="2"/>
                <w:szCs w:val="24"/>
                <w:lang w:val="en-GB" w:eastAsia="en-GB"/>
                <w14:ligatures w14:val="standardContextual"/>
              </w:rPr>
              <w:tab/>
            </w:r>
            <w:r w:rsidRPr="00ED7C5F">
              <w:rPr>
                <w:rStyle w:val="Hyperlink"/>
                <w:noProof/>
              </w:rPr>
              <w:t>Recommendations to policy and decision-makers based on the findings and implications of this thesis</w:t>
            </w:r>
            <w:r>
              <w:rPr>
                <w:noProof/>
                <w:webHidden/>
              </w:rPr>
              <w:tab/>
            </w:r>
            <w:r>
              <w:rPr>
                <w:noProof/>
                <w:webHidden/>
              </w:rPr>
              <w:fldChar w:fldCharType="begin"/>
            </w:r>
            <w:r>
              <w:rPr>
                <w:noProof/>
                <w:webHidden/>
              </w:rPr>
              <w:instrText xml:space="preserve"> PAGEREF _Toc189229720 \h </w:instrText>
            </w:r>
            <w:r>
              <w:rPr>
                <w:noProof/>
                <w:webHidden/>
              </w:rPr>
            </w:r>
            <w:r>
              <w:rPr>
                <w:noProof/>
                <w:webHidden/>
              </w:rPr>
              <w:fldChar w:fldCharType="separate"/>
            </w:r>
            <w:r>
              <w:rPr>
                <w:noProof/>
                <w:webHidden/>
              </w:rPr>
              <w:t>141</w:t>
            </w:r>
            <w:r>
              <w:rPr>
                <w:noProof/>
                <w:webHidden/>
              </w:rPr>
              <w:fldChar w:fldCharType="end"/>
            </w:r>
          </w:hyperlink>
        </w:p>
        <w:p w14:paraId="3FC56DCC" w14:textId="22738386"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21" w:history="1">
            <w:r w:rsidRPr="00ED7C5F">
              <w:rPr>
                <w:rStyle w:val="Hyperlink"/>
                <w:noProof/>
              </w:rPr>
              <w:t>6.3</w:t>
            </w:r>
            <w:r>
              <w:rPr>
                <w:rFonts w:asciiTheme="minorHAnsi" w:hAnsiTheme="minorHAnsi" w:cstheme="minorBidi"/>
                <w:noProof/>
                <w:kern w:val="2"/>
                <w:szCs w:val="24"/>
                <w:lang w:val="en-GB" w:eastAsia="en-GB"/>
                <w14:ligatures w14:val="standardContextual"/>
              </w:rPr>
              <w:tab/>
            </w:r>
            <w:r w:rsidRPr="00ED7C5F">
              <w:rPr>
                <w:rStyle w:val="Hyperlink"/>
                <w:noProof/>
              </w:rPr>
              <w:t>Strengths of this thesis</w:t>
            </w:r>
            <w:r>
              <w:rPr>
                <w:noProof/>
                <w:webHidden/>
              </w:rPr>
              <w:tab/>
            </w:r>
            <w:r>
              <w:rPr>
                <w:noProof/>
                <w:webHidden/>
              </w:rPr>
              <w:fldChar w:fldCharType="begin"/>
            </w:r>
            <w:r>
              <w:rPr>
                <w:noProof/>
                <w:webHidden/>
              </w:rPr>
              <w:instrText xml:space="preserve"> PAGEREF _Toc189229721 \h </w:instrText>
            </w:r>
            <w:r>
              <w:rPr>
                <w:noProof/>
                <w:webHidden/>
              </w:rPr>
            </w:r>
            <w:r>
              <w:rPr>
                <w:noProof/>
                <w:webHidden/>
              </w:rPr>
              <w:fldChar w:fldCharType="separate"/>
            </w:r>
            <w:r>
              <w:rPr>
                <w:noProof/>
                <w:webHidden/>
              </w:rPr>
              <w:t>142</w:t>
            </w:r>
            <w:r>
              <w:rPr>
                <w:noProof/>
                <w:webHidden/>
              </w:rPr>
              <w:fldChar w:fldCharType="end"/>
            </w:r>
          </w:hyperlink>
        </w:p>
        <w:p w14:paraId="1412149D" w14:textId="360EDB2C"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22" w:history="1">
            <w:r w:rsidRPr="00ED7C5F">
              <w:rPr>
                <w:rStyle w:val="Hyperlink"/>
                <w:noProof/>
              </w:rPr>
              <w:t>6.4</w:t>
            </w:r>
            <w:r>
              <w:rPr>
                <w:rFonts w:asciiTheme="minorHAnsi" w:hAnsiTheme="minorHAnsi" w:cstheme="minorBidi"/>
                <w:noProof/>
                <w:kern w:val="2"/>
                <w:szCs w:val="24"/>
                <w:lang w:val="en-GB" w:eastAsia="en-GB"/>
                <w14:ligatures w14:val="standardContextual"/>
              </w:rPr>
              <w:tab/>
            </w:r>
            <w:r w:rsidRPr="00ED7C5F">
              <w:rPr>
                <w:rStyle w:val="Hyperlink"/>
                <w:noProof/>
              </w:rPr>
              <w:t>Limitations and recommendations for future research</w:t>
            </w:r>
            <w:r>
              <w:rPr>
                <w:noProof/>
                <w:webHidden/>
              </w:rPr>
              <w:tab/>
            </w:r>
            <w:r>
              <w:rPr>
                <w:noProof/>
                <w:webHidden/>
              </w:rPr>
              <w:fldChar w:fldCharType="begin"/>
            </w:r>
            <w:r>
              <w:rPr>
                <w:noProof/>
                <w:webHidden/>
              </w:rPr>
              <w:instrText xml:space="preserve"> PAGEREF _Toc189229722 \h </w:instrText>
            </w:r>
            <w:r>
              <w:rPr>
                <w:noProof/>
                <w:webHidden/>
              </w:rPr>
            </w:r>
            <w:r>
              <w:rPr>
                <w:noProof/>
                <w:webHidden/>
              </w:rPr>
              <w:fldChar w:fldCharType="separate"/>
            </w:r>
            <w:r>
              <w:rPr>
                <w:noProof/>
                <w:webHidden/>
              </w:rPr>
              <w:t>144</w:t>
            </w:r>
            <w:r>
              <w:rPr>
                <w:noProof/>
                <w:webHidden/>
              </w:rPr>
              <w:fldChar w:fldCharType="end"/>
            </w:r>
          </w:hyperlink>
        </w:p>
        <w:p w14:paraId="14AD74EC" w14:textId="5031EDE3" w:rsidR="006B573F" w:rsidRDefault="006B573F">
          <w:pPr>
            <w:pStyle w:val="TOC2"/>
            <w:tabs>
              <w:tab w:val="left" w:pos="880"/>
              <w:tab w:val="right" w:leader="dot" w:pos="9016"/>
            </w:tabs>
            <w:rPr>
              <w:rFonts w:asciiTheme="minorHAnsi" w:hAnsiTheme="minorHAnsi" w:cstheme="minorBidi"/>
              <w:noProof/>
              <w:kern w:val="2"/>
              <w:szCs w:val="24"/>
              <w:lang w:val="en-GB" w:eastAsia="en-GB"/>
              <w14:ligatures w14:val="standardContextual"/>
            </w:rPr>
          </w:pPr>
          <w:hyperlink w:anchor="_Toc189229723" w:history="1">
            <w:r w:rsidRPr="00ED7C5F">
              <w:rPr>
                <w:rStyle w:val="Hyperlink"/>
                <w:noProof/>
              </w:rPr>
              <w:t>6.5</w:t>
            </w:r>
            <w:r>
              <w:rPr>
                <w:rFonts w:asciiTheme="minorHAnsi" w:hAnsiTheme="minorHAnsi" w:cstheme="minorBidi"/>
                <w:noProof/>
                <w:kern w:val="2"/>
                <w:szCs w:val="24"/>
                <w:lang w:val="en-GB" w:eastAsia="en-GB"/>
                <w14:ligatures w14:val="standardContextual"/>
              </w:rPr>
              <w:tab/>
            </w:r>
            <w:r w:rsidRPr="00ED7C5F">
              <w:rPr>
                <w:rStyle w:val="Hyperlink"/>
                <w:noProof/>
              </w:rPr>
              <w:t>Conclusion</w:t>
            </w:r>
            <w:r>
              <w:rPr>
                <w:noProof/>
                <w:webHidden/>
              </w:rPr>
              <w:tab/>
            </w:r>
            <w:r>
              <w:rPr>
                <w:noProof/>
                <w:webHidden/>
              </w:rPr>
              <w:fldChar w:fldCharType="begin"/>
            </w:r>
            <w:r>
              <w:rPr>
                <w:noProof/>
                <w:webHidden/>
              </w:rPr>
              <w:instrText xml:space="preserve"> PAGEREF _Toc189229723 \h </w:instrText>
            </w:r>
            <w:r>
              <w:rPr>
                <w:noProof/>
                <w:webHidden/>
              </w:rPr>
            </w:r>
            <w:r>
              <w:rPr>
                <w:noProof/>
                <w:webHidden/>
              </w:rPr>
              <w:fldChar w:fldCharType="separate"/>
            </w:r>
            <w:r>
              <w:rPr>
                <w:noProof/>
                <w:webHidden/>
              </w:rPr>
              <w:t>148</w:t>
            </w:r>
            <w:r>
              <w:rPr>
                <w:noProof/>
                <w:webHidden/>
              </w:rPr>
              <w:fldChar w:fldCharType="end"/>
            </w:r>
          </w:hyperlink>
        </w:p>
        <w:p w14:paraId="5D6B49D0" w14:textId="12B6F7CC" w:rsidR="006B573F" w:rsidRDefault="006B573F">
          <w:pPr>
            <w:pStyle w:val="TOC1"/>
            <w:tabs>
              <w:tab w:val="right" w:leader="dot" w:pos="9016"/>
            </w:tabs>
            <w:rPr>
              <w:rFonts w:asciiTheme="minorHAnsi" w:hAnsiTheme="minorHAnsi" w:cstheme="minorBidi"/>
              <w:noProof/>
              <w:kern w:val="2"/>
              <w:szCs w:val="24"/>
              <w:lang w:val="en-GB" w:eastAsia="en-GB"/>
              <w14:ligatures w14:val="standardContextual"/>
            </w:rPr>
          </w:pPr>
          <w:hyperlink w:anchor="_Toc189229724" w:history="1">
            <w:r w:rsidRPr="00ED7C5F">
              <w:rPr>
                <w:rStyle w:val="Hyperlink"/>
                <w:noProof/>
              </w:rPr>
              <w:t>References</w:t>
            </w:r>
            <w:r>
              <w:rPr>
                <w:noProof/>
                <w:webHidden/>
              </w:rPr>
              <w:tab/>
            </w:r>
            <w:r>
              <w:rPr>
                <w:noProof/>
                <w:webHidden/>
              </w:rPr>
              <w:fldChar w:fldCharType="begin"/>
            </w:r>
            <w:r>
              <w:rPr>
                <w:noProof/>
                <w:webHidden/>
              </w:rPr>
              <w:instrText xml:space="preserve"> PAGEREF _Toc189229724 \h </w:instrText>
            </w:r>
            <w:r>
              <w:rPr>
                <w:noProof/>
                <w:webHidden/>
              </w:rPr>
            </w:r>
            <w:r>
              <w:rPr>
                <w:noProof/>
                <w:webHidden/>
              </w:rPr>
              <w:fldChar w:fldCharType="separate"/>
            </w:r>
            <w:r>
              <w:rPr>
                <w:noProof/>
                <w:webHidden/>
              </w:rPr>
              <w:t>150</w:t>
            </w:r>
            <w:r>
              <w:rPr>
                <w:noProof/>
                <w:webHidden/>
              </w:rPr>
              <w:fldChar w:fldCharType="end"/>
            </w:r>
          </w:hyperlink>
        </w:p>
        <w:p w14:paraId="77FBA6B9" w14:textId="065A26FA" w:rsidR="006B573F" w:rsidRDefault="006B573F">
          <w:pPr>
            <w:pStyle w:val="TOC1"/>
            <w:tabs>
              <w:tab w:val="left" w:pos="1540"/>
              <w:tab w:val="right" w:leader="dot" w:pos="9016"/>
            </w:tabs>
            <w:rPr>
              <w:rFonts w:asciiTheme="minorHAnsi" w:hAnsiTheme="minorHAnsi" w:cstheme="minorBidi"/>
              <w:noProof/>
              <w:kern w:val="2"/>
              <w:szCs w:val="24"/>
              <w:lang w:val="en-GB" w:eastAsia="en-GB"/>
              <w14:ligatures w14:val="standardContextual"/>
            </w:rPr>
          </w:pPr>
          <w:hyperlink w:anchor="_Toc189229725" w:history="1">
            <w:r w:rsidRPr="00ED7C5F">
              <w:rPr>
                <w:rStyle w:val="Hyperlink"/>
                <w:noProof/>
              </w:rPr>
              <w:t>Appendix A</w:t>
            </w:r>
            <w:r>
              <w:rPr>
                <w:rFonts w:asciiTheme="minorHAnsi" w:hAnsiTheme="minorHAnsi" w:cstheme="minorBidi"/>
                <w:noProof/>
                <w:kern w:val="2"/>
                <w:szCs w:val="24"/>
                <w:lang w:val="en-GB" w:eastAsia="en-GB"/>
                <w14:ligatures w14:val="standardContextual"/>
              </w:rPr>
              <w:tab/>
            </w:r>
            <w:r w:rsidRPr="00ED7C5F">
              <w:rPr>
                <w:rStyle w:val="Hyperlink"/>
                <w:noProof/>
              </w:rPr>
              <w:t>Studies included in literature review submitted for confirmation review July 2019 (updated)</w:t>
            </w:r>
            <w:r>
              <w:rPr>
                <w:noProof/>
                <w:webHidden/>
              </w:rPr>
              <w:tab/>
            </w:r>
            <w:r>
              <w:rPr>
                <w:noProof/>
                <w:webHidden/>
              </w:rPr>
              <w:fldChar w:fldCharType="begin"/>
            </w:r>
            <w:r>
              <w:rPr>
                <w:noProof/>
                <w:webHidden/>
              </w:rPr>
              <w:instrText xml:space="preserve"> PAGEREF _Toc189229725 \h </w:instrText>
            </w:r>
            <w:r>
              <w:rPr>
                <w:noProof/>
                <w:webHidden/>
              </w:rPr>
            </w:r>
            <w:r>
              <w:rPr>
                <w:noProof/>
                <w:webHidden/>
              </w:rPr>
              <w:fldChar w:fldCharType="separate"/>
            </w:r>
            <w:r>
              <w:rPr>
                <w:noProof/>
                <w:webHidden/>
              </w:rPr>
              <w:t>174</w:t>
            </w:r>
            <w:r>
              <w:rPr>
                <w:noProof/>
                <w:webHidden/>
              </w:rPr>
              <w:fldChar w:fldCharType="end"/>
            </w:r>
          </w:hyperlink>
        </w:p>
        <w:p w14:paraId="0C37F235" w14:textId="065690F3" w:rsidR="006B573F" w:rsidRDefault="006B573F">
          <w:pPr>
            <w:pStyle w:val="TOC2"/>
            <w:tabs>
              <w:tab w:val="right" w:leader="dot" w:pos="9016"/>
            </w:tabs>
            <w:rPr>
              <w:rFonts w:asciiTheme="minorHAnsi" w:hAnsiTheme="minorHAnsi" w:cstheme="minorBidi"/>
              <w:noProof/>
              <w:kern w:val="2"/>
              <w:szCs w:val="24"/>
              <w:lang w:val="en-GB" w:eastAsia="en-GB"/>
              <w14:ligatures w14:val="standardContextual"/>
            </w:rPr>
          </w:pPr>
          <w:hyperlink w:anchor="_Toc189229726" w:history="1">
            <w:r w:rsidRPr="00ED7C5F">
              <w:rPr>
                <w:rStyle w:val="Hyperlink"/>
                <w:noProof/>
              </w:rPr>
              <w:t>Introduction</w:t>
            </w:r>
            <w:r>
              <w:rPr>
                <w:noProof/>
                <w:webHidden/>
              </w:rPr>
              <w:tab/>
            </w:r>
            <w:r>
              <w:rPr>
                <w:noProof/>
                <w:webHidden/>
              </w:rPr>
              <w:fldChar w:fldCharType="begin"/>
            </w:r>
            <w:r>
              <w:rPr>
                <w:noProof/>
                <w:webHidden/>
              </w:rPr>
              <w:instrText xml:space="preserve"> PAGEREF _Toc189229726 \h </w:instrText>
            </w:r>
            <w:r>
              <w:rPr>
                <w:noProof/>
                <w:webHidden/>
              </w:rPr>
            </w:r>
            <w:r>
              <w:rPr>
                <w:noProof/>
                <w:webHidden/>
              </w:rPr>
              <w:fldChar w:fldCharType="separate"/>
            </w:r>
            <w:r>
              <w:rPr>
                <w:noProof/>
                <w:webHidden/>
              </w:rPr>
              <w:t>174</w:t>
            </w:r>
            <w:r>
              <w:rPr>
                <w:noProof/>
                <w:webHidden/>
              </w:rPr>
              <w:fldChar w:fldCharType="end"/>
            </w:r>
          </w:hyperlink>
        </w:p>
        <w:p w14:paraId="59539D6A" w14:textId="1D476F66" w:rsidR="006B573F" w:rsidRDefault="006B573F">
          <w:pPr>
            <w:pStyle w:val="TOC2"/>
            <w:tabs>
              <w:tab w:val="right" w:leader="dot" w:pos="9016"/>
            </w:tabs>
            <w:rPr>
              <w:rFonts w:asciiTheme="minorHAnsi" w:hAnsiTheme="minorHAnsi" w:cstheme="minorBidi"/>
              <w:noProof/>
              <w:kern w:val="2"/>
              <w:szCs w:val="24"/>
              <w:lang w:val="en-GB" w:eastAsia="en-GB"/>
              <w14:ligatures w14:val="standardContextual"/>
            </w:rPr>
          </w:pPr>
          <w:hyperlink w:anchor="_Toc189229727" w:history="1">
            <w:r w:rsidRPr="00ED7C5F">
              <w:rPr>
                <w:rStyle w:val="Hyperlink"/>
                <w:noProof/>
              </w:rPr>
              <w:t>Methods</w:t>
            </w:r>
            <w:r>
              <w:rPr>
                <w:noProof/>
                <w:webHidden/>
              </w:rPr>
              <w:tab/>
            </w:r>
            <w:r>
              <w:rPr>
                <w:noProof/>
                <w:webHidden/>
              </w:rPr>
              <w:fldChar w:fldCharType="begin"/>
            </w:r>
            <w:r>
              <w:rPr>
                <w:noProof/>
                <w:webHidden/>
              </w:rPr>
              <w:instrText xml:space="preserve"> PAGEREF _Toc189229727 \h </w:instrText>
            </w:r>
            <w:r>
              <w:rPr>
                <w:noProof/>
                <w:webHidden/>
              </w:rPr>
            </w:r>
            <w:r>
              <w:rPr>
                <w:noProof/>
                <w:webHidden/>
              </w:rPr>
              <w:fldChar w:fldCharType="separate"/>
            </w:r>
            <w:r>
              <w:rPr>
                <w:noProof/>
                <w:webHidden/>
              </w:rPr>
              <w:t>174</w:t>
            </w:r>
            <w:r>
              <w:rPr>
                <w:noProof/>
                <w:webHidden/>
              </w:rPr>
              <w:fldChar w:fldCharType="end"/>
            </w:r>
          </w:hyperlink>
        </w:p>
        <w:p w14:paraId="77CAD441" w14:textId="40D9668C" w:rsidR="006B573F" w:rsidRDefault="006B573F">
          <w:pPr>
            <w:pStyle w:val="TOC3"/>
            <w:tabs>
              <w:tab w:val="right" w:leader="dot" w:pos="9016"/>
            </w:tabs>
            <w:rPr>
              <w:rFonts w:asciiTheme="minorHAnsi" w:hAnsiTheme="minorHAnsi" w:cstheme="minorBidi"/>
              <w:noProof/>
              <w:kern w:val="2"/>
              <w:szCs w:val="24"/>
              <w:lang w:val="en-GB" w:eastAsia="en-GB"/>
              <w14:ligatures w14:val="standardContextual"/>
            </w:rPr>
          </w:pPr>
          <w:hyperlink w:anchor="_Toc189229728" w:history="1">
            <w:r w:rsidRPr="00ED7C5F">
              <w:rPr>
                <w:rStyle w:val="Hyperlink"/>
                <w:noProof/>
              </w:rPr>
              <w:t>Search and eligibility criteria</w:t>
            </w:r>
            <w:r>
              <w:rPr>
                <w:noProof/>
                <w:webHidden/>
              </w:rPr>
              <w:tab/>
            </w:r>
            <w:r>
              <w:rPr>
                <w:noProof/>
                <w:webHidden/>
              </w:rPr>
              <w:fldChar w:fldCharType="begin"/>
            </w:r>
            <w:r>
              <w:rPr>
                <w:noProof/>
                <w:webHidden/>
              </w:rPr>
              <w:instrText xml:space="preserve"> PAGEREF _Toc189229728 \h </w:instrText>
            </w:r>
            <w:r>
              <w:rPr>
                <w:noProof/>
                <w:webHidden/>
              </w:rPr>
            </w:r>
            <w:r>
              <w:rPr>
                <w:noProof/>
                <w:webHidden/>
              </w:rPr>
              <w:fldChar w:fldCharType="separate"/>
            </w:r>
            <w:r>
              <w:rPr>
                <w:noProof/>
                <w:webHidden/>
              </w:rPr>
              <w:t>174</w:t>
            </w:r>
            <w:r>
              <w:rPr>
                <w:noProof/>
                <w:webHidden/>
              </w:rPr>
              <w:fldChar w:fldCharType="end"/>
            </w:r>
          </w:hyperlink>
        </w:p>
        <w:p w14:paraId="3B3DBF45" w14:textId="311574D2" w:rsidR="006B573F" w:rsidRDefault="006B573F">
          <w:pPr>
            <w:pStyle w:val="TOC3"/>
            <w:tabs>
              <w:tab w:val="right" w:leader="dot" w:pos="9016"/>
            </w:tabs>
            <w:rPr>
              <w:rFonts w:asciiTheme="minorHAnsi" w:hAnsiTheme="minorHAnsi" w:cstheme="minorBidi"/>
              <w:noProof/>
              <w:kern w:val="2"/>
              <w:szCs w:val="24"/>
              <w:lang w:val="en-GB" w:eastAsia="en-GB"/>
              <w14:ligatures w14:val="standardContextual"/>
            </w:rPr>
          </w:pPr>
          <w:hyperlink w:anchor="_Toc189229729" w:history="1">
            <w:r w:rsidRPr="00ED7C5F">
              <w:rPr>
                <w:rStyle w:val="Hyperlink"/>
                <w:noProof/>
              </w:rPr>
              <w:t>Quality assessment</w:t>
            </w:r>
            <w:r>
              <w:rPr>
                <w:noProof/>
                <w:webHidden/>
              </w:rPr>
              <w:tab/>
            </w:r>
            <w:r>
              <w:rPr>
                <w:noProof/>
                <w:webHidden/>
              </w:rPr>
              <w:fldChar w:fldCharType="begin"/>
            </w:r>
            <w:r>
              <w:rPr>
                <w:noProof/>
                <w:webHidden/>
              </w:rPr>
              <w:instrText xml:space="preserve"> PAGEREF _Toc189229729 \h </w:instrText>
            </w:r>
            <w:r>
              <w:rPr>
                <w:noProof/>
                <w:webHidden/>
              </w:rPr>
            </w:r>
            <w:r>
              <w:rPr>
                <w:noProof/>
                <w:webHidden/>
              </w:rPr>
              <w:fldChar w:fldCharType="separate"/>
            </w:r>
            <w:r>
              <w:rPr>
                <w:noProof/>
                <w:webHidden/>
              </w:rPr>
              <w:t>175</w:t>
            </w:r>
            <w:r>
              <w:rPr>
                <w:noProof/>
                <w:webHidden/>
              </w:rPr>
              <w:fldChar w:fldCharType="end"/>
            </w:r>
          </w:hyperlink>
        </w:p>
        <w:p w14:paraId="4ADF8512" w14:textId="7A790C59" w:rsidR="006B573F" w:rsidRDefault="006B573F">
          <w:pPr>
            <w:pStyle w:val="TOC2"/>
            <w:tabs>
              <w:tab w:val="right" w:leader="dot" w:pos="9016"/>
            </w:tabs>
            <w:rPr>
              <w:rFonts w:asciiTheme="minorHAnsi" w:hAnsiTheme="minorHAnsi" w:cstheme="minorBidi"/>
              <w:noProof/>
              <w:kern w:val="2"/>
              <w:szCs w:val="24"/>
              <w:lang w:val="en-GB" w:eastAsia="en-GB"/>
              <w14:ligatures w14:val="standardContextual"/>
            </w:rPr>
          </w:pPr>
          <w:hyperlink w:anchor="_Toc189229730" w:history="1">
            <w:r w:rsidRPr="00ED7C5F">
              <w:rPr>
                <w:rStyle w:val="Hyperlink"/>
                <w:noProof/>
              </w:rPr>
              <w:t>Results</w:t>
            </w:r>
            <w:r>
              <w:rPr>
                <w:noProof/>
                <w:webHidden/>
              </w:rPr>
              <w:tab/>
            </w:r>
            <w:r>
              <w:rPr>
                <w:noProof/>
                <w:webHidden/>
              </w:rPr>
              <w:fldChar w:fldCharType="begin"/>
            </w:r>
            <w:r>
              <w:rPr>
                <w:noProof/>
                <w:webHidden/>
              </w:rPr>
              <w:instrText xml:space="preserve"> PAGEREF _Toc189229730 \h </w:instrText>
            </w:r>
            <w:r>
              <w:rPr>
                <w:noProof/>
                <w:webHidden/>
              </w:rPr>
            </w:r>
            <w:r>
              <w:rPr>
                <w:noProof/>
                <w:webHidden/>
              </w:rPr>
              <w:fldChar w:fldCharType="separate"/>
            </w:r>
            <w:r>
              <w:rPr>
                <w:noProof/>
                <w:webHidden/>
              </w:rPr>
              <w:t>177</w:t>
            </w:r>
            <w:r>
              <w:rPr>
                <w:noProof/>
                <w:webHidden/>
              </w:rPr>
              <w:fldChar w:fldCharType="end"/>
            </w:r>
          </w:hyperlink>
        </w:p>
        <w:p w14:paraId="7C00D68E" w14:textId="2C4FA5B8" w:rsidR="006B573F" w:rsidRDefault="006B573F">
          <w:pPr>
            <w:pStyle w:val="TOC3"/>
            <w:tabs>
              <w:tab w:val="right" w:leader="dot" w:pos="9016"/>
            </w:tabs>
            <w:rPr>
              <w:rFonts w:asciiTheme="minorHAnsi" w:hAnsiTheme="minorHAnsi" w:cstheme="minorBidi"/>
              <w:noProof/>
              <w:kern w:val="2"/>
              <w:szCs w:val="24"/>
              <w:lang w:val="en-GB" w:eastAsia="en-GB"/>
              <w14:ligatures w14:val="standardContextual"/>
            </w:rPr>
          </w:pPr>
          <w:hyperlink w:anchor="_Toc189229731" w:history="1">
            <w:r w:rsidRPr="00ED7C5F">
              <w:rPr>
                <w:rStyle w:val="Hyperlink"/>
                <w:noProof/>
              </w:rPr>
              <w:t>Characteristics of studies</w:t>
            </w:r>
            <w:r>
              <w:rPr>
                <w:noProof/>
                <w:webHidden/>
              </w:rPr>
              <w:tab/>
            </w:r>
            <w:r>
              <w:rPr>
                <w:noProof/>
                <w:webHidden/>
              </w:rPr>
              <w:fldChar w:fldCharType="begin"/>
            </w:r>
            <w:r>
              <w:rPr>
                <w:noProof/>
                <w:webHidden/>
              </w:rPr>
              <w:instrText xml:space="preserve"> PAGEREF _Toc189229731 \h </w:instrText>
            </w:r>
            <w:r>
              <w:rPr>
                <w:noProof/>
                <w:webHidden/>
              </w:rPr>
            </w:r>
            <w:r>
              <w:rPr>
                <w:noProof/>
                <w:webHidden/>
              </w:rPr>
              <w:fldChar w:fldCharType="separate"/>
            </w:r>
            <w:r>
              <w:rPr>
                <w:noProof/>
                <w:webHidden/>
              </w:rPr>
              <w:t>177</w:t>
            </w:r>
            <w:r>
              <w:rPr>
                <w:noProof/>
                <w:webHidden/>
              </w:rPr>
              <w:fldChar w:fldCharType="end"/>
            </w:r>
          </w:hyperlink>
        </w:p>
        <w:p w14:paraId="47340FAE" w14:textId="3FD1F144" w:rsidR="006B573F" w:rsidRDefault="006B573F">
          <w:pPr>
            <w:pStyle w:val="TOC3"/>
            <w:tabs>
              <w:tab w:val="right" w:leader="dot" w:pos="9016"/>
            </w:tabs>
            <w:rPr>
              <w:rFonts w:asciiTheme="minorHAnsi" w:hAnsiTheme="minorHAnsi" w:cstheme="minorBidi"/>
              <w:noProof/>
              <w:kern w:val="2"/>
              <w:szCs w:val="24"/>
              <w:lang w:val="en-GB" w:eastAsia="en-GB"/>
              <w14:ligatures w14:val="standardContextual"/>
            </w:rPr>
          </w:pPr>
          <w:hyperlink w:anchor="_Toc189229732" w:history="1">
            <w:r w:rsidRPr="00ED7C5F">
              <w:rPr>
                <w:rStyle w:val="Hyperlink"/>
                <w:noProof/>
              </w:rPr>
              <w:t>Specialist treatment: summary of evidence</w:t>
            </w:r>
            <w:r>
              <w:rPr>
                <w:noProof/>
                <w:webHidden/>
              </w:rPr>
              <w:tab/>
            </w:r>
            <w:r>
              <w:rPr>
                <w:noProof/>
                <w:webHidden/>
              </w:rPr>
              <w:fldChar w:fldCharType="begin"/>
            </w:r>
            <w:r>
              <w:rPr>
                <w:noProof/>
                <w:webHidden/>
              </w:rPr>
              <w:instrText xml:space="preserve"> PAGEREF _Toc189229732 \h </w:instrText>
            </w:r>
            <w:r>
              <w:rPr>
                <w:noProof/>
                <w:webHidden/>
              </w:rPr>
            </w:r>
            <w:r>
              <w:rPr>
                <w:noProof/>
                <w:webHidden/>
              </w:rPr>
              <w:fldChar w:fldCharType="separate"/>
            </w:r>
            <w:r>
              <w:rPr>
                <w:noProof/>
                <w:webHidden/>
              </w:rPr>
              <w:t>203</w:t>
            </w:r>
            <w:r>
              <w:rPr>
                <w:noProof/>
                <w:webHidden/>
              </w:rPr>
              <w:fldChar w:fldCharType="end"/>
            </w:r>
          </w:hyperlink>
        </w:p>
        <w:p w14:paraId="334A570F" w14:textId="428E9208" w:rsidR="006B573F" w:rsidRDefault="006B573F">
          <w:pPr>
            <w:pStyle w:val="TOC3"/>
            <w:tabs>
              <w:tab w:val="right" w:leader="dot" w:pos="9016"/>
            </w:tabs>
            <w:rPr>
              <w:rFonts w:asciiTheme="minorHAnsi" w:hAnsiTheme="minorHAnsi" w:cstheme="minorBidi"/>
              <w:noProof/>
              <w:kern w:val="2"/>
              <w:szCs w:val="24"/>
              <w:lang w:val="en-GB" w:eastAsia="en-GB"/>
              <w14:ligatures w14:val="standardContextual"/>
            </w:rPr>
          </w:pPr>
          <w:hyperlink w:anchor="_Toc189229733" w:history="1">
            <w:r w:rsidRPr="00ED7C5F">
              <w:rPr>
                <w:rStyle w:val="Hyperlink"/>
                <w:noProof/>
              </w:rPr>
              <w:t>Specialist treatment plus a parenting intervention: summary of evidence</w:t>
            </w:r>
            <w:r>
              <w:rPr>
                <w:noProof/>
                <w:webHidden/>
              </w:rPr>
              <w:tab/>
            </w:r>
            <w:r>
              <w:rPr>
                <w:noProof/>
                <w:webHidden/>
              </w:rPr>
              <w:fldChar w:fldCharType="begin"/>
            </w:r>
            <w:r>
              <w:rPr>
                <w:noProof/>
                <w:webHidden/>
              </w:rPr>
              <w:instrText xml:space="preserve"> PAGEREF _Toc189229733 \h </w:instrText>
            </w:r>
            <w:r>
              <w:rPr>
                <w:noProof/>
                <w:webHidden/>
              </w:rPr>
            </w:r>
            <w:r>
              <w:rPr>
                <w:noProof/>
                <w:webHidden/>
              </w:rPr>
              <w:fldChar w:fldCharType="separate"/>
            </w:r>
            <w:r>
              <w:rPr>
                <w:noProof/>
                <w:webHidden/>
              </w:rPr>
              <w:t>207</w:t>
            </w:r>
            <w:r>
              <w:rPr>
                <w:noProof/>
                <w:webHidden/>
              </w:rPr>
              <w:fldChar w:fldCharType="end"/>
            </w:r>
          </w:hyperlink>
        </w:p>
        <w:p w14:paraId="45FAB3EA" w14:textId="6B0A6874" w:rsidR="006B573F" w:rsidRDefault="006B573F">
          <w:pPr>
            <w:pStyle w:val="TOC3"/>
            <w:tabs>
              <w:tab w:val="right" w:leader="dot" w:pos="9016"/>
            </w:tabs>
            <w:rPr>
              <w:rFonts w:asciiTheme="minorHAnsi" w:hAnsiTheme="minorHAnsi" w:cstheme="minorBidi"/>
              <w:noProof/>
              <w:kern w:val="2"/>
              <w:szCs w:val="24"/>
              <w:lang w:val="en-GB" w:eastAsia="en-GB"/>
              <w14:ligatures w14:val="standardContextual"/>
            </w:rPr>
          </w:pPr>
          <w:hyperlink w:anchor="_Toc189229734" w:history="1">
            <w:r w:rsidRPr="00ED7C5F">
              <w:rPr>
                <w:rStyle w:val="Hyperlink"/>
                <w:noProof/>
              </w:rPr>
              <w:t>Specialist treatment plus statutory child welfare support: summary of evidence</w:t>
            </w:r>
            <w:r>
              <w:rPr>
                <w:noProof/>
                <w:webHidden/>
              </w:rPr>
              <w:tab/>
            </w:r>
            <w:r>
              <w:rPr>
                <w:noProof/>
                <w:webHidden/>
              </w:rPr>
              <w:fldChar w:fldCharType="begin"/>
            </w:r>
            <w:r>
              <w:rPr>
                <w:noProof/>
                <w:webHidden/>
              </w:rPr>
              <w:instrText xml:space="preserve"> PAGEREF _Toc189229734 \h </w:instrText>
            </w:r>
            <w:r>
              <w:rPr>
                <w:noProof/>
                <w:webHidden/>
              </w:rPr>
            </w:r>
            <w:r>
              <w:rPr>
                <w:noProof/>
                <w:webHidden/>
              </w:rPr>
              <w:fldChar w:fldCharType="separate"/>
            </w:r>
            <w:r>
              <w:rPr>
                <w:noProof/>
                <w:webHidden/>
              </w:rPr>
              <w:t>212</w:t>
            </w:r>
            <w:r>
              <w:rPr>
                <w:noProof/>
                <w:webHidden/>
              </w:rPr>
              <w:fldChar w:fldCharType="end"/>
            </w:r>
          </w:hyperlink>
        </w:p>
        <w:p w14:paraId="3DD4ED34" w14:textId="688D1F3C" w:rsidR="006B573F" w:rsidRDefault="006B573F">
          <w:pPr>
            <w:pStyle w:val="TOC2"/>
            <w:tabs>
              <w:tab w:val="right" w:leader="dot" w:pos="9016"/>
            </w:tabs>
            <w:rPr>
              <w:rFonts w:asciiTheme="minorHAnsi" w:hAnsiTheme="minorHAnsi" w:cstheme="minorBidi"/>
              <w:noProof/>
              <w:kern w:val="2"/>
              <w:szCs w:val="24"/>
              <w:lang w:val="en-GB" w:eastAsia="en-GB"/>
              <w14:ligatures w14:val="standardContextual"/>
            </w:rPr>
          </w:pPr>
          <w:hyperlink w:anchor="_Toc189229735" w:history="1">
            <w:r w:rsidRPr="00ED7C5F">
              <w:rPr>
                <w:rStyle w:val="Hyperlink"/>
                <w:noProof/>
              </w:rPr>
              <w:t>Summary of findings from the review</w:t>
            </w:r>
            <w:r>
              <w:rPr>
                <w:noProof/>
                <w:webHidden/>
              </w:rPr>
              <w:tab/>
            </w:r>
            <w:r>
              <w:rPr>
                <w:noProof/>
                <w:webHidden/>
              </w:rPr>
              <w:fldChar w:fldCharType="begin"/>
            </w:r>
            <w:r>
              <w:rPr>
                <w:noProof/>
                <w:webHidden/>
              </w:rPr>
              <w:instrText xml:space="preserve"> PAGEREF _Toc189229735 \h </w:instrText>
            </w:r>
            <w:r>
              <w:rPr>
                <w:noProof/>
                <w:webHidden/>
              </w:rPr>
            </w:r>
            <w:r>
              <w:rPr>
                <w:noProof/>
                <w:webHidden/>
              </w:rPr>
              <w:fldChar w:fldCharType="separate"/>
            </w:r>
            <w:r>
              <w:rPr>
                <w:noProof/>
                <w:webHidden/>
              </w:rPr>
              <w:t>219</w:t>
            </w:r>
            <w:r>
              <w:rPr>
                <w:noProof/>
                <w:webHidden/>
              </w:rPr>
              <w:fldChar w:fldCharType="end"/>
            </w:r>
          </w:hyperlink>
        </w:p>
        <w:p w14:paraId="2C9CAB86" w14:textId="6A2EB1DD" w:rsidR="006B573F" w:rsidRDefault="006B573F">
          <w:pPr>
            <w:pStyle w:val="TOC2"/>
            <w:tabs>
              <w:tab w:val="right" w:leader="dot" w:pos="9016"/>
            </w:tabs>
            <w:rPr>
              <w:rFonts w:asciiTheme="minorHAnsi" w:hAnsiTheme="minorHAnsi" w:cstheme="minorBidi"/>
              <w:noProof/>
              <w:kern w:val="2"/>
              <w:szCs w:val="24"/>
              <w:lang w:val="en-GB" w:eastAsia="en-GB"/>
              <w14:ligatures w14:val="standardContextual"/>
            </w:rPr>
          </w:pPr>
          <w:hyperlink w:anchor="_Toc189229736" w:history="1">
            <w:r w:rsidRPr="00ED7C5F">
              <w:rPr>
                <w:rStyle w:val="Hyperlink"/>
                <w:noProof/>
              </w:rPr>
              <w:t>Ovid MEDLINE Search strategy</w:t>
            </w:r>
            <w:r>
              <w:rPr>
                <w:noProof/>
                <w:webHidden/>
              </w:rPr>
              <w:tab/>
            </w:r>
            <w:r>
              <w:rPr>
                <w:noProof/>
                <w:webHidden/>
              </w:rPr>
              <w:fldChar w:fldCharType="begin"/>
            </w:r>
            <w:r>
              <w:rPr>
                <w:noProof/>
                <w:webHidden/>
              </w:rPr>
              <w:instrText xml:space="preserve"> PAGEREF _Toc189229736 \h </w:instrText>
            </w:r>
            <w:r>
              <w:rPr>
                <w:noProof/>
                <w:webHidden/>
              </w:rPr>
            </w:r>
            <w:r>
              <w:rPr>
                <w:noProof/>
                <w:webHidden/>
              </w:rPr>
              <w:fldChar w:fldCharType="separate"/>
            </w:r>
            <w:r>
              <w:rPr>
                <w:noProof/>
                <w:webHidden/>
              </w:rPr>
              <w:t>222</w:t>
            </w:r>
            <w:r>
              <w:rPr>
                <w:noProof/>
                <w:webHidden/>
              </w:rPr>
              <w:fldChar w:fldCharType="end"/>
            </w:r>
          </w:hyperlink>
        </w:p>
        <w:p w14:paraId="116D0009" w14:textId="4EF539F5" w:rsidR="006B573F" w:rsidRDefault="006B573F">
          <w:pPr>
            <w:pStyle w:val="TOC1"/>
            <w:tabs>
              <w:tab w:val="left" w:pos="1540"/>
              <w:tab w:val="right" w:leader="dot" w:pos="9016"/>
            </w:tabs>
            <w:rPr>
              <w:rFonts w:asciiTheme="minorHAnsi" w:hAnsiTheme="minorHAnsi" w:cstheme="minorBidi"/>
              <w:noProof/>
              <w:kern w:val="2"/>
              <w:szCs w:val="24"/>
              <w:lang w:val="en-GB" w:eastAsia="en-GB"/>
              <w14:ligatures w14:val="standardContextual"/>
            </w:rPr>
          </w:pPr>
          <w:hyperlink w:anchor="_Toc189229737" w:history="1">
            <w:r w:rsidRPr="00ED7C5F">
              <w:rPr>
                <w:rStyle w:val="Hyperlink"/>
                <w:noProof/>
              </w:rPr>
              <w:t>Appendix B</w:t>
            </w:r>
            <w:r>
              <w:rPr>
                <w:rFonts w:asciiTheme="minorHAnsi" w:hAnsiTheme="minorHAnsi" w:cstheme="minorBidi"/>
                <w:noProof/>
                <w:kern w:val="2"/>
                <w:szCs w:val="24"/>
                <w:lang w:val="en-GB" w:eastAsia="en-GB"/>
                <w14:ligatures w14:val="standardContextual"/>
              </w:rPr>
              <w:tab/>
            </w:r>
            <w:r w:rsidRPr="00ED7C5F">
              <w:rPr>
                <w:rStyle w:val="Hyperlink"/>
                <w:noProof/>
              </w:rPr>
              <w:t>Supplementary tables</w:t>
            </w:r>
            <w:r>
              <w:rPr>
                <w:noProof/>
                <w:webHidden/>
              </w:rPr>
              <w:tab/>
            </w:r>
            <w:r>
              <w:rPr>
                <w:noProof/>
                <w:webHidden/>
              </w:rPr>
              <w:fldChar w:fldCharType="begin"/>
            </w:r>
            <w:r>
              <w:rPr>
                <w:noProof/>
                <w:webHidden/>
              </w:rPr>
              <w:instrText xml:space="preserve"> PAGEREF _Toc189229737 \h </w:instrText>
            </w:r>
            <w:r>
              <w:rPr>
                <w:noProof/>
                <w:webHidden/>
              </w:rPr>
            </w:r>
            <w:r>
              <w:rPr>
                <w:noProof/>
                <w:webHidden/>
              </w:rPr>
              <w:fldChar w:fldCharType="separate"/>
            </w:r>
            <w:r>
              <w:rPr>
                <w:noProof/>
                <w:webHidden/>
              </w:rPr>
              <w:t>225</w:t>
            </w:r>
            <w:r>
              <w:rPr>
                <w:noProof/>
                <w:webHidden/>
              </w:rPr>
              <w:fldChar w:fldCharType="end"/>
            </w:r>
          </w:hyperlink>
        </w:p>
        <w:p w14:paraId="3EA66738" w14:textId="1DA71045" w:rsidR="00765DC8" w:rsidRDefault="00765DC8">
          <w:r>
            <w:rPr>
              <w:b/>
              <w:bCs/>
              <w:noProof/>
            </w:rPr>
            <w:fldChar w:fldCharType="end"/>
          </w:r>
        </w:p>
      </w:sdtContent>
    </w:sdt>
    <w:p w14:paraId="2953BF3F" w14:textId="0CDC8CD6" w:rsidR="00765DC8" w:rsidRDefault="00765DC8">
      <w:pPr>
        <w:rPr>
          <w:rFonts w:eastAsiaTheme="majorEastAsia" w:cstheme="majorBidi"/>
          <w:b/>
          <w:sz w:val="32"/>
          <w:szCs w:val="32"/>
        </w:rPr>
      </w:pPr>
    </w:p>
    <w:p w14:paraId="169A284A" w14:textId="77777777" w:rsidR="007E1B3B" w:rsidRDefault="007E1B3B" w:rsidP="7B634071">
      <w:pPr>
        <w:pStyle w:val="Headingnonumber"/>
        <w:numPr>
          <w:ilvl w:val="0"/>
          <w:numId w:val="0"/>
        </w:numPr>
        <w:rPr>
          <w:highlight w:val="yellow"/>
        </w:rPr>
      </w:pPr>
      <w:r>
        <w:rPr>
          <w:highlight w:val="yellow"/>
        </w:rPr>
        <w:br w:type="page"/>
      </w:r>
    </w:p>
    <w:p w14:paraId="3E0DEBCB" w14:textId="77777777" w:rsidR="00C74BEE" w:rsidRDefault="00AD408E" w:rsidP="00A67D1C">
      <w:pPr>
        <w:pStyle w:val="Headingnonumber"/>
        <w:numPr>
          <w:ilvl w:val="0"/>
          <w:numId w:val="0"/>
        </w:numPr>
        <w:ind w:left="432" w:hanging="432"/>
      </w:pPr>
      <w:r w:rsidRPr="00615432">
        <w:lastRenderedPageBreak/>
        <w:t>List of tables</w:t>
      </w:r>
      <w:r w:rsidR="00153D35" w:rsidRPr="00615432">
        <w:t xml:space="preserve"> and figures</w:t>
      </w:r>
    </w:p>
    <w:p w14:paraId="2E8991A8" w14:textId="77777777" w:rsidR="00C74BEE" w:rsidRDefault="00C74BEE">
      <w:pPr>
        <w:pStyle w:val="TableofFigures"/>
        <w:tabs>
          <w:tab w:val="left" w:pos="1540"/>
          <w:tab w:val="right" w:leader="dot" w:pos="9016"/>
        </w:tabs>
      </w:pPr>
    </w:p>
    <w:p w14:paraId="5BACDDC5" w14:textId="391D1478" w:rsidR="00CE2DBF" w:rsidRPr="00BB7815" w:rsidRDefault="00610F4B">
      <w:pPr>
        <w:pStyle w:val="TableofFigures"/>
        <w:tabs>
          <w:tab w:val="left" w:pos="1540"/>
          <w:tab w:val="right" w:leader="dot" w:pos="9016"/>
        </w:tabs>
        <w:rPr>
          <w:rFonts w:asciiTheme="minorHAnsi" w:eastAsiaTheme="minorEastAsia" w:hAnsiTheme="minorHAnsi" w:cstheme="minorBidi"/>
          <w:bCs w:val="0"/>
          <w:noProof/>
          <w:kern w:val="2"/>
          <w:sz w:val="18"/>
          <w:szCs w:val="18"/>
          <w:lang w:eastAsia="en-GB"/>
          <w14:ligatures w14:val="standardContextual"/>
        </w:rPr>
      </w:pPr>
      <w:r w:rsidRPr="00BB7815">
        <w:rPr>
          <w:rFonts w:cs="Arial"/>
          <w:b/>
          <w:sz w:val="18"/>
          <w:szCs w:val="18"/>
        </w:rPr>
        <w:fldChar w:fldCharType="begin"/>
      </w:r>
      <w:r w:rsidR="00AD408E" w:rsidRPr="00BB7815">
        <w:rPr>
          <w:rFonts w:cs="Arial"/>
          <w:b/>
          <w:sz w:val="18"/>
          <w:szCs w:val="18"/>
        </w:rPr>
        <w:instrText xml:space="preserve"> TOC \h \z \c "Table" </w:instrText>
      </w:r>
      <w:r w:rsidRPr="00BB7815">
        <w:rPr>
          <w:rFonts w:cs="Arial"/>
          <w:b/>
          <w:sz w:val="18"/>
          <w:szCs w:val="18"/>
        </w:rPr>
        <w:fldChar w:fldCharType="separate"/>
      </w:r>
      <w:hyperlink w:anchor="_Toc185844985" w:history="1">
        <w:r w:rsidR="00CE2DBF" w:rsidRPr="00BB7815">
          <w:rPr>
            <w:rStyle w:val="Hyperlink"/>
            <w:i/>
            <w:iCs/>
            <w:noProof/>
            <w:sz w:val="18"/>
            <w:szCs w:val="18"/>
          </w:rPr>
          <w:t>Table G 1.</w:t>
        </w:r>
        <w:r w:rsidR="006B573F" w:rsidRPr="00BB7815">
          <w:rPr>
            <w:rFonts w:asciiTheme="minorHAnsi" w:eastAsiaTheme="minorEastAsia" w:hAnsiTheme="minorHAnsi" w:cstheme="minorBidi"/>
            <w:bCs w:val="0"/>
            <w:noProof/>
            <w:kern w:val="2"/>
            <w:sz w:val="18"/>
            <w:szCs w:val="18"/>
            <w:lang w:eastAsia="en-GB"/>
            <w14:ligatures w14:val="standardContextual"/>
          </w:rPr>
          <w:t xml:space="preserve">        </w:t>
        </w:r>
        <w:r w:rsidR="00CE2DBF" w:rsidRPr="00BB7815">
          <w:rPr>
            <w:rStyle w:val="Hyperlink"/>
            <w:i/>
            <w:iCs/>
            <w:noProof/>
            <w:sz w:val="18"/>
            <w:szCs w:val="18"/>
          </w:rPr>
          <w:t>List of abbreviations commonly used in the thesis</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_Toc185844985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9</w:t>
        </w:r>
        <w:r w:rsidR="00CE2DBF" w:rsidRPr="00BB7815">
          <w:rPr>
            <w:noProof/>
            <w:webHidden/>
            <w:sz w:val="18"/>
            <w:szCs w:val="18"/>
          </w:rPr>
          <w:fldChar w:fldCharType="end"/>
        </w:r>
      </w:hyperlink>
    </w:p>
    <w:p w14:paraId="11C4C615" w14:textId="2F57D87C"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4986" w:history="1">
        <w:r w:rsidR="00CE2DBF" w:rsidRPr="00BB7815">
          <w:rPr>
            <w:rStyle w:val="Hyperlink"/>
            <w:i/>
            <w:iCs/>
            <w:noProof/>
            <w:sz w:val="18"/>
            <w:szCs w:val="18"/>
          </w:rPr>
          <w:t>Table 1.5</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Examples of sources of costs associated with parental SUD</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_Toc185844986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26</w:t>
        </w:r>
        <w:r w:rsidR="00CE2DBF" w:rsidRPr="00BB7815">
          <w:rPr>
            <w:noProof/>
            <w:webHidden/>
            <w:sz w:val="18"/>
            <w:szCs w:val="18"/>
          </w:rPr>
          <w:fldChar w:fldCharType="end"/>
        </w:r>
      </w:hyperlink>
    </w:p>
    <w:p w14:paraId="44EFBC3D" w14:textId="2B203254"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4987" w:history="1">
        <w:r w:rsidR="00CE2DBF" w:rsidRPr="00BB7815">
          <w:rPr>
            <w:rStyle w:val="Hyperlink"/>
            <w:i/>
            <w:iCs/>
            <w:noProof/>
            <w:sz w:val="18"/>
            <w:szCs w:val="18"/>
          </w:rPr>
          <w:t>Table 2.1</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Data options under three scenarios</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_Toc185844987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49</w:t>
        </w:r>
        <w:r w:rsidR="00CE2DBF" w:rsidRPr="00BB7815">
          <w:rPr>
            <w:noProof/>
            <w:webHidden/>
            <w:sz w:val="18"/>
            <w:szCs w:val="18"/>
          </w:rPr>
          <w:fldChar w:fldCharType="end"/>
        </w:r>
      </w:hyperlink>
    </w:p>
    <w:p w14:paraId="3C155B3C" w14:textId="4B1DEBA3"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4988" w:history="1">
        <w:r w:rsidR="00CE2DBF" w:rsidRPr="00BB7815">
          <w:rPr>
            <w:rStyle w:val="Hyperlink"/>
            <w:i/>
            <w:iCs/>
            <w:noProof/>
            <w:sz w:val="18"/>
            <w:szCs w:val="18"/>
          </w:rPr>
          <w:t>Table 3.3</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Summary of missing data in the National Drug Treatment Monitoring System (NDTMS) dataset</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_Toc185844988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70</w:t>
        </w:r>
        <w:r w:rsidR="00CE2DBF" w:rsidRPr="00BB7815">
          <w:rPr>
            <w:noProof/>
            <w:webHidden/>
            <w:sz w:val="18"/>
            <w:szCs w:val="18"/>
          </w:rPr>
          <w:fldChar w:fldCharType="end"/>
        </w:r>
      </w:hyperlink>
    </w:p>
    <w:p w14:paraId="1A59D5EE" w14:textId="00EB1B43"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4989" w:history="1">
        <w:r w:rsidR="00CE2DBF" w:rsidRPr="00BB7815">
          <w:rPr>
            <w:rStyle w:val="Hyperlink"/>
            <w:i/>
            <w:iCs/>
            <w:noProof/>
            <w:sz w:val="18"/>
            <w:szCs w:val="18"/>
          </w:rPr>
          <w:t>Table 3.4</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rFonts w:cs="Arial"/>
            <w:i/>
            <w:iCs/>
            <w:noProof/>
            <w:sz w:val="18"/>
            <w:szCs w:val="18"/>
          </w:rPr>
          <w:t>Baseline characteristics</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_Toc185844989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73</w:t>
        </w:r>
        <w:r w:rsidR="00CE2DBF" w:rsidRPr="00BB7815">
          <w:rPr>
            <w:noProof/>
            <w:webHidden/>
            <w:sz w:val="18"/>
            <w:szCs w:val="18"/>
          </w:rPr>
          <w:fldChar w:fldCharType="end"/>
        </w:r>
      </w:hyperlink>
    </w:p>
    <w:p w14:paraId="0370C9BB" w14:textId="5EC3F763"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4990" w:history="1">
        <w:r w:rsidR="00CE2DBF" w:rsidRPr="00BB7815">
          <w:rPr>
            <w:rStyle w:val="Hyperlink"/>
            <w:i/>
            <w:iCs/>
            <w:noProof/>
            <w:sz w:val="18"/>
            <w:szCs w:val="18"/>
          </w:rPr>
          <w:t>Table 3.4</w:t>
        </w:r>
        <w:r w:rsidR="00CE2DBF" w:rsidRPr="00BB7815">
          <w:rPr>
            <w:rStyle w:val="Hyperlink"/>
            <w:i/>
            <w:iCs/>
            <w:noProof/>
            <w:sz w:val="18"/>
            <w:szCs w:val="18"/>
          </w:rPr>
          <w:noBreakHyphen/>
          <w:t>2</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rFonts w:cs="Arial"/>
            <w:i/>
            <w:iCs/>
            <w:noProof/>
            <w:sz w:val="18"/>
            <w:szCs w:val="18"/>
          </w:rPr>
          <w:t>Baseline characteristics broken down by sex and child living arrangements (n=44,473)</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_Toc185844990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75</w:t>
        </w:r>
        <w:r w:rsidR="00CE2DBF" w:rsidRPr="00BB7815">
          <w:rPr>
            <w:noProof/>
            <w:webHidden/>
            <w:sz w:val="18"/>
            <w:szCs w:val="18"/>
          </w:rPr>
          <w:fldChar w:fldCharType="end"/>
        </w:r>
      </w:hyperlink>
    </w:p>
    <w:p w14:paraId="18F7BC3D" w14:textId="0F1552AF" w:rsidR="00CE2DBF" w:rsidRPr="00BB7815" w:rsidRDefault="00000000" w:rsidP="00CA1173">
      <w:pPr>
        <w:pStyle w:val="TableofFigures"/>
        <w:tabs>
          <w:tab w:val="left" w:pos="1320"/>
          <w:tab w:val="right" w:leader="dot" w:pos="9016"/>
        </w:tabs>
        <w:ind w:left="1320" w:hanging="1320"/>
        <w:rPr>
          <w:rFonts w:asciiTheme="minorHAnsi" w:eastAsiaTheme="minorEastAsia" w:hAnsiTheme="minorHAnsi" w:cstheme="minorBidi"/>
          <w:bCs w:val="0"/>
          <w:noProof/>
          <w:kern w:val="2"/>
          <w:sz w:val="18"/>
          <w:szCs w:val="18"/>
          <w:lang w:eastAsia="en-GB"/>
          <w14:ligatures w14:val="standardContextual"/>
        </w:rPr>
      </w:pPr>
      <w:hyperlink w:anchor="_Toc185844991" w:history="1">
        <w:r w:rsidR="00CE2DBF" w:rsidRPr="00BB7815">
          <w:rPr>
            <w:rStyle w:val="Hyperlink"/>
            <w:i/>
            <w:iCs/>
            <w:noProof/>
            <w:sz w:val="18"/>
            <w:szCs w:val="18"/>
          </w:rPr>
          <w:t>Table 3.4</w:t>
        </w:r>
        <w:r w:rsidR="00CE2DBF" w:rsidRPr="00BB7815">
          <w:rPr>
            <w:rStyle w:val="Hyperlink"/>
            <w:i/>
            <w:iCs/>
            <w:noProof/>
            <w:sz w:val="18"/>
            <w:szCs w:val="18"/>
          </w:rPr>
          <w:noBreakHyphen/>
          <w:t>3</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rFonts w:cs="Arial"/>
            <w:i/>
            <w:iCs/>
            <w:noProof/>
            <w:sz w:val="18"/>
            <w:szCs w:val="18"/>
          </w:rPr>
          <w:t>Exploratory analysis of the association between living with children and receiving parenting/ child welfare interventions, broken down by sex and adjusted for baseline characteristics (n=44,473)</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_Toc185844991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78</w:t>
        </w:r>
        <w:r w:rsidR="00CE2DBF" w:rsidRPr="00BB7815">
          <w:rPr>
            <w:noProof/>
            <w:webHidden/>
            <w:sz w:val="18"/>
            <w:szCs w:val="18"/>
          </w:rPr>
          <w:fldChar w:fldCharType="end"/>
        </w:r>
      </w:hyperlink>
    </w:p>
    <w:p w14:paraId="72FD3790" w14:textId="6199149A" w:rsidR="00CE2DBF" w:rsidRPr="00BB7815" w:rsidRDefault="00000000" w:rsidP="00CA1173">
      <w:pPr>
        <w:pStyle w:val="TableofFigures"/>
        <w:tabs>
          <w:tab w:val="left" w:pos="1320"/>
          <w:tab w:val="right" w:leader="dot" w:pos="9016"/>
        </w:tabs>
        <w:ind w:left="1320" w:hanging="1320"/>
        <w:rPr>
          <w:rFonts w:asciiTheme="minorHAnsi" w:eastAsiaTheme="minorEastAsia" w:hAnsiTheme="minorHAnsi" w:cstheme="minorBidi"/>
          <w:bCs w:val="0"/>
          <w:noProof/>
          <w:kern w:val="2"/>
          <w:sz w:val="18"/>
          <w:szCs w:val="18"/>
          <w:lang w:eastAsia="en-GB"/>
          <w14:ligatures w14:val="standardContextual"/>
        </w:rPr>
      </w:pPr>
      <w:hyperlink w:anchor="_Toc185844992" w:history="1">
        <w:r w:rsidR="00CE2DBF" w:rsidRPr="00BB7815">
          <w:rPr>
            <w:rStyle w:val="Hyperlink"/>
            <w:i/>
            <w:iCs/>
            <w:noProof/>
            <w:sz w:val="18"/>
            <w:szCs w:val="18"/>
          </w:rPr>
          <w:t>Table 3.4</w:t>
        </w:r>
        <w:r w:rsidR="00CE2DBF" w:rsidRPr="00BB7815">
          <w:rPr>
            <w:rStyle w:val="Hyperlink"/>
            <w:i/>
            <w:iCs/>
            <w:noProof/>
            <w:sz w:val="18"/>
            <w:szCs w:val="18"/>
          </w:rPr>
          <w:noBreakHyphen/>
          <w:t>4</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rFonts w:cs="Arial"/>
            <w:i/>
            <w:iCs/>
            <w:noProof/>
            <w:sz w:val="18"/>
            <w:szCs w:val="18"/>
          </w:rPr>
          <w:t>Exploratory analysis of the association between successful completion of treatment and receiving parenting and/or family recovery support and child welfare interventions, adjusted for baseline characteristics, using multiple imputation models (n=57,529)</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_Toc185844992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79</w:t>
        </w:r>
        <w:r w:rsidR="00CE2DBF" w:rsidRPr="00BB7815">
          <w:rPr>
            <w:noProof/>
            <w:webHidden/>
            <w:sz w:val="18"/>
            <w:szCs w:val="18"/>
          </w:rPr>
          <w:fldChar w:fldCharType="end"/>
        </w:r>
      </w:hyperlink>
    </w:p>
    <w:p w14:paraId="7749937C" w14:textId="04D462A2"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4993" w:history="1">
        <w:r w:rsidR="00CE2DBF" w:rsidRPr="00BB7815">
          <w:rPr>
            <w:rStyle w:val="Hyperlink"/>
            <w:i/>
            <w:iCs/>
            <w:noProof/>
            <w:sz w:val="18"/>
            <w:szCs w:val="18"/>
          </w:rPr>
          <w:t>Table 3.7</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B</w:t>
        </w:r>
        <w:r w:rsidR="00CE2DBF" w:rsidRPr="00BB7815">
          <w:rPr>
            <w:rStyle w:val="Hyperlink"/>
            <w:rFonts w:cs="Arial"/>
            <w:i/>
            <w:iCs/>
            <w:noProof/>
            <w:sz w:val="18"/>
            <w:szCs w:val="18"/>
          </w:rPr>
          <w:t xml:space="preserve">aseline characteristics and interventions received of study cohort </w:t>
        </w:r>
        <w:r w:rsidR="00CE2DBF" w:rsidRPr="00BB7815">
          <w:rPr>
            <w:rStyle w:val="Hyperlink"/>
            <w:i/>
            <w:iCs/>
            <w:noProof/>
            <w:sz w:val="18"/>
            <w:szCs w:val="18"/>
          </w:rPr>
          <w:t>(n=119,261)</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_Toc185844993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84</w:t>
        </w:r>
        <w:r w:rsidR="00CE2DBF" w:rsidRPr="00BB7815">
          <w:rPr>
            <w:noProof/>
            <w:webHidden/>
            <w:sz w:val="18"/>
            <w:szCs w:val="18"/>
          </w:rPr>
          <w:fldChar w:fldCharType="end"/>
        </w:r>
      </w:hyperlink>
    </w:p>
    <w:p w14:paraId="5CABE5C5" w14:textId="36E23AB7" w:rsidR="00CE2DBF" w:rsidRPr="00BB7815" w:rsidRDefault="00000000" w:rsidP="00CA1173">
      <w:pPr>
        <w:pStyle w:val="TableofFigures"/>
        <w:tabs>
          <w:tab w:val="left" w:pos="1320"/>
          <w:tab w:val="right" w:leader="dot" w:pos="9016"/>
        </w:tabs>
        <w:ind w:left="1320" w:hanging="1320"/>
        <w:rPr>
          <w:rFonts w:asciiTheme="minorHAnsi" w:eastAsiaTheme="minorEastAsia" w:hAnsiTheme="minorHAnsi" w:cstheme="minorBidi"/>
          <w:bCs w:val="0"/>
          <w:noProof/>
          <w:kern w:val="2"/>
          <w:sz w:val="18"/>
          <w:szCs w:val="18"/>
          <w:lang w:eastAsia="en-GB"/>
          <w14:ligatures w14:val="standardContextual"/>
        </w:rPr>
      </w:pPr>
      <w:hyperlink w:anchor="_Toc185844994" w:history="1">
        <w:r w:rsidR="00CE2DBF" w:rsidRPr="00BB7815">
          <w:rPr>
            <w:rStyle w:val="Hyperlink"/>
            <w:i/>
            <w:iCs/>
            <w:noProof/>
            <w:sz w:val="18"/>
            <w:szCs w:val="18"/>
          </w:rPr>
          <w:t>Table 3.7</w:t>
        </w:r>
        <w:r w:rsidR="00CE2DBF" w:rsidRPr="00BB7815">
          <w:rPr>
            <w:rStyle w:val="Hyperlink"/>
            <w:i/>
            <w:iCs/>
            <w:noProof/>
            <w:sz w:val="18"/>
            <w:szCs w:val="18"/>
          </w:rPr>
          <w:noBreakHyphen/>
          <w:t>2</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rFonts w:cs="Arial"/>
            <w:i/>
            <w:iCs/>
            <w:noProof/>
            <w:sz w:val="18"/>
            <w:szCs w:val="18"/>
          </w:rPr>
          <w:t>Characteristics associated with a greater likelihood of receiving concurrent treatment and child welfare support:   comparison of treatment alone (reference case) with 1) treatment and early help, 2) treatment and child in need support, 3) treatment and child protection plan and 4) treatment and child looked after</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_Toc185844994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87</w:t>
        </w:r>
        <w:r w:rsidR="00CE2DBF" w:rsidRPr="00BB7815">
          <w:rPr>
            <w:noProof/>
            <w:webHidden/>
            <w:sz w:val="18"/>
            <w:szCs w:val="18"/>
          </w:rPr>
          <w:fldChar w:fldCharType="end"/>
        </w:r>
      </w:hyperlink>
    </w:p>
    <w:p w14:paraId="499A9BCB" w14:textId="33D7ECE8" w:rsidR="00CE2DBF" w:rsidRPr="00BB7815" w:rsidRDefault="00000000" w:rsidP="00CA1173">
      <w:pPr>
        <w:pStyle w:val="TableofFigures"/>
        <w:tabs>
          <w:tab w:val="left" w:pos="1320"/>
          <w:tab w:val="right" w:leader="dot" w:pos="9016"/>
        </w:tabs>
        <w:ind w:left="1320" w:hanging="1320"/>
        <w:rPr>
          <w:rFonts w:asciiTheme="minorHAnsi" w:eastAsiaTheme="minorEastAsia" w:hAnsiTheme="minorHAnsi" w:cstheme="minorBidi"/>
          <w:bCs w:val="0"/>
          <w:noProof/>
          <w:kern w:val="2"/>
          <w:sz w:val="18"/>
          <w:szCs w:val="18"/>
          <w:lang w:eastAsia="en-GB"/>
          <w14:ligatures w14:val="standardContextual"/>
        </w:rPr>
      </w:pPr>
      <w:hyperlink w:anchor="_Toc185844995" w:history="1">
        <w:r w:rsidR="00CE2DBF" w:rsidRPr="00BB7815">
          <w:rPr>
            <w:rStyle w:val="Hyperlink"/>
            <w:rFonts w:cs="Arial"/>
            <w:i/>
            <w:iCs/>
            <w:noProof/>
            <w:sz w:val="18"/>
            <w:szCs w:val="18"/>
          </w:rPr>
          <w:t>Table 3.7</w:t>
        </w:r>
        <w:r w:rsidR="00CE2DBF" w:rsidRPr="00BB7815">
          <w:rPr>
            <w:rStyle w:val="Hyperlink"/>
            <w:rFonts w:cs="Arial"/>
            <w:i/>
            <w:iCs/>
            <w:noProof/>
            <w:sz w:val="18"/>
            <w:szCs w:val="18"/>
          </w:rPr>
          <w:noBreakHyphen/>
          <w:t>3</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rFonts w:cs="Arial"/>
            <w:i/>
            <w:iCs/>
            <w:noProof/>
            <w:sz w:val="18"/>
            <w:szCs w:val="18"/>
          </w:rPr>
          <w:t>Predictors of completion of treatment. Treatment completion (reference case) for all parents, parents living with children and parents not living with children</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_Toc185844995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90</w:t>
        </w:r>
        <w:r w:rsidR="00CE2DBF" w:rsidRPr="00BB7815">
          <w:rPr>
            <w:noProof/>
            <w:webHidden/>
            <w:sz w:val="18"/>
            <w:szCs w:val="18"/>
          </w:rPr>
          <w:fldChar w:fldCharType="end"/>
        </w:r>
      </w:hyperlink>
    </w:p>
    <w:p w14:paraId="4B57A3CC" w14:textId="0719C55C" w:rsidR="00CE2DBF" w:rsidRPr="00BB7815" w:rsidRDefault="00000000" w:rsidP="00CA1173">
      <w:pPr>
        <w:pStyle w:val="TableofFigures"/>
        <w:tabs>
          <w:tab w:val="left" w:pos="1320"/>
          <w:tab w:val="right" w:leader="dot" w:pos="9016"/>
        </w:tabs>
        <w:ind w:left="1320" w:hanging="1320"/>
        <w:rPr>
          <w:rFonts w:asciiTheme="minorHAnsi" w:eastAsiaTheme="minorEastAsia" w:hAnsiTheme="minorHAnsi" w:cstheme="minorBidi"/>
          <w:bCs w:val="0"/>
          <w:noProof/>
          <w:kern w:val="2"/>
          <w:sz w:val="18"/>
          <w:szCs w:val="18"/>
          <w:lang w:eastAsia="en-GB"/>
          <w14:ligatures w14:val="standardContextual"/>
        </w:rPr>
      </w:pPr>
      <w:hyperlink w:anchor="_Toc185844996" w:history="1">
        <w:r w:rsidR="00CE2DBF" w:rsidRPr="00BB7815">
          <w:rPr>
            <w:rStyle w:val="Hyperlink"/>
            <w:i/>
            <w:iCs/>
            <w:noProof/>
            <w:sz w:val="18"/>
            <w:szCs w:val="18"/>
          </w:rPr>
          <w:t>Table 4.4</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Observed proportions of people having each of the seven baseline covariates from the multiple imputed dataset (n=57,529)</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_Toc185844996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102</w:t>
        </w:r>
        <w:r w:rsidR="00CE2DBF" w:rsidRPr="00BB7815">
          <w:rPr>
            <w:noProof/>
            <w:webHidden/>
            <w:sz w:val="18"/>
            <w:szCs w:val="18"/>
          </w:rPr>
          <w:fldChar w:fldCharType="end"/>
        </w:r>
      </w:hyperlink>
    </w:p>
    <w:p w14:paraId="7C3395E8" w14:textId="02520347" w:rsidR="00CE2DBF" w:rsidRPr="00BB7815" w:rsidRDefault="00000000" w:rsidP="00CA1173">
      <w:pPr>
        <w:pStyle w:val="TableofFigures"/>
        <w:tabs>
          <w:tab w:val="left" w:pos="1320"/>
          <w:tab w:val="right" w:leader="dot" w:pos="9016"/>
        </w:tabs>
        <w:ind w:left="1320" w:hanging="1320"/>
        <w:rPr>
          <w:rFonts w:asciiTheme="minorHAnsi" w:eastAsiaTheme="minorEastAsia" w:hAnsiTheme="minorHAnsi" w:cstheme="minorBidi"/>
          <w:bCs w:val="0"/>
          <w:noProof/>
          <w:kern w:val="2"/>
          <w:sz w:val="18"/>
          <w:szCs w:val="18"/>
          <w:lang w:eastAsia="en-GB"/>
          <w14:ligatures w14:val="standardContextual"/>
        </w:rPr>
      </w:pPr>
      <w:hyperlink w:anchor="_Toc185844997" w:history="1">
        <w:r w:rsidR="00CE2DBF" w:rsidRPr="00BB7815">
          <w:rPr>
            <w:rStyle w:val="Hyperlink"/>
            <w:i/>
            <w:iCs/>
            <w:noProof/>
            <w:sz w:val="18"/>
            <w:szCs w:val="18"/>
          </w:rPr>
          <w:t>Table 4.4</w:t>
        </w:r>
        <w:r w:rsidR="00CE2DBF" w:rsidRPr="00BB7815">
          <w:rPr>
            <w:rStyle w:val="Hyperlink"/>
            <w:i/>
            <w:iCs/>
            <w:noProof/>
            <w:sz w:val="18"/>
            <w:szCs w:val="18"/>
          </w:rPr>
          <w:noBreakHyphen/>
          <w:t>2</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 xml:space="preserve">Summary of pre- and post-propensity score weighted </w:t>
        </w:r>
        <w:r w:rsidR="00CE2DBF" w:rsidRPr="00BB7815">
          <w:rPr>
            <w:rStyle w:val="Hyperlink"/>
            <w:rFonts w:cs="Arial"/>
            <w:i/>
            <w:iCs/>
            <w:noProof/>
            <w:sz w:val="18"/>
            <w:szCs w:val="18"/>
          </w:rPr>
          <w:t xml:space="preserve">Kolmogorov-Smirnov statistics </w:t>
        </w:r>
        <w:r w:rsidR="00CE2DBF" w:rsidRPr="00BB7815">
          <w:rPr>
            <w:rStyle w:val="Hyperlink"/>
            <w:i/>
            <w:iCs/>
            <w:noProof/>
            <w:sz w:val="18"/>
            <w:szCs w:val="18"/>
          </w:rPr>
          <w:t xml:space="preserve">averaged </w:t>
        </w:r>
        <w:r w:rsidR="00CA1173">
          <w:rPr>
            <w:rStyle w:val="Hyperlink"/>
            <w:i/>
            <w:iCs/>
            <w:noProof/>
            <w:sz w:val="18"/>
            <w:szCs w:val="18"/>
          </w:rPr>
          <w:t>a</w:t>
        </w:r>
        <w:r w:rsidR="00CE2DBF" w:rsidRPr="00BB7815">
          <w:rPr>
            <w:rStyle w:val="Hyperlink"/>
            <w:i/>
            <w:iCs/>
            <w:noProof/>
            <w:sz w:val="18"/>
            <w:szCs w:val="18"/>
          </w:rPr>
          <w:t>cross observed baseline covariates using the mean. Presented by sex, SUD and child living arrangements (n=48,169;ESS=47,047)</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_Toc185844997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103</w:t>
        </w:r>
        <w:r w:rsidR="00CE2DBF" w:rsidRPr="00BB7815">
          <w:rPr>
            <w:noProof/>
            <w:webHidden/>
            <w:sz w:val="18"/>
            <w:szCs w:val="18"/>
          </w:rPr>
          <w:fldChar w:fldCharType="end"/>
        </w:r>
      </w:hyperlink>
    </w:p>
    <w:p w14:paraId="620AEC73" w14:textId="71CD3A2C" w:rsidR="00CE2DBF" w:rsidRPr="00BB7815" w:rsidRDefault="00000000" w:rsidP="00CA1173">
      <w:pPr>
        <w:pStyle w:val="TableofFigures"/>
        <w:tabs>
          <w:tab w:val="left" w:pos="1320"/>
          <w:tab w:val="right" w:leader="dot" w:pos="9016"/>
        </w:tabs>
        <w:ind w:left="1320" w:hanging="1320"/>
        <w:rPr>
          <w:rFonts w:asciiTheme="minorHAnsi" w:eastAsiaTheme="minorEastAsia" w:hAnsiTheme="minorHAnsi" w:cstheme="minorBidi"/>
          <w:bCs w:val="0"/>
          <w:noProof/>
          <w:kern w:val="2"/>
          <w:sz w:val="18"/>
          <w:szCs w:val="18"/>
          <w:lang w:eastAsia="en-GB"/>
          <w14:ligatures w14:val="standardContextual"/>
        </w:rPr>
      </w:pPr>
      <w:hyperlink w:anchor="_Toc185844998" w:history="1">
        <w:r w:rsidR="00CE2DBF" w:rsidRPr="00BB7815">
          <w:rPr>
            <w:rStyle w:val="Hyperlink"/>
            <w:i/>
            <w:iCs/>
            <w:noProof/>
            <w:sz w:val="18"/>
            <w:szCs w:val="18"/>
          </w:rPr>
          <w:t>Table 4.4</w:t>
        </w:r>
        <w:r w:rsidR="00CE2DBF" w:rsidRPr="00BB7815">
          <w:rPr>
            <w:rStyle w:val="Hyperlink"/>
            <w:i/>
            <w:iCs/>
            <w:noProof/>
            <w:sz w:val="18"/>
            <w:szCs w:val="18"/>
          </w:rPr>
          <w:noBreakHyphen/>
          <w:t>3</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Estimating probability of successful completion as the dependent variable to estimate average treatment effect (ATE) and odds ratios (ORs) (n=48,169;ESS=47,047)</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_Toc185844998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104</w:t>
        </w:r>
        <w:r w:rsidR="00CE2DBF" w:rsidRPr="00BB7815">
          <w:rPr>
            <w:noProof/>
            <w:webHidden/>
            <w:sz w:val="18"/>
            <w:szCs w:val="18"/>
          </w:rPr>
          <w:fldChar w:fldCharType="end"/>
        </w:r>
      </w:hyperlink>
    </w:p>
    <w:p w14:paraId="581DEBB1" w14:textId="03BD6562" w:rsidR="00CE2DBF" w:rsidRPr="00BB7815" w:rsidRDefault="00000000" w:rsidP="00CA1173">
      <w:pPr>
        <w:pStyle w:val="TableofFigures"/>
        <w:tabs>
          <w:tab w:val="left" w:pos="1320"/>
          <w:tab w:val="right" w:leader="dot" w:pos="9016"/>
        </w:tabs>
        <w:ind w:left="1320" w:hanging="1320"/>
        <w:rPr>
          <w:rFonts w:asciiTheme="minorHAnsi" w:eastAsiaTheme="minorEastAsia" w:hAnsiTheme="minorHAnsi" w:cstheme="minorBidi"/>
          <w:bCs w:val="0"/>
          <w:noProof/>
          <w:kern w:val="2"/>
          <w:sz w:val="18"/>
          <w:szCs w:val="18"/>
          <w:lang w:eastAsia="en-GB"/>
          <w14:ligatures w14:val="standardContextual"/>
        </w:rPr>
      </w:pPr>
      <w:hyperlink w:anchor="_Toc185844999" w:history="1">
        <w:r w:rsidR="00CE2DBF" w:rsidRPr="00BB7815">
          <w:rPr>
            <w:rStyle w:val="Hyperlink"/>
            <w:i/>
            <w:iCs/>
            <w:noProof/>
            <w:sz w:val="18"/>
            <w:szCs w:val="18"/>
          </w:rPr>
          <w:t>Table 5.3</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Average treatment effects from previous quasi-experimental study (Musto Wright et al., 2024b) used to generate relative risks of successful completion by living arrangements and sex (n=18,241)</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_Toc185844999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117</w:t>
        </w:r>
        <w:r w:rsidR="00CE2DBF" w:rsidRPr="00BB7815">
          <w:rPr>
            <w:noProof/>
            <w:webHidden/>
            <w:sz w:val="18"/>
            <w:szCs w:val="18"/>
          </w:rPr>
          <w:fldChar w:fldCharType="end"/>
        </w:r>
      </w:hyperlink>
    </w:p>
    <w:p w14:paraId="0EE7BF11" w14:textId="05CAEC8C" w:rsidR="00CE2DBF" w:rsidRPr="00BB7815" w:rsidRDefault="00000000" w:rsidP="00CA1173">
      <w:pPr>
        <w:pStyle w:val="TableofFigures"/>
        <w:tabs>
          <w:tab w:val="left" w:pos="1320"/>
          <w:tab w:val="right" w:leader="dot" w:pos="9016"/>
        </w:tabs>
        <w:ind w:left="1320" w:hanging="1320"/>
        <w:rPr>
          <w:rFonts w:asciiTheme="minorHAnsi" w:eastAsiaTheme="minorEastAsia" w:hAnsiTheme="minorHAnsi" w:cstheme="minorBidi"/>
          <w:bCs w:val="0"/>
          <w:noProof/>
          <w:kern w:val="2"/>
          <w:sz w:val="18"/>
          <w:szCs w:val="18"/>
          <w:lang w:eastAsia="en-GB"/>
          <w14:ligatures w14:val="standardContextual"/>
        </w:rPr>
      </w:pPr>
      <w:hyperlink w:anchor="_Toc185845000" w:history="1">
        <w:r w:rsidR="00CE2DBF" w:rsidRPr="00BB7815">
          <w:rPr>
            <w:rStyle w:val="Hyperlink"/>
            <w:i/>
            <w:iCs/>
            <w:noProof/>
            <w:sz w:val="18"/>
            <w:szCs w:val="18"/>
          </w:rPr>
          <w:t>Table 5.3</w:t>
        </w:r>
        <w:r w:rsidR="00CE2DBF" w:rsidRPr="00BB7815">
          <w:rPr>
            <w:rStyle w:val="Hyperlink"/>
            <w:i/>
            <w:iCs/>
            <w:noProof/>
            <w:sz w:val="18"/>
            <w:szCs w:val="18"/>
          </w:rPr>
          <w:noBreakHyphen/>
          <w:t>2</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Transition probability for each of the 16 subgroups (LWC = parents living with children, NWC = parents not living with children)</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_Toc185845000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121</w:t>
        </w:r>
        <w:r w:rsidR="00CE2DBF" w:rsidRPr="00BB7815">
          <w:rPr>
            <w:noProof/>
            <w:webHidden/>
            <w:sz w:val="18"/>
            <w:szCs w:val="18"/>
          </w:rPr>
          <w:fldChar w:fldCharType="end"/>
        </w:r>
      </w:hyperlink>
    </w:p>
    <w:p w14:paraId="6B99B9E1" w14:textId="0D0C835B"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01" w:history="1">
        <w:r w:rsidR="00CE2DBF" w:rsidRPr="00BB7815">
          <w:rPr>
            <w:rStyle w:val="Hyperlink"/>
            <w:i/>
            <w:iCs/>
            <w:noProof/>
            <w:sz w:val="18"/>
            <w:szCs w:val="18"/>
          </w:rPr>
          <w:t>Table 5.4</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Per person deterministic Markov model results, modelled over 10 years</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_Toc185845001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126</w:t>
        </w:r>
        <w:r w:rsidR="00CE2DBF" w:rsidRPr="00BB7815">
          <w:rPr>
            <w:noProof/>
            <w:webHidden/>
            <w:sz w:val="18"/>
            <w:szCs w:val="18"/>
          </w:rPr>
          <w:fldChar w:fldCharType="end"/>
        </w:r>
      </w:hyperlink>
    </w:p>
    <w:p w14:paraId="037CCA41" w14:textId="584E4FD9"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02" w:history="1">
        <w:r w:rsidR="00CE2DBF" w:rsidRPr="00BB7815">
          <w:rPr>
            <w:rStyle w:val="Hyperlink"/>
            <w:i/>
            <w:iCs/>
            <w:noProof/>
            <w:sz w:val="18"/>
            <w:szCs w:val="18"/>
          </w:rPr>
          <w:t>Table 5.4</w:t>
        </w:r>
        <w:r w:rsidR="00CE2DBF" w:rsidRPr="00BB7815">
          <w:rPr>
            <w:rStyle w:val="Hyperlink"/>
            <w:i/>
            <w:iCs/>
            <w:noProof/>
            <w:sz w:val="18"/>
            <w:szCs w:val="18"/>
          </w:rPr>
          <w:noBreakHyphen/>
          <w:t>2</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Per person cost-effectiveness results, by scenarios and modelling type</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_Toc185845002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127</w:t>
        </w:r>
        <w:r w:rsidR="00CE2DBF" w:rsidRPr="00BB7815">
          <w:rPr>
            <w:noProof/>
            <w:webHidden/>
            <w:sz w:val="18"/>
            <w:szCs w:val="18"/>
          </w:rPr>
          <w:fldChar w:fldCharType="end"/>
        </w:r>
      </w:hyperlink>
    </w:p>
    <w:p w14:paraId="6567C719" w14:textId="58EE3F38" w:rsidR="00CE2DBF" w:rsidRPr="00BB7815" w:rsidRDefault="00000000" w:rsidP="00CA1173">
      <w:pPr>
        <w:pStyle w:val="TableofFigures"/>
        <w:tabs>
          <w:tab w:val="left" w:pos="1100"/>
          <w:tab w:val="right" w:leader="dot" w:pos="9016"/>
        </w:tabs>
        <w:ind w:left="1100" w:hanging="1100"/>
        <w:rPr>
          <w:rFonts w:asciiTheme="minorHAnsi" w:eastAsiaTheme="minorEastAsia" w:hAnsiTheme="minorHAnsi" w:cstheme="minorBidi"/>
          <w:bCs w:val="0"/>
          <w:noProof/>
          <w:kern w:val="2"/>
          <w:sz w:val="18"/>
          <w:szCs w:val="18"/>
          <w:lang w:eastAsia="en-GB"/>
          <w14:ligatures w14:val="standardContextual"/>
        </w:rPr>
      </w:pPr>
      <w:hyperlink w:anchor="_Toc185845003" w:history="1">
        <w:r w:rsidR="00CE2DBF" w:rsidRPr="00BB7815">
          <w:rPr>
            <w:rStyle w:val="Hyperlink"/>
            <w:rFonts w:cs="Arial"/>
            <w:i/>
            <w:iCs/>
            <w:noProof/>
            <w:sz w:val="18"/>
            <w:szCs w:val="18"/>
          </w:rPr>
          <w:t>Table A</w:t>
        </w:r>
        <w:r w:rsidR="00CE2DBF" w:rsidRPr="00BB7815">
          <w:rPr>
            <w:rStyle w:val="Hyperlink"/>
            <w:rFonts w:cs="Arial"/>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A1173">
          <w:rPr>
            <w:rFonts w:asciiTheme="minorHAnsi" w:eastAsiaTheme="minorEastAsia" w:hAnsiTheme="minorHAnsi" w:cstheme="minorBidi"/>
            <w:bCs w:val="0"/>
            <w:noProof/>
            <w:kern w:val="2"/>
            <w:sz w:val="18"/>
            <w:szCs w:val="18"/>
            <w:lang w:eastAsia="en-GB"/>
            <w14:ligatures w14:val="standardContextual"/>
          </w:rPr>
          <w:t xml:space="preserve">     </w:t>
        </w:r>
        <w:r w:rsidR="00CE2DBF" w:rsidRPr="00BB7815">
          <w:rPr>
            <w:rStyle w:val="Hyperlink"/>
            <w:rFonts w:cs="Arial"/>
            <w:i/>
            <w:iCs/>
            <w:noProof/>
            <w:sz w:val="18"/>
            <w:szCs w:val="18"/>
          </w:rPr>
          <w:t xml:space="preserve">Summary table of the Maryland Scale of Scientific Methods, adapted from Campbell and Harper </w:t>
        </w:r>
        <w:r w:rsidR="00CA1173">
          <w:rPr>
            <w:rStyle w:val="Hyperlink"/>
            <w:rFonts w:cs="Arial"/>
            <w:i/>
            <w:iCs/>
            <w:noProof/>
            <w:sz w:val="18"/>
            <w:szCs w:val="18"/>
          </w:rPr>
          <w:t xml:space="preserve">  </w:t>
        </w:r>
        <w:r w:rsidR="00CE2DBF" w:rsidRPr="00BB7815">
          <w:rPr>
            <w:rStyle w:val="Hyperlink"/>
            <w:rFonts w:cs="Arial"/>
            <w:i/>
            <w:iCs/>
            <w:noProof/>
            <w:sz w:val="18"/>
            <w:szCs w:val="18"/>
          </w:rPr>
          <w:t>(2012); Galvani and Forrester (2011); National Audit Office (2007); Sherman et al. (1998)</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_Toc185845003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176</w:t>
        </w:r>
        <w:r w:rsidR="00CE2DBF" w:rsidRPr="00BB7815">
          <w:rPr>
            <w:noProof/>
            <w:webHidden/>
            <w:sz w:val="18"/>
            <w:szCs w:val="18"/>
          </w:rPr>
          <w:fldChar w:fldCharType="end"/>
        </w:r>
      </w:hyperlink>
    </w:p>
    <w:p w14:paraId="594DFFB8" w14:textId="129736AF" w:rsidR="00CE2DBF" w:rsidRPr="00BB7815" w:rsidRDefault="00000000">
      <w:pPr>
        <w:pStyle w:val="TableofFigures"/>
        <w:tabs>
          <w:tab w:val="left" w:pos="110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04" w:history="1">
        <w:r w:rsidR="00CE2DBF" w:rsidRPr="00BB7815">
          <w:rPr>
            <w:rStyle w:val="Hyperlink"/>
            <w:i/>
            <w:iCs/>
            <w:noProof/>
            <w:sz w:val="18"/>
            <w:szCs w:val="18"/>
          </w:rPr>
          <w:t>Table B</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A1173">
          <w:rPr>
            <w:rFonts w:asciiTheme="minorHAnsi" w:eastAsiaTheme="minorEastAsia" w:hAnsiTheme="minorHAnsi" w:cstheme="minorBidi"/>
            <w:bCs w:val="0"/>
            <w:noProof/>
            <w:kern w:val="2"/>
            <w:sz w:val="18"/>
            <w:szCs w:val="18"/>
            <w:lang w:eastAsia="en-GB"/>
            <w14:ligatures w14:val="standardContextual"/>
          </w:rPr>
          <w:t xml:space="preserve">    </w:t>
        </w:r>
        <w:r w:rsidR="00CE2DBF" w:rsidRPr="00BB7815">
          <w:rPr>
            <w:rStyle w:val="Hyperlink"/>
            <w:i/>
            <w:iCs/>
            <w:noProof/>
            <w:sz w:val="18"/>
            <w:szCs w:val="18"/>
          </w:rPr>
          <w:t>Statistics comparing similarity of multiple imputation model results (n=1,150,580)</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_Toc185845004 \h </w:instrText>
        </w:r>
        <w:r w:rsidR="00CE2DBF" w:rsidRPr="00BB7815">
          <w:rPr>
            <w:noProof/>
            <w:webHidden/>
            <w:sz w:val="18"/>
            <w:szCs w:val="18"/>
          </w:rPr>
        </w:r>
        <w:r w:rsidR="00CE2DBF" w:rsidRPr="00BB7815">
          <w:rPr>
            <w:noProof/>
            <w:webHidden/>
            <w:sz w:val="18"/>
            <w:szCs w:val="18"/>
          </w:rPr>
          <w:fldChar w:fldCharType="separate"/>
        </w:r>
        <w:r w:rsidR="00C82356" w:rsidRPr="00BB7815">
          <w:rPr>
            <w:noProof/>
            <w:webHidden/>
            <w:sz w:val="18"/>
            <w:szCs w:val="18"/>
          </w:rPr>
          <w:t>225</w:t>
        </w:r>
        <w:r w:rsidR="00CE2DBF" w:rsidRPr="00BB7815">
          <w:rPr>
            <w:noProof/>
            <w:webHidden/>
            <w:sz w:val="18"/>
            <w:szCs w:val="18"/>
          </w:rPr>
          <w:fldChar w:fldCharType="end"/>
        </w:r>
      </w:hyperlink>
    </w:p>
    <w:p w14:paraId="7DB62691" w14:textId="2058166E" w:rsidR="002549BF" w:rsidRPr="00BB7815" w:rsidRDefault="00610F4B" w:rsidP="00610F4B">
      <w:pPr>
        <w:pStyle w:val="Headingnonumber"/>
        <w:numPr>
          <w:ilvl w:val="0"/>
          <w:numId w:val="0"/>
        </w:numPr>
        <w:rPr>
          <w:rFonts w:cs="Arial"/>
          <w:b w:val="0"/>
          <w:sz w:val="18"/>
          <w:szCs w:val="18"/>
        </w:rPr>
      </w:pPr>
      <w:r w:rsidRPr="00BB7815">
        <w:rPr>
          <w:rFonts w:cs="Arial"/>
          <w:b w:val="0"/>
          <w:sz w:val="18"/>
          <w:szCs w:val="18"/>
        </w:rPr>
        <w:fldChar w:fldCharType="end"/>
      </w:r>
    </w:p>
    <w:p w14:paraId="270FFD78" w14:textId="32673903" w:rsidR="00CE2DBF" w:rsidRPr="00BB7815" w:rsidRDefault="002549BF">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r w:rsidRPr="00BB7815">
        <w:rPr>
          <w:rFonts w:cs="Arial"/>
          <w:bCs w:val="0"/>
          <w:sz w:val="18"/>
          <w:szCs w:val="18"/>
        </w:rPr>
        <w:fldChar w:fldCharType="begin"/>
      </w:r>
      <w:r w:rsidRPr="00BB7815">
        <w:rPr>
          <w:rFonts w:cs="Arial"/>
          <w:bCs w:val="0"/>
          <w:sz w:val="18"/>
          <w:szCs w:val="18"/>
        </w:rPr>
        <w:instrText>TOC \h \z \c "Figure"</w:instrText>
      </w:r>
      <w:r w:rsidRPr="00BB7815">
        <w:rPr>
          <w:rFonts w:cs="Arial"/>
          <w:bCs w:val="0"/>
          <w:sz w:val="18"/>
          <w:szCs w:val="18"/>
        </w:rPr>
        <w:fldChar w:fldCharType="separate"/>
      </w:r>
      <w:hyperlink w:anchor="_Toc185845005" w:history="1">
        <w:r w:rsidR="00CE2DBF" w:rsidRPr="00BB7815">
          <w:rPr>
            <w:rStyle w:val="Hyperlink"/>
            <w:i/>
            <w:iCs/>
            <w:noProof/>
            <w:sz w:val="18"/>
            <w:szCs w:val="18"/>
          </w:rPr>
          <w:t>Figure 2.1</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Treatment strategies schematic</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_Toc185845005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50</w:t>
        </w:r>
        <w:r w:rsidR="00CE2DBF" w:rsidRPr="00BB7815">
          <w:rPr>
            <w:noProof/>
            <w:webHidden/>
            <w:sz w:val="18"/>
            <w:szCs w:val="18"/>
          </w:rPr>
          <w:fldChar w:fldCharType="end"/>
        </w:r>
      </w:hyperlink>
    </w:p>
    <w:p w14:paraId="2B7BA436" w14:textId="7337F7B2"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06" w:history="1">
        <w:r w:rsidR="00CE2DBF" w:rsidRPr="00BB7815">
          <w:rPr>
            <w:rStyle w:val="Hyperlink"/>
            <w:i/>
            <w:iCs/>
            <w:noProof/>
            <w:sz w:val="18"/>
            <w:szCs w:val="18"/>
          </w:rPr>
          <w:t>Figure 2.3</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Flow diagram of patients</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_Toc185845006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57</w:t>
        </w:r>
        <w:r w:rsidR="00CE2DBF" w:rsidRPr="00BB7815">
          <w:rPr>
            <w:noProof/>
            <w:webHidden/>
            <w:sz w:val="18"/>
            <w:szCs w:val="18"/>
          </w:rPr>
          <w:fldChar w:fldCharType="end"/>
        </w:r>
      </w:hyperlink>
    </w:p>
    <w:p w14:paraId="41576743" w14:textId="3554EFB5"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07" w:history="1">
        <w:r w:rsidR="00CE2DBF" w:rsidRPr="00BB7815">
          <w:rPr>
            <w:rStyle w:val="Hyperlink"/>
            <w:i/>
            <w:noProof/>
            <w:sz w:val="18"/>
            <w:szCs w:val="18"/>
          </w:rPr>
          <w:t>Figure 2.3</w:t>
        </w:r>
        <w:r w:rsidR="00CE2DBF" w:rsidRPr="00BB7815">
          <w:rPr>
            <w:rStyle w:val="Hyperlink"/>
            <w:i/>
            <w:noProof/>
            <w:sz w:val="18"/>
            <w:szCs w:val="18"/>
          </w:rPr>
          <w:noBreakHyphen/>
          <w:t>2</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noProof/>
            <w:sz w:val="18"/>
            <w:szCs w:val="18"/>
          </w:rPr>
          <w:t>Classification of SUD method schematic, taken from (OHID, 2023d)</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_Toc185845007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58</w:t>
        </w:r>
        <w:r w:rsidR="00CE2DBF" w:rsidRPr="00BB7815">
          <w:rPr>
            <w:noProof/>
            <w:webHidden/>
            <w:sz w:val="18"/>
            <w:szCs w:val="18"/>
          </w:rPr>
          <w:fldChar w:fldCharType="end"/>
        </w:r>
      </w:hyperlink>
    </w:p>
    <w:p w14:paraId="51213F4B" w14:textId="36E8122D"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08" w:history="1">
        <w:r w:rsidR="00CE2DBF" w:rsidRPr="00BB7815">
          <w:rPr>
            <w:rStyle w:val="Hyperlink"/>
            <w:i/>
            <w:iCs/>
            <w:noProof/>
            <w:sz w:val="18"/>
            <w:szCs w:val="18"/>
          </w:rPr>
          <w:t>Figure 2.3</w:t>
        </w:r>
        <w:r w:rsidR="00CE2DBF" w:rsidRPr="00BB7815">
          <w:rPr>
            <w:rStyle w:val="Hyperlink"/>
            <w:i/>
            <w:iCs/>
            <w:noProof/>
            <w:sz w:val="18"/>
            <w:szCs w:val="18"/>
          </w:rPr>
          <w:noBreakHyphen/>
          <w:t>3</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Patient subgroupings (n=57,529)</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_Toc185845008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59</w:t>
        </w:r>
        <w:r w:rsidR="00CE2DBF" w:rsidRPr="00BB7815">
          <w:rPr>
            <w:noProof/>
            <w:webHidden/>
            <w:sz w:val="18"/>
            <w:szCs w:val="18"/>
          </w:rPr>
          <w:fldChar w:fldCharType="end"/>
        </w:r>
      </w:hyperlink>
    </w:p>
    <w:p w14:paraId="038604CE" w14:textId="7F01615B"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09" w:history="1">
        <w:r w:rsidR="00CE2DBF" w:rsidRPr="00BB7815">
          <w:rPr>
            <w:rStyle w:val="Hyperlink"/>
            <w:i/>
            <w:iCs/>
            <w:noProof/>
            <w:sz w:val="18"/>
            <w:szCs w:val="18"/>
          </w:rPr>
          <w:t>Figure 3.3</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Flow diagram of patients included in final analysis</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_Toc185845009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66</w:t>
        </w:r>
        <w:r w:rsidR="00CE2DBF" w:rsidRPr="00BB7815">
          <w:rPr>
            <w:noProof/>
            <w:webHidden/>
            <w:sz w:val="18"/>
            <w:szCs w:val="18"/>
          </w:rPr>
          <w:fldChar w:fldCharType="end"/>
        </w:r>
      </w:hyperlink>
    </w:p>
    <w:p w14:paraId="4772FD2C" w14:textId="3AA3E376"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10" w:history="1">
        <w:r w:rsidR="00CE2DBF" w:rsidRPr="00BB7815">
          <w:rPr>
            <w:rStyle w:val="Hyperlink"/>
            <w:i/>
            <w:iCs/>
            <w:noProof/>
            <w:sz w:val="18"/>
            <w:szCs w:val="18"/>
          </w:rPr>
          <w:t>Figure 4.3</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Subgroupings used in the analysis (n=48,169)</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_Toc185845010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96</w:t>
        </w:r>
        <w:r w:rsidR="00CE2DBF" w:rsidRPr="00BB7815">
          <w:rPr>
            <w:noProof/>
            <w:webHidden/>
            <w:sz w:val="18"/>
            <w:szCs w:val="18"/>
          </w:rPr>
          <w:fldChar w:fldCharType="end"/>
        </w:r>
      </w:hyperlink>
    </w:p>
    <w:p w14:paraId="21674C84" w14:textId="25155CEF" w:rsidR="00CE2DBF" w:rsidRPr="00BB7815" w:rsidRDefault="00000000" w:rsidP="00CA1173">
      <w:pPr>
        <w:pStyle w:val="TableofFigures"/>
        <w:tabs>
          <w:tab w:val="left" w:pos="1320"/>
          <w:tab w:val="right" w:leader="dot" w:pos="9016"/>
        </w:tabs>
        <w:ind w:left="1320" w:hanging="1320"/>
        <w:rPr>
          <w:rFonts w:asciiTheme="minorHAnsi" w:eastAsiaTheme="minorEastAsia" w:hAnsiTheme="minorHAnsi" w:cstheme="minorBidi"/>
          <w:bCs w:val="0"/>
          <w:noProof/>
          <w:kern w:val="2"/>
          <w:sz w:val="18"/>
          <w:szCs w:val="18"/>
          <w:lang w:eastAsia="en-GB"/>
          <w14:ligatures w14:val="standardContextual"/>
        </w:rPr>
      </w:pPr>
      <w:hyperlink w:anchor="_Toc185845011" w:history="1">
        <w:r w:rsidR="00CE2DBF" w:rsidRPr="00BB7815">
          <w:rPr>
            <w:rStyle w:val="Hyperlink"/>
            <w:i/>
            <w:iCs/>
            <w:noProof/>
            <w:sz w:val="18"/>
            <w:szCs w:val="18"/>
          </w:rPr>
          <w:t>Figure 5.3</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Stratification of study sample from National Drug Treatment Monitoring System over 34 months (1 April 2017 to 31 January 2020) into 16 subgroups by living arrangements/age/sex (n=17,120)</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_Toc185845011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114</w:t>
        </w:r>
        <w:r w:rsidR="00CE2DBF" w:rsidRPr="00BB7815">
          <w:rPr>
            <w:noProof/>
            <w:webHidden/>
            <w:sz w:val="18"/>
            <w:szCs w:val="18"/>
          </w:rPr>
          <w:fldChar w:fldCharType="end"/>
        </w:r>
      </w:hyperlink>
    </w:p>
    <w:p w14:paraId="12EF1B07" w14:textId="27015F10"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12" w:history="1">
        <w:r w:rsidR="00CE2DBF" w:rsidRPr="00BB7815">
          <w:rPr>
            <w:rStyle w:val="Hyperlink"/>
            <w:i/>
            <w:iCs/>
            <w:noProof/>
            <w:sz w:val="18"/>
            <w:szCs w:val="18"/>
          </w:rPr>
          <w:t>Figure 5.3</w:t>
        </w:r>
        <w:r w:rsidR="00CE2DBF" w:rsidRPr="00BB7815">
          <w:rPr>
            <w:rStyle w:val="Hyperlink"/>
            <w:i/>
            <w:iCs/>
            <w:noProof/>
            <w:sz w:val="18"/>
            <w:szCs w:val="18"/>
          </w:rPr>
          <w:noBreakHyphen/>
          <w:t>2</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shd w:val="clear" w:color="auto" w:fill="FFFFFF"/>
          </w:rPr>
          <w:t>State transition diagram of the Markov model</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_Toc185845012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116</w:t>
        </w:r>
        <w:r w:rsidR="00CE2DBF" w:rsidRPr="00BB7815">
          <w:rPr>
            <w:noProof/>
            <w:webHidden/>
            <w:sz w:val="18"/>
            <w:szCs w:val="18"/>
          </w:rPr>
          <w:fldChar w:fldCharType="end"/>
        </w:r>
      </w:hyperlink>
    </w:p>
    <w:p w14:paraId="79ECA26C" w14:textId="4BD9B79B"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13" w:history="1">
        <w:r w:rsidR="00CE2DBF" w:rsidRPr="00BB7815">
          <w:rPr>
            <w:rStyle w:val="Hyperlink"/>
            <w:i/>
            <w:iCs/>
            <w:noProof/>
            <w:sz w:val="18"/>
            <w:szCs w:val="18"/>
          </w:rPr>
          <w:t>Figure 5.4</w:t>
        </w:r>
        <w:r w:rsidR="00CE2DBF" w:rsidRPr="00BB7815">
          <w:rPr>
            <w:rStyle w:val="Hyperlink"/>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Cost-effectiveness planes with 1 QALY = £20,000</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_Toc185845013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128</w:t>
        </w:r>
        <w:r w:rsidR="00CE2DBF" w:rsidRPr="00BB7815">
          <w:rPr>
            <w:noProof/>
            <w:webHidden/>
            <w:sz w:val="18"/>
            <w:szCs w:val="18"/>
          </w:rPr>
          <w:fldChar w:fldCharType="end"/>
        </w:r>
      </w:hyperlink>
    </w:p>
    <w:p w14:paraId="062002FF" w14:textId="4216E74F"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14" w:history="1">
        <w:r w:rsidR="00CE2DBF" w:rsidRPr="00BB7815">
          <w:rPr>
            <w:rStyle w:val="Hyperlink"/>
            <w:i/>
            <w:iCs/>
            <w:noProof/>
            <w:sz w:val="18"/>
            <w:szCs w:val="18"/>
          </w:rPr>
          <w:t>Figure 5.4</w:t>
        </w:r>
        <w:r w:rsidR="00CE2DBF" w:rsidRPr="00BB7815">
          <w:rPr>
            <w:rStyle w:val="Hyperlink"/>
            <w:i/>
            <w:iCs/>
            <w:noProof/>
            <w:sz w:val="18"/>
            <w:szCs w:val="18"/>
          </w:rPr>
          <w:noBreakHyphen/>
          <w:t>2</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i/>
            <w:iCs/>
            <w:noProof/>
            <w:sz w:val="18"/>
            <w:szCs w:val="18"/>
          </w:rPr>
          <w:t>Cost-effectiveness acceptability curves</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_Toc185845014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129</w:t>
        </w:r>
        <w:r w:rsidR="00CE2DBF" w:rsidRPr="00BB7815">
          <w:rPr>
            <w:noProof/>
            <w:webHidden/>
            <w:sz w:val="18"/>
            <w:szCs w:val="18"/>
          </w:rPr>
          <w:fldChar w:fldCharType="end"/>
        </w:r>
      </w:hyperlink>
    </w:p>
    <w:p w14:paraId="151FAA8F" w14:textId="0323DE94" w:rsidR="00CE2DBF" w:rsidRPr="00BB7815" w:rsidRDefault="00000000">
      <w:pPr>
        <w:pStyle w:val="TableofFigures"/>
        <w:tabs>
          <w:tab w:val="left" w:pos="1320"/>
          <w:tab w:val="right" w:leader="dot" w:pos="9016"/>
        </w:tabs>
        <w:rPr>
          <w:rFonts w:asciiTheme="minorHAnsi" w:eastAsiaTheme="minorEastAsia" w:hAnsiTheme="minorHAnsi" w:cstheme="minorBidi"/>
          <w:bCs w:val="0"/>
          <w:noProof/>
          <w:kern w:val="2"/>
          <w:sz w:val="18"/>
          <w:szCs w:val="18"/>
          <w:lang w:eastAsia="en-GB"/>
          <w14:ligatures w14:val="standardContextual"/>
        </w:rPr>
      </w:pPr>
      <w:hyperlink w:anchor="_Toc185845015" w:history="1">
        <w:r w:rsidR="00CE2DBF" w:rsidRPr="00BB7815">
          <w:rPr>
            <w:rStyle w:val="Hyperlink"/>
            <w:rFonts w:cs="Arial"/>
            <w:i/>
            <w:iCs/>
            <w:noProof/>
            <w:sz w:val="18"/>
            <w:szCs w:val="18"/>
          </w:rPr>
          <w:t>Figure A</w:t>
        </w:r>
        <w:r w:rsidR="00CE2DBF" w:rsidRPr="00BB7815">
          <w:rPr>
            <w:rStyle w:val="Hyperlink"/>
            <w:rFonts w:cs="Arial"/>
            <w:i/>
            <w:iCs/>
            <w:noProof/>
            <w:sz w:val="18"/>
            <w:szCs w:val="18"/>
          </w:rPr>
          <w:noBreakHyphen/>
          <w:t>1</w:t>
        </w:r>
        <w:r w:rsidR="00CE2DBF" w:rsidRPr="00BB7815">
          <w:rPr>
            <w:rFonts w:asciiTheme="minorHAnsi" w:eastAsiaTheme="minorEastAsia" w:hAnsiTheme="minorHAnsi" w:cstheme="minorBidi"/>
            <w:bCs w:val="0"/>
            <w:noProof/>
            <w:kern w:val="2"/>
            <w:sz w:val="18"/>
            <w:szCs w:val="18"/>
            <w:lang w:eastAsia="en-GB"/>
            <w14:ligatures w14:val="standardContextual"/>
          </w:rPr>
          <w:tab/>
        </w:r>
        <w:r w:rsidR="00CE2DBF" w:rsidRPr="00BB7815">
          <w:rPr>
            <w:rStyle w:val="Hyperlink"/>
            <w:rFonts w:cs="Arial"/>
            <w:i/>
            <w:iCs/>
            <w:noProof/>
            <w:sz w:val="18"/>
            <w:szCs w:val="18"/>
          </w:rPr>
          <w:t>Review PRISMA diagram</w:t>
        </w:r>
        <w:r w:rsidR="00CE2DBF" w:rsidRPr="00BB7815">
          <w:rPr>
            <w:noProof/>
            <w:webHidden/>
            <w:sz w:val="18"/>
            <w:szCs w:val="18"/>
          </w:rPr>
          <w:tab/>
        </w:r>
        <w:r w:rsidR="00CE2DBF" w:rsidRPr="00BB7815">
          <w:rPr>
            <w:noProof/>
            <w:webHidden/>
            <w:sz w:val="18"/>
            <w:szCs w:val="18"/>
          </w:rPr>
          <w:fldChar w:fldCharType="begin"/>
        </w:r>
        <w:r w:rsidR="00CE2DBF" w:rsidRPr="00BB7815">
          <w:rPr>
            <w:noProof/>
            <w:webHidden/>
            <w:sz w:val="18"/>
            <w:szCs w:val="18"/>
          </w:rPr>
          <w:instrText xml:space="preserve"> PAGEREF _Toc185845015 \h </w:instrText>
        </w:r>
        <w:r w:rsidR="00CE2DBF" w:rsidRPr="00BB7815">
          <w:rPr>
            <w:noProof/>
            <w:webHidden/>
            <w:sz w:val="18"/>
            <w:szCs w:val="18"/>
          </w:rPr>
        </w:r>
        <w:r w:rsidR="00CE2DBF" w:rsidRPr="00BB7815">
          <w:rPr>
            <w:noProof/>
            <w:webHidden/>
            <w:sz w:val="18"/>
            <w:szCs w:val="18"/>
          </w:rPr>
          <w:fldChar w:fldCharType="separate"/>
        </w:r>
        <w:r w:rsidR="00CE2DBF" w:rsidRPr="00BB7815">
          <w:rPr>
            <w:noProof/>
            <w:webHidden/>
            <w:sz w:val="18"/>
            <w:szCs w:val="18"/>
          </w:rPr>
          <w:t>176</w:t>
        </w:r>
        <w:r w:rsidR="00CE2DBF" w:rsidRPr="00BB7815">
          <w:rPr>
            <w:noProof/>
            <w:webHidden/>
            <w:sz w:val="18"/>
            <w:szCs w:val="18"/>
          </w:rPr>
          <w:fldChar w:fldCharType="end"/>
        </w:r>
      </w:hyperlink>
    </w:p>
    <w:p w14:paraId="47D3CD08" w14:textId="7ADEF315" w:rsidR="00510BBC" w:rsidRDefault="002549BF">
      <w:pPr>
        <w:rPr>
          <w:rFonts w:cs="Arial"/>
        </w:rPr>
      </w:pPr>
      <w:r w:rsidRPr="00BB7815">
        <w:rPr>
          <w:rFonts w:cs="Arial"/>
          <w:sz w:val="18"/>
          <w:szCs w:val="18"/>
        </w:rPr>
        <w:fldChar w:fldCharType="end"/>
      </w:r>
    </w:p>
    <w:p w14:paraId="315AD5EC" w14:textId="77777777" w:rsidR="00BB7815" w:rsidRDefault="00BB7815">
      <w:pPr>
        <w:spacing w:after="200" w:line="276" w:lineRule="auto"/>
        <w:contextualSpacing w:val="0"/>
        <w:rPr>
          <w:b/>
          <w:sz w:val="32"/>
        </w:rPr>
      </w:pPr>
      <w:r>
        <w:br w:type="page"/>
      </w:r>
    </w:p>
    <w:p w14:paraId="5E06AE83" w14:textId="22339EAB" w:rsidR="007E1B3B" w:rsidRPr="00546683" w:rsidRDefault="005A3C79" w:rsidP="00546683">
      <w:pPr>
        <w:pStyle w:val="Headingnonumber"/>
        <w:numPr>
          <w:ilvl w:val="0"/>
          <w:numId w:val="0"/>
        </w:numPr>
        <w:ind w:left="432" w:hanging="432"/>
      </w:pPr>
      <w:r w:rsidRPr="00546683">
        <w:lastRenderedPageBreak/>
        <w:t>Glossary</w:t>
      </w:r>
    </w:p>
    <w:p w14:paraId="4B7535AE" w14:textId="0B4F938C" w:rsidR="005A3C79" w:rsidRDefault="005A3C79" w:rsidP="005A3C79">
      <w:pPr>
        <w:pStyle w:val="Caption"/>
        <w:rPr>
          <w:b w:val="0"/>
          <w:bCs w:val="0"/>
          <w:i/>
          <w:iCs/>
          <w:color w:val="auto"/>
          <w:sz w:val="24"/>
          <w:szCs w:val="24"/>
        </w:rPr>
      </w:pPr>
      <w:bookmarkStart w:id="0" w:name="_Toc185844985"/>
      <w:r w:rsidRPr="005A3C79">
        <w:rPr>
          <w:b w:val="0"/>
          <w:bCs w:val="0"/>
          <w:i/>
          <w:iCs/>
          <w:color w:val="auto"/>
          <w:sz w:val="24"/>
          <w:szCs w:val="24"/>
        </w:rPr>
        <w:t>Table</w:t>
      </w:r>
      <w:r w:rsidR="00527191">
        <w:rPr>
          <w:b w:val="0"/>
          <w:bCs w:val="0"/>
          <w:i/>
          <w:iCs/>
          <w:color w:val="auto"/>
          <w:sz w:val="24"/>
          <w:szCs w:val="24"/>
        </w:rPr>
        <w:t xml:space="preserve"> G</w:t>
      </w:r>
      <w:r w:rsidRPr="005A3C79">
        <w:rPr>
          <w:b w:val="0"/>
          <w:bCs w:val="0"/>
          <w:i/>
          <w:iCs/>
          <w:color w:val="auto"/>
          <w:sz w:val="24"/>
          <w:szCs w:val="24"/>
        </w:rPr>
        <w:t xml:space="preserve"> </w:t>
      </w:r>
      <w:r w:rsidR="00367870" w:rsidRPr="009752C6">
        <w:rPr>
          <w:b w:val="0"/>
          <w:bCs w:val="0"/>
          <w:i/>
          <w:iCs/>
          <w:color w:val="auto"/>
          <w:sz w:val="24"/>
          <w:szCs w:val="24"/>
        </w:rPr>
        <w:fldChar w:fldCharType="begin"/>
      </w:r>
      <w:r w:rsidR="00367870" w:rsidRPr="009752C6">
        <w:rPr>
          <w:b w:val="0"/>
          <w:bCs w:val="0"/>
          <w:i/>
          <w:iCs/>
          <w:color w:val="auto"/>
          <w:sz w:val="24"/>
          <w:szCs w:val="24"/>
        </w:rPr>
        <w:instrText xml:space="preserve"> STYLEREF 2 \s </w:instrText>
      </w:r>
      <w:r w:rsidR="00367870" w:rsidRPr="009752C6">
        <w:rPr>
          <w:b w:val="0"/>
          <w:bCs w:val="0"/>
          <w:i/>
          <w:iCs/>
          <w:color w:val="auto"/>
          <w:sz w:val="24"/>
          <w:szCs w:val="24"/>
        </w:rPr>
        <w:fldChar w:fldCharType="separate"/>
      </w:r>
      <w:r w:rsidR="00367870" w:rsidRPr="009752C6">
        <w:rPr>
          <w:b w:val="0"/>
          <w:bCs w:val="0"/>
          <w:i/>
          <w:iCs/>
          <w:noProof/>
          <w:color w:val="auto"/>
          <w:sz w:val="24"/>
          <w:szCs w:val="24"/>
        </w:rPr>
        <w:t>1.</w:t>
      </w:r>
      <w:r w:rsidR="00367870" w:rsidRPr="009752C6">
        <w:rPr>
          <w:b w:val="0"/>
          <w:bCs w:val="0"/>
          <w:i/>
          <w:iCs/>
          <w:noProof/>
          <w:color w:val="FFFFFF" w:themeColor="background1"/>
          <w:sz w:val="24"/>
          <w:szCs w:val="24"/>
        </w:rPr>
        <w:t>1</w:t>
      </w:r>
      <w:r w:rsidR="00367870" w:rsidRPr="009752C6">
        <w:rPr>
          <w:b w:val="0"/>
          <w:bCs w:val="0"/>
          <w:i/>
          <w:iCs/>
          <w:color w:val="auto"/>
          <w:sz w:val="24"/>
          <w:szCs w:val="24"/>
        </w:rPr>
        <w:fldChar w:fldCharType="end"/>
      </w:r>
      <w:r w:rsidR="00367870" w:rsidRPr="009752C6">
        <w:rPr>
          <w:b w:val="0"/>
          <w:bCs w:val="0"/>
          <w:i/>
          <w:iCs/>
          <w:color w:val="FFFFFF" w:themeColor="background1"/>
          <w:sz w:val="24"/>
          <w:szCs w:val="24"/>
        </w:rPr>
        <w:noBreakHyphen/>
      </w:r>
      <w:r w:rsidR="00367870" w:rsidRPr="009752C6">
        <w:rPr>
          <w:b w:val="0"/>
          <w:bCs w:val="0"/>
          <w:i/>
          <w:iCs/>
          <w:color w:val="FFFFFF" w:themeColor="background1"/>
          <w:sz w:val="24"/>
          <w:szCs w:val="24"/>
        </w:rPr>
        <w:fldChar w:fldCharType="begin"/>
      </w:r>
      <w:r w:rsidR="00367870" w:rsidRPr="009752C6">
        <w:rPr>
          <w:b w:val="0"/>
          <w:bCs w:val="0"/>
          <w:i/>
          <w:iCs/>
          <w:color w:val="FFFFFF" w:themeColor="background1"/>
          <w:sz w:val="24"/>
          <w:szCs w:val="24"/>
        </w:rPr>
        <w:instrText xml:space="preserve"> SEQ Table \* ARABIC \s 2 </w:instrText>
      </w:r>
      <w:r w:rsidR="00367870" w:rsidRPr="009752C6">
        <w:rPr>
          <w:b w:val="0"/>
          <w:bCs w:val="0"/>
          <w:i/>
          <w:iCs/>
          <w:color w:val="FFFFFF" w:themeColor="background1"/>
          <w:sz w:val="24"/>
          <w:szCs w:val="24"/>
        </w:rPr>
        <w:fldChar w:fldCharType="separate"/>
      </w:r>
      <w:r w:rsidR="00367870" w:rsidRPr="009752C6">
        <w:rPr>
          <w:b w:val="0"/>
          <w:bCs w:val="0"/>
          <w:i/>
          <w:iCs/>
          <w:noProof/>
          <w:color w:val="FFFFFF" w:themeColor="background1"/>
          <w:sz w:val="24"/>
          <w:szCs w:val="24"/>
        </w:rPr>
        <w:t>1</w:t>
      </w:r>
      <w:r w:rsidR="00367870" w:rsidRPr="009752C6">
        <w:rPr>
          <w:b w:val="0"/>
          <w:bCs w:val="0"/>
          <w:i/>
          <w:iCs/>
          <w:color w:val="FFFFFF" w:themeColor="background1"/>
          <w:sz w:val="24"/>
          <w:szCs w:val="24"/>
        </w:rPr>
        <w:fldChar w:fldCharType="end"/>
      </w:r>
      <w:r w:rsidR="00527191">
        <w:rPr>
          <w:b w:val="0"/>
          <w:bCs w:val="0"/>
          <w:i/>
          <w:iCs/>
          <w:color w:val="auto"/>
          <w:sz w:val="24"/>
          <w:szCs w:val="24"/>
        </w:rPr>
        <w:tab/>
      </w:r>
      <w:r w:rsidRPr="005A3C79">
        <w:rPr>
          <w:b w:val="0"/>
          <w:bCs w:val="0"/>
          <w:i/>
          <w:iCs/>
          <w:color w:val="auto"/>
          <w:sz w:val="24"/>
          <w:szCs w:val="24"/>
        </w:rPr>
        <w:t>List of abbreviations commonly used in the thesis</w:t>
      </w:r>
      <w:bookmarkEnd w:id="0"/>
      <w:r w:rsidRPr="005A3C79">
        <w:rPr>
          <w:b w:val="0"/>
          <w:bCs w:val="0"/>
          <w:i/>
          <w:iCs/>
          <w:color w:val="auto"/>
          <w:sz w:val="24"/>
          <w:szCs w:val="24"/>
        </w:rPr>
        <w:t xml:space="preserve"> </w:t>
      </w:r>
    </w:p>
    <w:p w14:paraId="6E4CB3C9" w14:textId="77777777" w:rsidR="005A3C79" w:rsidRPr="005A3C79" w:rsidRDefault="005A3C79" w:rsidP="005A3C79"/>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7033"/>
      </w:tblGrid>
      <w:tr w:rsidR="00544C3A" w14:paraId="2F6577AB" w14:textId="77777777" w:rsidTr="005A3C79">
        <w:tc>
          <w:tcPr>
            <w:tcW w:w="1551" w:type="dxa"/>
            <w:tcBorders>
              <w:bottom w:val="single" w:sz="4" w:space="0" w:color="auto"/>
              <w:right w:val="single" w:sz="4" w:space="0" w:color="auto"/>
            </w:tcBorders>
          </w:tcPr>
          <w:p w14:paraId="274F9E9D" w14:textId="77777777" w:rsidR="0097400C" w:rsidRDefault="0097400C" w:rsidP="0097400C"/>
          <w:p w14:paraId="025F2D7E" w14:textId="14CA1335" w:rsidR="00544C3A" w:rsidRDefault="00544C3A" w:rsidP="007E1B3B">
            <w:r>
              <w:t>Abbreviation</w:t>
            </w:r>
          </w:p>
        </w:tc>
        <w:tc>
          <w:tcPr>
            <w:tcW w:w="7033" w:type="dxa"/>
            <w:tcBorders>
              <w:left w:val="single" w:sz="4" w:space="0" w:color="auto"/>
              <w:bottom w:val="single" w:sz="4" w:space="0" w:color="auto"/>
            </w:tcBorders>
          </w:tcPr>
          <w:p w14:paraId="047EF001" w14:textId="77777777" w:rsidR="0097400C" w:rsidRDefault="0097400C" w:rsidP="00544C3A"/>
          <w:p w14:paraId="00DFFC12" w14:textId="77777777" w:rsidR="0097400C" w:rsidRDefault="00544C3A" w:rsidP="0097400C">
            <w:r>
              <w:t>Meaning</w:t>
            </w:r>
          </w:p>
          <w:p w14:paraId="576A9866" w14:textId="7CB8F248" w:rsidR="0097400C" w:rsidRPr="0097400C" w:rsidRDefault="0097400C" w:rsidP="0097400C">
            <w:pPr>
              <w:pStyle w:val="NoSpacing"/>
              <w:spacing w:line="240" w:lineRule="auto"/>
            </w:pPr>
          </w:p>
        </w:tc>
      </w:tr>
      <w:tr w:rsidR="00747D7D" w14:paraId="06F8923E" w14:textId="77777777" w:rsidTr="005A3C79">
        <w:tc>
          <w:tcPr>
            <w:tcW w:w="1551" w:type="dxa"/>
            <w:tcBorders>
              <w:top w:val="single" w:sz="4" w:space="0" w:color="auto"/>
              <w:right w:val="single" w:sz="4" w:space="0" w:color="auto"/>
            </w:tcBorders>
          </w:tcPr>
          <w:p w14:paraId="04227EF5" w14:textId="16CD2263" w:rsidR="00747D7D" w:rsidRDefault="00747D7D" w:rsidP="007E1B3B">
            <w:r>
              <w:t>aOR</w:t>
            </w:r>
          </w:p>
        </w:tc>
        <w:tc>
          <w:tcPr>
            <w:tcW w:w="7033" w:type="dxa"/>
            <w:tcBorders>
              <w:top w:val="single" w:sz="4" w:space="0" w:color="auto"/>
              <w:left w:val="single" w:sz="4" w:space="0" w:color="auto"/>
            </w:tcBorders>
          </w:tcPr>
          <w:p w14:paraId="3A6D1CD9" w14:textId="02B4E378" w:rsidR="00747D7D" w:rsidRDefault="00747D7D" w:rsidP="00544C3A">
            <w:r>
              <w:t>Adjusted odds ratio</w:t>
            </w:r>
          </w:p>
        </w:tc>
      </w:tr>
      <w:tr w:rsidR="00544C3A" w14:paraId="0B6237F0" w14:textId="77777777" w:rsidTr="005A3C79">
        <w:tc>
          <w:tcPr>
            <w:tcW w:w="1551" w:type="dxa"/>
            <w:tcBorders>
              <w:right w:val="single" w:sz="4" w:space="0" w:color="auto"/>
            </w:tcBorders>
          </w:tcPr>
          <w:p w14:paraId="62ACA333" w14:textId="77777777" w:rsidR="00544C3A" w:rsidRDefault="00544C3A" w:rsidP="005A3C79">
            <w:r>
              <w:t>ATE</w:t>
            </w:r>
          </w:p>
        </w:tc>
        <w:tc>
          <w:tcPr>
            <w:tcW w:w="7033" w:type="dxa"/>
            <w:tcBorders>
              <w:left w:val="single" w:sz="4" w:space="0" w:color="auto"/>
            </w:tcBorders>
          </w:tcPr>
          <w:p w14:paraId="13FDD1B1" w14:textId="77777777" w:rsidR="00544C3A" w:rsidRDefault="00544C3A" w:rsidP="005A3C79">
            <w:r>
              <w:t>Average Treatment Effect</w:t>
            </w:r>
          </w:p>
        </w:tc>
      </w:tr>
      <w:tr w:rsidR="00544C3A" w14:paraId="7AAC33EB" w14:textId="77777777" w:rsidTr="005A3C79">
        <w:tc>
          <w:tcPr>
            <w:tcW w:w="1551" w:type="dxa"/>
            <w:tcBorders>
              <w:right w:val="single" w:sz="4" w:space="0" w:color="auto"/>
            </w:tcBorders>
          </w:tcPr>
          <w:p w14:paraId="5208B459" w14:textId="77777777" w:rsidR="00544C3A" w:rsidRDefault="00544C3A" w:rsidP="007E1B3B">
            <w:r>
              <w:t>AUD</w:t>
            </w:r>
          </w:p>
        </w:tc>
        <w:tc>
          <w:tcPr>
            <w:tcW w:w="7033" w:type="dxa"/>
            <w:tcBorders>
              <w:left w:val="single" w:sz="4" w:space="0" w:color="auto"/>
            </w:tcBorders>
          </w:tcPr>
          <w:p w14:paraId="32FBA315" w14:textId="77777777" w:rsidR="00544C3A" w:rsidRDefault="00544C3A" w:rsidP="007E1B3B">
            <w:r>
              <w:t>Alcohol use disorder</w:t>
            </w:r>
          </w:p>
        </w:tc>
      </w:tr>
      <w:tr w:rsidR="00544C3A" w14:paraId="5ADD650C" w14:textId="77777777" w:rsidTr="005A3C79">
        <w:tc>
          <w:tcPr>
            <w:tcW w:w="1551" w:type="dxa"/>
            <w:tcBorders>
              <w:right w:val="single" w:sz="4" w:space="0" w:color="auto"/>
            </w:tcBorders>
          </w:tcPr>
          <w:p w14:paraId="3B50AFAA" w14:textId="77777777" w:rsidR="00544C3A" w:rsidRDefault="00544C3A" w:rsidP="005A3C79">
            <w:r>
              <w:t>BCAP</w:t>
            </w:r>
          </w:p>
        </w:tc>
        <w:tc>
          <w:tcPr>
            <w:tcW w:w="7033" w:type="dxa"/>
            <w:tcBorders>
              <w:left w:val="single" w:sz="4" w:space="0" w:color="auto"/>
            </w:tcBorders>
          </w:tcPr>
          <w:p w14:paraId="216FD8D0" w14:textId="77777777" w:rsidR="00544C3A" w:rsidRDefault="00544C3A" w:rsidP="005A3C79">
            <w:r>
              <w:t>Brief Child Abuse Potential Inventory</w:t>
            </w:r>
          </w:p>
        </w:tc>
      </w:tr>
      <w:tr w:rsidR="00C41D0E" w14:paraId="2E121C2E" w14:textId="77777777" w:rsidTr="005A3C79">
        <w:tc>
          <w:tcPr>
            <w:tcW w:w="1551" w:type="dxa"/>
            <w:tcBorders>
              <w:right w:val="single" w:sz="4" w:space="0" w:color="auto"/>
            </w:tcBorders>
          </w:tcPr>
          <w:p w14:paraId="3C04C10A" w14:textId="4AAF2C77" w:rsidR="00C41D0E" w:rsidRDefault="00C41D0E" w:rsidP="007E1B3B">
            <w:r>
              <w:t>E</w:t>
            </w:r>
          </w:p>
        </w:tc>
        <w:tc>
          <w:tcPr>
            <w:tcW w:w="7033" w:type="dxa"/>
            <w:tcBorders>
              <w:left w:val="single" w:sz="4" w:space="0" w:color="auto"/>
            </w:tcBorders>
          </w:tcPr>
          <w:p w14:paraId="1D6E5DD3" w14:textId="285BFE6B" w:rsidR="00C41D0E" w:rsidRDefault="00C41D0E" w:rsidP="007E1B3B">
            <w:r>
              <w:t>E-value</w:t>
            </w:r>
            <w:r w:rsidR="00AA710C">
              <w:t xml:space="preserve"> (used in sensitivity analysis)</w:t>
            </w:r>
          </w:p>
        </w:tc>
      </w:tr>
      <w:tr w:rsidR="00F22FA6" w14:paraId="07D018BE" w14:textId="77777777" w:rsidTr="005A3C79">
        <w:tc>
          <w:tcPr>
            <w:tcW w:w="1551" w:type="dxa"/>
            <w:tcBorders>
              <w:right w:val="single" w:sz="4" w:space="0" w:color="auto"/>
            </w:tcBorders>
          </w:tcPr>
          <w:p w14:paraId="470E0DC1" w14:textId="05F33A99" w:rsidR="00F22FA6" w:rsidRDefault="00F22FA6" w:rsidP="007E1B3B">
            <w:r>
              <w:t>FASD</w:t>
            </w:r>
          </w:p>
        </w:tc>
        <w:tc>
          <w:tcPr>
            <w:tcW w:w="7033" w:type="dxa"/>
            <w:tcBorders>
              <w:left w:val="single" w:sz="4" w:space="0" w:color="auto"/>
            </w:tcBorders>
          </w:tcPr>
          <w:p w14:paraId="01327571" w14:textId="168E3F9F" w:rsidR="00F22FA6" w:rsidRDefault="00F22FA6" w:rsidP="007E1B3B">
            <w:r>
              <w:t>Foetal Alcohol Spectrum Disorder</w:t>
            </w:r>
          </w:p>
        </w:tc>
      </w:tr>
      <w:tr w:rsidR="00544C3A" w14:paraId="267C54B7" w14:textId="77777777" w:rsidTr="005A3C79">
        <w:tc>
          <w:tcPr>
            <w:tcW w:w="1551" w:type="dxa"/>
            <w:tcBorders>
              <w:right w:val="single" w:sz="4" w:space="0" w:color="auto"/>
            </w:tcBorders>
          </w:tcPr>
          <w:p w14:paraId="7A7A741E" w14:textId="77777777" w:rsidR="00544C3A" w:rsidRDefault="00544C3A" w:rsidP="005A3C79">
            <w:r>
              <w:t>ICER</w:t>
            </w:r>
          </w:p>
        </w:tc>
        <w:tc>
          <w:tcPr>
            <w:tcW w:w="7033" w:type="dxa"/>
            <w:tcBorders>
              <w:left w:val="single" w:sz="4" w:space="0" w:color="auto"/>
            </w:tcBorders>
          </w:tcPr>
          <w:p w14:paraId="46C59F48" w14:textId="77777777" w:rsidR="00544C3A" w:rsidRDefault="00544C3A" w:rsidP="005A3C79">
            <w:r>
              <w:t>Incremental cost effectiveness ratio</w:t>
            </w:r>
          </w:p>
        </w:tc>
      </w:tr>
      <w:tr w:rsidR="008656E1" w14:paraId="0651FC92" w14:textId="77777777" w:rsidTr="005A3C79">
        <w:tc>
          <w:tcPr>
            <w:tcW w:w="1551" w:type="dxa"/>
            <w:tcBorders>
              <w:right w:val="single" w:sz="4" w:space="0" w:color="auto"/>
            </w:tcBorders>
          </w:tcPr>
          <w:p w14:paraId="2A1DAFFB" w14:textId="68E3641D" w:rsidR="008656E1" w:rsidRDefault="008656E1" w:rsidP="007E1B3B">
            <w:r>
              <w:t>LWC</w:t>
            </w:r>
          </w:p>
        </w:tc>
        <w:tc>
          <w:tcPr>
            <w:tcW w:w="7033" w:type="dxa"/>
            <w:tcBorders>
              <w:left w:val="single" w:sz="4" w:space="0" w:color="auto"/>
            </w:tcBorders>
          </w:tcPr>
          <w:p w14:paraId="4FF50873" w14:textId="0CDEBF91" w:rsidR="008656E1" w:rsidRDefault="008656E1" w:rsidP="007E1B3B">
            <w:r>
              <w:t>Parent living with children</w:t>
            </w:r>
          </w:p>
        </w:tc>
      </w:tr>
      <w:tr w:rsidR="00544C3A" w14:paraId="7A83051A" w14:textId="77777777" w:rsidTr="005A3C79">
        <w:tc>
          <w:tcPr>
            <w:tcW w:w="1551" w:type="dxa"/>
            <w:tcBorders>
              <w:right w:val="single" w:sz="4" w:space="0" w:color="auto"/>
            </w:tcBorders>
          </w:tcPr>
          <w:p w14:paraId="0ACAB5DE" w14:textId="77777777" w:rsidR="00544C3A" w:rsidRDefault="00544C3A" w:rsidP="005A3C79">
            <w:r>
              <w:t>NDTMS</w:t>
            </w:r>
          </w:p>
        </w:tc>
        <w:tc>
          <w:tcPr>
            <w:tcW w:w="7033" w:type="dxa"/>
            <w:tcBorders>
              <w:left w:val="single" w:sz="4" w:space="0" w:color="auto"/>
            </w:tcBorders>
          </w:tcPr>
          <w:p w14:paraId="1DAFC0C5" w14:textId="77777777" w:rsidR="00544C3A" w:rsidRDefault="00544C3A" w:rsidP="005A3C79">
            <w:r>
              <w:t>National Drug Treatment Monitoring System</w:t>
            </w:r>
          </w:p>
        </w:tc>
      </w:tr>
      <w:tr w:rsidR="00544C3A" w14:paraId="685F0154" w14:textId="77777777" w:rsidTr="005A3C79">
        <w:tc>
          <w:tcPr>
            <w:tcW w:w="1551" w:type="dxa"/>
            <w:tcBorders>
              <w:right w:val="single" w:sz="4" w:space="0" w:color="auto"/>
            </w:tcBorders>
          </w:tcPr>
          <w:p w14:paraId="0F67B7DA" w14:textId="77777777" w:rsidR="00544C3A" w:rsidRDefault="00544C3A" w:rsidP="007E1B3B">
            <w:r>
              <w:t>NHS</w:t>
            </w:r>
          </w:p>
        </w:tc>
        <w:tc>
          <w:tcPr>
            <w:tcW w:w="7033" w:type="dxa"/>
            <w:tcBorders>
              <w:left w:val="single" w:sz="4" w:space="0" w:color="auto"/>
            </w:tcBorders>
          </w:tcPr>
          <w:p w14:paraId="1904CDFC" w14:textId="77777777" w:rsidR="00544C3A" w:rsidRDefault="00544C3A" w:rsidP="007E1B3B">
            <w:r>
              <w:t>National Health Service</w:t>
            </w:r>
          </w:p>
        </w:tc>
      </w:tr>
      <w:tr w:rsidR="00544C3A" w14:paraId="225AFA8F" w14:textId="77777777" w:rsidTr="005A3C79">
        <w:tc>
          <w:tcPr>
            <w:tcW w:w="1551" w:type="dxa"/>
            <w:tcBorders>
              <w:right w:val="single" w:sz="4" w:space="0" w:color="auto"/>
            </w:tcBorders>
          </w:tcPr>
          <w:p w14:paraId="1FC2E9FB" w14:textId="77777777" w:rsidR="00544C3A" w:rsidRDefault="00544C3A" w:rsidP="007E1B3B">
            <w:r>
              <w:t>NICE</w:t>
            </w:r>
          </w:p>
        </w:tc>
        <w:tc>
          <w:tcPr>
            <w:tcW w:w="7033" w:type="dxa"/>
            <w:tcBorders>
              <w:left w:val="single" w:sz="4" w:space="0" w:color="auto"/>
            </w:tcBorders>
          </w:tcPr>
          <w:p w14:paraId="1396FC55" w14:textId="77777777" w:rsidR="00544C3A" w:rsidRDefault="00544C3A" w:rsidP="007E1B3B">
            <w:r>
              <w:t>National Institute for Health and Care Excellence</w:t>
            </w:r>
          </w:p>
        </w:tc>
      </w:tr>
      <w:tr w:rsidR="00544C3A" w14:paraId="0AF4BC84" w14:textId="77777777" w:rsidTr="005A3C79">
        <w:tc>
          <w:tcPr>
            <w:tcW w:w="1551" w:type="dxa"/>
            <w:tcBorders>
              <w:right w:val="single" w:sz="4" w:space="0" w:color="auto"/>
            </w:tcBorders>
          </w:tcPr>
          <w:p w14:paraId="174B03D6" w14:textId="77777777" w:rsidR="00544C3A" w:rsidRDefault="00544C3A" w:rsidP="005A3C79">
            <w:r>
              <w:t>Non-OU</w:t>
            </w:r>
          </w:p>
        </w:tc>
        <w:tc>
          <w:tcPr>
            <w:tcW w:w="7033" w:type="dxa"/>
            <w:tcBorders>
              <w:left w:val="single" w:sz="4" w:space="0" w:color="auto"/>
            </w:tcBorders>
          </w:tcPr>
          <w:p w14:paraId="33DEF1F3" w14:textId="77777777" w:rsidR="00544C3A" w:rsidRDefault="00544C3A" w:rsidP="005A3C79">
            <w:r>
              <w:t>Non-opiate user</w:t>
            </w:r>
          </w:p>
        </w:tc>
      </w:tr>
      <w:tr w:rsidR="008656E1" w14:paraId="5CAF78EC" w14:textId="77777777" w:rsidTr="005A3C79">
        <w:tc>
          <w:tcPr>
            <w:tcW w:w="1551" w:type="dxa"/>
            <w:tcBorders>
              <w:right w:val="single" w:sz="4" w:space="0" w:color="auto"/>
            </w:tcBorders>
          </w:tcPr>
          <w:p w14:paraId="72F82940" w14:textId="5314D62B" w:rsidR="008656E1" w:rsidRDefault="008656E1" w:rsidP="007E1B3B">
            <w:r>
              <w:t>NWC</w:t>
            </w:r>
          </w:p>
        </w:tc>
        <w:tc>
          <w:tcPr>
            <w:tcW w:w="7033" w:type="dxa"/>
            <w:tcBorders>
              <w:left w:val="single" w:sz="4" w:space="0" w:color="auto"/>
            </w:tcBorders>
          </w:tcPr>
          <w:p w14:paraId="35536DFE" w14:textId="5955B75D" w:rsidR="008656E1" w:rsidRDefault="008656E1" w:rsidP="007E1B3B">
            <w:r>
              <w:t>Parent not living with children</w:t>
            </w:r>
          </w:p>
        </w:tc>
      </w:tr>
      <w:tr w:rsidR="00544C3A" w14:paraId="0914996E" w14:textId="77777777" w:rsidTr="005A3C79">
        <w:tc>
          <w:tcPr>
            <w:tcW w:w="1551" w:type="dxa"/>
            <w:tcBorders>
              <w:right w:val="single" w:sz="4" w:space="0" w:color="auto"/>
            </w:tcBorders>
          </w:tcPr>
          <w:p w14:paraId="69F0C122" w14:textId="77777777" w:rsidR="00544C3A" w:rsidRDefault="00544C3A" w:rsidP="007E1B3B">
            <w:r>
              <w:t>OHID</w:t>
            </w:r>
          </w:p>
        </w:tc>
        <w:tc>
          <w:tcPr>
            <w:tcW w:w="7033" w:type="dxa"/>
            <w:tcBorders>
              <w:left w:val="single" w:sz="4" w:space="0" w:color="auto"/>
            </w:tcBorders>
          </w:tcPr>
          <w:p w14:paraId="542E237F" w14:textId="77777777" w:rsidR="00544C3A" w:rsidRDefault="00544C3A" w:rsidP="007E1B3B">
            <w:r>
              <w:t>Office for Health Improvement and Disparities</w:t>
            </w:r>
          </w:p>
        </w:tc>
      </w:tr>
      <w:tr w:rsidR="00747D7D" w14:paraId="7843DFC7" w14:textId="77777777" w:rsidTr="005A3C79">
        <w:tc>
          <w:tcPr>
            <w:tcW w:w="1551" w:type="dxa"/>
            <w:tcBorders>
              <w:right w:val="single" w:sz="4" w:space="0" w:color="auto"/>
            </w:tcBorders>
          </w:tcPr>
          <w:p w14:paraId="3C46F5A1" w14:textId="11528D09" w:rsidR="00747D7D" w:rsidRDefault="00747D7D" w:rsidP="007E1B3B">
            <w:r>
              <w:t>OR</w:t>
            </w:r>
          </w:p>
        </w:tc>
        <w:tc>
          <w:tcPr>
            <w:tcW w:w="7033" w:type="dxa"/>
            <w:tcBorders>
              <w:left w:val="single" w:sz="4" w:space="0" w:color="auto"/>
            </w:tcBorders>
          </w:tcPr>
          <w:p w14:paraId="094A08E5" w14:textId="0B9C694A" w:rsidR="00747D7D" w:rsidRDefault="00747D7D" w:rsidP="007E1B3B">
            <w:r>
              <w:t>Odds ratio</w:t>
            </w:r>
          </w:p>
        </w:tc>
      </w:tr>
      <w:tr w:rsidR="00544C3A" w14:paraId="7CEF69C5" w14:textId="77777777" w:rsidTr="005A3C79">
        <w:tc>
          <w:tcPr>
            <w:tcW w:w="1551" w:type="dxa"/>
            <w:tcBorders>
              <w:right w:val="single" w:sz="4" w:space="0" w:color="auto"/>
            </w:tcBorders>
          </w:tcPr>
          <w:p w14:paraId="764EBFB7" w14:textId="77777777" w:rsidR="00544C3A" w:rsidRDefault="00544C3A" w:rsidP="005A3C79">
            <w:r>
              <w:t>OU</w:t>
            </w:r>
          </w:p>
        </w:tc>
        <w:tc>
          <w:tcPr>
            <w:tcW w:w="7033" w:type="dxa"/>
            <w:tcBorders>
              <w:left w:val="single" w:sz="4" w:space="0" w:color="auto"/>
            </w:tcBorders>
          </w:tcPr>
          <w:p w14:paraId="461DB682" w14:textId="77777777" w:rsidR="00544C3A" w:rsidRDefault="00544C3A" w:rsidP="005A3C79">
            <w:r>
              <w:t>Opiate user</w:t>
            </w:r>
          </w:p>
        </w:tc>
      </w:tr>
      <w:tr w:rsidR="00544C3A" w14:paraId="62D1A987" w14:textId="77777777" w:rsidTr="005A3C79">
        <w:tc>
          <w:tcPr>
            <w:tcW w:w="1551" w:type="dxa"/>
            <w:tcBorders>
              <w:right w:val="single" w:sz="4" w:space="0" w:color="auto"/>
            </w:tcBorders>
          </w:tcPr>
          <w:p w14:paraId="07B9B4E3" w14:textId="77777777" w:rsidR="00544C3A" w:rsidRDefault="00544C3A" w:rsidP="007E1B3B">
            <w:r>
              <w:t>PHE</w:t>
            </w:r>
          </w:p>
        </w:tc>
        <w:tc>
          <w:tcPr>
            <w:tcW w:w="7033" w:type="dxa"/>
            <w:tcBorders>
              <w:left w:val="single" w:sz="4" w:space="0" w:color="auto"/>
            </w:tcBorders>
          </w:tcPr>
          <w:p w14:paraId="7A5D27ED" w14:textId="77777777" w:rsidR="00544C3A" w:rsidRDefault="00544C3A" w:rsidP="007E1B3B">
            <w:r>
              <w:t>Public Health England</w:t>
            </w:r>
          </w:p>
        </w:tc>
      </w:tr>
      <w:tr w:rsidR="00E22719" w14:paraId="4B721E68" w14:textId="77777777" w:rsidTr="005A3C79">
        <w:tc>
          <w:tcPr>
            <w:tcW w:w="1551" w:type="dxa"/>
            <w:tcBorders>
              <w:right w:val="single" w:sz="4" w:space="0" w:color="auto"/>
            </w:tcBorders>
          </w:tcPr>
          <w:p w14:paraId="7D3ACA6F" w14:textId="67FADA2D" w:rsidR="00E22719" w:rsidRDefault="00E22719" w:rsidP="007E1B3B">
            <w:r>
              <w:t>PuP</w:t>
            </w:r>
          </w:p>
        </w:tc>
        <w:tc>
          <w:tcPr>
            <w:tcW w:w="7033" w:type="dxa"/>
            <w:tcBorders>
              <w:left w:val="single" w:sz="4" w:space="0" w:color="auto"/>
            </w:tcBorders>
          </w:tcPr>
          <w:p w14:paraId="537505F3" w14:textId="04EE4D2F" w:rsidR="00E22719" w:rsidRDefault="00E22719" w:rsidP="007E1B3B">
            <w:r>
              <w:t>Parents Under Pressure parenting programme</w:t>
            </w:r>
          </w:p>
        </w:tc>
      </w:tr>
      <w:tr w:rsidR="00544C3A" w14:paraId="0C498447" w14:textId="77777777" w:rsidTr="005A3C79">
        <w:tc>
          <w:tcPr>
            <w:tcW w:w="1551" w:type="dxa"/>
            <w:tcBorders>
              <w:right w:val="single" w:sz="4" w:space="0" w:color="auto"/>
            </w:tcBorders>
          </w:tcPr>
          <w:p w14:paraId="206198C1" w14:textId="77777777" w:rsidR="00544C3A" w:rsidRDefault="00544C3A" w:rsidP="005A3C79">
            <w:r>
              <w:t>QALY</w:t>
            </w:r>
          </w:p>
        </w:tc>
        <w:tc>
          <w:tcPr>
            <w:tcW w:w="7033" w:type="dxa"/>
            <w:tcBorders>
              <w:left w:val="single" w:sz="4" w:space="0" w:color="auto"/>
            </w:tcBorders>
          </w:tcPr>
          <w:p w14:paraId="5B2DEF7D" w14:textId="77777777" w:rsidR="00544C3A" w:rsidRDefault="00544C3A" w:rsidP="005A3C79">
            <w:r>
              <w:t>Quality-adjusted life years</w:t>
            </w:r>
          </w:p>
        </w:tc>
      </w:tr>
      <w:tr w:rsidR="00544C3A" w14:paraId="2B4B70C3" w14:textId="77777777" w:rsidTr="005A3C79">
        <w:tc>
          <w:tcPr>
            <w:tcW w:w="1551" w:type="dxa"/>
            <w:tcBorders>
              <w:right w:val="single" w:sz="4" w:space="0" w:color="auto"/>
            </w:tcBorders>
          </w:tcPr>
          <w:p w14:paraId="7B64408D" w14:textId="77777777" w:rsidR="00544C3A" w:rsidRDefault="00544C3A" w:rsidP="007E1B3B">
            <w:r>
              <w:t>SUD</w:t>
            </w:r>
          </w:p>
        </w:tc>
        <w:tc>
          <w:tcPr>
            <w:tcW w:w="7033" w:type="dxa"/>
            <w:tcBorders>
              <w:left w:val="single" w:sz="4" w:space="0" w:color="auto"/>
            </w:tcBorders>
          </w:tcPr>
          <w:p w14:paraId="500D5A3B" w14:textId="77777777" w:rsidR="00544C3A" w:rsidRDefault="00544C3A" w:rsidP="007E1B3B">
            <w:r>
              <w:t>Substance use disorder</w:t>
            </w:r>
          </w:p>
        </w:tc>
      </w:tr>
      <w:tr w:rsidR="00090F50" w14:paraId="4CE427A7" w14:textId="77777777" w:rsidTr="005A3C79">
        <w:tc>
          <w:tcPr>
            <w:tcW w:w="1551" w:type="dxa"/>
            <w:tcBorders>
              <w:right w:val="single" w:sz="4" w:space="0" w:color="auto"/>
            </w:tcBorders>
          </w:tcPr>
          <w:p w14:paraId="45612CC5" w14:textId="7B34DC8D" w:rsidR="00090F50" w:rsidRDefault="002326BC" w:rsidP="007E1B3B">
            <w:r>
              <w:t>tpA2A</w:t>
            </w:r>
          </w:p>
        </w:tc>
        <w:tc>
          <w:tcPr>
            <w:tcW w:w="7033" w:type="dxa"/>
            <w:tcBorders>
              <w:left w:val="single" w:sz="4" w:space="0" w:color="auto"/>
            </w:tcBorders>
          </w:tcPr>
          <w:p w14:paraId="3BFF5171" w14:textId="5A8059BB" w:rsidR="00090F50" w:rsidRDefault="001D6818" w:rsidP="007E1B3B">
            <w:r>
              <w:t xml:space="preserve">Transition probability of </w:t>
            </w:r>
            <w:r w:rsidR="00B94686">
              <w:t>moving from ‘In treatment’ to ‘In treatment’</w:t>
            </w:r>
            <w:r w:rsidR="00520184">
              <w:t xml:space="preserve"> (</w:t>
            </w:r>
            <w:r w:rsidR="008D7DC5">
              <w:t>those in treatment only</w:t>
            </w:r>
            <w:r w:rsidR="00520184">
              <w:t>)</w:t>
            </w:r>
          </w:p>
        </w:tc>
      </w:tr>
      <w:tr w:rsidR="00B94686" w14:paraId="4FF10A14" w14:textId="77777777" w:rsidTr="005A3C79">
        <w:tc>
          <w:tcPr>
            <w:tcW w:w="1551" w:type="dxa"/>
            <w:tcBorders>
              <w:right w:val="single" w:sz="4" w:space="0" w:color="auto"/>
            </w:tcBorders>
          </w:tcPr>
          <w:p w14:paraId="0846A09B" w14:textId="5F767AF8" w:rsidR="00B94686" w:rsidRDefault="00B94686" w:rsidP="00B94686">
            <w:r>
              <w:t>tpA2B</w:t>
            </w:r>
          </w:p>
        </w:tc>
        <w:tc>
          <w:tcPr>
            <w:tcW w:w="7033" w:type="dxa"/>
            <w:tcBorders>
              <w:left w:val="single" w:sz="4" w:space="0" w:color="auto"/>
            </w:tcBorders>
          </w:tcPr>
          <w:p w14:paraId="188C0D90" w14:textId="292405CB" w:rsidR="00B94686" w:rsidRDefault="00B94686" w:rsidP="00B94686">
            <w:r>
              <w:t>Transition probability of moving from ‘In treatment’ to ‘In remission’</w:t>
            </w:r>
            <w:r w:rsidR="00520184">
              <w:t xml:space="preserve"> (</w:t>
            </w:r>
            <w:r w:rsidR="008D7DC5">
              <w:t>those in treatment only</w:t>
            </w:r>
            <w:r w:rsidR="00520184">
              <w:t>)</w:t>
            </w:r>
          </w:p>
        </w:tc>
      </w:tr>
      <w:tr w:rsidR="00B94686" w14:paraId="166DA937" w14:textId="77777777" w:rsidTr="005A3C79">
        <w:tc>
          <w:tcPr>
            <w:tcW w:w="1551" w:type="dxa"/>
            <w:tcBorders>
              <w:right w:val="single" w:sz="4" w:space="0" w:color="auto"/>
            </w:tcBorders>
          </w:tcPr>
          <w:p w14:paraId="667F85F0" w14:textId="26EC2D08" w:rsidR="00B94686" w:rsidRDefault="00B94686" w:rsidP="00B94686">
            <w:r>
              <w:t>tpA2C</w:t>
            </w:r>
          </w:p>
        </w:tc>
        <w:tc>
          <w:tcPr>
            <w:tcW w:w="7033" w:type="dxa"/>
            <w:tcBorders>
              <w:left w:val="single" w:sz="4" w:space="0" w:color="auto"/>
            </w:tcBorders>
          </w:tcPr>
          <w:p w14:paraId="45422AB8" w14:textId="56B86631" w:rsidR="00B94686" w:rsidRDefault="00B94686" w:rsidP="00B94686">
            <w:r>
              <w:t>Transition probability of moving from ‘In treatment’ to ‘Not in treatment and not in remission’</w:t>
            </w:r>
            <w:r w:rsidR="00520184">
              <w:t xml:space="preserve"> (</w:t>
            </w:r>
            <w:r w:rsidR="008D7DC5">
              <w:t>those in treatment only</w:t>
            </w:r>
            <w:r w:rsidR="00520184">
              <w:t>)</w:t>
            </w:r>
          </w:p>
        </w:tc>
      </w:tr>
      <w:tr w:rsidR="00B94686" w14:paraId="03DD33C8" w14:textId="77777777" w:rsidTr="005A3C79">
        <w:tc>
          <w:tcPr>
            <w:tcW w:w="1551" w:type="dxa"/>
            <w:tcBorders>
              <w:right w:val="single" w:sz="4" w:space="0" w:color="auto"/>
            </w:tcBorders>
          </w:tcPr>
          <w:p w14:paraId="72B1A2B6" w14:textId="31EB95C9" w:rsidR="00B94686" w:rsidRDefault="00B94686" w:rsidP="00B94686">
            <w:r>
              <w:t>tpA2D</w:t>
            </w:r>
          </w:p>
        </w:tc>
        <w:tc>
          <w:tcPr>
            <w:tcW w:w="7033" w:type="dxa"/>
            <w:tcBorders>
              <w:left w:val="single" w:sz="4" w:space="0" w:color="auto"/>
            </w:tcBorders>
          </w:tcPr>
          <w:p w14:paraId="23BC24D1" w14:textId="517B79D8" w:rsidR="00B94686" w:rsidRDefault="00B94686" w:rsidP="00B94686">
            <w:r>
              <w:t>Transition probability of moving from ‘In treatment’ to ‘Died’</w:t>
            </w:r>
            <w:r w:rsidR="00520184">
              <w:t xml:space="preserve"> (</w:t>
            </w:r>
            <w:r w:rsidR="008D7DC5">
              <w:t>those in treatment only</w:t>
            </w:r>
            <w:r w:rsidR="00520184">
              <w:t>)</w:t>
            </w:r>
          </w:p>
        </w:tc>
      </w:tr>
      <w:tr w:rsidR="00520184" w14:paraId="0A22D720" w14:textId="77777777" w:rsidTr="005A3C79">
        <w:tc>
          <w:tcPr>
            <w:tcW w:w="1551" w:type="dxa"/>
            <w:tcBorders>
              <w:right w:val="single" w:sz="4" w:space="0" w:color="auto"/>
            </w:tcBorders>
          </w:tcPr>
          <w:p w14:paraId="19A046B4" w14:textId="74C413A5" w:rsidR="00520184" w:rsidRDefault="00520184" w:rsidP="00520184">
            <w:r>
              <w:t>tpA2A_2</w:t>
            </w:r>
          </w:p>
        </w:tc>
        <w:tc>
          <w:tcPr>
            <w:tcW w:w="7033" w:type="dxa"/>
            <w:tcBorders>
              <w:left w:val="single" w:sz="4" w:space="0" w:color="auto"/>
            </w:tcBorders>
          </w:tcPr>
          <w:p w14:paraId="34C524D5" w14:textId="1B318F93" w:rsidR="00520184" w:rsidRDefault="00520184" w:rsidP="00520184">
            <w:r>
              <w:t>Transition probability of moving from ‘In treatment’ to ‘In treatment’ (those on the intervention)</w:t>
            </w:r>
          </w:p>
        </w:tc>
      </w:tr>
      <w:tr w:rsidR="00520184" w14:paraId="6E2EB353" w14:textId="77777777" w:rsidTr="005A3C79">
        <w:tc>
          <w:tcPr>
            <w:tcW w:w="1551" w:type="dxa"/>
            <w:tcBorders>
              <w:right w:val="single" w:sz="4" w:space="0" w:color="auto"/>
            </w:tcBorders>
          </w:tcPr>
          <w:p w14:paraId="143A582C" w14:textId="6E39D696" w:rsidR="00520184" w:rsidRDefault="00520184" w:rsidP="00520184">
            <w:r>
              <w:t>tpA2B_2</w:t>
            </w:r>
          </w:p>
        </w:tc>
        <w:tc>
          <w:tcPr>
            <w:tcW w:w="7033" w:type="dxa"/>
            <w:tcBorders>
              <w:left w:val="single" w:sz="4" w:space="0" w:color="auto"/>
            </w:tcBorders>
          </w:tcPr>
          <w:p w14:paraId="1D555871" w14:textId="05005E34" w:rsidR="00520184" w:rsidRDefault="00520184" w:rsidP="00520184">
            <w:r>
              <w:t>Transition probability of moving from ‘In treatment’ to ‘In remission’ (those on the intervention)</w:t>
            </w:r>
          </w:p>
        </w:tc>
      </w:tr>
      <w:tr w:rsidR="00520184" w14:paraId="74976828" w14:textId="77777777" w:rsidTr="005A3C79">
        <w:tc>
          <w:tcPr>
            <w:tcW w:w="1551" w:type="dxa"/>
            <w:tcBorders>
              <w:right w:val="single" w:sz="4" w:space="0" w:color="auto"/>
            </w:tcBorders>
          </w:tcPr>
          <w:p w14:paraId="69AA2434" w14:textId="0F930343" w:rsidR="00520184" w:rsidRDefault="00520184" w:rsidP="00520184">
            <w:r>
              <w:t>tpA2C_2</w:t>
            </w:r>
          </w:p>
        </w:tc>
        <w:tc>
          <w:tcPr>
            <w:tcW w:w="7033" w:type="dxa"/>
            <w:tcBorders>
              <w:left w:val="single" w:sz="4" w:space="0" w:color="auto"/>
            </w:tcBorders>
          </w:tcPr>
          <w:p w14:paraId="3F3BCF95" w14:textId="07532637" w:rsidR="00520184" w:rsidRDefault="00520184" w:rsidP="00520184">
            <w:r>
              <w:t>Transition probability of moving from ‘In treatment’ to ‘Not in treatment and not in remission’ (those on the intervention)</w:t>
            </w:r>
          </w:p>
        </w:tc>
      </w:tr>
      <w:tr w:rsidR="00520184" w14:paraId="1C50AF8F" w14:textId="77777777" w:rsidTr="005A3C79">
        <w:tc>
          <w:tcPr>
            <w:tcW w:w="1551" w:type="dxa"/>
            <w:tcBorders>
              <w:right w:val="single" w:sz="4" w:space="0" w:color="auto"/>
            </w:tcBorders>
          </w:tcPr>
          <w:p w14:paraId="0B251221" w14:textId="197835E1" w:rsidR="00520184" w:rsidRDefault="00520184" w:rsidP="00520184">
            <w:r>
              <w:t>tpA2D_2</w:t>
            </w:r>
          </w:p>
        </w:tc>
        <w:tc>
          <w:tcPr>
            <w:tcW w:w="7033" w:type="dxa"/>
            <w:tcBorders>
              <w:left w:val="single" w:sz="4" w:space="0" w:color="auto"/>
            </w:tcBorders>
          </w:tcPr>
          <w:p w14:paraId="28353576" w14:textId="14C7C425" w:rsidR="00520184" w:rsidRDefault="00520184" w:rsidP="00520184">
            <w:r>
              <w:t>Transition probability of moving from ‘In treatment’ to ‘Died’ (those on the intervention)</w:t>
            </w:r>
          </w:p>
        </w:tc>
      </w:tr>
      <w:tr w:rsidR="00520184" w14:paraId="37ED9B5E" w14:textId="77777777" w:rsidTr="005A3C79">
        <w:tc>
          <w:tcPr>
            <w:tcW w:w="1551" w:type="dxa"/>
            <w:tcBorders>
              <w:right w:val="single" w:sz="4" w:space="0" w:color="auto"/>
            </w:tcBorders>
          </w:tcPr>
          <w:p w14:paraId="5AF224AB" w14:textId="7C4E0447" w:rsidR="00520184" w:rsidRDefault="00520184" w:rsidP="00520184">
            <w:r>
              <w:t>tpB2A</w:t>
            </w:r>
          </w:p>
        </w:tc>
        <w:tc>
          <w:tcPr>
            <w:tcW w:w="7033" w:type="dxa"/>
            <w:tcBorders>
              <w:left w:val="single" w:sz="4" w:space="0" w:color="auto"/>
            </w:tcBorders>
          </w:tcPr>
          <w:p w14:paraId="1675954E" w14:textId="4FD8C857" w:rsidR="00520184" w:rsidRDefault="00520184" w:rsidP="00520184">
            <w:r>
              <w:t>Transition probability of moving from ‘In remission’ to ‘In treatment’ (</w:t>
            </w:r>
            <w:r w:rsidR="008D7DC5">
              <w:t>those in treatment only</w:t>
            </w:r>
            <w:r>
              <w:t>)</w:t>
            </w:r>
          </w:p>
        </w:tc>
      </w:tr>
      <w:tr w:rsidR="00520184" w14:paraId="795623C1" w14:textId="77777777" w:rsidTr="005A3C79">
        <w:tc>
          <w:tcPr>
            <w:tcW w:w="1551" w:type="dxa"/>
            <w:tcBorders>
              <w:right w:val="single" w:sz="4" w:space="0" w:color="auto"/>
            </w:tcBorders>
          </w:tcPr>
          <w:p w14:paraId="674BC026" w14:textId="074F1B00" w:rsidR="00520184" w:rsidRDefault="00520184" w:rsidP="00520184">
            <w:r>
              <w:t>tpB2B</w:t>
            </w:r>
          </w:p>
        </w:tc>
        <w:tc>
          <w:tcPr>
            <w:tcW w:w="7033" w:type="dxa"/>
            <w:tcBorders>
              <w:left w:val="single" w:sz="4" w:space="0" w:color="auto"/>
            </w:tcBorders>
          </w:tcPr>
          <w:p w14:paraId="60174F9D" w14:textId="7D939D3E" w:rsidR="00520184" w:rsidRDefault="00520184" w:rsidP="00520184">
            <w:r>
              <w:t>Transition probability of moving from ‘In remission’ to ‘In remission’ (</w:t>
            </w:r>
            <w:r w:rsidR="008D7DC5">
              <w:t>those in treatment only</w:t>
            </w:r>
            <w:r>
              <w:t>)</w:t>
            </w:r>
          </w:p>
        </w:tc>
      </w:tr>
      <w:tr w:rsidR="00520184" w14:paraId="1B68F351" w14:textId="77777777" w:rsidTr="005A3C79">
        <w:tc>
          <w:tcPr>
            <w:tcW w:w="1551" w:type="dxa"/>
            <w:tcBorders>
              <w:right w:val="single" w:sz="4" w:space="0" w:color="auto"/>
            </w:tcBorders>
          </w:tcPr>
          <w:p w14:paraId="480FDFE3" w14:textId="1C33D81A" w:rsidR="00520184" w:rsidRDefault="00520184" w:rsidP="00520184">
            <w:r>
              <w:t>tpB2C</w:t>
            </w:r>
          </w:p>
        </w:tc>
        <w:tc>
          <w:tcPr>
            <w:tcW w:w="7033" w:type="dxa"/>
            <w:tcBorders>
              <w:left w:val="single" w:sz="4" w:space="0" w:color="auto"/>
            </w:tcBorders>
          </w:tcPr>
          <w:p w14:paraId="240CD58B" w14:textId="18B8EAE5" w:rsidR="00520184" w:rsidRDefault="00520184" w:rsidP="00520184">
            <w:r>
              <w:t xml:space="preserve">Transition probability of moving from ‘In remission’ to ‘Not in treatment and not in remission’ (those </w:t>
            </w:r>
            <w:r w:rsidR="008D7DC5">
              <w:t>in</w:t>
            </w:r>
            <w:r>
              <w:t xml:space="preserve"> treatment only)</w:t>
            </w:r>
          </w:p>
        </w:tc>
      </w:tr>
      <w:tr w:rsidR="00520184" w14:paraId="6612FE5E" w14:textId="77777777" w:rsidTr="005A3C79">
        <w:tc>
          <w:tcPr>
            <w:tcW w:w="1551" w:type="dxa"/>
            <w:tcBorders>
              <w:right w:val="single" w:sz="4" w:space="0" w:color="auto"/>
            </w:tcBorders>
          </w:tcPr>
          <w:p w14:paraId="77A88740" w14:textId="3EF01C49" w:rsidR="00520184" w:rsidRDefault="00520184" w:rsidP="00520184">
            <w:r>
              <w:lastRenderedPageBreak/>
              <w:t>tpB2D</w:t>
            </w:r>
          </w:p>
        </w:tc>
        <w:tc>
          <w:tcPr>
            <w:tcW w:w="7033" w:type="dxa"/>
            <w:tcBorders>
              <w:left w:val="single" w:sz="4" w:space="0" w:color="auto"/>
            </w:tcBorders>
          </w:tcPr>
          <w:p w14:paraId="1759AB72" w14:textId="2EC46D30" w:rsidR="00520184" w:rsidRDefault="00520184" w:rsidP="00520184">
            <w:r>
              <w:t xml:space="preserve">Transition probability of moving from ‘In </w:t>
            </w:r>
            <w:r w:rsidR="00013D26">
              <w:t>remission</w:t>
            </w:r>
            <w:r>
              <w:t>’ to ‘Died’ (</w:t>
            </w:r>
            <w:r w:rsidR="008D7DC5">
              <w:t>those in treatment only</w:t>
            </w:r>
            <w:r>
              <w:t>)</w:t>
            </w:r>
          </w:p>
        </w:tc>
      </w:tr>
      <w:tr w:rsidR="00013D26" w14:paraId="00EF94EE" w14:textId="77777777" w:rsidTr="005A3C79">
        <w:tc>
          <w:tcPr>
            <w:tcW w:w="1551" w:type="dxa"/>
            <w:tcBorders>
              <w:right w:val="single" w:sz="4" w:space="0" w:color="auto"/>
            </w:tcBorders>
          </w:tcPr>
          <w:p w14:paraId="14843398" w14:textId="23DA3C71" w:rsidR="00013D26" w:rsidRDefault="00013D26" w:rsidP="00013D26">
            <w:r>
              <w:t>tpB2A_2</w:t>
            </w:r>
          </w:p>
        </w:tc>
        <w:tc>
          <w:tcPr>
            <w:tcW w:w="7033" w:type="dxa"/>
            <w:tcBorders>
              <w:left w:val="single" w:sz="4" w:space="0" w:color="auto"/>
            </w:tcBorders>
          </w:tcPr>
          <w:p w14:paraId="2EBC17F3" w14:textId="489E0AF9" w:rsidR="00013D26" w:rsidRDefault="00013D26" w:rsidP="00013D26">
            <w:r>
              <w:t xml:space="preserve">Transition probability of moving from ‘In remission’ to ‘In treatment’ (those on </w:t>
            </w:r>
            <w:r w:rsidR="008D7DC5">
              <w:t>the intervention</w:t>
            </w:r>
            <w:r>
              <w:t>)</w:t>
            </w:r>
          </w:p>
        </w:tc>
      </w:tr>
      <w:tr w:rsidR="00013D26" w14:paraId="2B32AAFA" w14:textId="77777777" w:rsidTr="005A3C79">
        <w:tc>
          <w:tcPr>
            <w:tcW w:w="1551" w:type="dxa"/>
            <w:tcBorders>
              <w:right w:val="single" w:sz="4" w:space="0" w:color="auto"/>
            </w:tcBorders>
          </w:tcPr>
          <w:p w14:paraId="54EEB369" w14:textId="4F51E8A7" w:rsidR="00013D26" w:rsidRDefault="00013D26" w:rsidP="00013D26">
            <w:r>
              <w:t>tpB2B_2</w:t>
            </w:r>
          </w:p>
        </w:tc>
        <w:tc>
          <w:tcPr>
            <w:tcW w:w="7033" w:type="dxa"/>
            <w:tcBorders>
              <w:left w:val="single" w:sz="4" w:space="0" w:color="auto"/>
            </w:tcBorders>
          </w:tcPr>
          <w:p w14:paraId="6465A9DF" w14:textId="37DDD45E" w:rsidR="00013D26" w:rsidRDefault="00013D26" w:rsidP="00013D26">
            <w:r>
              <w:t xml:space="preserve">Transition probability of moving from ‘In remission’ to ‘In remission’ (those on </w:t>
            </w:r>
            <w:r w:rsidR="008D7DC5">
              <w:t>the intervention</w:t>
            </w:r>
            <w:r>
              <w:t>)</w:t>
            </w:r>
          </w:p>
        </w:tc>
      </w:tr>
      <w:tr w:rsidR="00013D26" w14:paraId="1394BA78" w14:textId="77777777" w:rsidTr="005A3C79">
        <w:tc>
          <w:tcPr>
            <w:tcW w:w="1551" w:type="dxa"/>
            <w:tcBorders>
              <w:right w:val="single" w:sz="4" w:space="0" w:color="auto"/>
            </w:tcBorders>
          </w:tcPr>
          <w:p w14:paraId="694ED9F2" w14:textId="7E2627AC" w:rsidR="00013D26" w:rsidRDefault="00013D26" w:rsidP="00013D26">
            <w:r>
              <w:t>tpB2C_2</w:t>
            </w:r>
          </w:p>
        </w:tc>
        <w:tc>
          <w:tcPr>
            <w:tcW w:w="7033" w:type="dxa"/>
            <w:tcBorders>
              <w:left w:val="single" w:sz="4" w:space="0" w:color="auto"/>
            </w:tcBorders>
          </w:tcPr>
          <w:p w14:paraId="110BFA79" w14:textId="351DF997" w:rsidR="00013D26" w:rsidRDefault="00013D26" w:rsidP="00013D26">
            <w:r>
              <w:t xml:space="preserve">Transition probability of moving from ‘In remission’ to ‘Not in treatment and not in remission’ (those on </w:t>
            </w:r>
            <w:r w:rsidR="008D7DC5">
              <w:t>the intervention</w:t>
            </w:r>
            <w:r>
              <w:t>)</w:t>
            </w:r>
          </w:p>
        </w:tc>
      </w:tr>
      <w:tr w:rsidR="00013D26" w14:paraId="493A09CA" w14:textId="77777777" w:rsidTr="005A3C79">
        <w:tc>
          <w:tcPr>
            <w:tcW w:w="1551" w:type="dxa"/>
            <w:tcBorders>
              <w:right w:val="single" w:sz="4" w:space="0" w:color="auto"/>
            </w:tcBorders>
          </w:tcPr>
          <w:p w14:paraId="0B0E865D" w14:textId="561C1C2F" w:rsidR="00013D26" w:rsidRDefault="00013D26" w:rsidP="00013D26">
            <w:r>
              <w:t>tpB2D_2</w:t>
            </w:r>
          </w:p>
        </w:tc>
        <w:tc>
          <w:tcPr>
            <w:tcW w:w="7033" w:type="dxa"/>
            <w:tcBorders>
              <w:left w:val="single" w:sz="4" w:space="0" w:color="auto"/>
            </w:tcBorders>
          </w:tcPr>
          <w:p w14:paraId="474550D0" w14:textId="7E7C0C9D" w:rsidR="00013D26" w:rsidRDefault="00013D26" w:rsidP="00013D26">
            <w:r>
              <w:t xml:space="preserve">Transition probability of moving from ‘In remission’ to ‘Died’ (those on </w:t>
            </w:r>
            <w:r w:rsidR="008D7DC5">
              <w:t>the intervention</w:t>
            </w:r>
            <w:r>
              <w:t>)</w:t>
            </w:r>
          </w:p>
        </w:tc>
      </w:tr>
      <w:tr w:rsidR="008D7DC5" w14:paraId="1032C64F" w14:textId="77777777" w:rsidTr="005A3C79">
        <w:tc>
          <w:tcPr>
            <w:tcW w:w="1551" w:type="dxa"/>
            <w:tcBorders>
              <w:right w:val="single" w:sz="4" w:space="0" w:color="auto"/>
            </w:tcBorders>
          </w:tcPr>
          <w:p w14:paraId="29FA6C3A" w14:textId="11AC3C53" w:rsidR="008D7DC5" w:rsidRDefault="008D7DC5" w:rsidP="008D7DC5">
            <w:r>
              <w:t>tpC2A</w:t>
            </w:r>
          </w:p>
        </w:tc>
        <w:tc>
          <w:tcPr>
            <w:tcW w:w="7033" w:type="dxa"/>
            <w:tcBorders>
              <w:left w:val="single" w:sz="4" w:space="0" w:color="auto"/>
            </w:tcBorders>
          </w:tcPr>
          <w:p w14:paraId="0716C93C" w14:textId="0AAA15AD" w:rsidR="008D7DC5" w:rsidRDefault="008D7DC5" w:rsidP="008D7DC5">
            <w:r>
              <w:t xml:space="preserve">Transition probability of moving from ‘Not in treatment and not in recovery’ to ‘In </w:t>
            </w:r>
            <w:r w:rsidR="0074350D">
              <w:t>treatment</w:t>
            </w:r>
            <w:r>
              <w:t>’ (those in treatment only)</w:t>
            </w:r>
          </w:p>
        </w:tc>
      </w:tr>
      <w:tr w:rsidR="0074350D" w14:paraId="325B3ECE" w14:textId="77777777" w:rsidTr="005A3C79">
        <w:tc>
          <w:tcPr>
            <w:tcW w:w="1551" w:type="dxa"/>
            <w:tcBorders>
              <w:right w:val="single" w:sz="4" w:space="0" w:color="auto"/>
            </w:tcBorders>
          </w:tcPr>
          <w:p w14:paraId="3AC05630" w14:textId="73FD3F28" w:rsidR="0074350D" w:rsidRDefault="0074350D" w:rsidP="0074350D">
            <w:r>
              <w:t>tpC2B</w:t>
            </w:r>
          </w:p>
        </w:tc>
        <w:tc>
          <w:tcPr>
            <w:tcW w:w="7033" w:type="dxa"/>
            <w:tcBorders>
              <w:left w:val="single" w:sz="4" w:space="0" w:color="auto"/>
            </w:tcBorders>
          </w:tcPr>
          <w:p w14:paraId="7FB73438" w14:textId="319B1B49" w:rsidR="0074350D" w:rsidRDefault="0074350D" w:rsidP="0074350D">
            <w:r>
              <w:t>Transition probability of moving from ‘Not in treatment and not in recovery’ to ‘In remission’ (those in treatment only)</w:t>
            </w:r>
          </w:p>
        </w:tc>
      </w:tr>
      <w:tr w:rsidR="0074350D" w14:paraId="12828D30" w14:textId="77777777" w:rsidTr="005A3C79">
        <w:tc>
          <w:tcPr>
            <w:tcW w:w="1551" w:type="dxa"/>
            <w:tcBorders>
              <w:right w:val="single" w:sz="4" w:space="0" w:color="auto"/>
            </w:tcBorders>
          </w:tcPr>
          <w:p w14:paraId="2952D97A" w14:textId="063ED41E" w:rsidR="0074350D" w:rsidRDefault="0074350D" w:rsidP="0074350D">
            <w:r>
              <w:t>tpC2C</w:t>
            </w:r>
          </w:p>
        </w:tc>
        <w:tc>
          <w:tcPr>
            <w:tcW w:w="7033" w:type="dxa"/>
            <w:tcBorders>
              <w:left w:val="single" w:sz="4" w:space="0" w:color="auto"/>
            </w:tcBorders>
          </w:tcPr>
          <w:p w14:paraId="6A6DD49D" w14:textId="072368CD" w:rsidR="0074350D" w:rsidRDefault="0074350D" w:rsidP="0074350D">
            <w:r>
              <w:t>Transition probability of moving from ‘</w:t>
            </w:r>
            <w:r w:rsidR="00BB4F32">
              <w:t xml:space="preserve">Not in treatment and not in remission’ </w:t>
            </w:r>
            <w:r>
              <w:t>to ‘</w:t>
            </w:r>
            <w:r w:rsidR="00BB4F32">
              <w:t>Not in treatment and not in remission</w:t>
            </w:r>
            <w:r>
              <w:t>’ (those in treatment only)</w:t>
            </w:r>
          </w:p>
        </w:tc>
      </w:tr>
      <w:tr w:rsidR="0074350D" w14:paraId="2CEDDAF1" w14:textId="77777777" w:rsidTr="005A3C79">
        <w:tc>
          <w:tcPr>
            <w:tcW w:w="1551" w:type="dxa"/>
            <w:tcBorders>
              <w:right w:val="single" w:sz="4" w:space="0" w:color="auto"/>
            </w:tcBorders>
          </w:tcPr>
          <w:p w14:paraId="107D3BC5" w14:textId="17EFB675" w:rsidR="0074350D" w:rsidRDefault="0074350D" w:rsidP="0074350D">
            <w:r>
              <w:t>tpC2D</w:t>
            </w:r>
          </w:p>
        </w:tc>
        <w:tc>
          <w:tcPr>
            <w:tcW w:w="7033" w:type="dxa"/>
            <w:tcBorders>
              <w:left w:val="single" w:sz="4" w:space="0" w:color="auto"/>
            </w:tcBorders>
          </w:tcPr>
          <w:p w14:paraId="2F6ABD53" w14:textId="02A25803" w:rsidR="0074350D" w:rsidRDefault="0074350D" w:rsidP="0074350D">
            <w:r>
              <w:t>Transition probability of moving from ‘In treatment’ to ‘Died’ (those in treatment only)</w:t>
            </w:r>
          </w:p>
        </w:tc>
      </w:tr>
      <w:tr w:rsidR="00B94686" w14:paraId="008F4078" w14:textId="77777777" w:rsidTr="005A3C79">
        <w:tc>
          <w:tcPr>
            <w:tcW w:w="1551" w:type="dxa"/>
            <w:tcBorders>
              <w:right w:val="single" w:sz="4" w:space="0" w:color="auto"/>
            </w:tcBorders>
          </w:tcPr>
          <w:p w14:paraId="0831AED4" w14:textId="77777777" w:rsidR="00B94686" w:rsidRDefault="00B94686" w:rsidP="005A3C79">
            <w:r>
              <w:t>WTP</w:t>
            </w:r>
          </w:p>
        </w:tc>
        <w:tc>
          <w:tcPr>
            <w:tcW w:w="7033" w:type="dxa"/>
            <w:tcBorders>
              <w:left w:val="single" w:sz="4" w:space="0" w:color="auto"/>
            </w:tcBorders>
          </w:tcPr>
          <w:p w14:paraId="750CA127" w14:textId="77777777" w:rsidR="00B94686" w:rsidRDefault="00B94686" w:rsidP="005A3C79">
            <w:r>
              <w:t>Willingness to Pay</w:t>
            </w:r>
          </w:p>
        </w:tc>
      </w:tr>
      <w:tr w:rsidR="00B94686" w14:paraId="1654D72B" w14:textId="77777777" w:rsidTr="005A3C79">
        <w:tc>
          <w:tcPr>
            <w:tcW w:w="1551" w:type="dxa"/>
            <w:tcBorders>
              <w:right w:val="single" w:sz="4" w:space="0" w:color="auto"/>
            </w:tcBorders>
          </w:tcPr>
          <w:p w14:paraId="2AE95754" w14:textId="5ABE5D38" w:rsidR="00B94686" w:rsidRDefault="00B94686" w:rsidP="00B94686">
            <w:r>
              <w:t>UK</w:t>
            </w:r>
          </w:p>
        </w:tc>
        <w:tc>
          <w:tcPr>
            <w:tcW w:w="7033" w:type="dxa"/>
            <w:tcBorders>
              <w:left w:val="single" w:sz="4" w:space="0" w:color="auto"/>
            </w:tcBorders>
          </w:tcPr>
          <w:p w14:paraId="54C7F6D3" w14:textId="62F712B3" w:rsidR="00B94686" w:rsidRDefault="00B94686" w:rsidP="00B94686">
            <w:r>
              <w:t>United Kingdom</w:t>
            </w:r>
          </w:p>
        </w:tc>
      </w:tr>
      <w:tr w:rsidR="008656E1" w14:paraId="5CD6E03C" w14:textId="77777777" w:rsidTr="005A3C79">
        <w:tc>
          <w:tcPr>
            <w:tcW w:w="1551" w:type="dxa"/>
            <w:tcBorders>
              <w:right w:val="single" w:sz="4" w:space="0" w:color="auto"/>
            </w:tcBorders>
          </w:tcPr>
          <w:p w14:paraId="2A490962" w14:textId="53196E7B" w:rsidR="008656E1" w:rsidRDefault="008656E1" w:rsidP="00B94686">
            <w:r>
              <w:t>UKATT</w:t>
            </w:r>
          </w:p>
        </w:tc>
        <w:tc>
          <w:tcPr>
            <w:tcW w:w="7033" w:type="dxa"/>
            <w:tcBorders>
              <w:left w:val="single" w:sz="4" w:space="0" w:color="auto"/>
            </w:tcBorders>
          </w:tcPr>
          <w:p w14:paraId="4EF9B663" w14:textId="6BFB3EA5" w:rsidR="008656E1" w:rsidRDefault="008656E1" w:rsidP="00B94686">
            <w:r>
              <w:t>UK Alcohol Treatment Trial</w:t>
            </w:r>
          </w:p>
        </w:tc>
      </w:tr>
      <w:tr w:rsidR="00B94686" w14:paraId="6E4D4AB1" w14:textId="77777777" w:rsidTr="005A3C79">
        <w:tc>
          <w:tcPr>
            <w:tcW w:w="1551" w:type="dxa"/>
            <w:tcBorders>
              <w:right w:val="single" w:sz="4" w:space="0" w:color="auto"/>
            </w:tcBorders>
          </w:tcPr>
          <w:p w14:paraId="70D55ED7" w14:textId="1C67B22D" w:rsidR="00B94686" w:rsidRDefault="00B94686" w:rsidP="00B94686">
            <w:r>
              <w:t>US</w:t>
            </w:r>
          </w:p>
        </w:tc>
        <w:tc>
          <w:tcPr>
            <w:tcW w:w="7033" w:type="dxa"/>
            <w:tcBorders>
              <w:left w:val="single" w:sz="4" w:space="0" w:color="auto"/>
            </w:tcBorders>
          </w:tcPr>
          <w:p w14:paraId="44A44DE6" w14:textId="2412F901" w:rsidR="00B94686" w:rsidRDefault="00B94686" w:rsidP="00B94686">
            <w:r>
              <w:t>United States (of America)</w:t>
            </w:r>
          </w:p>
        </w:tc>
      </w:tr>
      <w:tr w:rsidR="00B94686" w14:paraId="5618928E" w14:textId="77777777" w:rsidTr="005A3C79">
        <w:tc>
          <w:tcPr>
            <w:tcW w:w="1551" w:type="dxa"/>
            <w:tcBorders>
              <w:bottom w:val="single" w:sz="4" w:space="0" w:color="auto"/>
              <w:right w:val="single" w:sz="4" w:space="0" w:color="auto"/>
            </w:tcBorders>
          </w:tcPr>
          <w:p w14:paraId="6DF2ED58" w14:textId="77777777" w:rsidR="00B94686" w:rsidRDefault="00B94686" w:rsidP="00B94686">
            <w:r>
              <w:t>95% CI</w:t>
            </w:r>
          </w:p>
        </w:tc>
        <w:tc>
          <w:tcPr>
            <w:tcW w:w="7033" w:type="dxa"/>
            <w:tcBorders>
              <w:left w:val="single" w:sz="4" w:space="0" w:color="auto"/>
              <w:bottom w:val="single" w:sz="4" w:space="0" w:color="auto"/>
            </w:tcBorders>
          </w:tcPr>
          <w:p w14:paraId="1B884700" w14:textId="77777777" w:rsidR="00B94686" w:rsidRDefault="00B94686" w:rsidP="00B94686">
            <w:r>
              <w:t>95% confidence intervals</w:t>
            </w:r>
          </w:p>
        </w:tc>
      </w:tr>
    </w:tbl>
    <w:p w14:paraId="057AB774" w14:textId="6694301D" w:rsidR="00B70798" w:rsidRDefault="00B70798" w:rsidP="00510BBC">
      <w:pPr>
        <w:pStyle w:val="Headingnonumber"/>
        <w:numPr>
          <w:ilvl w:val="0"/>
          <w:numId w:val="0"/>
        </w:numPr>
        <w:ind w:left="432" w:hanging="432"/>
        <w:rPr>
          <w:rFonts w:eastAsiaTheme="majorEastAsia" w:cstheme="majorBidi"/>
          <w:szCs w:val="32"/>
        </w:rPr>
      </w:pPr>
      <w:r>
        <w:br w:type="page"/>
      </w:r>
    </w:p>
    <w:p w14:paraId="205601B1" w14:textId="14E614D8" w:rsidR="00593CDA" w:rsidRPr="00593CDA" w:rsidRDefault="00C8482C" w:rsidP="00836E70">
      <w:pPr>
        <w:pStyle w:val="Heading1"/>
      </w:pPr>
      <w:bookmarkStart w:id="1" w:name="_Toc175651366"/>
      <w:bookmarkStart w:id="2" w:name="_Toc189229641"/>
      <w:r w:rsidRPr="00593CDA">
        <w:lastRenderedPageBreak/>
        <w:t>Introduction</w:t>
      </w:r>
      <w:bookmarkStart w:id="3" w:name="_Toc167809834"/>
      <w:bookmarkStart w:id="4" w:name="_Toc167809898"/>
      <w:bookmarkStart w:id="5" w:name="_Toc167809962"/>
      <w:bookmarkStart w:id="6" w:name="_Toc167810024"/>
      <w:bookmarkEnd w:id="1"/>
      <w:bookmarkEnd w:id="2"/>
      <w:bookmarkEnd w:id="3"/>
      <w:bookmarkEnd w:id="4"/>
      <w:bookmarkEnd w:id="5"/>
      <w:bookmarkEnd w:id="6"/>
    </w:p>
    <w:p w14:paraId="0688F7C5" w14:textId="77777777" w:rsidR="00542F33" w:rsidRPr="00542F33" w:rsidRDefault="00542F33" w:rsidP="00737297">
      <w:pPr>
        <w:pStyle w:val="ListParagraph"/>
        <w:keepNext/>
        <w:keepLines/>
        <w:spacing w:before="40" w:after="0" w:line="360" w:lineRule="auto"/>
        <w:ind w:left="432"/>
        <w:outlineLvl w:val="1"/>
        <w:rPr>
          <w:rFonts w:eastAsiaTheme="majorEastAsia" w:cs="Arial"/>
          <w:b/>
          <w:vanish/>
          <w:sz w:val="32"/>
          <w:szCs w:val="32"/>
        </w:rPr>
      </w:pPr>
    </w:p>
    <w:p w14:paraId="73384F07" w14:textId="55EB1EA2" w:rsidR="009A5814" w:rsidRDefault="009A5814" w:rsidP="00737297">
      <w:pPr>
        <w:pStyle w:val="Heading2"/>
        <w:numPr>
          <w:ilvl w:val="1"/>
          <w:numId w:val="3"/>
        </w:numPr>
        <w:spacing w:line="360" w:lineRule="auto"/>
        <w:ind w:left="709"/>
      </w:pPr>
      <w:bookmarkStart w:id="7" w:name="_Toc189229642"/>
      <w:r>
        <w:t>Thesis overview</w:t>
      </w:r>
      <w:bookmarkEnd w:id="7"/>
    </w:p>
    <w:p w14:paraId="5DA4C621" w14:textId="57FACD0D" w:rsidR="002133B0" w:rsidRDefault="00F478CA" w:rsidP="00737297">
      <w:pPr>
        <w:pStyle w:val="NoSpacing"/>
        <w:spacing w:line="360" w:lineRule="auto"/>
      </w:pPr>
      <w:r>
        <w:t xml:space="preserve">This thesis examines the effectiveness and cost-effectiveness of </w:t>
      </w:r>
      <w:r w:rsidR="004A4D03">
        <w:t xml:space="preserve">interventions for parents with a </w:t>
      </w:r>
      <w:r w:rsidR="00321275">
        <w:t>substance use disorder (SUD)</w:t>
      </w:r>
      <w:r w:rsidR="000B4124">
        <w:t xml:space="preserve"> in England</w:t>
      </w:r>
      <w:r w:rsidR="00321275">
        <w:t>.</w:t>
      </w:r>
      <w:r w:rsidR="00815754">
        <w:t xml:space="preserve"> </w:t>
      </w:r>
      <w:r w:rsidR="00626C24">
        <w:t>It focuses</w:t>
      </w:r>
      <w:r w:rsidR="002D032F">
        <w:t xml:space="preserve"> </w:t>
      </w:r>
      <w:r w:rsidR="00103FCA">
        <w:t>o</w:t>
      </w:r>
      <w:r w:rsidR="002D032F">
        <w:t>n</w:t>
      </w:r>
      <w:r w:rsidR="003243D9">
        <w:t xml:space="preserve"> specialist treatment</w:t>
      </w:r>
      <w:r w:rsidR="000D2087">
        <w:t xml:space="preserve"> and </w:t>
      </w:r>
      <w:r w:rsidR="00872059">
        <w:t xml:space="preserve">interventions which promote </w:t>
      </w:r>
      <w:r w:rsidR="00E83249">
        <w:t xml:space="preserve">and protect </w:t>
      </w:r>
      <w:r w:rsidR="000D2087">
        <w:t>child welfare</w:t>
      </w:r>
      <w:r w:rsidR="002133B0">
        <w:t>, which</w:t>
      </w:r>
      <w:r w:rsidR="003E531E">
        <w:t xml:space="preserve"> </w:t>
      </w:r>
      <w:r w:rsidR="002133B0">
        <w:t>are the most common interventions commissioned by English local authorities to help families affected by SUD and to safeguard children.</w:t>
      </w:r>
    </w:p>
    <w:p w14:paraId="7DCB2F3B" w14:textId="77777777" w:rsidR="002133B0" w:rsidRDefault="002133B0" w:rsidP="00737297">
      <w:pPr>
        <w:pStyle w:val="NoSpacing"/>
        <w:spacing w:line="360" w:lineRule="auto"/>
      </w:pPr>
    </w:p>
    <w:p w14:paraId="55930C3B" w14:textId="333E5EB4" w:rsidR="002133B0" w:rsidRDefault="002133B0" w:rsidP="00737297">
      <w:pPr>
        <w:pStyle w:val="NoSpacing"/>
        <w:spacing w:line="360" w:lineRule="auto"/>
      </w:pPr>
      <w:r>
        <w:t xml:space="preserve">Specialist treatment for SUD refers to pharmacological and/or psychosocial interventions delivered in a structured way following an assessment of clinical and social support needs.  In England, it is mostly delivered in an outpatient setting, however treatment can also take place in a residential, hospital or prison setting. </w:t>
      </w:r>
      <w:r w:rsidR="00E83249">
        <w:t>Interventions to promote and protect child welfare typically</w:t>
      </w:r>
      <w:r w:rsidR="0006393B">
        <w:t xml:space="preserve"> rang</w:t>
      </w:r>
      <w:r w:rsidR="003E531E">
        <w:t>e</w:t>
      </w:r>
      <w:r w:rsidR="0006393B">
        <w:t xml:space="preserve"> from parenting programmes</w:t>
      </w:r>
      <w:r w:rsidR="00D570F9">
        <w:t>,</w:t>
      </w:r>
      <w:r w:rsidR="0006393B">
        <w:t xml:space="preserve"> </w:t>
      </w:r>
      <w:r w:rsidR="009D74EC">
        <w:t>and similar targeted prevention activities</w:t>
      </w:r>
      <w:r w:rsidR="00D570F9">
        <w:t>,</w:t>
      </w:r>
      <w:r w:rsidR="009D74EC">
        <w:t xml:space="preserve"> </w:t>
      </w:r>
      <w:r w:rsidR="0006393B">
        <w:t xml:space="preserve">to </w:t>
      </w:r>
      <w:r w:rsidR="009D74EC">
        <w:t xml:space="preserve">statutory involvement such as child protection and </w:t>
      </w:r>
      <w:r w:rsidR="00EB29D5">
        <w:t>children being removed from their caregivers</w:t>
      </w:r>
      <w:r w:rsidR="00C811EB">
        <w:t xml:space="preserve">. </w:t>
      </w:r>
    </w:p>
    <w:p w14:paraId="60DF2D75" w14:textId="77777777" w:rsidR="002133B0" w:rsidRDefault="002133B0" w:rsidP="00737297">
      <w:pPr>
        <w:pStyle w:val="NoSpacing"/>
        <w:spacing w:line="360" w:lineRule="auto"/>
      </w:pPr>
    </w:p>
    <w:p w14:paraId="5E851CBC" w14:textId="23BA5046" w:rsidR="006E1B5C" w:rsidRDefault="00BF72CA" w:rsidP="00737297">
      <w:pPr>
        <w:pStyle w:val="NoSpacing"/>
        <w:spacing w:line="360" w:lineRule="auto"/>
      </w:pPr>
      <w:r>
        <w:t xml:space="preserve">While there is significant </w:t>
      </w:r>
      <w:r>
        <w:rPr>
          <w:lang w:eastAsia="en-GB"/>
        </w:rPr>
        <w:t xml:space="preserve">evidence pointing towards </w:t>
      </w:r>
      <w:r>
        <w:rPr>
          <w:color w:val="000000"/>
          <w:shd w:val="clear" w:color="auto" w:fill="FFFFFF"/>
        </w:rPr>
        <w:t>the association</w:t>
      </w:r>
      <w:r>
        <w:t xml:space="preserve"> of SUD with poor </w:t>
      </w:r>
      <w:r w:rsidR="002133B0">
        <w:t>caregiving</w:t>
      </w:r>
      <w:r>
        <w:t xml:space="preserve"> capacity, child abuse and neglect, there is no international consensus on the best way to intervene, </w:t>
      </w:r>
      <w:r w:rsidR="008F4DE7">
        <w:t xml:space="preserve">and </w:t>
      </w:r>
      <w:r w:rsidR="007C3A01">
        <w:t xml:space="preserve">a dearth of research </w:t>
      </w:r>
      <w:r w:rsidR="008F4DE7">
        <w:t>on the effectiveness and cost-effectiveness of interventions</w:t>
      </w:r>
      <w:r w:rsidR="007C3A01">
        <w:t>,</w:t>
      </w:r>
      <w:r w:rsidR="002F26E5">
        <w:t xml:space="preserve"> </w:t>
      </w:r>
      <w:r w:rsidR="008F4DE7">
        <w:t>especially in the English context</w:t>
      </w:r>
      <w:r w:rsidR="008A3363">
        <w:t>. I</w:t>
      </w:r>
      <w:r w:rsidR="002F26E5">
        <w:t xml:space="preserve">t is </w:t>
      </w:r>
      <w:r w:rsidR="008A3363">
        <w:t xml:space="preserve">therefore </w:t>
      </w:r>
      <w:r w:rsidR="002F26E5">
        <w:t xml:space="preserve">important </w:t>
      </w:r>
      <w:r w:rsidR="00100C64">
        <w:t xml:space="preserve">to </w:t>
      </w:r>
      <w:r w:rsidR="003E4403">
        <w:t>improve</w:t>
      </w:r>
      <w:r w:rsidR="00432392">
        <w:t xml:space="preserve"> </w:t>
      </w:r>
      <w:r w:rsidR="008F4DE7">
        <w:t>understand</w:t>
      </w:r>
      <w:r w:rsidR="003E4403">
        <w:t>ing</w:t>
      </w:r>
      <w:r w:rsidR="008F4DE7">
        <w:t xml:space="preserve"> </w:t>
      </w:r>
      <w:r w:rsidR="00742E49">
        <w:t xml:space="preserve">of </w:t>
      </w:r>
      <w:r w:rsidR="00025DE0">
        <w:t xml:space="preserve">whether the interventions </w:t>
      </w:r>
      <w:r w:rsidR="005416BA">
        <w:t xml:space="preserve">currently </w:t>
      </w:r>
      <w:r w:rsidR="00025DE0">
        <w:t>being offered to support</w:t>
      </w:r>
      <w:r w:rsidR="00B317A6">
        <w:t xml:space="preserve"> </w:t>
      </w:r>
      <w:r w:rsidR="0032261E">
        <w:t xml:space="preserve">different types of </w:t>
      </w:r>
      <w:r w:rsidR="00025DE0">
        <w:t xml:space="preserve">families are helping them </w:t>
      </w:r>
      <w:r w:rsidR="005946C7">
        <w:t>and/</w:t>
      </w:r>
      <w:r w:rsidR="00D94C83">
        <w:t xml:space="preserve">or whether resources </w:t>
      </w:r>
      <w:r w:rsidR="0002143E">
        <w:t>could</w:t>
      </w:r>
      <w:r w:rsidR="00432392">
        <w:t xml:space="preserve"> be </w:t>
      </w:r>
      <w:r w:rsidR="003E4403">
        <w:t>allocated differently to achieve better outcomes</w:t>
      </w:r>
      <w:r w:rsidR="00676C0C">
        <w:t xml:space="preserve">. </w:t>
      </w:r>
    </w:p>
    <w:p w14:paraId="10EDD2AA" w14:textId="77777777" w:rsidR="00E05A8C" w:rsidRDefault="00E05A8C" w:rsidP="00737297">
      <w:pPr>
        <w:pStyle w:val="NoSpacing"/>
        <w:spacing w:line="360" w:lineRule="auto"/>
      </w:pPr>
    </w:p>
    <w:p w14:paraId="154C739A" w14:textId="3549ADB9" w:rsidR="00AD0B30" w:rsidRDefault="0002143E" w:rsidP="00562871">
      <w:pPr>
        <w:pStyle w:val="NoSpacing"/>
        <w:spacing w:line="360" w:lineRule="auto"/>
      </w:pPr>
      <w:r>
        <w:t xml:space="preserve">For this thesis, data from a national administrative database of parents with SUD receiving specialist treatment – the National Drug [and alcohol] Monitoring Treatment System (NDTMS) – is used for the first time to analyse the characteristics of parents living with and not with their children, the types of interventions they receive and their outcomes. </w:t>
      </w:r>
      <w:r w:rsidR="00AD0B30">
        <w:t>This thesis contains three chapters written in journal paper format, each of which include a review of the literature, a detailed methodology, results, discussion and conclusion</w:t>
      </w:r>
      <w:r w:rsidR="008B0328">
        <w:t xml:space="preserve">. </w:t>
      </w:r>
      <w:r w:rsidR="00AD0B30">
        <w:t>Below is an outline of this thesis, by chapter.</w:t>
      </w:r>
    </w:p>
    <w:p w14:paraId="3C4905C7" w14:textId="77777777" w:rsidR="00AD0B30" w:rsidRDefault="00AD0B30" w:rsidP="00562871">
      <w:pPr>
        <w:pStyle w:val="NoSpacing"/>
        <w:spacing w:line="360" w:lineRule="auto"/>
      </w:pPr>
    </w:p>
    <w:p w14:paraId="5A8336B9" w14:textId="5A71CEE7" w:rsidR="00F46BC0" w:rsidRDefault="006E1B5C" w:rsidP="00737297">
      <w:pPr>
        <w:pStyle w:val="NoSpacing"/>
        <w:spacing w:line="360" w:lineRule="auto"/>
      </w:pPr>
      <w:r w:rsidRPr="00F92252">
        <w:rPr>
          <w:b/>
          <w:bCs/>
        </w:rPr>
        <w:lastRenderedPageBreak/>
        <w:t>Chapter 1</w:t>
      </w:r>
      <w:r w:rsidRPr="000561E1">
        <w:t xml:space="preserve"> </w:t>
      </w:r>
      <w:r w:rsidR="00AD0B30">
        <w:t xml:space="preserve">of the thesis </w:t>
      </w:r>
      <w:r w:rsidR="00B753B5">
        <w:t xml:space="preserve">provides </w:t>
      </w:r>
      <w:r w:rsidR="00EB6F70">
        <w:t>background on</w:t>
      </w:r>
      <w:r w:rsidR="009635D5">
        <w:t xml:space="preserve"> </w:t>
      </w:r>
      <w:r w:rsidR="00F92252">
        <w:t>SUD</w:t>
      </w:r>
      <w:r w:rsidR="009635D5">
        <w:t xml:space="preserve"> </w:t>
      </w:r>
      <w:r w:rsidR="00854428">
        <w:t xml:space="preserve">in terms of </w:t>
      </w:r>
      <w:r w:rsidR="00CA716D">
        <w:t xml:space="preserve">its definition, </w:t>
      </w:r>
      <w:r w:rsidR="00854428">
        <w:t>prevalenc</w:t>
      </w:r>
      <w:r w:rsidR="00AF18C3">
        <w:t xml:space="preserve">e, </w:t>
      </w:r>
      <w:r w:rsidR="009978C0">
        <w:t xml:space="preserve">global disease and </w:t>
      </w:r>
      <w:r w:rsidR="00AF18C3">
        <w:t>social and economic burden</w:t>
      </w:r>
      <w:r w:rsidR="009978C0">
        <w:t xml:space="preserve">. </w:t>
      </w:r>
      <w:r w:rsidR="00F92252">
        <w:t xml:space="preserve">In addition, the impact parental SUD has on children is </w:t>
      </w:r>
      <w:r w:rsidR="00EB6F70">
        <w:t xml:space="preserve">discussed and an overview of specialist treatment and child welfare </w:t>
      </w:r>
      <w:r w:rsidR="005E4B57">
        <w:t xml:space="preserve">interventions </w:t>
      </w:r>
      <w:r w:rsidR="00C61B1A">
        <w:t xml:space="preserve">in </w:t>
      </w:r>
      <w:r w:rsidR="005E4B57">
        <w:t xml:space="preserve">England </w:t>
      </w:r>
      <w:r w:rsidR="00D20DE5">
        <w:t>is provided</w:t>
      </w:r>
      <w:r w:rsidR="00CB15A3">
        <w:t>.</w:t>
      </w:r>
      <w:r w:rsidR="00CC1C7B">
        <w:t xml:space="preserve"> </w:t>
      </w:r>
      <w:r w:rsidR="00CB15A3">
        <w:t>Finally,</w:t>
      </w:r>
      <w:r w:rsidR="00CC1C7B">
        <w:t xml:space="preserve"> the key </w:t>
      </w:r>
      <w:r w:rsidR="00CB15A3">
        <w:t xml:space="preserve">evidence on the effectiveness and cost-effectiveness </w:t>
      </w:r>
      <w:r w:rsidR="00F46BC0">
        <w:t>of interventions to support parents and children affected by parental SUD</w:t>
      </w:r>
      <w:r w:rsidR="002D711B">
        <w:t xml:space="preserve"> is set out</w:t>
      </w:r>
      <w:r w:rsidR="00977625">
        <w:t>.</w:t>
      </w:r>
    </w:p>
    <w:p w14:paraId="39AC5D95" w14:textId="77777777" w:rsidR="00F46BC0" w:rsidRDefault="00F46BC0" w:rsidP="00737297">
      <w:pPr>
        <w:pStyle w:val="NoSpacing"/>
        <w:spacing w:line="360" w:lineRule="auto"/>
      </w:pPr>
    </w:p>
    <w:p w14:paraId="3BE4F1E3" w14:textId="7774AAF9" w:rsidR="00216F96" w:rsidRDefault="00647DC2" w:rsidP="00737297">
      <w:pPr>
        <w:pStyle w:val="NoSpacing"/>
        <w:spacing w:line="360" w:lineRule="auto"/>
      </w:pPr>
      <w:r w:rsidRPr="06CFF086">
        <w:rPr>
          <w:b/>
          <w:bCs/>
        </w:rPr>
        <w:t xml:space="preserve">Chapter </w:t>
      </w:r>
      <w:r w:rsidR="00A5188C" w:rsidRPr="06CFF086">
        <w:rPr>
          <w:b/>
          <w:bCs/>
        </w:rPr>
        <w:t>2</w:t>
      </w:r>
      <w:r>
        <w:t xml:space="preserve"> </w:t>
      </w:r>
      <w:r w:rsidR="2EC8B55D">
        <w:t xml:space="preserve">provides context for the genesis of this work, discusses its evolution over </w:t>
      </w:r>
      <w:r w:rsidR="00727D8F">
        <w:t xml:space="preserve">seven </w:t>
      </w:r>
      <w:r w:rsidR="2EC8B55D">
        <w:t xml:space="preserve">years (including before, during and </w:t>
      </w:r>
      <w:r w:rsidR="27EC58B2">
        <w:t xml:space="preserve">after </w:t>
      </w:r>
      <w:r w:rsidR="2EC8B55D">
        <w:t>the COVID-19 pandemic</w:t>
      </w:r>
      <w:r w:rsidR="0CE2A303">
        <w:t>), and</w:t>
      </w:r>
      <w:r>
        <w:t xml:space="preserve"> </w:t>
      </w:r>
      <w:r w:rsidR="00216F96">
        <w:t xml:space="preserve">summarises the methodology used in the </w:t>
      </w:r>
      <w:r w:rsidR="00CE53E4">
        <w:t xml:space="preserve">three interconnected </w:t>
      </w:r>
      <w:r w:rsidR="00216F96">
        <w:t>quantitative analyses</w:t>
      </w:r>
      <w:r w:rsidR="00D21D79">
        <w:t xml:space="preserve"> </w:t>
      </w:r>
      <w:r w:rsidR="00CE53E4">
        <w:t>studies</w:t>
      </w:r>
      <w:r w:rsidR="00D21D79">
        <w:t xml:space="preserve"> submitted</w:t>
      </w:r>
      <w:r w:rsidR="005148A2">
        <w:t xml:space="preserve"> or due to be submitted</w:t>
      </w:r>
      <w:r w:rsidR="00D21D79">
        <w:t xml:space="preserve"> for </w:t>
      </w:r>
      <w:r w:rsidR="00DC49A9">
        <w:t xml:space="preserve">publication (chapters </w:t>
      </w:r>
      <w:r w:rsidR="00A5188C">
        <w:t>3</w:t>
      </w:r>
      <w:r w:rsidR="00DC49A9">
        <w:t>-</w:t>
      </w:r>
      <w:r w:rsidR="00A5188C">
        <w:t>5</w:t>
      </w:r>
      <w:r w:rsidR="00DC49A9">
        <w:t xml:space="preserve">). </w:t>
      </w:r>
    </w:p>
    <w:p w14:paraId="184A8528" w14:textId="77777777" w:rsidR="00477E82" w:rsidRDefault="00477E82" w:rsidP="00477E82">
      <w:pPr>
        <w:pStyle w:val="NoSpacing"/>
        <w:spacing w:line="360" w:lineRule="auto"/>
        <w:rPr>
          <w:rStyle w:val="eop"/>
          <w:color w:val="000000"/>
          <w:shd w:val="clear" w:color="auto" w:fill="FFFFFF"/>
        </w:rPr>
      </w:pPr>
    </w:p>
    <w:p w14:paraId="601D8CCF" w14:textId="45F7C9A2" w:rsidR="006F6A47" w:rsidRPr="0040732B" w:rsidRDefault="00ED2E84" w:rsidP="00737297">
      <w:pPr>
        <w:pStyle w:val="NoSpacing"/>
        <w:spacing w:line="360" w:lineRule="auto"/>
        <w:rPr>
          <w:lang w:eastAsia="en-GB"/>
        </w:rPr>
      </w:pPr>
      <w:r w:rsidRPr="00087143">
        <w:rPr>
          <w:b/>
          <w:bCs/>
        </w:rPr>
        <w:t xml:space="preserve">Chapter </w:t>
      </w:r>
      <w:r w:rsidR="00A5188C">
        <w:rPr>
          <w:b/>
          <w:bCs/>
        </w:rPr>
        <w:t>3</w:t>
      </w:r>
      <w:r w:rsidRPr="000561E1">
        <w:t xml:space="preserve"> presents </w:t>
      </w:r>
      <w:r w:rsidR="00E345C8">
        <w:t>study 1 which was</w:t>
      </w:r>
      <w:r w:rsidRPr="000561E1">
        <w:t xml:space="preserve"> submitted</w:t>
      </w:r>
      <w:r w:rsidR="002E6073">
        <w:t xml:space="preserve"> </w:t>
      </w:r>
      <w:r w:rsidR="00741B81">
        <w:t xml:space="preserve">for </w:t>
      </w:r>
      <w:r w:rsidR="00741B81" w:rsidRPr="002E6073">
        <w:t xml:space="preserve">publication in </w:t>
      </w:r>
      <w:r w:rsidR="00741B81" w:rsidRPr="002E6073">
        <w:rPr>
          <w:i/>
          <w:iCs/>
        </w:rPr>
        <w:t>Drug and Alcohol Review</w:t>
      </w:r>
      <w:r w:rsidR="00741B81" w:rsidRPr="002E6073">
        <w:t xml:space="preserve"> </w:t>
      </w:r>
      <w:r w:rsidR="002E6073">
        <w:t xml:space="preserve">and then re-submitted </w:t>
      </w:r>
      <w:r w:rsidR="00741B81">
        <w:t xml:space="preserve">with revisions </w:t>
      </w:r>
      <w:r w:rsidR="002E6073">
        <w:t>on the recommendation of reviewers</w:t>
      </w:r>
      <w:r w:rsidR="005148A2">
        <w:t>. The study is</w:t>
      </w:r>
      <w:r w:rsidRPr="000561E1">
        <w:t xml:space="preserve"> </w:t>
      </w:r>
      <w:r w:rsidR="004D1C32" w:rsidRPr="002E6073">
        <w:t>entitled</w:t>
      </w:r>
      <w:r w:rsidR="004D1C32" w:rsidRPr="000561E1">
        <w:t xml:space="preserve"> </w:t>
      </w:r>
      <w:bookmarkStart w:id="8" w:name="_Hlk78271389"/>
      <w:r w:rsidR="000561E1">
        <w:t>“</w:t>
      </w:r>
      <w:r w:rsidR="00477E82" w:rsidRPr="00477E82">
        <w:t>Exploring characteristics and interventions of parents receiving specialist treatment and child welfare support services in England</w:t>
      </w:r>
      <w:r w:rsidR="000561E1" w:rsidRPr="00477E82">
        <w:t>”</w:t>
      </w:r>
      <w:r w:rsidR="00087143" w:rsidRPr="00477E82">
        <w:t>.</w:t>
      </w:r>
      <w:r w:rsidR="00087143">
        <w:t xml:space="preserve"> </w:t>
      </w:r>
      <w:r w:rsidR="002E6073">
        <w:t>At the time of writing</w:t>
      </w:r>
      <w:r w:rsidR="005148A2">
        <w:t>,</w:t>
      </w:r>
      <w:r w:rsidR="002E6073">
        <w:t xml:space="preserve"> confirmation </w:t>
      </w:r>
      <w:r w:rsidR="00EB5118">
        <w:t>of</w:t>
      </w:r>
      <w:r w:rsidR="002E6073">
        <w:t xml:space="preserve"> its</w:t>
      </w:r>
      <w:r w:rsidR="005148A2">
        <w:t xml:space="preserve"> publication</w:t>
      </w:r>
      <w:r w:rsidR="002E6073">
        <w:t xml:space="preserve"> status had not been received. </w:t>
      </w:r>
      <w:r w:rsidR="004816DE">
        <w:rPr>
          <w:lang w:eastAsia="en-GB"/>
        </w:rPr>
        <w:t>A</w:t>
      </w:r>
      <w:r w:rsidR="006F6A47">
        <w:rPr>
          <w:lang w:eastAsia="en-GB"/>
        </w:rPr>
        <w:t xml:space="preserve"> national longitudinal observational cohort study </w:t>
      </w:r>
      <w:r w:rsidR="0075344F">
        <w:rPr>
          <w:lang w:eastAsia="en-GB"/>
        </w:rPr>
        <w:t xml:space="preserve">was used </w:t>
      </w:r>
      <w:r w:rsidR="006F6A47">
        <w:rPr>
          <w:lang w:eastAsia="en-GB"/>
        </w:rPr>
        <w:t>to estimate the associations between parental status (</w:t>
      </w:r>
      <w:r w:rsidR="00B812F9">
        <w:rPr>
          <w:lang w:eastAsia="en-GB"/>
        </w:rPr>
        <w:t>parent</w:t>
      </w:r>
      <w:r w:rsidR="006F6A47">
        <w:rPr>
          <w:lang w:eastAsia="en-GB"/>
        </w:rPr>
        <w:t xml:space="preserve"> living with child</w:t>
      </w:r>
      <w:r w:rsidR="002A1D54">
        <w:rPr>
          <w:lang w:eastAsia="en-GB"/>
        </w:rPr>
        <w:t xml:space="preserve"> and</w:t>
      </w:r>
      <w:r w:rsidR="006F6A47">
        <w:rPr>
          <w:lang w:eastAsia="en-GB"/>
        </w:rPr>
        <w:t xml:space="preserve"> parent not living with </w:t>
      </w:r>
      <w:r w:rsidR="00400CAF">
        <w:rPr>
          <w:lang w:eastAsia="en-GB"/>
        </w:rPr>
        <w:t xml:space="preserve">their </w:t>
      </w:r>
      <w:r w:rsidR="006F6A47">
        <w:rPr>
          <w:lang w:eastAsia="en-GB"/>
        </w:rPr>
        <w:t>child)</w:t>
      </w:r>
      <w:r w:rsidR="00C34E4F">
        <w:rPr>
          <w:lang w:eastAsia="en-GB"/>
        </w:rPr>
        <w:t xml:space="preserve"> and</w:t>
      </w:r>
      <w:r w:rsidR="006F6A47">
        <w:rPr>
          <w:lang w:eastAsia="en-GB"/>
        </w:rPr>
        <w:t xml:space="preserve"> interventions (treatment </w:t>
      </w:r>
      <w:r w:rsidR="004816DE">
        <w:rPr>
          <w:lang w:eastAsia="en-GB"/>
        </w:rPr>
        <w:t>only</w:t>
      </w:r>
      <w:r w:rsidR="006F6A47">
        <w:rPr>
          <w:lang w:eastAsia="en-GB"/>
        </w:rPr>
        <w:t xml:space="preserve"> vs </w:t>
      </w:r>
      <w:r w:rsidR="00780264">
        <w:rPr>
          <w:lang w:eastAsia="en-GB"/>
        </w:rPr>
        <w:t xml:space="preserve">treatment </w:t>
      </w:r>
      <w:r w:rsidR="004B377D">
        <w:rPr>
          <w:lang w:eastAsia="en-GB"/>
        </w:rPr>
        <w:t>plus</w:t>
      </w:r>
      <w:r w:rsidR="00780264">
        <w:rPr>
          <w:lang w:eastAsia="en-GB"/>
        </w:rPr>
        <w:t xml:space="preserve"> different types of </w:t>
      </w:r>
      <w:r w:rsidR="004816DE">
        <w:rPr>
          <w:lang w:eastAsia="en-GB"/>
        </w:rPr>
        <w:t xml:space="preserve">interventions which promote and protect </w:t>
      </w:r>
      <w:r w:rsidR="00780264">
        <w:rPr>
          <w:lang w:eastAsia="en-GB"/>
        </w:rPr>
        <w:t xml:space="preserve">child welfare: </w:t>
      </w:r>
      <w:r w:rsidR="00AB7760">
        <w:rPr>
          <w:lang w:eastAsia="en-GB"/>
        </w:rPr>
        <w:t>parenting and/or family</w:t>
      </w:r>
      <w:r w:rsidR="0040732B">
        <w:rPr>
          <w:lang w:eastAsia="en-GB"/>
        </w:rPr>
        <w:t xml:space="preserve"> recovery support</w:t>
      </w:r>
      <w:r w:rsidR="001F609A">
        <w:rPr>
          <w:lang w:eastAsia="en-GB"/>
        </w:rPr>
        <w:t>,</w:t>
      </w:r>
      <w:r w:rsidR="0040732B">
        <w:rPr>
          <w:lang w:eastAsia="en-GB"/>
        </w:rPr>
        <w:t xml:space="preserve"> </w:t>
      </w:r>
      <w:r w:rsidR="00C34E4F">
        <w:rPr>
          <w:lang w:eastAsia="en-GB"/>
        </w:rPr>
        <w:t xml:space="preserve">targeted </w:t>
      </w:r>
      <w:r w:rsidR="0040732B">
        <w:rPr>
          <w:lang w:eastAsia="en-GB"/>
        </w:rPr>
        <w:t>early help</w:t>
      </w:r>
      <w:r w:rsidR="00780264">
        <w:rPr>
          <w:lang w:eastAsia="en-GB"/>
        </w:rPr>
        <w:t>,</w:t>
      </w:r>
      <w:r w:rsidR="00400CAF">
        <w:rPr>
          <w:lang w:eastAsia="en-GB"/>
        </w:rPr>
        <w:t xml:space="preserve"> statutory child</w:t>
      </w:r>
      <w:r w:rsidR="00AC5876">
        <w:rPr>
          <w:lang w:eastAsia="en-GB"/>
        </w:rPr>
        <w:t>ren’s social care</w:t>
      </w:r>
      <w:r w:rsidR="00ED2620">
        <w:rPr>
          <w:lang w:eastAsia="en-GB"/>
        </w:rPr>
        <w:t xml:space="preserve"> </w:t>
      </w:r>
      <w:r w:rsidR="00EB13F3">
        <w:rPr>
          <w:lang w:eastAsia="en-GB"/>
        </w:rPr>
        <w:t>services</w:t>
      </w:r>
      <w:r w:rsidR="00C74391">
        <w:rPr>
          <w:lang w:eastAsia="en-GB"/>
        </w:rPr>
        <w:t xml:space="preserve">in the form of child </w:t>
      </w:r>
      <w:r w:rsidR="00400CAF">
        <w:rPr>
          <w:lang w:eastAsia="en-GB"/>
        </w:rPr>
        <w:t>in need and child protection plans, and children in care)</w:t>
      </w:r>
      <w:r w:rsidR="00C34E4F">
        <w:rPr>
          <w:lang w:eastAsia="en-GB"/>
        </w:rPr>
        <w:t xml:space="preserve">. Characteristics and interventions associated with </w:t>
      </w:r>
      <w:r w:rsidR="00F24CE6">
        <w:rPr>
          <w:lang w:eastAsia="en-GB"/>
        </w:rPr>
        <w:t xml:space="preserve">successful completion of </w:t>
      </w:r>
      <w:r w:rsidR="006F6A47">
        <w:rPr>
          <w:lang w:eastAsia="en-GB"/>
        </w:rPr>
        <w:t>treatment</w:t>
      </w:r>
      <w:r w:rsidR="00C34E4F">
        <w:rPr>
          <w:lang w:eastAsia="en-GB"/>
        </w:rPr>
        <w:t xml:space="preserve"> were also explored</w:t>
      </w:r>
      <w:r w:rsidR="006F6A47">
        <w:t xml:space="preserve">. </w:t>
      </w:r>
    </w:p>
    <w:p w14:paraId="30D3CF00" w14:textId="77777777" w:rsidR="006F6A47" w:rsidRDefault="006F6A47" w:rsidP="00737297">
      <w:pPr>
        <w:pStyle w:val="NoSpacing"/>
        <w:spacing w:line="360" w:lineRule="auto"/>
      </w:pPr>
    </w:p>
    <w:p w14:paraId="07CD88AF" w14:textId="35C62411" w:rsidR="00B827F9" w:rsidRDefault="00751DB9" w:rsidP="000173B3">
      <w:pPr>
        <w:pStyle w:val="NoSpacing"/>
        <w:spacing w:line="360" w:lineRule="auto"/>
      </w:pPr>
      <w:r w:rsidRPr="00087143">
        <w:rPr>
          <w:b/>
          <w:bCs/>
        </w:rPr>
        <w:t xml:space="preserve">Chapter </w:t>
      </w:r>
      <w:r w:rsidR="00A5188C">
        <w:rPr>
          <w:b/>
          <w:bCs/>
        </w:rPr>
        <w:t>4</w:t>
      </w:r>
      <w:r w:rsidRPr="000561E1">
        <w:t xml:space="preserve"> presents </w:t>
      </w:r>
      <w:r>
        <w:t xml:space="preserve">study 2 </w:t>
      </w:r>
      <w:r w:rsidRPr="000561E1">
        <w:t>entitled</w:t>
      </w:r>
      <w:bookmarkStart w:id="9" w:name="_Hlk155883609"/>
      <w:bookmarkEnd w:id="9"/>
      <w:r w:rsidR="00566C03">
        <w:t xml:space="preserve"> </w:t>
      </w:r>
      <w:r w:rsidR="00566C03" w:rsidRPr="00477E82">
        <w:t>“</w:t>
      </w:r>
      <w:r w:rsidR="00477E82" w:rsidRPr="00477E82">
        <w:t xml:space="preserve">Do </w:t>
      </w:r>
      <w:r w:rsidR="00BF12A7">
        <w:t xml:space="preserve">targeted </w:t>
      </w:r>
      <w:r w:rsidR="000746EA">
        <w:t xml:space="preserve">prevention interventions for families </w:t>
      </w:r>
      <w:r w:rsidR="00477E82" w:rsidRPr="00477E82">
        <w:t xml:space="preserve">improve alcohol and drug treatment completions among parents with a substance use disorder? A quasi-experimental study using Generalized </w:t>
      </w:r>
      <w:r w:rsidR="00477E82" w:rsidRPr="00957257">
        <w:t>Boosted Models</w:t>
      </w:r>
      <w:r w:rsidR="00FD5FD0" w:rsidRPr="00957257">
        <w:t>.</w:t>
      </w:r>
      <w:r w:rsidR="00566C03" w:rsidRPr="00957257">
        <w:t>”</w:t>
      </w:r>
      <w:r w:rsidR="00CA25C4" w:rsidRPr="00957257">
        <w:t xml:space="preserve"> </w:t>
      </w:r>
      <w:r w:rsidR="0072115B" w:rsidRPr="000173B3">
        <w:t>This</w:t>
      </w:r>
      <w:r w:rsidR="0072115B">
        <w:t xml:space="preserve"> has been prepared for submission to a journal</w:t>
      </w:r>
      <w:r w:rsidR="00286496" w:rsidRPr="002E6073">
        <w:t xml:space="preserve">. </w:t>
      </w:r>
      <w:r w:rsidR="00C53FDC" w:rsidRPr="002E6073">
        <w:t>S</w:t>
      </w:r>
      <w:r w:rsidR="00E42B3C" w:rsidRPr="002E6073">
        <w:t xml:space="preserve">tudy 2 </w:t>
      </w:r>
      <w:r w:rsidR="00C53FDC" w:rsidRPr="002E6073">
        <w:t>attempted to mitigate</w:t>
      </w:r>
      <w:r w:rsidR="00C53FDC">
        <w:t xml:space="preserve"> confounding by selection bias by </w:t>
      </w:r>
      <w:r w:rsidR="00E42B3C" w:rsidRPr="00E42B3C">
        <w:t>us</w:t>
      </w:r>
      <w:r w:rsidR="00C53FDC">
        <w:t>ing</w:t>
      </w:r>
      <w:r w:rsidR="00E42B3C" w:rsidRPr="00E42B3C">
        <w:t xml:space="preserve"> a quasi-experimental approach to test whether parents were more likely to complete treatment successfully if they </w:t>
      </w:r>
      <w:r w:rsidR="00E42B3C" w:rsidRPr="009B13E6">
        <w:t xml:space="preserve">received </w:t>
      </w:r>
      <w:r w:rsidR="0072115B">
        <w:t>targeted p</w:t>
      </w:r>
      <w:r w:rsidR="005472B6">
        <w:t>revention in the form of 1) parenting and/or family recovery support or 2) early help,</w:t>
      </w:r>
      <w:r w:rsidR="00E42B3C" w:rsidRPr="009B13E6">
        <w:t xml:space="preserve"> </w:t>
      </w:r>
      <w:r w:rsidR="00E42B3C">
        <w:t xml:space="preserve">compared with treatment </w:t>
      </w:r>
      <w:r w:rsidR="00E95B82">
        <w:t>only</w:t>
      </w:r>
      <w:r w:rsidR="00F24CE6" w:rsidRPr="00BA3E40">
        <w:t>.</w:t>
      </w:r>
      <w:r w:rsidR="005D2685" w:rsidRPr="00BA3E40">
        <w:t xml:space="preserve"> </w:t>
      </w:r>
    </w:p>
    <w:p w14:paraId="3D7D3649" w14:textId="77777777" w:rsidR="00FD5FD0" w:rsidRDefault="00FD5FD0" w:rsidP="000173B3">
      <w:pPr>
        <w:pStyle w:val="NoSpacing"/>
        <w:spacing w:line="360" w:lineRule="auto"/>
      </w:pPr>
    </w:p>
    <w:p w14:paraId="5B7C1D82" w14:textId="76279ED2" w:rsidR="00E42B3C" w:rsidRPr="0030329C" w:rsidRDefault="00566C03" w:rsidP="000173B3">
      <w:pPr>
        <w:spacing w:line="360" w:lineRule="auto"/>
        <w:rPr>
          <w:rFonts w:cs="Arial"/>
          <w:b/>
          <w:bCs/>
          <w:szCs w:val="24"/>
        </w:rPr>
      </w:pPr>
      <w:r w:rsidRPr="00EC47D7">
        <w:rPr>
          <w:b/>
          <w:bCs/>
        </w:rPr>
        <w:lastRenderedPageBreak/>
        <w:t xml:space="preserve">Chapter </w:t>
      </w:r>
      <w:r w:rsidR="00A5188C" w:rsidRPr="00EC47D7">
        <w:rPr>
          <w:b/>
          <w:bCs/>
        </w:rPr>
        <w:t>5</w:t>
      </w:r>
      <w:r w:rsidRPr="00EC47D7">
        <w:rPr>
          <w:b/>
          <w:bCs/>
        </w:rPr>
        <w:t xml:space="preserve"> </w:t>
      </w:r>
      <w:r w:rsidRPr="00EC47D7">
        <w:t>presents study 3 entitled</w:t>
      </w:r>
      <w:bookmarkEnd w:id="8"/>
      <w:r w:rsidR="003020DA" w:rsidRPr="00EC47D7">
        <w:t xml:space="preserve"> </w:t>
      </w:r>
      <w:r w:rsidR="00E42B3C" w:rsidRPr="000173B3">
        <w:t>“</w:t>
      </w:r>
      <w:r w:rsidR="000173B3" w:rsidRPr="000173B3">
        <w:rPr>
          <w:rFonts w:cs="Arial"/>
          <w:szCs w:val="24"/>
        </w:rPr>
        <w:t xml:space="preserve">For parents with an alcohol use disorder, is treatment </w:t>
      </w:r>
      <w:r w:rsidR="00F011BD">
        <w:rPr>
          <w:rFonts w:cs="Arial"/>
          <w:szCs w:val="24"/>
        </w:rPr>
        <w:t>plus</w:t>
      </w:r>
      <w:r w:rsidR="000173B3" w:rsidRPr="000173B3">
        <w:rPr>
          <w:rFonts w:cs="Arial"/>
          <w:szCs w:val="24"/>
        </w:rPr>
        <w:t xml:space="preserve"> parenting and/or </w:t>
      </w:r>
      <w:r w:rsidR="00A31778">
        <w:rPr>
          <w:rFonts w:cs="Arial"/>
          <w:szCs w:val="24"/>
        </w:rPr>
        <w:t xml:space="preserve">family </w:t>
      </w:r>
      <w:r w:rsidR="000173B3" w:rsidRPr="000173B3">
        <w:rPr>
          <w:rFonts w:cs="Arial"/>
          <w:szCs w:val="24"/>
        </w:rPr>
        <w:t>recovery support a more cost-effective option than treatment only?</w:t>
      </w:r>
      <w:r w:rsidR="0030329C" w:rsidRPr="000173B3">
        <w:rPr>
          <w:rFonts w:cs="Arial"/>
          <w:szCs w:val="24"/>
        </w:rPr>
        <w:t>”</w:t>
      </w:r>
      <w:r w:rsidR="00F24CE6" w:rsidRPr="000173B3">
        <w:t xml:space="preserve"> </w:t>
      </w:r>
      <w:r w:rsidR="00286496" w:rsidRPr="000173B3">
        <w:t>This</w:t>
      </w:r>
      <w:r w:rsidR="00286496">
        <w:t xml:space="preserve"> </w:t>
      </w:r>
      <w:r w:rsidR="0030329C">
        <w:t>has been prepared for s</w:t>
      </w:r>
      <w:r w:rsidR="00286496">
        <w:t>ubmi</w:t>
      </w:r>
      <w:r w:rsidR="0030329C">
        <w:t>ssion to a journal</w:t>
      </w:r>
      <w:r w:rsidR="00BF12C1">
        <w:t>.</w:t>
      </w:r>
      <w:r w:rsidR="00F62FFF">
        <w:t xml:space="preserve"> </w:t>
      </w:r>
      <w:r w:rsidR="005B6A3A">
        <w:t xml:space="preserve">To estimate cost-effectiveness, a deterministic Markov model was constructed </w:t>
      </w:r>
      <w:r w:rsidR="00122F4C">
        <w:t xml:space="preserve">using both a health and public sector perspective. Deterministic and probabilistic sensitivity analyses </w:t>
      </w:r>
      <w:r w:rsidR="00E70052">
        <w:t xml:space="preserve">estimated the sensitivity of key assumptions </w:t>
      </w:r>
      <w:r w:rsidR="00E036CC">
        <w:t xml:space="preserve">and the level of uncertainty. </w:t>
      </w:r>
    </w:p>
    <w:p w14:paraId="691D62B2" w14:textId="77777777" w:rsidR="000173B3" w:rsidRDefault="000173B3" w:rsidP="000173B3">
      <w:pPr>
        <w:pStyle w:val="NoSpacing"/>
        <w:spacing w:line="360" w:lineRule="auto"/>
        <w:rPr>
          <w:b/>
          <w:bCs/>
        </w:rPr>
      </w:pPr>
    </w:p>
    <w:p w14:paraId="1E688514" w14:textId="73A3AC7E" w:rsidR="00CB0342" w:rsidRDefault="00E42B3C" w:rsidP="000173B3">
      <w:pPr>
        <w:pStyle w:val="NoSpacing"/>
        <w:spacing w:line="360" w:lineRule="auto"/>
      </w:pPr>
      <w:r w:rsidRPr="00087143">
        <w:rPr>
          <w:b/>
          <w:bCs/>
        </w:rPr>
        <w:t>Chapter</w:t>
      </w:r>
      <w:r>
        <w:rPr>
          <w:b/>
          <w:bCs/>
        </w:rPr>
        <w:t>s</w:t>
      </w:r>
      <w:r w:rsidRPr="00087143">
        <w:rPr>
          <w:b/>
          <w:bCs/>
        </w:rPr>
        <w:t xml:space="preserve"> </w:t>
      </w:r>
      <w:r w:rsidR="00A5188C">
        <w:rPr>
          <w:b/>
          <w:bCs/>
        </w:rPr>
        <w:t>6</w:t>
      </w:r>
      <w:r>
        <w:rPr>
          <w:b/>
          <w:bCs/>
        </w:rPr>
        <w:t xml:space="preserve"> and </w:t>
      </w:r>
      <w:r w:rsidR="00A5188C">
        <w:rPr>
          <w:b/>
          <w:bCs/>
        </w:rPr>
        <w:t>7</w:t>
      </w:r>
      <w:r>
        <w:rPr>
          <w:b/>
          <w:bCs/>
        </w:rPr>
        <w:t xml:space="preserve"> </w:t>
      </w:r>
      <w:r w:rsidRPr="00E42B3C">
        <w:t xml:space="preserve">are the </w:t>
      </w:r>
      <w:r>
        <w:t xml:space="preserve">discussion and conclusion chapters respectively. Key findings are discussed and considered in the context of previous studies in this area. Methodological strengths and limitations </w:t>
      </w:r>
      <w:r w:rsidR="00780264">
        <w:t>are presented, as are recommendations and implications for future research, policy and practice.</w:t>
      </w:r>
    </w:p>
    <w:p w14:paraId="21E141BA" w14:textId="77777777" w:rsidR="00BA4938" w:rsidRDefault="00BA4938" w:rsidP="00737297">
      <w:pPr>
        <w:pStyle w:val="NoSpacing"/>
        <w:spacing w:line="360" w:lineRule="auto"/>
        <w:rPr>
          <w:b/>
          <w:bCs/>
        </w:rPr>
      </w:pPr>
    </w:p>
    <w:p w14:paraId="0BACD55F" w14:textId="64C142A8" w:rsidR="00BA4938" w:rsidRPr="00BA4938" w:rsidRDefault="00127E4C" w:rsidP="004367EA">
      <w:pPr>
        <w:pStyle w:val="Heading2"/>
        <w:numPr>
          <w:ilvl w:val="1"/>
          <w:numId w:val="18"/>
        </w:numPr>
        <w:spacing w:line="360" w:lineRule="auto"/>
      </w:pPr>
      <w:bookmarkStart w:id="10" w:name="_Toc189229643"/>
      <w:r>
        <w:t xml:space="preserve">What is meant by </w:t>
      </w:r>
      <w:r w:rsidR="00372A89">
        <w:t>‘</w:t>
      </w:r>
      <w:r>
        <w:t>s</w:t>
      </w:r>
      <w:r w:rsidR="009D10E0">
        <w:t>ubstance use disorder</w:t>
      </w:r>
      <w:r w:rsidR="00372A89">
        <w:t>’</w:t>
      </w:r>
      <w:r>
        <w:t>?</w:t>
      </w:r>
      <w:bookmarkEnd w:id="10"/>
    </w:p>
    <w:p w14:paraId="58CE6F90" w14:textId="30DBD69D" w:rsidR="002D4704" w:rsidRDefault="00AE084E" w:rsidP="00737297">
      <w:pPr>
        <w:pStyle w:val="NoSpacing"/>
        <w:spacing w:line="360" w:lineRule="auto"/>
      </w:pPr>
      <w:r>
        <w:t xml:space="preserve">The </w:t>
      </w:r>
      <w:r w:rsidR="00994DD9">
        <w:t xml:space="preserve">most recent version of </w:t>
      </w:r>
      <w:r w:rsidR="00390C60">
        <w:t xml:space="preserve">American Psychiatric Association’s </w:t>
      </w:r>
      <w:r w:rsidR="00CA38B2">
        <w:t xml:space="preserve">Diagnostic and Statistical Manual </w:t>
      </w:r>
      <w:r w:rsidR="00AB7760">
        <w:t xml:space="preserve">of </w:t>
      </w:r>
      <w:r w:rsidR="00957257">
        <w:t>Ment</w:t>
      </w:r>
      <w:r w:rsidR="00CA38B2">
        <w:t>al Disorders</w:t>
      </w:r>
      <w:r w:rsidR="00994DD9">
        <w:t xml:space="preserve"> is the</w:t>
      </w:r>
      <w:r w:rsidR="00CA38B2">
        <w:t xml:space="preserve"> </w:t>
      </w:r>
      <w:r w:rsidR="00994DD9">
        <w:t>f</w:t>
      </w:r>
      <w:r w:rsidR="005D3E24">
        <w:t xml:space="preserve">ifth </w:t>
      </w:r>
      <w:r w:rsidR="00994DD9">
        <w:t>e</w:t>
      </w:r>
      <w:r w:rsidR="005D3E24">
        <w:t xml:space="preserve">dition, text revision, </w:t>
      </w:r>
      <w:r w:rsidR="00DB4B80">
        <w:t>or</w:t>
      </w:r>
      <w:r w:rsidR="005D3E24">
        <w:t xml:space="preserve"> DSM-</w:t>
      </w:r>
      <w:r w:rsidR="0095074F">
        <w:t>5</w:t>
      </w:r>
      <w:r w:rsidR="005D3E24">
        <w:t>-TR</w:t>
      </w:r>
      <w:r w:rsidR="00DB4B80" w:rsidRPr="00DB4B80">
        <w:rPr>
          <w:vertAlign w:val="superscript"/>
        </w:rPr>
        <w:t>TM</w:t>
      </w:r>
      <w:r w:rsidR="007410B3">
        <w:t xml:space="preserve"> </w:t>
      </w:r>
      <w:r w:rsidR="007410B3" w:rsidRPr="0003163A">
        <w:fldChar w:fldCharType="begin"/>
      </w:r>
      <w:r w:rsidR="00B9334F">
        <w:instrText xml:space="preserve"> ADDIN EN.CITE &lt;EndNote&gt;&lt;Cite&gt;&lt;Author&gt;APA&lt;/Author&gt;&lt;Year&gt;2022&lt;/Year&gt;&lt;RecNum&gt;256&lt;/RecNum&gt;&lt;DisplayText&gt;(APA, 2022)&lt;/DisplayText&gt;&lt;record&gt;&lt;rec-number&gt;256&lt;/rec-number&gt;&lt;foreign-keys&gt;&lt;key app="EN" db-id="ffzvr5fstavwxoe9v04xf0wmp5t50as52da0" timestamp="1731671652" guid="2e4f2ce0-9bcd-4e55-b922-4b9b1e1e3a82"&gt;256&lt;/key&gt;&lt;/foreign-keys&gt;&lt;ref-type name="Book Section"&gt;5&lt;/ref-type&gt;&lt;contributors&gt;&lt;authors&gt;&lt;author&gt;APA&lt;/author&gt;&lt;/authors&gt;&lt;/contributors&gt;&lt;titles&gt;&lt;title&gt;Substance-Related and Addictive Disorders&lt;/title&gt;&lt;secondary-title&gt;Diagnostic and Statistical Manual of Mental Disorders, Fifth Edition, Text Revision (DSM-5-TR®)&lt;/secondary-title&gt;&lt;/titles&gt;&lt;dates&gt;&lt;year&gt;2022&lt;/year&gt;&lt;/dates&gt;&lt;pub-location&gt;Washington, DC&lt;/pub-location&gt;&lt;publisher&gt;American Psychiatric Association,&lt;/publisher&gt;&lt;urls&gt;&lt;related-urls&gt;&lt;url&gt;https://dsm.psychiatryonline.org/doi/abs/10.1176/appi.books.9780890425787.x16_Substance_Related_Disorders&lt;/url&gt;&lt;/related-urls&gt;&lt;/urls&gt;&lt;electronic-resource-num&gt;10.1176/appi.books.9780890425787.x16_Substance_Related_Disorders&lt;/electronic-resource-num&gt;&lt;/record&gt;&lt;/Cite&gt;&lt;/EndNote&gt;</w:instrText>
      </w:r>
      <w:r w:rsidR="007410B3" w:rsidRPr="0003163A">
        <w:fldChar w:fldCharType="separate"/>
      </w:r>
      <w:r w:rsidR="00A77498">
        <w:rPr>
          <w:noProof/>
        </w:rPr>
        <w:t>(APA, 2022)</w:t>
      </w:r>
      <w:r w:rsidR="007410B3" w:rsidRPr="0003163A">
        <w:fldChar w:fldCharType="end"/>
      </w:r>
      <w:r w:rsidR="003917FF">
        <w:t xml:space="preserve">. </w:t>
      </w:r>
      <w:r w:rsidR="00F5420B">
        <w:t xml:space="preserve">It </w:t>
      </w:r>
      <w:r w:rsidR="00B80F24">
        <w:t xml:space="preserve">refers to substance use disorder </w:t>
      </w:r>
      <w:r w:rsidR="00F40A6E">
        <w:t xml:space="preserve">(SUD) </w:t>
      </w:r>
      <w:r w:rsidR="00B80F24">
        <w:t xml:space="preserve">as </w:t>
      </w:r>
      <w:r w:rsidR="00ED5C2E">
        <w:t xml:space="preserve">a pattern of </w:t>
      </w:r>
      <w:r w:rsidR="000E0763">
        <w:t>pathological behaviours related to substance use</w:t>
      </w:r>
      <w:r w:rsidR="00582CD3">
        <w:t xml:space="preserve">, which can </w:t>
      </w:r>
      <w:r w:rsidR="004F2B05">
        <w:t xml:space="preserve">range from </w:t>
      </w:r>
      <w:r w:rsidR="009713C7">
        <w:t xml:space="preserve">a </w:t>
      </w:r>
      <w:r w:rsidR="004F2B05">
        <w:t xml:space="preserve">mild </w:t>
      </w:r>
      <w:r w:rsidR="00851950">
        <w:t xml:space="preserve">disorder </w:t>
      </w:r>
      <w:r w:rsidR="004F2B05">
        <w:t xml:space="preserve">to a severe form comprising </w:t>
      </w:r>
      <w:r w:rsidR="003713C8">
        <w:t xml:space="preserve">multiple relapses and compulsive </w:t>
      </w:r>
      <w:r w:rsidR="00C767AF">
        <w:t xml:space="preserve">alcohol or </w:t>
      </w:r>
      <w:r w:rsidR="003713C8">
        <w:t>drug taking.</w:t>
      </w:r>
      <w:r w:rsidR="004F2B05">
        <w:t xml:space="preserve"> </w:t>
      </w:r>
      <w:r w:rsidR="003713C8">
        <w:t xml:space="preserve">There are </w:t>
      </w:r>
      <w:r w:rsidR="000E0763">
        <w:t xml:space="preserve">11 </w:t>
      </w:r>
      <w:r w:rsidR="003713C8">
        <w:t xml:space="preserve">identified </w:t>
      </w:r>
      <w:r w:rsidR="000E0763">
        <w:t xml:space="preserve">associated </w:t>
      </w:r>
      <w:r w:rsidR="009713C7">
        <w:t>criteria</w:t>
      </w:r>
      <w:r w:rsidR="003713C8">
        <w:t>,</w:t>
      </w:r>
      <w:r w:rsidR="008D146D">
        <w:t xml:space="preserve"> referring to</w:t>
      </w:r>
      <w:r w:rsidR="00852AE7">
        <w:t xml:space="preserve"> when a person</w:t>
      </w:r>
      <w:r w:rsidR="009713C7">
        <w:t xml:space="preserve"> experiences the following symptoms</w:t>
      </w:r>
      <w:r w:rsidR="00852AE7">
        <w:t>:</w:t>
      </w:r>
    </w:p>
    <w:p w14:paraId="5800CBC5" w14:textId="77777777" w:rsidR="00740B82" w:rsidRDefault="00740B82" w:rsidP="00737297">
      <w:pPr>
        <w:pStyle w:val="NoSpacing"/>
        <w:spacing w:line="360" w:lineRule="auto"/>
      </w:pPr>
    </w:p>
    <w:p w14:paraId="7ACCC009" w14:textId="7BFAFFDA" w:rsidR="00B272FF" w:rsidRPr="008F11F7" w:rsidRDefault="000D2982" w:rsidP="00737297">
      <w:pPr>
        <w:pStyle w:val="NoSpacing"/>
        <w:spacing w:line="360" w:lineRule="auto"/>
        <w:rPr>
          <w:i/>
          <w:iCs/>
        </w:rPr>
      </w:pPr>
      <w:r w:rsidRPr="008F11F7">
        <w:rPr>
          <w:i/>
          <w:iCs/>
        </w:rPr>
        <w:t>Impaired control</w:t>
      </w:r>
    </w:p>
    <w:p w14:paraId="27E2D3A8" w14:textId="2FD99DE2" w:rsidR="00141745" w:rsidRDefault="00016922" w:rsidP="00737297">
      <w:pPr>
        <w:pStyle w:val="NoSpacing"/>
        <w:numPr>
          <w:ilvl w:val="0"/>
          <w:numId w:val="1"/>
        </w:numPr>
        <w:spacing w:line="360" w:lineRule="auto"/>
      </w:pPr>
      <w:r>
        <w:t>Want</w:t>
      </w:r>
      <w:r w:rsidR="009713C7">
        <w:t>ing</w:t>
      </w:r>
      <w:r>
        <w:t xml:space="preserve"> to cut down or stop taking </w:t>
      </w:r>
      <w:r w:rsidR="004551ED">
        <w:t>substances</w:t>
      </w:r>
      <w:r>
        <w:t xml:space="preserve"> </w:t>
      </w:r>
      <w:r w:rsidR="000D2982">
        <w:t>but is unable to</w:t>
      </w:r>
    </w:p>
    <w:p w14:paraId="4386CF4E" w14:textId="5DEEF5B0" w:rsidR="00067EF1" w:rsidRDefault="002F43AB" w:rsidP="00737297">
      <w:pPr>
        <w:pStyle w:val="NoSpacing"/>
        <w:numPr>
          <w:ilvl w:val="0"/>
          <w:numId w:val="1"/>
        </w:numPr>
        <w:spacing w:line="360" w:lineRule="auto"/>
      </w:pPr>
      <w:r>
        <w:t>Spend</w:t>
      </w:r>
      <w:r w:rsidR="009713C7">
        <w:t>ing</w:t>
      </w:r>
      <w:r w:rsidR="0004409C">
        <w:t xml:space="preserve"> </w:t>
      </w:r>
      <w:r>
        <w:t xml:space="preserve">a lot of time obtaining, using and/or recovering from </w:t>
      </w:r>
      <w:r w:rsidR="004551ED">
        <w:t>substances</w:t>
      </w:r>
    </w:p>
    <w:p w14:paraId="175D2080" w14:textId="047D0020" w:rsidR="008B7094" w:rsidRDefault="00494255" w:rsidP="00737297">
      <w:pPr>
        <w:pStyle w:val="NoSpacing"/>
        <w:numPr>
          <w:ilvl w:val="0"/>
          <w:numId w:val="1"/>
        </w:numPr>
        <w:spacing w:line="360" w:lineRule="auto"/>
      </w:pPr>
      <w:r>
        <w:t>Spend</w:t>
      </w:r>
      <w:r w:rsidR="009713C7">
        <w:t>ing</w:t>
      </w:r>
      <w:r>
        <w:t xml:space="preserve"> almost all of their day on activities which revolve </w:t>
      </w:r>
      <w:r w:rsidR="008B7094">
        <w:t>around substances</w:t>
      </w:r>
    </w:p>
    <w:p w14:paraId="0985BD97" w14:textId="27A5CB5A" w:rsidR="002D4704" w:rsidRDefault="008B7094" w:rsidP="00737297">
      <w:pPr>
        <w:pStyle w:val="NoSpacing"/>
        <w:numPr>
          <w:ilvl w:val="0"/>
          <w:numId w:val="1"/>
        </w:numPr>
        <w:spacing w:line="360" w:lineRule="auto"/>
      </w:pPr>
      <w:r>
        <w:t>Possess</w:t>
      </w:r>
      <w:r w:rsidR="009713C7">
        <w:t>ing</w:t>
      </w:r>
      <w:r>
        <w:t xml:space="preserve"> </w:t>
      </w:r>
      <w:r w:rsidR="00A63195">
        <w:t xml:space="preserve">strong urges, or </w:t>
      </w:r>
      <w:r>
        <w:t>cravings</w:t>
      </w:r>
      <w:r w:rsidR="00A63195">
        <w:t>,</w:t>
      </w:r>
      <w:r>
        <w:t xml:space="preserve"> to </w:t>
      </w:r>
      <w:r w:rsidR="00A63195">
        <w:t>use substance</w:t>
      </w:r>
      <w:r w:rsidR="00597AE4">
        <w:t>s</w:t>
      </w:r>
      <w:r w:rsidR="00494255">
        <w:t xml:space="preserve"> </w:t>
      </w:r>
    </w:p>
    <w:p w14:paraId="7DE090F3" w14:textId="77777777" w:rsidR="00517D39" w:rsidRDefault="00517D39" w:rsidP="00517D39">
      <w:pPr>
        <w:pStyle w:val="NoSpacing"/>
        <w:spacing w:line="240" w:lineRule="auto"/>
        <w:rPr>
          <w:i/>
          <w:iCs/>
        </w:rPr>
      </w:pPr>
    </w:p>
    <w:p w14:paraId="15BA80F9" w14:textId="273D833D" w:rsidR="00C96A9E" w:rsidRPr="008F11F7" w:rsidRDefault="006C05C3" w:rsidP="00737297">
      <w:pPr>
        <w:pStyle w:val="NoSpacing"/>
        <w:spacing w:line="360" w:lineRule="auto"/>
        <w:rPr>
          <w:i/>
          <w:iCs/>
        </w:rPr>
      </w:pPr>
      <w:r w:rsidRPr="008F11F7">
        <w:rPr>
          <w:i/>
          <w:iCs/>
        </w:rPr>
        <w:t>Social impairment</w:t>
      </w:r>
    </w:p>
    <w:p w14:paraId="2EF28B80" w14:textId="4D14777E" w:rsidR="00C96A9E" w:rsidRDefault="00F201F9" w:rsidP="00740B82">
      <w:pPr>
        <w:pStyle w:val="NoSpacing"/>
        <w:numPr>
          <w:ilvl w:val="0"/>
          <w:numId w:val="1"/>
        </w:numPr>
        <w:spacing w:line="240" w:lineRule="auto"/>
      </w:pPr>
      <w:r>
        <w:t>U</w:t>
      </w:r>
      <w:r w:rsidR="0094170E">
        <w:t>nable to meet obligations at work, school or home</w:t>
      </w:r>
      <w:r w:rsidR="00A9355E">
        <w:t xml:space="preserve"> because of substance use</w:t>
      </w:r>
    </w:p>
    <w:p w14:paraId="04CFDE68" w14:textId="77777777" w:rsidR="00F201F9" w:rsidRDefault="00F201F9" w:rsidP="00F201F9">
      <w:pPr>
        <w:pStyle w:val="NoSpacing"/>
        <w:spacing w:line="360" w:lineRule="auto"/>
        <w:ind w:left="720"/>
      </w:pPr>
    </w:p>
    <w:p w14:paraId="627B3F11" w14:textId="6B967D61" w:rsidR="00F201F9" w:rsidRDefault="00114770" w:rsidP="00F201F9">
      <w:pPr>
        <w:pStyle w:val="NoSpacing"/>
        <w:numPr>
          <w:ilvl w:val="0"/>
          <w:numId w:val="1"/>
        </w:numPr>
        <w:spacing w:line="240" w:lineRule="auto"/>
      </w:pPr>
      <w:r>
        <w:t xml:space="preserve">Continues using </w:t>
      </w:r>
      <w:r w:rsidR="002D1996">
        <w:t xml:space="preserve">substances </w:t>
      </w:r>
      <w:r>
        <w:t xml:space="preserve">despite </w:t>
      </w:r>
      <w:r w:rsidR="00784262">
        <w:t xml:space="preserve">it causing or exacerbating </w:t>
      </w:r>
      <w:r w:rsidR="0019292B">
        <w:t>relationship problems</w:t>
      </w:r>
    </w:p>
    <w:p w14:paraId="5FEE75EB" w14:textId="77777777" w:rsidR="00F201F9" w:rsidRDefault="00F201F9" w:rsidP="00F201F9">
      <w:pPr>
        <w:pStyle w:val="NoSpacing"/>
        <w:spacing w:line="240" w:lineRule="auto"/>
      </w:pPr>
    </w:p>
    <w:p w14:paraId="3B99970F" w14:textId="2F77EFF6" w:rsidR="00F201F9" w:rsidRDefault="007E77FB" w:rsidP="00517D39">
      <w:pPr>
        <w:pStyle w:val="NoSpacing"/>
        <w:numPr>
          <w:ilvl w:val="0"/>
          <w:numId w:val="1"/>
        </w:numPr>
        <w:spacing w:line="240" w:lineRule="auto"/>
      </w:pPr>
      <w:r>
        <w:t>Withdraw</w:t>
      </w:r>
      <w:r w:rsidR="001D6337">
        <w:t>ing</w:t>
      </w:r>
      <w:r>
        <w:t xml:space="preserve"> from</w:t>
      </w:r>
      <w:r w:rsidR="002A4F37">
        <w:t xml:space="preserve"> </w:t>
      </w:r>
      <w:r w:rsidR="009664A5">
        <w:t xml:space="preserve">social, work or recreational </w:t>
      </w:r>
      <w:r>
        <w:t>activities</w:t>
      </w:r>
      <w:r w:rsidR="00A9355E">
        <w:t xml:space="preserve"> because of substance use</w:t>
      </w:r>
    </w:p>
    <w:p w14:paraId="743F1DF5" w14:textId="77777777" w:rsidR="00517D39" w:rsidRDefault="00517D39" w:rsidP="00517D39">
      <w:pPr>
        <w:pStyle w:val="NoSpacing"/>
        <w:spacing w:line="240" w:lineRule="auto"/>
        <w:rPr>
          <w:i/>
          <w:iCs/>
        </w:rPr>
      </w:pPr>
    </w:p>
    <w:p w14:paraId="179707CE" w14:textId="58313EB2" w:rsidR="007F065B" w:rsidRPr="008F11F7" w:rsidRDefault="00D92B79" w:rsidP="00737297">
      <w:pPr>
        <w:pStyle w:val="NoSpacing"/>
        <w:spacing w:line="360" w:lineRule="auto"/>
        <w:rPr>
          <w:i/>
          <w:iCs/>
        </w:rPr>
      </w:pPr>
      <w:r w:rsidRPr="008F11F7">
        <w:rPr>
          <w:i/>
          <w:iCs/>
        </w:rPr>
        <w:t>Risky use</w:t>
      </w:r>
    </w:p>
    <w:p w14:paraId="18132315" w14:textId="3C6B2371" w:rsidR="007F065B" w:rsidRDefault="003526B5" w:rsidP="00737297">
      <w:pPr>
        <w:pStyle w:val="NoSpacing"/>
        <w:numPr>
          <w:ilvl w:val="0"/>
          <w:numId w:val="1"/>
        </w:numPr>
        <w:spacing w:line="360" w:lineRule="auto"/>
      </w:pPr>
      <w:r>
        <w:t>Continu</w:t>
      </w:r>
      <w:r w:rsidR="001D6337">
        <w:t>ing</w:t>
      </w:r>
      <w:r>
        <w:t xml:space="preserve"> to use </w:t>
      </w:r>
      <w:r w:rsidR="002D1996">
        <w:t xml:space="preserve">substances </w:t>
      </w:r>
      <w:r w:rsidR="006F5267">
        <w:t>in physically hazardous situations</w:t>
      </w:r>
      <w:r>
        <w:t xml:space="preserve"> </w:t>
      </w:r>
    </w:p>
    <w:p w14:paraId="31AFAA66" w14:textId="75270883" w:rsidR="006F5267" w:rsidRDefault="007F065B" w:rsidP="00517D39">
      <w:pPr>
        <w:pStyle w:val="NoSpacing"/>
        <w:numPr>
          <w:ilvl w:val="0"/>
          <w:numId w:val="1"/>
        </w:numPr>
        <w:spacing w:line="240" w:lineRule="auto"/>
      </w:pPr>
      <w:r>
        <w:t>Continu</w:t>
      </w:r>
      <w:r w:rsidR="001D6337">
        <w:t>ing to</w:t>
      </w:r>
      <w:r>
        <w:t xml:space="preserve"> us</w:t>
      </w:r>
      <w:r w:rsidR="001D6337">
        <w:t>e</w:t>
      </w:r>
      <w:r>
        <w:t xml:space="preserve"> </w:t>
      </w:r>
      <w:r w:rsidR="002D1996">
        <w:t xml:space="preserve">substances </w:t>
      </w:r>
      <w:r>
        <w:t xml:space="preserve">despite it causing or exacerbating </w:t>
      </w:r>
      <w:r w:rsidR="006F5267">
        <w:t>physical/ psychological problems</w:t>
      </w:r>
    </w:p>
    <w:p w14:paraId="2F5FB748" w14:textId="77777777" w:rsidR="00171320" w:rsidRPr="00D92B79" w:rsidRDefault="00171320" w:rsidP="00517D39">
      <w:pPr>
        <w:pStyle w:val="NoSpacing"/>
        <w:spacing w:line="240" w:lineRule="auto"/>
      </w:pPr>
    </w:p>
    <w:p w14:paraId="62C6102E" w14:textId="6C1035C5" w:rsidR="006F5267" w:rsidRPr="008F11F7" w:rsidRDefault="00901F22" w:rsidP="00737297">
      <w:pPr>
        <w:pStyle w:val="NoSpacing"/>
        <w:spacing w:line="360" w:lineRule="auto"/>
        <w:rPr>
          <w:i/>
          <w:iCs/>
        </w:rPr>
      </w:pPr>
      <w:r w:rsidRPr="008F11F7">
        <w:rPr>
          <w:i/>
          <w:iCs/>
        </w:rPr>
        <w:t xml:space="preserve">Pharmacological </w:t>
      </w:r>
    </w:p>
    <w:p w14:paraId="257B38F6" w14:textId="6A807FBD" w:rsidR="00171320" w:rsidRDefault="00C957CA" w:rsidP="00737297">
      <w:pPr>
        <w:pStyle w:val="NoSpacing"/>
        <w:numPr>
          <w:ilvl w:val="0"/>
          <w:numId w:val="1"/>
        </w:numPr>
        <w:spacing w:line="360" w:lineRule="auto"/>
      </w:pPr>
      <w:r>
        <w:t>T</w:t>
      </w:r>
      <w:r w:rsidR="00E24CEA">
        <w:t>olerance</w:t>
      </w:r>
      <w:r>
        <w:t xml:space="preserve"> of substances</w:t>
      </w:r>
    </w:p>
    <w:p w14:paraId="3F36AC9D" w14:textId="627133FE" w:rsidR="007F065B" w:rsidRPr="00171320" w:rsidRDefault="00C957CA" w:rsidP="00737297">
      <w:pPr>
        <w:pStyle w:val="NoSpacing"/>
        <w:numPr>
          <w:ilvl w:val="0"/>
          <w:numId w:val="1"/>
        </w:numPr>
        <w:spacing w:line="360" w:lineRule="auto"/>
      </w:pPr>
      <w:r>
        <w:t>W</w:t>
      </w:r>
      <w:r w:rsidR="009C2E41">
        <w:t xml:space="preserve">ithdrawal </w:t>
      </w:r>
      <w:r w:rsidR="00171320">
        <w:t xml:space="preserve">symptoms </w:t>
      </w:r>
      <w:r w:rsidR="002D1996">
        <w:t>from substances</w:t>
      </w:r>
    </w:p>
    <w:p w14:paraId="09F87F4D" w14:textId="77777777" w:rsidR="00401954" w:rsidRDefault="00401954" w:rsidP="00737297">
      <w:pPr>
        <w:pStyle w:val="NoSpacing"/>
        <w:spacing w:line="360" w:lineRule="auto"/>
        <w:rPr>
          <w:shd w:val="clear" w:color="auto" w:fill="FFFFFF"/>
        </w:rPr>
      </w:pPr>
    </w:p>
    <w:p w14:paraId="00215001" w14:textId="5E27035B" w:rsidR="00FB195C" w:rsidRPr="00FB195C" w:rsidRDefault="003713C8" w:rsidP="00737297">
      <w:pPr>
        <w:pStyle w:val="NoSpacing"/>
        <w:spacing w:line="360" w:lineRule="auto"/>
        <w:rPr>
          <w:shd w:val="clear" w:color="auto" w:fill="FFFFFF"/>
        </w:rPr>
      </w:pPr>
      <w:r>
        <w:rPr>
          <w:shd w:val="clear" w:color="auto" w:fill="FFFFFF"/>
        </w:rPr>
        <w:t>While the DSM-5-TR</w:t>
      </w:r>
      <w:r w:rsidR="00FA04EB" w:rsidRPr="00FA04EB">
        <w:rPr>
          <w:shd w:val="clear" w:color="auto" w:fill="FFFFFF"/>
          <w:vertAlign w:val="superscript"/>
        </w:rPr>
        <w:t>TM</w:t>
      </w:r>
      <w:r>
        <w:rPr>
          <w:shd w:val="clear" w:color="auto" w:fill="FFFFFF"/>
        </w:rPr>
        <w:t xml:space="preserve"> </w:t>
      </w:r>
      <w:r w:rsidR="00B01C65">
        <w:t xml:space="preserve">acknowledges </w:t>
      </w:r>
      <w:r w:rsidR="00093C1A">
        <w:t>nicotine</w:t>
      </w:r>
      <w:r w:rsidR="00D42760">
        <w:t xml:space="preserve"> as </w:t>
      </w:r>
      <w:r w:rsidR="00093C1A">
        <w:t xml:space="preserve">a </w:t>
      </w:r>
      <w:r w:rsidR="00B01C65">
        <w:t xml:space="preserve">class of drug </w:t>
      </w:r>
      <w:r w:rsidR="00A60230">
        <w:t>linked to</w:t>
      </w:r>
      <w:r w:rsidR="002F3A3B">
        <w:t xml:space="preserve"> </w:t>
      </w:r>
      <w:r w:rsidR="003C3BB3">
        <w:t>SUD</w:t>
      </w:r>
      <w:r w:rsidR="00FA04EB">
        <w:t xml:space="preserve">, </w:t>
      </w:r>
      <w:r w:rsidR="00290E11">
        <w:t>for</w:t>
      </w:r>
      <w:r w:rsidR="00E55A9D">
        <w:t xml:space="preserve"> this thesis </w:t>
      </w:r>
      <w:r w:rsidR="008A6AB1">
        <w:t xml:space="preserve">I am only concerned with </w:t>
      </w:r>
      <w:r w:rsidR="003C3BB3">
        <w:t>substances</w:t>
      </w:r>
      <w:r w:rsidR="00D42760">
        <w:t xml:space="preserve"> included in the </w:t>
      </w:r>
      <w:r w:rsidR="008E0FF7">
        <w:t xml:space="preserve">following </w:t>
      </w:r>
      <w:r w:rsidR="00FF2912">
        <w:t>classes</w:t>
      </w:r>
      <w:r w:rsidR="008E0FF7">
        <w:t xml:space="preserve">: alcohol, opiates </w:t>
      </w:r>
      <w:r w:rsidR="00E6452C">
        <w:t>(e.g. heroin</w:t>
      </w:r>
      <w:r w:rsidR="00567906">
        <w:t xml:space="preserve">, </w:t>
      </w:r>
      <w:r w:rsidR="00D2235B">
        <w:t>methadone</w:t>
      </w:r>
      <w:r w:rsidR="00CA3BEA">
        <w:t>, codeine</w:t>
      </w:r>
      <w:r w:rsidR="00E6452C">
        <w:t xml:space="preserve">) </w:t>
      </w:r>
      <w:r w:rsidR="008E0FF7">
        <w:t>and non-opiates</w:t>
      </w:r>
      <w:r w:rsidR="00E6452C">
        <w:t xml:space="preserve"> (e.g. cannabis</w:t>
      </w:r>
      <w:r w:rsidR="00F622CD">
        <w:t xml:space="preserve">, </w:t>
      </w:r>
      <w:r w:rsidR="005B4D78">
        <w:t>cocaine</w:t>
      </w:r>
      <w:r w:rsidR="00AE4724">
        <w:t xml:space="preserve">, </w:t>
      </w:r>
      <w:r w:rsidR="000519C6">
        <w:t>benzodiazepines</w:t>
      </w:r>
      <w:r w:rsidR="00567906">
        <w:t>)</w:t>
      </w:r>
      <w:r w:rsidR="00D42760">
        <w:t xml:space="preserve"> </w:t>
      </w:r>
      <w:r w:rsidR="00FD7AC1">
        <w:t xml:space="preserve">as defined in the Reference Data </w:t>
      </w:r>
      <w:r w:rsidR="0004073D">
        <w:t xml:space="preserve">for the English National Drug Treatment Monitoring System </w:t>
      </w:r>
      <w:r w:rsidR="003F6C3A">
        <w:t xml:space="preserve">(NDTMS) </w:t>
      </w:r>
      <w:r w:rsidR="00761804">
        <w:fldChar w:fldCharType="begin"/>
      </w:r>
      <w:r w:rsidR="00B75C45">
        <w:instrText xml:space="preserve"> ADDIN EN.CITE &lt;EndNote&gt;&lt;Cite&gt;&lt;Author&gt;OHID&lt;/Author&gt;&lt;Year&gt;2023&lt;/Year&gt;&lt;RecNum&gt;219&lt;/RecNum&gt;&lt;DisplayText&gt;(OHID, 2023c)&lt;/DisplayText&gt;&lt;record&gt;&lt;rec-number&gt;219&lt;/rec-number&gt;&lt;foreign-keys&gt;&lt;key app="EN" db-id="ffzvr5fstavwxoe9v04xf0wmp5t50as52da0" timestamp="1731671650" guid="10734d91-8a76-41d2-886f-4222a220d58c"&gt;219&lt;/key&gt;&lt;/foreign-keys&gt;&lt;ref-type name="Generic"&gt;13&lt;/ref-type&gt;&lt;contributors&gt;&lt;authors&gt;&lt;author&gt;OHID&lt;/author&gt;&lt;/authors&gt;&lt;/contributors&gt;&lt;titles&gt;&lt;title&gt;National Drug Treatment Monitoring System (NDTMS). Reference Data (Core Dataset Q). V16.4.&lt;/title&gt;&lt;/titles&gt;&lt;dates&gt;&lt;year&gt;2023&lt;/year&gt;&lt;pub-dates&gt;&lt;date&gt;25/03/2024&lt;/date&gt;&lt;/pub-dates&gt;&lt;/dates&gt;&lt;publisher&gt;Office for Health Improvement and Disparities&lt;/publisher&gt;&lt;urls&gt;&lt;related-urls&gt;&lt;url&gt;https://www.ndtms.net/resources/public/Event%20and%20Training%20Documentation/CDS-Q/NDTMS%20Reference%20Data%20CDS-Q%20v16.4.pdf&lt;/url&gt;&lt;/related-urls&gt;&lt;/urls&gt;&lt;/record&gt;&lt;/Cite&gt;&lt;/EndNote&gt;</w:instrText>
      </w:r>
      <w:r w:rsidR="00761804">
        <w:fldChar w:fldCharType="separate"/>
      </w:r>
      <w:r w:rsidR="00B75C45">
        <w:rPr>
          <w:noProof/>
        </w:rPr>
        <w:t>(OHID, 2023c)</w:t>
      </w:r>
      <w:r w:rsidR="00761804">
        <w:fldChar w:fldCharType="end"/>
      </w:r>
      <w:r w:rsidR="007A0D8C">
        <w:t xml:space="preserve">, and it is these </w:t>
      </w:r>
      <w:r w:rsidR="00DB6E83">
        <w:t xml:space="preserve">to which I am </w:t>
      </w:r>
      <w:r w:rsidR="007A0D8C">
        <w:t>referring when using the term ‘SUD’</w:t>
      </w:r>
      <w:r w:rsidR="00F5790F">
        <w:t xml:space="preserve"> throughout this thesis</w:t>
      </w:r>
      <w:r w:rsidR="007A0D8C">
        <w:t xml:space="preserve">. </w:t>
      </w:r>
      <w:r w:rsidR="0093434A">
        <w:t>Th</w:t>
      </w:r>
      <w:r w:rsidR="00290E11">
        <w:t>is</w:t>
      </w:r>
      <w:r w:rsidR="0093434A">
        <w:t xml:space="preserve"> </w:t>
      </w:r>
      <w:r w:rsidR="00290E11">
        <w:t>classification</w:t>
      </w:r>
      <w:r w:rsidR="0093434A">
        <w:t xml:space="preserve"> reflect</w:t>
      </w:r>
      <w:r w:rsidR="00290E11">
        <w:t>s</w:t>
      </w:r>
      <w:r w:rsidR="0093434A">
        <w:t xml:space="preserve"> </w:t>
      </w:r>
      <w:r w:rsidR="00BE2B38">
        <w:t xml:space="preserve">how </w:t>
      </w:r>
      <w:r w:rsidR="006002B8">
        <w:t xml:space="preserve">official </w:t>
      </w:r>
      <w:r w:rsidR="00A84632">
        <w:t xml:space="preserve">government </w:t>
      </w:r>
      <w:r w:rsidR="006002B8">
        <w:t>statistics</w:t>
      </w:r>
      <w:r w:rsidR="00BE2B38">
        <w:t xml:space="preserve"> on SUD in England </w:t>
      </w:r>
      <w:r w:rsidR="006002B8">
        <w:t>are</w:t>
      </w:r>
      <w:r w:rsidR="00BE2B38">
        <w:t xml:space="preserve"> </w:t>
      </w:r>
      <w:r w:rsidR="006F3F5A">
        <w:t xml:space="preserve">typically </w:t>
      </w:r>
      <w:r w:rsidR="00BE2B38">
        <w:t>reported</w:t>
      </w:r>
      <w:r w:rsidR="006F3F5A">
        <w:t xml:space="preserve"> </w:t>
      </w:r>
      <w:r w:rsidR="008D2CF3">
        <w:fldChar w:fldCharType="begin"/>
      </w:r>
      <w:r w:rsidR="00B75C45">
        <w:instrText xml:space="preserve"> ADDIN EN.CITE &lt;EndNote&gt;&lt;Cite&gt;&lt;Author&gt;OHID&lt;/Author&gt;&lt;Year&gt;2023&lt;/Year&gt;&lt;RecNum&gt;220&lt;/RecNum&gt;&lt;DisplayText&gt;(OHID, 2023d)&lt;/DisplayText&gt;&lt;record&gt;&lt;rec-number&gt;220&lt;/rec-number&gt;&lt;foreign-keys&gt;&lt;key app="EN" db-id="ffzvr5fstavwxoe9v04xf0wmp5t50as52da0" timestamp="1731671650" guid="bb2d034f-4f24-4342-a831-6a231cc2efb3"&gt;220&lt;/key&gt;&lt;/foreign-keys&gt;&lt;ref-type name="Generic"&gt;13&lt;/ref-type&gt;&lt;contributors&gt;&lt;authors&gt;&lt;author&gt;OHID&lt;/author&gt;&lt;/authors&gt;&lt;/contributors&gt;&lt;titles&gt;&lt;title&gt;National statistics. Adult substance misuse treatment statistics 2022 to 2023: report. Updated 21 December 2023&lt;/title&gt;&lt;/titles&gt;&lt;dates&gt;&lt;year&gt;2023&lt;/year&gt;&lt;/dates&gt;&lt;publisher&gt;Office for Health Improvement and Disparities&lt;/publisher&gt;&lt;urls&gt;&lt;related-urls&gt;&lt;url&gt;https://www.gov.uk/government/statistics/substance-misuse-treatment-for-adults-statistics-2022-to-2023/adult-substance-misuse-treatment-statistics-2022-to-2023-report&lt;/url&gt;&lt;/related-urls&gt;&lt;/urls&gt;&lt;access-date&gt;25/03/2024&lt;/access-date&gt;&lt;/record&gt;&lt;/Cite&gt;&lt;/EndNote&gt;</w:instrText>
      </w:r>
      <w:r w:rsidR="008D2CF3">
        <w:fldChar w:fldCharType="separate"/>
      </w:r>
      <w:r w:rsidR="00B75C45">
        <w:rPr>
          <w:noProof/>
        </w:rPr>
        <w:t>(OHID, 2023d)</w:t>
      </w:r>
      <w:r w:rsidR="008D2CF3">
        <w:fldChar w:fldCharType="end"/>
      </w:r>
      <w:r w:rsidR="00BE2B38">
        <w:t xml:space="preserve">. </w:t>
      </w:r>
    </w:p>
    <w:p w14:paraId="382578E0" w14:textId="77777777" w:rsidR="00AB65AA" w:rsidRDefault="00AB65AA" w:rsidP="00737297">
      <w:pPr>
        <w:pStyle w:val="NoSpacing"/>
        <w:spacing w:line="360" w:lineRule="auto"/>
      </w:pPr>
    </w:p>
    <w:p w14:paraId="3204A926" w14:textId="77777777" w:rsidR="005344BD" w:rsidRDefault="005344BD" w:rsidP="005344BD">
      <w:pPr>
        <w:pStyle w:val="Heading2"/>
        <w:numPr>
          <w:ilvl w:val="1"/>
          <w:numId w:val="18"/>
        </w:numPr>
        <w:spacing w:line="360" w:lineRule="auto"/>
      </w:pPr>
      <w:bookmarkStart w:id="11" w:name="_Toc189229644"/>
      <w:r>
        <w:t>Prevalence of SUD</w:t>
      </w:r>
      <w:bookmarkEnd w:id="11"/>
    </w:p>
    <w:p w14:paraId="77D9EF97" w14:textId="41D97A48" w:rsidR="005344BD" w:rsidRDefault="005344BD" w:rsidP="005344BD">
      <w:pPr>
        <w:pStyle w:val="NoSpacing"/>
        <w:spacing w:line="360" w:lineRule="auto"/>
      </w:pPr>
      <w:r>
        <w:t xml:space="preserve">According to the United Nations Office on Drugs and Crime (UNODC), in 2021, 296 million people across the globe used drugs and 39.5 million had a drug use disorder, or 0.79% of the adult population </w:t>
      </w:r>
      <w:r>
        <w:fldChar w:fldCharType="begin"/>
      </w:r>
      <w:r w:rsidR="00B9334F">
        <w:instrText xml:space="preserve"> ADDIN EN.CITE &lt;EndNote&gt;&lt;Cite&gt;&lt;Author&gt;UNODC&lt;/Author&gt;&lt;Year&gt;2023&lt;/Year&gt;&lt;RecNum&gt;221&lt;/RecNum&gt;&lt;DisplayText&gt;(UNODC, 2023)&lt;/DisplayText&gt;&lt;record&gt;&lt;rec-number&gt;221&lt;/rec-number&gt;&lt;foreign-keys&gt;&lt;key app="EN" db-id="ffzvr5fstavwxoe9v04xf0wmp5t50as52da0" timestamp="1731671650" guid="11af95cc-cc33-4129-bd7a-5ff99db24faf"&gt;221&lt;/key&gt;&lt;/foreign-keys&gt;&lt;ref-type name="Generic"&gt;13&lt;/ref-type&gt;&lt;contributors&gt;&lt;authors&gt;&lt;author&gt;UNODC&lt;/author&gt;&lt;/authors&gt;&lt;/contributors&gt;&lt;titles&gt;&lt;title&gt;Special Points of Interest. World Drug Report 2023.&lt;/title&gt;&lt;/titles&gt;&lt;dates&gt;&lt;year&gt;2023&lt;/year&gt;&lt;pub-dates&gt;&lt;date&gt;25/03/2024&lt;/date&gt;&lt;/pub-dates&gt;&lt;/dates&gt;&lt;publisher&gt;United Nations Office on Drugs and Crime.&lt;/publisher&gt;&lt;urls&gt;&lt;related-urls&gt;&lt;url&gt;https://www.unodc.org/res/WDR-2023/Special_Points_WDR2023_web_DP.pdf&lt;/url&gt;&lt;/related-urls&gt;&lt;/urls&gt;&lt;/record&gt;&lt;/Cite&gt;&lt;/EndNote&gt;</w:instrText>
      </w:r>
      <w:r>
        <w:fldChar w:fldCharType="separate"/>
      </w:r>
      <w:r>
        <w:rPr>
          <w:noProof/>
        </w:rPr>
        <w:t>(UNODC, 2023)</w:t>
      </w:r>
      <w:r>
        <w:fldChar w:fldCharType="end"/>
      </w:r>
      <w:r>
        <w:t xml:space="preserve">. In England, recent prevalence estimates of SUD exist for alcohol users, as well as opiate (e.g. heroin) and/ or crack cocaine users.  In 2019 to 2020, alcohol use disorder had a rate of 13.8 per 1,000 population </w:t>
      </w:r>
      <w:r>
        <w:fldChar w:fldCharType="begin"/>
      </w:r>
      <w:r w:rsidR="00B9334F">
        <w:instrText xml:space="preserve"> ADDIN EN.CITE &lt;EndNote&gt;&lt;Cite&gt;&lt;Author&gt;OHID&lt;/Author&gt;&lt;Year&gt;2024&lt;/Year&gt;&lt;RecNum&gt;223&lt;/RecNum&gt;&lt;DisplayText&gt;(OHID, 2024)&lt;/DisplayText&gt;&lt;record&gt;&lt;rec-number&gt;223&lt;/rec-number&gt;&lt;foreign-keys&gt;&lt;key app="EN" db-id="ffzvr5fstavwxoe9v04xf0wmp5t50as52da0" timestamp="1731671650" guid="81858fbc-b5ee-4df7-b652-9802ce66075e"&gt;223&lt;/key&gt;&lt;/foreign-keys&gt;&lt;ref-type name="Generic"&gt;13&lt;/ref-type&gt;&lt;contributors&gt;&lt;authors&gt;&lt;author&gt;OHID&lt;/author&gt;&lt;/authors&gt;&lt;/contributors&gt;&lt;titles&gt;&lt;title&gt;Research and analysis. Estimates of alcohol dependent adults in England: summary&lt;/title&gt;&lt;/titles&gt;&lt;dates&gt;&lt;year&gt;2024&lt;/year&gt;&lt;/dates&gt;&lt;publisher&gt;Office for Health Improvement and Disparities&lt;/publisher&gt;&lt;urls&gt;&lt;related-urls&gt;&lt;url&gt;https://www.gov.uk/government/publications/alcohol-dependence-prevalence-in-england/estimates-of-alcohol-dependent-adults-in-england-summary&lt;/url&gt;&lt;/related-urls&gt;&lt;/urls&gt;&lt;access-date&gt;25/03/2024&lt;/access-date&gt;&lt;/record&gt;&lt;/Cite&gt;&lt;/EndNote&gt;</w:instrText>
      </w:r>
      <w:r>
        <w:fldChar w:fldCharType="separate"/>
      </w:r>
      <w:r>
        <w:rPr>
          <w:noProof/>
        </w:rPr>
        <w:t>(OHID, 2024)</w:t>
      </w:r>
      <w:r>
        <w:fldChar w:fldCharType="end"/>
      </w:r>
      <w:r>
        <w:t xml:space="preserve">. During the same period, opiate and/or crack cocaine users had a rate of 8.9 per 1,000 population </w:t>
      </w:r>
      <w:r>
        <w:fldChar w:fldCharType="begin"/>
      </w:r>
      <w:r w:rsidR="00B9334F">
        <w:instrText xml:space="preserve"> ADDIN EN.CITE &lt;EndNote&gt;&lt;Cite&gt;&lt;Author&gt;OHID and UKHSA&lt;/Author&gt;&lt;Year&gt;2023&lt;/Year&gt;&lt;RecNum&gt;222&lt;/RecNum&gt;&lt;DisplayText&gt;(OHID and UKHSA, 2023)&lt;/DisplayText&gt;&lt;record&gt;&lt;rec-number&gt;222&lt;/rec-number&gt;&lt;foreign-keys&gt;&lt;key app="EN" db-id="ffzvr5fstavwxoe9v04xf0wmp5t50as52da0" timestamp="1731671650" guid="cd887c6b-ff6e-4d61-8604-5eb055ec49d8"&gt;222&lt;/key&gt;&lt;/foreign-keys&gt;&lt;ref-type name="Generic"&gt;13&lt;/ref-type&gt;&lt;contributors&gt;&lt;authors&gt;&lt;author&gt;OHID and UKHSA,&lt;/author&gt;&lt;/authors&gt;&lt;/contributors&gt;&lt;titles&gt;&lt;title&gt;Research and analysis. Estimates of opiate and crack use in England: main points and methods.&lt;/title&gt;&lt;/titles&gt;&lt;dates&gt;&lt;year&gt;2023&lt;/year&gt;&lt;/dates&gt;&lt;publisher&gt;Office for Health Improvements and Disparities&lt;/publisher&gt;&lt;urls&gt;&lt;related-urls&gt;&lt;url&gt;https://www.gov.uk/government/publications/opiate-and-crack-cocaine-use-prevalence-estimates/estimates-of-opiate-and-crack-use-in-england-main-points-and-methods&lt;/url&gt;&lt;/related-urls&gt;&lt;/urls&gt;&lt;access-date&gt;25/03/2024&lt;/access-date&gt;&lt;/record&gt;&lt;/Cite&gt;&lt;/EndNote&gt;</w:instrText>
      </w:r>
      <w:r>
        <w:fldChar w:fldCharType="separate"/>
      </w:r>
      <w:r>
        <w:rPr>
          <w:noProof/>
        </w:rPr>
        <w:t>(OHID and UKHSA, 2023)</w:t>
      </w:r>
      <w:r>
        <w:fldChar w:fldCharType="end"/>
      </w:r>
      <w:r>
        <w:t xml:space="preserve">. </w:t>
      </w:r>
    </w:p>
    <w:p w14:paraId="7EC97D6C" w14:textId="77777777" w:rsidR="005344BD" w:rsidRDefault="005344BD" w:rsidP="005344BD">
      <w:pPr>
        <w:pStyle w:val="NoSpacing"/>
        <w:spacing w:line="360" w:lineRule="auto"/>
      </w:pPr>
    </w:p>
    <w:p w14:paraId="12DD84F5" w14:textId="31B70457" w:rsidR="005344BD" w:rsidRDefault="005344BD" w:rsidP="005344BD">
      <w:pPr>
        <w:pStyle w:val="NoSpacing"/>
        <w:spacing w:line="360" w:lineRule="auto"/>
      </w:pPr>
      <w:r>
        <w:t xml:space="preserve">Some notable attempts at estimating prevalence of parental SUD and the number of children affected in England have been made. Using </w:t>
      </w:r>
      <w:r w:rsidRPr="00545E6E">
        <w:t xml:space="preserve">secondary analysis of </w:t>
      </w:r>
      <w:r>
        <w:t>the 2004 British Crime Survey for England and Wales and the 2000</w:t>
      </w:r>
      <w:r w:rsidRPr="00545E6E">
        <w:t xml:space="preserve"> </w:t>
      </w:r>
      <w:r w:rsidRPr="009209CC">
        <w:t>National Psychiatric Morbidity Survey</w:t>
      </w:r>
      <w:r>
        <w:t xml:space="preserve">, </w:t>
      </w:r>
      <w:r>
        <w:fldChar w:fldCharType="begin"/>
      </w:r>
      <w:r w:rsidR="00B9334F">
        <w:instrText xml:space="preserve"> ADDIN EN.CITE &lt;EndNote&gt;&lt;Cite AuthorYear="1"&gt;&lt;Author&gt;Manning&lt;/Author&gt;&lt;Year&gt;2009&lt;/Year&gt;&lt;RecNum&gt;549&lt;/RecNum&gt;&lt;DisplayText&gt;Manning et al. (2009)&lt;/DisplayText&gt;&lt;record&gt;&lt;rec-number&gt;549&lt;/rec-number&gt;&lt;foreign-keys&gt;&lt;key app="EN" db-id="ffzvr5fstavwxoe9v04xf0wmp5t50as52da0" timestamp="1731671699" guid="cea18bcf-8ac0-45bd-9727-07e18079296b"&gt;549&lt;/key&gt;&lt;/foreign-keys&gt;&lt;ref-type name="Journal Article"&gt;17&lt;/ref-type&gt;&lt;contributors&gt;&lt;authors&gt;&lt;author&gt;Manning, Victoria&lt;/author&gt;&lt;author&gt;Best, David W.&lt;/author&gt;&lt;author&gt;Faulkner, Nathan&lt;/author&gt;&lt;author&gt;Titherington, Emily&lt;/author&gt;&lt;/authors&gt;&lt;/contributors&gt;&lt;titles&gt;&lt;title&gt;New estimates of the number of children living with substance misusing parents: results from UK national household surveys&lt;/title&gt;&lt;secondary-title&gt;BMC Public Health&lt;/secondary-title&gt;&lt;/titles&gt;&lt;periodical&gt;&lt;full-title&gt;BMC public health&lt;/full-title&gt;&lt;/periodical&gt;&lt;pages&gt;377-377&lt;/pages&gt;&lt;volume&gt;9&lt;/volume&gt;&lt;dates&gt;&lt;year&gt;2009&lt;/year&gt;&lt;pub-dates&gt;&lt;date&gt;10/08&amp;#xD;02/19/received&amp;#xD;10/08/accepted&lt;/date&gt;&lt;/pub-dates&gt;&lt;/dates&gt;&lt;publisher&gt;BioMed Central&lt;/publisher&gt;&lt;isbn&gt;1471-2458&lt;/isbn&gt;&lt;accession-num&gt;PMC2762991&lt;/accession-num&gt;&lt;urls&gt;&lt;related-urls&gt;&lt;url&gt;http://www.ncbi.nlm.nih.gov/pmc/articles/PMC2762991/&lt;/url&gt;&lt;/related-urls&gt;&lt;/urls&gt;&lt;electronic-resource-num&gt;10.1186/1471-2458-9-377&lt;/electronic-resource-num&gt;&lt;remote-database-name&gt;PMC&lt;/remote-database-name&gt;&lt;/record&gt;&lt;/Cite&gt;&lt;/EndNote&gt;</w:instrText>
      </w:r>
      <w:r>
        <w:fldChar w:fldCharType="separate"/>
      </w:r>
      <w:r>
        <w:rPr>
          <w:noProof/>
        </w:rPr>
        <w:t>Manning et al. (2009)</w:t>
      </w:r>
      <w:r>
        <w:fldChar w:fldCharType="end"/>
      </w:r>
      <w:r w:rsidRPr="003A3639">
        <w:t xml:space="preserve"> estimated 70</w:t>
      </w:r>
      <w:r>
        <w:t>5</w:t>
      </w:r>
      <w:r w:rsidRPr="003A3639">
        <w:t xml:space="preserve">,000 children </w:t>
      </w:r>
      <w:r>
        <w:t xml:space="preserve">to be </w:t>
      </w:r>
      <w:r w:rsidRPr="003A3639">
        <w:t xml:space="preserve">living with a parent with an alcohol </w:t>
      </w:r>
      <w:r>
        <w:t>use disorder</w:t>
      </w:r>
      <w:r w:rsidRPr="003A3639">
        <w:t xml:space="preserve"> and 335,000 with a parent with a drug </w:t>
      </w:r>
      <w:r>
        <w:t>use disorder</w:t>
      </w:r>
      <w:r w:rsidRPr="003A3639">
        <w:t>.</w:t>
      </w:r>
      <w:r>
        <w:t xml:space="preserve"> The Office of the Children’s Commissioner for England used the 2014 Adult Psychiatric Morbidity Survey (APMS) as the basis for their approach to modelling </w:t>
      </w:r>
      <w:r>
        <w:lastRenderedPageBreak/>
        <w:t xml:space="preserve">prevalence and estimated 472,000 children to be living in a household where a randomly-selected adult has SUD </w:t>
      </w:r>
      <w:r>
        <w:fldChar w:fldCharType="begin"/>
      </w:r>
      <w:r w:rsidR="00B9334F">
        <w:instrText xml:space="preserve"> ADDIN EN.CITE &lt;EndNote&gt;&lt;Cite&gt;&lt;Author&gt;Office of the Children&amp;apos;s Commissioner for England&lt;/Author&gt;&lt;Year&gt;2019&lt;/Year&gt;&lt;RecNum&gt;236&lt;/RecNum&gt;&lt;DisplayText&gt;(Office of the Children&amp;apos;s Commissioner for England, 2019)&lt;/DisplayText&gt;&lt;record&gt;&lt;rec-number&gt;236&lt;/rec-number&gt;&lt;foreign-keys&gt;&lt;key app="EN" db-id="ffzvr5fstavwxoe9v04xf0wmp5t50as52da0" timestamp="1731671651" guid="6c38f15b-fe4e-4561-b7ce-31da79a48601"&gt;236&lt;/key&gt;&lt;/foreign-keys&gt;&lt;ref-type name="Web Page"&gt;12&lt;/ref-type&gt;&lt;contributors&gt;&lt;authors&gt;&lt;author&gt;Office of the Children&amp;apos;s Commissioner for England,&lt;/author&gt;&lt;/authors&gt;&lt;/contributors&gt;&lt;titles&gt;&lt;title&gt;Childhood Vulnerability in England&lt;/title&gt;&lt;/titles&gt;&lt;number&gt;28/03/2024&lt;/number&gt;&lt;dates&gt;&lt;year&gt;2019&lt;/year&gt;&lt;/dates&gt;&lt;urls&gt;&lt;related-urls&gt;&lt;url&gt;https://www.childrenscommissioner.gov.uk/resource/childhood-vulnerability-in-england-2019/&lt;/url&gt;&lt;/related-urls&gt;&lt;/urls&gt;&lt;/record&gt;&lt;/Cite&gt;&lt;/EndNote&gt;</w:instrText>
      </w:r>
      <w:r>
        <w:fldChar w:fldCharType="separate"/>
      </w:r>
      <w:r>
        <w:rPr>
          <w:noProof/>
        </w:rPr>
        <w:t>(Office of the Children's Commissioner for England, 2019)</w:t>
      </w:r>
      <w:r>
        <w:fldChar w:fldCharType="end"/>
      </w:r>
      <w:r>
        <w:t xml:space="preserve">. This differs to the number of children living with an adult with SUD, and as such represents conservative estimates. </w:t>
      </w:r>
    </w:p>
    <w:p w14:paraId="5742740F" w14:textId="77777777" w:rsidR="005344BD" w:rsidRDefault="005344BD" w:rsidP="005344BD">
      <w:pPr>
        <w:pStyle w:val="NoSpacing"/>
        <w:spacing w:line="360" w:lineRule="auto"/>
      </w:pPr>
    </w:p>
    <w:p w14:paraId="6FED2735" w14:textId="1006776D" w:rsidR="001A3113" w:rsidRDefault="005344BD" w:rsidP="005344BD">
      <w:pPr>
        <w:pStyle w:val="NoSpacing"/>
        <w:spacing w:line="360" w:lineRule="auto"/>
      </w:pPr>
      <w:r w:rsidRPr="00EB3371">
        <w:t>More recently, the Office for Health Improvement and Disparities</w:t>
      </w:r>
      <w:r>
        <w:t xml:space="preserve"> (OHID), part of the Department of Health and Social Care, </w:t>
      </w:r>
      <w:r w:rsidRPr="00EB3371">
        <w:t xml:space="preserve">published estimates for the number of </w:t>
      </w:r>
      <w:r w:rsidR="00F937C5">
        <w:t xml:space="preserve">adults living with children </w:t>
      </w:r>
      <w:r w:rsidR="000B26AE">
        <w:t>with opiate</w:t>
      </w:r>
      <w:r w:rsidRPr="00EB3371">
        <w:t xml:space="preserve"> and/or crack cocaine and alcohol </w:t>
      </w:r>
      <w:r w:rsidR="00492DF3">
        <w:t>dependency</w:t>
      </w:r>
      <w:r>
        <w:t xml:space="preserve"> </w:t>
      </w:r>
      <w:r>
        <w:fldChar w:fldCharType="begin"/>
      </w:r>
      <w:r w:rsidR="00B9334F">
        <w:instrText xml:space="preserve"> ADDIN EN.CITE &lt;EndNote&gt;&lt;Cite&gt;&lt;Author&gt;OHID and The University of Manchester&lt;/Author&gt;&lt;Year&gt;2024&lt;/Year&gt;&lt;RecNum&gt;241&lt;/RecNum&gt;&lt;DisplayText&gt;(OHID and The University of Manchester, 2024)&lt;/DisplayText&gt;&lt;record&gt;&lt;rec-number&gt;241&lt;/rec-number&gt;&lt;foreign-keys&gt;&lt;key app="EN" db-id="ffzvr5fstavwxoe9v04xf0wmp5t50as52da0" timestamp="1731671651" guid="c498f626-f574-4d8d-ae01-ee1408eca1d0"&gt;241&lt;/key&gt;&lt;/foreign-keys&gt;&lt;ref-type name="Web Page"&gt;12&lt;/ref-type&gt;&lt;contributors&gt;&lt;authors&gt;&lt;author&gt;OHID and The University of Manchester,&lt;/author&gt;&lt;/authors&gt;&lt;/contributors&gt;&lt;titles&gt;&lt;title&gt;NDTMS - National Drug Treatment Monitoring System. Restricted section.&lt;/title&gt;&lt;/titles&gt;&lt;number&gt;01/04/2024&lt;/number&gt;&lt;dates&gt;&lt;year&gt;2024&lt;/year&gt;&lt;/dates&gt;&lt;publisher&gt;Office for Health Improvement and Disparities&lt;/publisher&gt;&lt;urls&gt;&lt;related-urls&gt;&lt;url&gt;https://www.ndtms.net/&lt;/url&gt;&lt;/related-urls&gt;&lt;/urls&gt;&lt;/record&gt;&lt;/Cite&gt;&lt;/EndNote&gt;</w:instrText>
      </w:r>
      <w:r>
        <w:fldChar w:fldCharType="separate"/>
      </w:r>
      <w:r>
        <w:rPr>
          <w:noProof/>
        </w:rPr>
        <w:t>(OHID and The University of Manchester, 2024)</w:t>
      </w:r>
      <w:r>
        <w:fldChar w:fldCharType="end"/>
      </w:r>
      <w:r w:rsidRPr="00EB3371">
        <w:t>.</w:t>
      </w:r>
      <w:r>
        <w:t xml:space="preserve"> </w:t>
      </w:r>
      <w:r w:rsidR="001A3113">
        <w:t>Estimates were developed using three data sources: the 2014 APMS, the NDTMS and the census 2011.</w:t>
      </w:r>
    </w:p>
    <w:p w14:paraId="00DF8A3F" w14:textId="77777777" w:rsidR="001A3113" w:rsidRDefault="001A3113" w:rsidP="005344BD">
      <w:pPr>
        <w:pStyle w:val="NoSpacing"/>
        <w:spacing w:line="360" w:lineRule="auto"/>
      </w:pPr>
    </w:p>
    <w:p w14:paraId="69657689" w14:textId="34986325" w:rsidR="00540B48" w:rsidRDefault="005344BD" w:rsidP="005344BD">
      <w:pPr>
        <w:pStyle w:val="NoSpacing"/>
        <w:spacing w:line="360" w:lineRule="auto"/>
      </w:pPr>
      <w:r>
        <w:t xml:space="preserve">In 2019 to 2020, around 121,000 adults living with children were estimated to have an alcohol </w:t>
      </w:r>
      <w:r w:rsidR="00706B73">
        <w:t>dependency</w:t>
      </w:r>
      <w:r>
        <w:t>, or 2.7 per 1,000 population</w:t>
      </w:r>
      <w:r w:rsidR="0078397C">
        <w:t xml:space="preserve"> and</w:t>
      </w:r>
      <w:r>
        <w:t xml:space="preserve"> </w:t>
      </w:r>
      <w:r w:rsidR="0078397C">
        <w:t>a</w:t>
      </w:r>
      <w:r>
        <w:t xml:space="preserve">round 223,000 children were estimated to be living with an adult with an alcohol </w:t>
      </w:r>
      <w:r w:rsidR="00706B73">
        <w:t>dependency</w:t>
      </w:r>
      <w:r>
        <w:t>.</w:t>
      </w:r>
      <w:r w:rsidR="00540B48">
        <w:t xml:space="preserve"> </w:t>
      </w:r>
      <w:r w:rsidR="005C3CD7">
        <w:t xml:space="preserve">Estimates by sex suggest that </w:t>
      </w:r>
      <w:r w:rsidR="007878B2">
        <w:t>3.7 per 1,000 men lived with children compared with 1.8 per 1,000 women (</w:t>
      </w:r>
      <w:r w:rsidR="003D3F6C">
        <w:t xml:space="preserve">n= </w:t>
      </w:r>
      <w:r w:rsidR="007878B2">
        <w:t>81,069 and 40,160 respectively).</w:t>
      </w:r>
    </w:p>
    <w:p w14:paraId="01C43BDD" w14:textId="77777777" w:rsidR="00540B48" w:rsidRDefault="00540B48" w:rsidP="005344BD">
      <w:pPr>
        <w:pStyle w:val="NoSpacing"/>
        <w:spacing w:line="360" w:lineRule="auto"/>
      </w:pPr>
    </w:p>
    <w:p w14:paraId="2B6B411C" w14:textId="3868EF85" w:rsidR="005344BD" w:rsidRPr="00E47A2A" w:rsidRDefault="005344BD" w:rsidP="005344BD">
      <w:pPr>
        <w:pStyle w:val="NoSpacing"/>
        <w:spacing w:line="360" w:lineRule="auto"/>
      </w:pPr>
      <w:r>
        <w:t>In the same year, around 66,700 adults living with children were estimated to use opiates and/or crack cocaine, or 1.9 per 1,000 population</w:t>
      </w:r>
      <w:r w:rsidR="0078397C">
        <w:t xml:space="preserve"> and</w:t>
      </w:r>
      <w:r w:rsidR="00F3496B">
        <w:t xml:space="preserve"> </w:t>
      </w:r>
      <w:r w:rsidR="0078397C">
        <w:t>a</w:t>
      </w:r>
      <w:r>
        <w:t xml:space="preserve">round 125,000 children were estimated to be living with an adult </w:t>
      </w:r>
      <w:r w:rsidR="0079413D">
        <w:t>with an</w:t>
      </w:r>
      <w:r>
        <w:t xml:space="preserve"> opiate and/or crack cocaine</w:t>
      </w:r>
      <w:r w:rsidR="0079413D">
        <w:t xml:space="preserve"> dependency</w:t>
      </w:r>
      <w:r>
        <w:t xml:space="preserve">. </w:t>
      </w:r>
      <w:r w:rsidR="00812305">
        <w:t>Prevalence e</w:t>
      </w:r>
      <w:r w:rsidR="003D3F6C">
        <w:t xml:space="preserve">stimates by sex suggest that </w:t>
      </w:r>
      <w:r w:rsidR="00B4191F">
        <w:t>2</w:t>
      </w:r>
      <w:r w:rsidR="003D3F6C">
        <w:t>.</w:t>
      </w:r>
      <w:r w:rsidR="00B4191F">
        <w:t>6</w:t>
      </w:r>
      <w:r w:rsidR="003D3F6C">
        <w:t xml:space="preserve"> </w:t>
      </w:r>
      <w:r w:rsidR="001A3113">
        <w:t xml:space="preserve">men with an opiate and/or crack cocaine use dependency </w:t>
      </w:r>
      <w:r w:rsidR="003D3F6C">
        <w:t xml:space="preserve">per 1,000 </w:t>
      </w:r>
      <w:r w:rsidR="001A3113">
        <w:t xml:space="preserve">men </w:t>
      </w:r>
      <w:r w:rsidR="000F7121">
        <w:t xml:space="preserve">in the general population </w:t>
      </w:r>
      <w:r w:rsidR="003D3F6C">
        <w:t>lived with children compared with 1.</w:t>
      </w:r>
      <w:r w:rsidR="00B4191F">
        <w:t>2</w:t>
      </w:r>
      <w:r w:rsidR="003D3F6C">
        <w:t xml:space="preserve"> per 1,000 women (n= </w:t>
      </w:r>
      <w:r w:rsidR="00B4191F">
        <w:t>45</w:t>
      </w:r>
      <w:r w:rsidR="003D3F6C">
        <w:t>,</w:t>
      </w:r>
      <w:r w:rsidR="00B4191F">
        <w:t>496</w:t>
      </w:r>
      <w:r w:rsidR="003D3F6C">
        <w:t xml:space="preserve"> and </w:t>
      </w:r>
      <w:r w:rsidR="00812305">
        <w:t>21</w:t>
      </w:r>
      <w:r w:rsidR="003D3F6C">
        <w:t>,16</w:t>
      </w:r>
      <w:r w:rsidR="00812305">
        <w:t>3</w:t>
      </w:r>
      <w:r w:rsidR="003D3F6C">
        <w:t xml:space="preserve"> respectively).</w:t>
      </w:r>
    </w:p>
    <w:p w14:paraId="4CADAAF5" w14:textId="77777777" w:rsidR="005344BD" w:rsidRDefault="005344BD" w:rsidP="005344BD">
      <w:pPr>
        <w:pStyle w:val="NoSpacing"/>
        <w:spacing w:line="360" w:lineRule="auto"/>
      </w:pPr>
    </w:p>
    <w:p w14:paraId="0DF94975" w14:textId="58526C96" w:rsidR="008C7D4B" w:rsidRDefault="00C16733" w:rsidP="005344BD">
      <w:pPr>
        <w:pStyle w:val="NoSpacing"/>
        <w:spacing w:line="360" w:lineRule="auto"/>
      </w:pPr>
      <w:r>
        <w:t xml:space="preserve">While the available data is helpful in </w:t>
      </w:r>
      <w:r w:rsidR="002A58CB">
        <w:t xml:space="preserve">providing some insight into the scale of the problem, </w:t>
      </w:r>
      <w:r w:rsidR="00132440">
        <w:t xml:space="preserve">it is limited for several reasons. First, </w:t>
      </w:r>
      <w:r w:rsidR="00933101">
        <w:t xml:space="preserve">estimates of </w:t>
      </w:r>
      <w:r w:rsidR="00131A1A">
        <w:t xml:space="preserve">‘adults living with children’ is not </w:t>
      </w:r>
      <w:r w:rsidR="00933101">
        <w:t xml:space="preserve">the same as estimates of </w:t>
      </w:r>
      <w:r w:rsidR="002D5F34">
        <w:t>‘</w:t>
      </w:r>
      <w:r w:rsidR="00933101">
        <w:t>parents</w:t>
      </w:r>
      <w:r w:rsidR="002D5F34">
        <w:t>’ or even ‘care</w:t>
      </w:r>
      <w:r w:rsidR="00196F3D">
        <w:t>rs</w:t>
      </w:r>
      <w:r w:rsidR="002D5F34">
        <w:t>’ as it is possible for an adult to live in the same household as a child but not have any caregiving responsibility for that child</w:t>
      </w:r>
      <w:r w:rsidR="00933101">
        <w:t>.</w:t>
      </w:r>
      <w:r w:rsidR="002D5F34">
        <w:t xml:space="preserve"> </w:t>
      </w:r>
      <w:r w:rsidR="00D84BF9">
        <w:t xml:space="preserve">Similarly, </w:t>
      </w:r>
      <w:r w:rsidR="00AA2DFB">
        <w:t>‘men’ and ‘women’ living with children may not necessarily correspond to ‘mothers’ and ‘fathers’ o</w:t>
      </w:r>
      <w:r w:rsidR="00944721">
        <w:t>r</w:t>
      </w:r>
      <w:r w:rsidR="00AA2DFB">
        <w:t xml:space="preserve"> ‘</w:t>
      </w:r>
      <w:r w:rsidR="00944721">
        <w:t>female care</w:t>
      </w:r>
      <w:r w:rsidR="00196F3D">
        <w:t>rs</w:t>
      </w:r>
      <w:r w:rsidR="00944721">
        <w:t xml:space="preserve">’ and ‘male </w:t>
      </w:r>
      <w:r w:rsidR="008C7D4B">
        <w:t>care</w:t>
      </w:r>
      <w:r w:rsidR="00196F3D">
        <w:t>rs</w:t>
      </w:r>
      <w:r w:rsidR="008C7D4B">
        <w:t>’</w:t>
      </w:r>
      <w:r w:rsidR="00944721">
        <w:t>.</w:t>
      </w:r>
    </w:p>
    <w:p w14:paraId="56EB38DA" w14:textId="77777777" w:rsidR="008C7D4B" w:rsidRDefault="008C7D4B" w:rsidP="005344BD">
      <w:pPr>
        <w:pStyle w:val="NoSpacing"/>
        <w:spacing w:line="360" w:lineRule="auto"/>
      </w:pPr>
    </w:p>
    <w:p w14:paraId="3C62E042" w14:textId="41ED5B67" w:rsidR="00C03216" w:rsidRDefault="008C7D4B" w:rsidP="00CE05A8">
      <w:pPr>
        <w:pStyle w:val="NoSpacing"/>
        <w:spacing w:line="360" w:lineRule="auto"/>
      </w:pPr>
      <w:r>
        <w:t xml:space="preserve">Secondly, </w:t>
      </w:r>
      <w:r w:rsidR="00AA133D">
        <w:t xml:space="preserve">the available estimates do not consider </w:t>
      </w:r>
      <w:r w:rsidR="00D51724">
        <w:t xml:space="preserve">parents not living with their children. </w:t>
      </w:r>
      <w:r w:rsidR="008B5D35">
        <w:t>A parent may not be living with their children</w:t>
      </w:r>
      <w:r w:rsidR="00631988">
        <w:t xml:space="preserve"> for a variety of reasons</w:t>
      </w:r>
      <w:r w:rsidR="000C34DC">
        <w:t xml:space="preserve">. For </w:t>
      </w:r>
      <w:r w:rsidR="000C34DC">
        <w:lastRenderedPageBreak/>
        <w:t>example,</w:t>
      </w:r>
      <w:r w:rsidR="00631988">
        <w:t xml:space="preserve"> </w:t>
      </w:r>
      <w:r w:rsidR="00BA45BB">
        <w:t xml:space="preserve">because </w:t>
      </w:r>
      <w:r w:rsidR="002820DF">
        <w:t xml:space="preserve">of a </w:t>
      </w:r>
      <w:r w:rsidR="00FB0B0C">
        <w:t>relationship breakdown such as divorce</w:t>
      </w:r>
      <w:r w:rsidR="000C34DC">
        <w:t xml:space="preserve"> resulting with the child living with the other parent</w:t>
      </w:r>
      <w:r w:rsidR="00631988">
        <w:t xml:space="preserve">, the </w:t>
      </w:r>
      <w:r w:rsidR="00A8776E">
        <w:t xml:space="preserve">parent may be in prison, the </w:t>
      </w:r>
      <w:r w:rsidR="00631988">
        <w:t>parent</w:t>
      </w:r>
      <w:r w:rsidR="00D259D7">
        <w:t xml:space="preserve"> is not permitted to see the child</w:t>
      </w:r>
      <w:r w:rsidR="006E7E69">
        <w:t xml:space="preserve"> via a no contact order</w:t>
      </w:r>
      <w:r w:rsidR="00D259D7">
        <w:t xml:space="preserve">, </w:t>
      </w:r>
      <w:r w:rsidR="00FB0B0C">
        <w:t>the</w:t>
      </w:r>
      <w:r w:rsidR="00BA45BB">
        <w:t xml:space="preserve"> </w:t>
      </w:r>
      <w:r w:rsidR="00FB0B0C">
        <w:t>child has been</w:t>
      </w:r>
      <w:r w:rsidR="00BA45BB">
        <w:t xml:space="preserve"> taken into care, </w:t>
      </w:r>
      <w:r w:rsidR="00FB0B0C">
        <w:t xml:space="preserve">the child is </w:t>
      </w:r>
      <w:r w:rsidR="00BA45BB">
        <w:t xml:space="preserve">living with </w:t>
      </w:r>
      <w:r w:rsidR="002820DF">
        <w:t>kinship carers</w:t>
      </w:r>
      <w:r w:rsidR="00FB0B0C">
        <w:t>, e.g.</w:t>
      </w:r>
      <w:r w:rsidR="009822F9">
        <w:t xml:space="preserve"> grandparents</w:t>
      </w:r>
      <w:r w:rsidR="0002294F">
        <w:t xml:space="preserve">, </w:t>
      </w:r>
      <w:r w:rsidR="00124C32">
        <w:t xml:space="preserve">or </w:t>
      </w:r>
      <w:r w:rsidR="0002294F">
        <w:t xml:space="preserve">the child </w:t>
      </w:r>
      <w:r w:rsidR="00455E54">
        <w:t>is 16 and has chosen to live outside of the parental household</w:t>
      </w:r>
      <w:r w:rsidR="009822F9">
        <w:t xml:space="preserve">. </w:t>
      </w:r>
      <w:r w:rsidR="004A03B3">
        <w:t xml:space="preserve">While there may be more </w:t>
      </w:r>
      <w:r w:rsidR="00554110">
        <w:t xml:space="preserve">child </w:t>
      </w:r>
      <w:r w:rsidR="004A03B3">
        <w:t xml:space="preserve">safeguarding risks </w:t>
      </w:r>
      <w:r w:rsidR="00706ABF">
        <w:t xml:space="preserve">associated when a parent </w:t>
      </w:r>
      <w:r w:rsidR="00F25EFD">
        <w:t xml:space="preserve">living with a child </w:t>
      </w:r>
      <w:r w:rsidR="00706ABF">
        <w:t xml:space="preserve">has an SUD, </w:t>
      </w:r>
      <w:r w:rsidR="00BE1712">
        <w:t>c</w:t>
      </w:r>
      <w:r w:rsidR="00CE05A8" w:rsidRPr="00056E69">
        <w:t>hildren can</w:t>
      </w:r>
      <w:r w:rsidR="00CE05A8">
        <w:t xml:space="preserve"> </w:t>
      </w:r>
      <w:r w:rsidR="00CE05A8" w:rsidRPr="00056E69">
        <w:t xml:space="preserve">be adversely affected by </w:t>
      </w:r>
      <w:r w:rsidR="00CE05A8">
        <w:t xml:space="preserve">any </w:t>
      </w:r>
      <w:r w:rsidR="00CE05A8" w:rsidRPr="00056E69">
        <w:t xml:space="preserve">alcohol or drug using parent, with whom they have regular, infrequent or </w:t>
      </w:r>
      <w:r w:rsidR="00CE05A8">
        <w:t xml:space="preserve">even </w:t>
      </w:r>
      <w:r w:rsidR="00CE05A8" w:rsidRPr="00056E69">
        <w:t>non-existent contact.</w:t>
      </w:r>
      <w:r w:rsidR="00BA7D0C">
        <w:t xml:space="preserve"> For example,</w:t>
      </w:r>
      <w:r w:rsidR="00CE05A8" w:rsidRPr="00056E69">
        <w:t xml:space="preserve"> </w:t>
      </w:r>
      <w:r w:rsidR="00BA7D0C">
        <w:t>s</w:t>
      </w:r>
      <w:r w:rsidR="002C21EF">
        <w:t>ome studies have suggested that</w:t>
      </w:r>
      <w:r w:rsidR="00BA7D0C">
        <w:t xml:space="preserve"> </w:t>
      </w:r>
      <w:r w:rsidR="008B2E8B">
        <w:t xml:space="preserve">some </w:t>
      </w:r>
      <w:r w:rsidR="00BA7D0C">
        <w:t>children experiencing</w:t>
      </w:r>
      <w:r w:rsidR="002C21EF">
        <w:t xml:space="preserve"> </w:t>
      </w:r>
      <w:r w:rsidR="00EF322A">
        <w:t xml:space="preserve">both parental </w:t>
      </w:r>
      <w:r w:rsidR="00533926">
        <w:t>alcohol use disorder</w:t>
      </w:r>
      <w:r w:rsidR="00EF322A">
        <w:t xml:space="preserve"> and parental separation </w:t>
      </w:r>
      <w:r w:rsidR="00BA7D0C">
        <w:t>are</w:t>
      </w:r>
      <w:r w:rsidR="00EF322A">
        <w:t xml:space="preserve"> at greater risk of developing </w:t>
      </w:r>
      <w:r w:rsidR="0018209F">
        <w:t xml:space="preserve">problems with alcohol </w:t>
      </w:r>
      <w:r w:rsidR="00EF322A">
        <w:t>themselves in adulthood</w:t>
      </w:r>
      <w:r w:rsidR="00B9334F">
        <w:t xml:space="preserve"> </w:t>
      </w:r>
      <w:r w:rsidR="00B9334F">
        <w:fldChar w:fldCharType="begin">
          <w:fldData xml:space="preserve">PEVuZE5vdGU+PENpdGU+PEF1dGhvcj5XaW5kbGU8L0F1dGhvcj48WWVhcj4yMDE4PC9ZZWFyPjxS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</w:fldData>
        </w:fldChar>
      </w:r>
      <w:r w:rsidR="004357B5">
        <w:instrText xml:space="preserve"> ADDIN EN.CITE </w:instrText>
      </w:r>
      <w:r w:rsidR="004357B5">
        <w:fldChar w:fldCharType="begin">
          <w:fldData xml:space="preserve">PEVuZE5vdGU+PENpdGU+PEF1dGhvcj5XaW5kbGU8L0F1dGhvcj48WWVhcj4yMDE4PC9ZZWFyPjxS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</w:fldData>
        </w:fldChar>
      </w:r>
      <w:r w:rsidR="004357B5">
        <w:instrText xml:space="preserve"> ADDIN EN.CITE.DATA </w:instrText>
      </w:r>
      <w:r w:rsidR="004357B5">
        <w:fldChar w:fldCharType="end"/>
      </w:r>
      <w:r w:rsidR="00B9334F">
        <w:fldChar w:fldCharType="separate"/>
      </w:r>
      <w:r w:rsidR="005F7A5B">
        <w:rPr>
          <w:noProof/>
        </w:rPr>
        <w:t>(Thompson et al., 2013; Windle &amp; Windle, 2018)</w:t>
      </w:r>
      <w:r w:rsidR="00B9334F">
        <w:fldChar w:fldCharType="end"/>
      </w:r>
      <w:r w:rsidR="007E35B4">
        <w:t>.</w:t>
      </w:r>
    </w:p>
    <w:p w14:paraId="417AB4A4" w14:textId="77777777" w:rsidR="00132440" w:rsidRDefault="00132440" w:rsidP="005344BD">
      <w:pPr>
        <w:pStyle w:val="NoSpacing"/>
        <w:spacing w:line="360" w:lineRule="auto"/>
        <w:rPr>
          <w:rFonts w:ascii="Noto Sans" w:hAnsi="Noto Sans" w:cs="Noto Sans"/>
          <w:color w:val="333333"/>
          <w:sz w:val="27"/>
          <w:szCs w:val="27"/>
          <w:shd w:val="clear" w:color="auto" w:fill="FFFFFF"/>
        </w:rPr>
      </w:pPr>
    </w:p>
    <w:p w14:paraId="66DCC039" w14:textId="227F0C65" w:rsidR="00A10494" w:rsidRDefault="000A23AA" w:rsidP="000A23AA">
      <w:pPr>
        <w:pStyle w:val="NoSpacing"/>
        <w:spacing w:line="360" w:lineRule="auto"/>
      </w:pPr>
      <w:r>
        <w:t>Thirdly</w:t>
      </w:r>
      <w:r w:rsidR="004E0B9A">
        <w:t xml:space="preserve">, </w:t>
      </w:r>
      <w:r w:rsidR="0057753D">
        <w:t>the most recent estimates</w:t>
      </w:r>
      <w:r w:rsidR="004A0DE6">
        <w:t xml:space="preserve"> published by OHID centre </w:t>
      </w:r>
      <w:r w:rsidR="00E46ED3">
        <w:t xml:space="preserve">on opiate and/or crack cocaine </w:t>
      </w:r>
      <w:r w:rsidR="00731E28">
        <w:t xml:space="preserve">and alcohol </w:t>
      </w:r>
      <w:r w:rsidR="00C7360F">
        <w:t>dependency</w:t>
      </w:r>
      <w:r w:rsidR="003E369B">
        <w:t xml:space="preserve"> only</w:t>
      </w:r>
      <w:r w:rsidR="00731E28">
        <w:t>. This leaves a large gap in estimates for non-opiate users.</w:t>
      </w:r>
      <w:r w:rsidR="00072DB4">
        <w:t xml:space="preserve"> The latest statistics of adults in treatment in England report that 18.9% of parents were non-opiate only users (n=</w:t>
      </w:r>
      <w:r w:rsidR="00B36778">
        <w:t>8224) in 2022-23</w:t>
      </w:r>
      <w:r w:rsidR="00F9716F">
        <w:t xml:space="preserve"> </w:t>
      </w:r>
      <w:r w:rsidR="00B75C45">
        <w:fldChar w:fldCharType="begin"/>
      </w:r>
      <w:r w:rsidR="004357B5">
        <w:instrText xml:space="preserve"> ADDIN EN.CITE &lt;EndNote&gt;&lt;Cite&gt;&lt;Author&gt;OHID&lt;/Author&gt;&lt;Year&gt;2023&lt;/Year&gt;&lt;RecNum&gt;708&lt;/RecNum&gt;&lt;DisplayText&gt;(OHID, 2023a)&lt;/DisplayText&gt;&lt;record&gt;&lt;rec-number&gt;708&lt;/rec-number&gt;&lt;foreign-keys&gt;&lt;key app="EN" db-id="ffzvr5fstavwxoe9v04xf0wmp5t50as52da0" timestamp="1734952350" guid="d7a59acd-ce5a-4b9e-ac16-4146b340ccfc"&gt;708&lt;/key&gt;&lt;/foreign-keys&gt;&lt;ref-type name="Online Database"&gt;45&lt;/ref-type&gt;&lt;contributors&gt;&lt;authors&gt;&lt;author&gt;OHID&lt;/author&gt;&lt;/authors&gt;&lt;/contributors&gt;&lt;titles&gt;&lt;title&gt;Annual Substance Misuse Treatment Statistics 2022-23. NDTMS Data tables.&lt;/title&gt;&lt;/titles&gt;&lt;dates&gt;&lt;year&gt;2023&lt;/year&gt;&lt;pub-dates&gt;&lt;date&gt;23/12/2024&lt;/date&gt;&lt;/pub-dates&gt;&lt;/dates&gt;&lt;urls&gt;&lt;related-urls&gt;&lt;url&gt;https://assets.publishing.service.gov.uk/media/657050863831ec000dc7496d/Adult-substance-misuse-treatment-statistics-2022-2023_data-tables.ods&lt;/url&gt;&lt;/related-urls&gt;&lt;/urls&gt;&lt;/record&gt;&lt;/Cite&gt;&lt;/EndNote&gt;</w:instrText>
      </w:r>
      <w:r w:rsidR="00B75C45">
        <w:fldChar w:fldCharType="separate"/>
      </w:r>
      <w:r w:rsidR="00B75C45">
        <w:rPr>
          <w:noProof/>
        </w:rPr>
        <w:t>(OHID, 2023a)</w:t>
      </w:r>
      <w:r w:rsidR="00B75C45">
        <w:fldChar w:fldCharType="end"/>
      </w:r>
      <w:r w:rsidR="00B36778">
        <w:t>.</w:t>
      </w:r>
      <w:r w:rsidR="00CE3B04">
        <w:t xml:space="preserve"> What is unclear is the prevalence among those not in treatment. </w:t>
      </w:r>
    </w:p>
    <w:p w14:paraId="032773A5" w14:textId="77777777" w:rsidR="00A10494" w:rsidRDefault="00A10494" w:rsidP="000A23AA">
      <w:pPr>
        <w:pStyle w:val="NoSpacing"/>
        <w:spacing w:line="360" w:lineRule="auto"/>
      </w:pPr>
    </w:p>
    <w:p w14:paraId="1EBECD61" w14:textId="7F84931A" w:rsidR="0057753D" w:rsidRDefault="003E369B" w:rsidP="000A23AA">
      <w:pPr>
        <w:pStyle w:val="NoSpacing"/>
        <w:spacing w:line="360" w:lineRule="auto"/>
      </w:pPr>
      <w:r>
        <w:t xml:space="preserve">Further, </w:t>
      </w:r>
      <w:r w:rsidR="00B701B4">
        <w:t xml:space="preserve">there will be </w:t>
      </w:r>
      <w:r w:rsidR="001C7B0F">
        <w:t xml:space="preserve">many more children than those estimated living with a parent </w:t>
      </w:r>
      <w:r w:rsidR="00393EDC">
        <w:t xml:space="preserve">whose substance use does not meet the threshold of </w:t>
      </w:r>
      <w:r w:rsidR="00D44F93">
        <w:t>dependency who will be adverse</w:t>
      </w:r>
      <w:r w:rsidR="00597301">
        <w:t xml:space="preserve">ly affected. </w:t>
      </w:r>
      <w:r w:rsidR="002D25A6">
        <w:t xml:space="preserve">For example, </w:t>
      </w:r>
      <w:r w:rsidR="00D415DA">
        <w:t>in a rapid evidence assessment of the association between adverse child outcomes and non</w:t>
      </w:r>
      <w:r w:rsidR="00CC5A23">
        <w:t xml:space="preserve">-dependent parental substance use, </w:t>
      </w:r>
      <w:r w:rsidR="00BE1935" w:rsidRPr="00CE2DBF">
        <w:fldChar w:fldCharType="begin">
          <w:fldData xml:space="preserve">PEVuZE5vdGU+PENpdGUgQXV0aG9yWWVhcj0iMSI+PEF1dGhvcj5NY0dvdmVybjwvQXV0aG9yPjxZ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</w:fldData>
        </w:fldChar>
      </w:r>
      <w:r w:rsidR="004357B5">
        <w:instrText xml:space="preserve"> ADDIN EN.CITE </w:instrText>
      </w:r>
      <w:r w:rsidR="004357B5">
        <w:fldChar w:fldCharType="begin">
          <w:fldData xml:space="preserve">PEVuZE5vdGU+PENpdGUgQXV0aG9yWWVhcj0iMSI+PEF1dGhvcj5NY0dvdmVybjwvQXV0aG9yPjxZ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</w:fldData>
        </w:fldChar>
      </w:r>
      <w:r w:rsidR="004357B5">
        <w:instrText xml:space="preserve"> ADDIN EN.CITE.DATA </w:instrText>
      </w:r>
      <w:r w:rsidR="004357B5">
        <w:fldChar w:fldCharType="end"/>
      </w:r>
      <w:r w:rsidR="00BE1935" w:rsidRPr="00CE2DBF">
        <w:fldChar w:fldCharType="separate"/>
      </w:r>
      <w:r w:rsidR="00CE2DBF" w:rsidRPr="0042328C">
        <w:rPr>
          <w:noProof/>
        </w:rPr>
        <w:t>McGovern et al. (2020)</w:t>
      </w:r>
      <w:r w:rsidR="00BE1935" w:rsidRPr="00CE2DBF">
        <w:fldChar w:fldCharType="end"/>
      </w:r>
      <w:r w:rsidR="00BE1935">
        <w:t xml:space="preserve"> </w:t>
      </w:r>
      <w:r w:rsidR="002D25A6">
        <w:t xml:space="preserve">found strong evidence of an association with externalizing difficulties and substance use </w:t>
      </w:r>
      <w:r w:rsidR="00CC4DE2">
        <w:t xml:space="preserve">among </w:t>
      </w:r>
      <w:r w:rsidR="002D25A6">
        <w:t>adolescent</w:t>
      </w:r>
      <w:r w:rsidR="000D394B">
        <w:t xml:space="preserve"> children</w:t>
      </w:r>
      <w:r w:rsidR="00CC4DE2">
        <w:t>,</w:t>
      </w:r>
      <w:r w:rsidR="002D25A6">
        <w:t xml:space="preserve"> and some evidence </w:t>
      </w:r>
      <w:r w:rsidR="00CC4DE2">
        <w:t xml:space="preserve">supporting </w:t>
      </w:r>
      <w:r w:rsidR="002D25A6">
        <w:t>adverse health outcomes in early childhood</w:t>
      </w:r>
      <w:r w:rsidR="000D394B">
        <w:t>.</w:t>
      </w:r>
    </w:p>
    <w:p w14:paraId="5AC1ECF4" w14:textId="77777777" w:rsidR="00F3496B" w:rsidRDefault="00F3496B" w:rsidP="005344BD">
      <w:pPr>
        <w:pStyle w:val="NoSpacing"/>
        <w:spacing w:line="360" w:lineRule="auto"/>
      </w:pPr>
    </w:p>
    <w:p w14:paraId="7D71D131" w14:textId="6854845C" w:rsidR="000E275F" w:rsidRDefault="00CC4DE2" w:rsidP="005344BD">
      <w:pPr>
        <w:pStyle w:val="NoSpacing"/>
        <w:spacing w:line="360" w:lineRule="auto"/>
      </w:pPr>
      <w:r>
        <w:t>Finally</w:t>
      </w:r>
      <w:r w:rsidR="005344BD">
        <w:t xml:space="preserve">, </w:t>
      </w:r>
      <w:r w:rsidR="00B26C7B">
        <w:t>the</w:t>
      </w:r>
      <w:r w:rsidR="005344BD" w:rsidRPr="00E072A5">
        <w:t xml:space="preserve"> </w:t>
      </w:r>
      <w:r w:rsidR="005344BD">
        <w:t xml:space="preserve">adverse experiences of children of parents with SUD is sometimes referred to as ‘Hidden Harm’ in England </w:t>
      </w:r>
      <w:r w:rsidR="005344BD">
        <w:fldChar w:fldCharType="begin"/>
      </w:r>
      <w:r w:rsidR="00B9334F">
        <w:instrText xml:space="preserve"> ADDIN EN.CITE &lt;EndNote&gt;&lt;Cite&gt;&lt;Author&gt;Advisory Council on the Misuse of Drugs&lt;/Author&gt;&lt;Year&gt;2003&lt;/Year&gt;&lt;RecNum&gt;360&lt;/RecNum&gt;&lt;DisplayText&gt;(Advisory Council on the Misuse of Drugs, 2003)&lt;/DisplayText&gt;&lt;record&gt;&lt;rec-number&gt;360&lt;/rec-number&gt;&lt;foreign-keys&gt;&lt;key app="EN" db-id="ffzvr5fstavwxoe9v04xf0wmp5t50as52da0" timestamp="1731671663" guid="64d42bed-6818-4641-b07d-1f7f2e47412a"&gt;360&lt;/key&gt;&lt;/foreign-keys&gt;&lt;ref-type name="Report"&gt;27&lt;/ref-type&gt;&lt;contributors&gt;&lt;authors&gt;&lt;author&gt;Advisory Council on the Misuse of Drugs,&lt;/author&gt;&lt;/authors&gt;&lt;/contributors&gt;&lt;titles&gt;&lt;title&gt;Hidden Harm: Responding to the Needs of Children of Problem Drug Users&lt;/title&gt;&lt;/titles&gt;&lt;dates&gt;&lt;year&gt;2003&lt;/year&gt;&lt;/dates&gt;&lt;pub-location&gt;London&lt;/pub-location&gt;&lt;publisher&gt;Home Office&lt;/publisher&gt;&lt;label&gt;1.&lt;/label&gt;&lt;urls&gt;&lt;related-urls&gt;&lt;url&gt;https://assets.publishing.service.gov.uk/media/5a756e6be5274a3edd9a4dcb/hidden-harm-full.pdf&lt;/url&gt;&lt;/related-urls&gt;&lt;/urls&gt;&lt;access-date&gt;24/03/20&lt;/access-date&gt;&lt;/record&gt;&lt;/Cite&gt;&lt;/EndNote&gt;</w:instrText>
      </w:r>
      <w:r w:rsidR="005344BD">
        <w:fldChar w:fldCharType="separate"/>
      </w:r>
      <w:r w:rsidR="005344BD">
        <w:rPr>
          <w:noProof/>
        </w:rPr>
        <w:t>(Advisory Council on the Misuse of Drugs, 2003)</w:t>
      </w:r>
      <w:r w:rsidR="005344BD">
        <w:fldChar w:fldCharType="end"/>
      </w:r>
      <w:r w:rsidR="005344BD">
        <w:t xml:space="preserve">, reflecting that the harm experienced by these children is typically either hidden or negligently not recognised as harm. The nature of hidden harm means it can be difficult to estimate the prevalence of parental SUD. This is compounded by the stigma associated with parental SUD, particularly maternal SUD, which can prohibit parents and their children from seeking or receiving support </w:t>
      </w:r>
      <w:r w:rsidR="005344BD">
        <w:fldChar w:fldCharType="begin">
          <w:fldData xml:space="preserve">PEVuZE5vdGU+PENpdGU+PEF1dGhvcj5QYWdlPC9BdXRob3I+PFllYXI+MjAyNDwvWWVhcj48UmVj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</w:fldData>
        </w:fldChar>
      </w:r>
      <w:r w:rsidR="00B9334F">
        <w:instrText xml:space="preserve"> ADDIN EN.CITE </w:instrText>
      </w:r>
      <w:r w:rsidR="00B9334F">
        <w:fldChar w:fldCharType="begin">
          <w:fldData xml:space="preserve">PEVuZE5vdGU+PENpdGU+PEF1dGhvcj5QYWdlPC9BdXRob3I+PFllYXI+MjAyNDwvWWVhcj48UmVj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</w:fldData>
        </w:fldChar>
      </w:r>
      <w:r w:rsidR="00B9334F">
        <w:instrText xml:space="preserve"> ADDIN EN.CITE.DATA </w:instrText>
      </w:r>
      <w:r w:rsidR="00B9334F">
        <w:fldChar w:fldCharType="end"/>
      </w:r>
      <w:r w:rsidR="005344BD">
        <w:fldChar w:fldCharType="separate"/>
      </w:r>
      <w:r w:rsidR="005344BD">
        <w:rPr>
          <w:noProof/>
        </w:rPr>
        <w:t xml:space="preserve">(Page et al., </w:t>
      </w:r>
      <w:r w:rsidR="005344BD">
        <w:rPr>
          <w:noProof/>
        </w:rPr>
        <w:lastRenderedPageBreak/>
        <w:t>2024; Whittaker et al., 2020)</w:t>
      </w:r>
      <w:r w:rsidR="005344BD">
        <w:fldChar w:fldCharType="end"/>
      </w:r>
      <w:r w:rsidR="00490062">
        <w:t xml:space="preserve"> and therefore not presenting in </w:t>
      </w:r>
      <w:r w:rsidR="00D222A7">
        <w:t>datasets used to estimate prevalence</w:t>
      </w:r>
      <w:r w:rsidR="006F4A9F">
        <w:t xml:space="preserve">. </w:t>
      </w:r>
    </w:p>
    <w:p w14:paraId="180A0A1D" w14:textId="77777777" w:rsidR="000E275F" w:rsidRDefault="000E275F" w:rsidP="005344BD">
      <w:pPr>
        <w:pStyle w:val="NoSpacing"/>
        <w:spacing w:line="360" w:lineRule="auto"/>
      </w:pPr>
    </w:p>
    <w:p w14:paraId="7F040EEE" w14:textId="0D669C82" w:rsidR="006F4A9F" w:rsidRDefault="00933AB8" w:rsidP="005344BD">
      <w:pPr>
        <w:pStyle w:val="NoSpacing"/>
        <w:spacing w:line="360" w:lineRule="auto"/>
      </w:pPr>
      <w:r>
        <w:t>Given t</w:t>
      </w:r>
      <w:r w:rsidR="009A1FA8">
        <w:t>he</w:t>
      </w:r>
      <w:r w:rsidR="00421BCF">
        <w:t xml:space="preserve"> </w:t>
      </w:r>
      <w:r w:rsidR="00C22CD3">
        <w:t xml:space="preserve">limitations in </w:t>
      </w:r>
      <w:r w:rsidR="00423007">
        <w:t>prevalence estimates</w:t>
      </w:r>
      <w:r w:rsidR="009A1FA8">
        <w:t xml:space="preserve"> described above </w:t>
      </w:r>
      <w:r>
        <w:t>there is a strong case for the</w:t>
      </w:r>
      <w:r w:rsidR="009A1FA8">
        <w:t xml:space="preserve"> use of large datasets, such as the NDTMS</w:t>
      </w:r>
      <w:r>
        <w:t>,</w:t>
      </w:r>
      <w:r w:rsidR="00236282">
        <w:t xml:space="preserve"> to better understand the characteristics of the parent </w:t>
      </w:r>
      <w:r>
        <w:t xml:space="preserve">with SUD </w:t>
      </w:r>
      <w:r w:rsidR="00236282">
        <w:t>population</w:t>
      </w:r>
      <w:r>
        <w:t xml:space="preserve"> in England</w:t>
      </w:r>
      <w:r w:rsidR="000F319B">
        <w:t>, including</w:t>
      </w:r>
      <w:r w:rsidR="00D06120">
        <w:t>, but not limited to,</w:t>
      </w:r>
      <w:r w:rsidR="000F319B">
        <w:t xml:space="preserve"> differences between mothers and fathers, child living arrangements and types of substance used</w:t>
      </w:r>
      <w:r w:rsidR="00D06120">
        <w:t xml:space="preserve"> by parents</w:t>
      </w:r>
      <w:r w:rsidR="000F319B">
        <w:t xml:space="preserve">. </w:t>
      </w:r>
    </w:p>
    <w:p w14:paraId="0ECDD537" w14:textId="348EEDF6" w:rsidR="008D5249" w:rsidRDefault="008D5249" w:rsidP="005344BD">
      <w:pPr>
        <w:pStyle w:val="NoSpacing"/>
        <w:spacing w:line="360" w:lineRule="auto"/>
      </w:pPr>
    </w:p>
    <w:p w14:paraId="1B593864" w14:textId="77777777" w:rsidR="005344BD" w:rsidRDefault="005344BD" w:rsidP="005344BD">
      <w:pPr>
        <w:pStyle w:val="NoSpacing"/>
        <w:spacing w:line="360" w:lineRule="auto"/>
      </w:pPr>
    </w:p>
    <w:p w14:paraId="28A3DA03" w14:textId="1D44B14F" w:rsidR="0097126C" w:rsidRDefault="0097126C" w:rsidP="004367EA">
      <w:pPr>
        <w:pStyle w:val="Heading2"/>
        <w:numPr>
          <w:ilvl w:val="1"/>
          <w:numId w:val="18"/>
        </w:numPr>
        <w:spacing w:line="360" w:lineRule="auto"/>
      </w:pPr>
      <w:bookmarkStart w:id="12" w:name="_Toc189229645"/>
      <w:r>
        <w:t>Impact of parental SUD on children</w:t>
      </w:r>
      <w:bookmarkEnd w:id="12"/>
    </w:p>
    <w:p w14:paraId="68395745" w14:textId="77777777" w:rsidR="004357B5" w:rsidRDefault="002B5461" w:rsidP="00A560D9">
      <w:pPr>
        <w:pStyle w:val="NoSpacing"/>
        <w:spacing w:line="360" w:lineRule="auto"/>
      </w:pPr>
      <w:r>
        <w:t xml:space="preserve">The adverse impact parental SUD </w:t>
      </w:r>
      <w:r w:rsidR="003E3CA2">
        <w:t xml:space="preserve">can have </w:t>
      </w:r>
      <w:r>
        <w:t>on children i</w:t>
      </w:r>
      <w:r w:rsidR="003E3CA2">
        <w:t>s</w:t>
      </w:r>
      <w:r>
        <w:t xml:space="preserve"> well documented.  </w:t>
      </w:r>
    </w:p>
    <w:p w14:paraId="13DDB07C" w14:textId="407D97BB" w:rsidR="00903588" w:rsidRDefault="00903588" w:rsidP="004357B5">
      <w:pPr>
        <w:pStyle w:val="NoSpacing"/>
        <w:spacing w:line="360" w:lineRule="auto"/>
      </w:pPr>
      <w:r>
        <w:t>For example</w:t>
      </w:r>
      <w:r w:rsidR="00BD7296">
        <w:t>,</w:t>
      </w:r>
      <w:r>
        <w:t xml:space="preserve"> </w:t>
      </w:r>
      <w:r w:rsidR="00BD7296">
        <w:t>t</w:t>
      </w:r>
      <w:r w:rsidR="004357B5">
        <w:t xml:space="preserve">here is a strong association between parental SUD and children exhibiting internalising and externalising behaviours, such as anxiety and depression, conduct disorder and oppositional defiant disorder </w:t>
      </w:r>
      <w:r w:rsidR="004357B5">
        <w:fldChar w:fldCharType="begin">
          <w:fldData xml:space="preserve">PEVuZE5vdGU+PENpdGU+PEF1dGhvcj5TZWF5PC9BdXRob3I+PFllYXI+MjAyMDwvWWVhcj48UmVj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</w:fldData>
        </w:fldChar>
      </w:r>
      <w:r w:rsidR="004357B5">
        <w:instrText xml:space="preserve"> ADDIN EN.CITE </w:instrText>
      </w:r>
      <w:r w:rsidR="004357B5">
        <w:fldChar w:fldCharType="begin">
          <w:fldData xml:space="preserve">PEVuZE5vdGU+PENpdGU+PEF1dGhvcj5TZWF5PC9BdXRob3I+PFllYXI+MjAyMDwvWWVhcj48UmVj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</w:fldData>
        </w:fldChar>
      </w:r>
      <w:r w:rsidR="004357B5">
        <w:instrText xml:space="preserve"> ADDIN EN.CITE.DATA </w:instrText>
      </w:r>
      <w:r w:rsidR="004357B5">
        <w:fldChar w:fldCharType="end"/>
      </w:r>
      <w:r w:rsidR="004357B5">
        <w:fldChar w:fldCharType="separate"/>
      </w:r>
      <w:r w:rsidR="004357B5">
        <w:rPr>
          <w:noProof/>
        </w:rPr>
        <w:t>(Kendler et al., 2013; Ohannessian, 2012; Seay, 2020; Staton-Tindall et al., 2013; Torvik et al., 2011)</w:t>
      </w:r>
      <w:r w:rsidR="004357B5">
        <w:fldChar w:fldCharType="end"/>
      </w:r>
      <w:r w:rsidR="004357B5">
        <w:t xml:space="preserve">. </w:t>
      </w:r>
    </w:p>
    <w:p w14:paraId="7A05CB26" w14:textId="77777777" w:rsidR="00903588" w:rsidRDefault="00903588" w:rsidP="004357B5">
      <w:pPr>
        <w:pStyle w:val="NoSpacing"/>
        <w:spacing w:line="360" w:lineRule="auto"/>
      </w:pPr>
    </w:p>
    <w:p w14:paraId="2E7F34B2" w14:textId="70F6CCD4" w:rsidR="00903588" w:rsidRDefault="00BD7296" w:rsidP="00903588">
      <w:pPr>
        <w:pStyle w:val="NoSpacing"/>
        <w:spacing w:line="360" w:lineRule="auto"/>
      </w:pPr>
      <w:r>
        <w:t>In addition, c</w:t>
      </w:r>
      <w:r w:rsidR="00903588">
        <w:t xml:space="preserve">hildren whose parents use alcohol and/ or drugs are more likely to experience </w:t>
      </w:r>
      <w:r w:rsidR="001B74CF">
        <w:t xml:space="preserve">negative educational outcomes, such as </w:t>
      </w:r>
      <w:r w:rsidR="009302B4">
        <w:t xml:space="preserve">lower attendance </w:t>
      </w:r>
      <w:r w:rsidR="008C30E3">
        <w:t xml:space="preserve">and </w:t>
      </w:r>
      <w:r w:rsidR="009302B4">
        <w:t>educational attainment</w:t>
      </w:r>
      <w:r w:rsidR="00C84F60">
        <w:t>, and poorer concentration levels</w:t>
      </w:r>
      <w:r w:rsidR="007D5C40">
        <w:t xml:space="preserve"> </w:t>
      </w:r>
      <w:r w:rsidR="007D5C40">
        <w:fldChar w:fldCharType="begin">
          <w:fldData xml:space="preserve">PEVuZE5vdGU+PENpdGU+PEF1dGhvcj5FdmFuczwvQXV0aG9yPjxZZWFyPjIwMjA8L1llYXI+PFJl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</w:fldData>
        </w:fldChar>
      </w:r>
      <w:r w:rsidR="00970237">
        <w:instrText xml:space="preserve"> ADDIN EN.CITE </w:instrText>
      </w:r>
      <w:r w:rsidR="00970237">
        <w:fldChar w:fldCharType="begin">
          <w:fldData xml:space="preserve">PEVuZE5vdGU+PENpdGU+PEF1dGhvcj5FdmFuczwvQXV0aG9yPjxZZWFyPjIwMjA8L1llYXI+PFJl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</w:fldData>
        </w:fldChar>
      </w:r>
      <w:r w:rsidR="00970237">
        <w:instrText xml:space="preserve"> ADDIN EN.CITE.DATA </w:instrText>
      </w:r>
      <w:r w:rsidR="00970237">
        <w:fldChar w:fldCharType="end"/>
      </w:r>
      <w:r w:rsidR="007D5C40">
        <w:fldChar w:fldCharType="separate"/>
      </w:r>
      <w:r w:rsidR="00F97150">
        <w:rPr>
          <w:noProof/>
        </w:rPr>
        <w:t>(Díaz et al., 2008; Evans et al., 2020; Gifford et al., 2015; Raitasalo et al., 2020)</w:t>
      </w:r>
      <w:r w:rsidR="007D5C40">
        <w:fldChar w:fldCharType="end"/>
      </w:r>
      <w:r w:rsidR="009302B4">
        <w:t xml:space="preserve">. </w:t>
      </w:r>
      <w:r w:rsidR="007C5041">
        <w:t xml:space="preserve">However, for some school can be </w:t>
      </w:r>
      <w:r w:rsidR="005B5006">
        <w:t xml:space="preserve">a protective factor with </w:t>
      </w:r>
      <w:r w:rsidR="00DF37F8">
        <w:t xml:space="preserve">one review </w:t>
      </w:r>
      <w:r w:rsidR="00ED40D8">
        <w:t xml:space="preserve">highlighting that many </w:t>
      </w:r>
      <w:r w:rsidR="005B5006">
        <w:t xml:space="preserve">studies </w:t>
      </w:r>
      <w:r w:rsidR="00ED40D8">
        <w:t xml:space="preserve">have </w:t>
      </w:r>
      <w:r w:rsidR="005B5006">
        <w:t>not be</w:t>
      </w:r>
      <w:r w:rsidR="00FB58D8">
        <w:t>en</w:t>
      </w:r>
      <w:r w:rsidR="005B5006">
        <w:t xml:space="preserve"> able to distinguish between differences in enjoyment </w:t>
      </w:r>
      <w:r w:rsidR="00F35CA3">
        <w:t>between children with parents with SUD and children whose parents did not have SUD</w:t>
      </w:r>
      <w:r w:rsidR="00BB20BE">
        <w:t xml:space="preserve"> </w:t>
      </w:r>
      <w:r w:rsidR="00DF37F8">
        <w:fldChar w:fldCharType="begin"/>
      </w:r>
      <w:r w:rsidR="007D5C40">
        <w:instrText xml:space="preserve"> ADDIN EN.CITE &lt;EndNote&gt;&lt;Cite&gt;&lt;Author&gt;Lowthian&lt;/Author&gt;&lt;Year&gt;2022&lt;/Year&gt;&lt;RecNum&gt;710&lt;/RecNum&gt;&lt;DisplayText&gt;(Lowthian, 2022)&lt;/DisplayText&gt;&lt;record&gt;&lt;rec-number&gt;710&lt;/rec-number&gt;&lt;foreign-keys&gt;&lt;key app="EN" db-id="ffzvr5fstavwxoe9v04xf0wmp5t50as52da0" timestamp="1734954633" guid="6c37c415-5eb8-4aab-bfa2-92f4df66ed88"&gt;710&lt;/key&gt;&lt;/foreign-keys&gt;&lt;ref-type name="Journal Article"&gt;17&lt;/ref-type&gt;&lt;contributors&gt;&lt;authors&gt;&lt;author&gt;Lowthian, Emily&lt;/author&gt;&lt;/authors&gt;&lt;/contributors&gt;&lt;titles&gt;&lt;title&gt;The Secondary Harms of Parental Substance Use on Children’s Educational Outcomes: A Review&lt;/title&gt;&lt;secondary-title&gt;Journal of Child &amp;amp; Adolescent Trauma&lt;/secondary-title&gt;&lt;/titles&gt;&lt;periodical&gt;&lt;full-title&gt;Journal of Child &amp;amp; Adolescent Trauma&lt;/full-title&gt;&lt;/periodical&gt;&lt;pages&gt;511-522&lt;/pages&gt;&lt;volume&gt;15&lt;/volume&gt;&lt;number&gt;3&lt;/number&gt;&lt;dates&gt;&lt;year&gt;2022&lt;/year&gt;&lt;pub-dates&gt;&lt;date&gt;2022/09/01&lt;/date&gt;&lt;/pub-dates&gt;&lt;/dates&gt;&lt;isbn&gt;1936-153X&lt;/isbn&gt;&lt;urls&gt;&lt;related-urls&gt;&lt;url&gt;https://doi.org/10.1007/s40653-021-00433-2&lt;/url&gt;&lt;/related-urls&gt;&lt;/urls&gt;&lt;electronic-resource-num&gt;10.1007/s40653-021-00433-2&lt;/electronic-resource-num&gt;&lt;/record&gt;&lt;/Cite&gt;&lt;/EndNote&gt;</w:instrText>
      </w:r>
      <w:r w:rsidR="00DF37F8">
        <w:fldChar w:fldCharType="separate"/>
      </w:r>
      <w:r w:rsidR="00DF37F8">
        <w:rPr>
          <w:noProof/>
        </w:rPr>
        <w:t>(Lowthian, 2022)</w:t>
      </w:r>
      <w:r w:rsidR="00DF37F8">
        <w:fldChar w:fldCharType="end"/>
      </w:r>
      <w:r w:rsidR="00BB20BE">
        <w:t xml:space="preserve">, perhaps a result of schools being a safe and stable environment for </w:t>
      </w:r>
      <w:r w:rsidR="00F97150">
        <w:t>c</w:t>
      </w:r>
      <w:r w:rsidR="00BB20BE">
        <w:t>hild</w:t>
      </w:r>
      <w:r w:rsidR="00F97150">
        <w:t>ren with positive adult role models and influences whose homelife may be more chaotic</w:t>
      </w:r>
      <w:r w:rsidR="00BB20BE">
        <w:t>.</w:t>
      </w:r>
      <w:r w:rsidR="00F35CA3">
        <w:t xml:space="preserve"> </w:t>
      </w:r>
    </w:p>
    <w:p w14:paraId="2E96F0E9" w14:textId="77777777" w:rsidR="00224CB0" w:rsidRDefault="00224CB0" w:rsidP="00903588">
      <w:pPr>
        <w:pStyle w:val="NoSpacing"/>
        <w:spacing w:line="360" w:lineRule="auto"/>
      </w:pPr>
    </w:p>
    <w:p w14:paraId="654AEA9A" w14:textId="7D949CA0" w:rsidR="00F66D36" w:rsidRDefault="00E11025" w:rsidP="00903588">
      <w:pPr>
        <w:pStyle w:val="NoSpacing"/>
        <w:spacing w:line="360" w:lineRule="auto"/>
      </w:pPr>
      <w:r>
        <w:t xml:space="preserve">There is also an association between </w:t>
      </w:r>
      <w:r w:rsidR="00F66309">
        <w:t>parental SUD and children experiencing health harms</w:t>
      </w:r>
      <w:r w:rsidR="009D6700">
        <w:t>, with o</w:t>
      </w:r>
      <w:r w:rsidR="00ED5D26">
        <w:t xml:space="preserve">ne study </w:t>
      </w:r>
      <w:r w:rsidR="0073541D">
        <w:t xml:space="preserve">of alcohol use among caregivers </w:t>
      </w:r>
      <w:r w:rsidR="009D6700">
        <w:t>suggesting</w:t>
      </w:r>
      <w:r w:rsidR="00F10923">
        <w:t xml:space="preserve"> that it may contribute to higher risk of unintentional</w:t>
      </w:r>
      <w:r w:rsidR="004F69C4">
        <w:t>, and more severe,</w:t>
      </w:r>
      <w:r w:rsidR="00F10923">
        <w:t xml:space="preserve"> child</w:t>
      </w:r>
      <w:r w:rsidR="004F69C4">
        <w:t xml:space="preserve">hood injuries </w:t>
      </w:r>
      <w:r w:rsidR="00970237">
        <w:fldChar w:fldCharType="begin"/>
      </w:r>
      <w:r w:rsidR="007776BC">
        <w:instrText xml:space="preserve"> ADDIN EN.CITE &lt;EndNote&gt;&lt;Cite&gt;&lt;Author&gt;Damashek&lt;/Author&gt;&lt;Year&gt;2009&lt;/Year&gt;&lt;RecNum&gt;715&lt;/RecNum&gt;&lt;DisplayText&gt;(Damashek et al., 2009)&lt;/DisplayText&gt;&lt;record&gt;&lt;rec-number&gt;715&lt;/rec-number&gt;&lt;foreign-keys&gt;&lt;key app="EN" db-id="ffzvr5fstavwxoe9v04xf0wmp5t50as52da0" timestamp="1734955960" guid="11cd7791-fde7-4779-895c-47c4448dc6d4"&gt;715&lt;/key&gt;&lt;/foreign-keys&gt;&lt;ref-type name="Journal Article"&gt;17&lt;/ref-type&gt;&lt;contributors&gt;&lt;authors&gt;&lt;author&gt;Damashek, Amy&lt;/author&gt;&lt;author&gt;Williams, Natalie A.&lt;/author&gt;&lt;author&gt;Sher, Kenneth&lt;/author&gt;&lt;author&gt;Peterson, Lizette&lt;/author&gt;&lt;/authors&gt;&lt;/contributors&gt;&lt;titles&gt;&lt;title&gt;Relation of Caregiver Alcohol Use to Unintentional Childhood Injury&lt;/title&gt;&lt;secondary-title&gt;Journal of Pediatric Psychology&lt;/secondary-title&gt;&lt;/titles&gt;&lt;periodical&gt;&lt;full-title&gt;Journal of Pediatric Psychology&lt;/full-title&gt;&lt;/periodical&gt;&lt;pages&gt;344-353&lt;/pages&gt;&lt;volume&gt;34&lt;/volume&gt;&lt;number&gt;4&lt;/number&gt;&lt;dates&gt;&lt;year&gt;2009&lt;/year&gt;&lt;/dates&gt;&lt;isbn&gt;0146-8693&lt;/isbn&gt;&lt;urls&gt;&lt;related-urls&gt;&lt;url&gt;https://doi.org/10.1093/jpepsy/jsn097&lt;/url&gt;&lt;/related-urls&gt;&lt;/urls&gt;&lt;electronic-resource-num&gt;10.1093/jpepsy/jsn097&lt;/electronic-resource-num&gt;&lt;access-date&gt;12/23/2024&lt;/access-date&gt;&lt;/record&gt;&lt;/Cite&gt;&lt;/EndNote&gt;</w:instrText>
      </w:r>
      <w:r w:rsidR="00970237">
        <w:fldChar w:fldCharType="separate"/>
      </w:r>
      <w:r w:rsidR="00970237">
        <w:rPr>
          <w:noProof/>
        </w:rPr>
        <w:t>(Damashek et al., 2009)</w:t>
      </w:r>
      <w:r w:rsidR="00970237">
        <w:fldChar w:fldCharType="end"/>
      </w:r>
      <w:r w:rsidR="004F69C4">
        <w:t xml:space="preserve">.  </w:t>
      </w:r>
      <w:r w:rsidR="00F66D36">
        <w:t xml:space="preserve">Parental SUD is also linked to </w:t>
      </w:r>
      <w:r w:rsidR="00DD798B">
        <w:t xml:space="preserve">an increased risk of early onset of substance use </w:t>
      </w:r>
      <w:r w:rsidR="0079447A">
        <w:t xml:space="preserve">among children </w:t>
      </w:r>
      <w:r w:rsidR="00DD798B">
        <w:t xml:space="preserve">and SUD in adulthood </w:t>
      </w:r>
      <w:r w:rsidR="00DD798B">
        <w:fldChar w:fldCharType="begin">
          <w:fldData xml:space="preserve">PEVuZE5vdGU+PENpdGU+PEF1dGhvcj5DbGVhdmVyPC9BdXRob3I+PFllYXI+MjAxMTwvWWVhcj48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033A02">
        <w:instrText xml:space="preserve"> ADDIN EN.CITE </w:instrText>
      </w:r>
      <w:r w:rsidR="00033A02">
        <w:fldChar w:fldCharType="begin">
          <w:fldData xml:space="preserve">PEVuZE5vdGU+PENpdGU+PEF1dGhvcj5DbGVhdmVyPC9BdXRob3I+PFllYXI+MjAxMTwvWWVhcj48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033A02">
        <w:instrText xml:space="preserve"> ADDIN EN.CITE.DATA </w:instrText>
      </w:r>
      <w:r w:rsidR="00033A02">
        <w:fldChar w:fldCharType="end"/>
      </w:r>
      <w:r w:rsidR="00DD798B">
        <w:fldChar w:fldCharType="separate"/>
      </w:r>
      <w:r w:rsidR="00033A02">
        <w:rPr>
          <w:noProof/>
        </w:rPr>
        <w:t>(Cleaver et al., 2011; Velleman &amp; Templeton, 2016)</w:t>
      </w:r>
      <w:r w:rsidR="00DD798B">
        <w:fldChar w:fldCharType="end"/>
      </w:r>
      <w:r w:rsidR="00033A02">
        <w:t>.</w:t>
      </w:r>
    </w:p>
    <w:p w14:paraId="11A00E91" w14:textId="77777777" w:rsidR="0014616F" w:rsidRDefault="0014616F" w:rsidP="00903588">
      <w:pPr>
        <w:pStyle w:val="NoSpacing"/>
        <w:spacing w:line="360" w:lineRule="auto"/>
      </w:pPr>
    </w:p>
    <w:p w14:paraId="0E1269BD" w14:textId="39AEBABB" w:rsidR="003052E8" w:rsidRDefault="004904BA" w:rsidP="003052E8">
      <w:pPr>
        <w:pStyle w:val="NoSpacing"/>
        <w:spacing w:line="360" w:lineRule="auto"/>
      </w:pPr>
      <w:r>
        <w:t>F</w:t>
      </w:r>
      <w:r w:rsidR="00CE7D32">
        <w:t>urther,</w:t>
      </w:r>
      <w:r>
        <w:t xml:space="preserve"> </w:t>
      </w:r>
      <w:r w:rsidR="000F0FE7">
        <w:t xml:space="preserve">findings </w:t>
      </w:r>
      <w:r>
        <w:t>from a rapid review</w:t>
      </w:r>
      <w:r w:rsidR="0014616F">
        <w:t xml:space="preserve"> suggest that </w:t>
      </w:r>
      <w:r>
        <w:t xml:space="preserve">harms associated with parental substance use </w:t>
      </w:r>
      <w:r w:rsidR="00A226E5">
        <w:t xml:space="preserve">can occur at a lower </w:t>
      </w:r>
      <w:r w:rsidR="007776BC">
        <w:t xml:space="preserve">‘non-dependency’ diagnostic threshold </w:t>
      </w:r>
      <w:r w:rsidR="007776BC">
        <w:fldChar w:fldCharType="begin">
          <w:fldData xml:space="preserve">PEVuZE5vdGU+PENpdGU+PEF1dGhvcj5NY0dvdmVybjwvQXV0aG9yPjxZZWFyPjIwMjA8L1llYXI+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</w:fldData>
        </w:fldChar>
      </w:r>
      <w:r w:rsidR="007776BC">
        <w:instrText xml:space="preserve"> ADDIN EN.CITE </w:instrText>
      </w:r>
      <w:r w:rsidR="007776BC">
        <w:fldChar w:fldCharType="begin">
          <w:fldData xml:space="preserve">PEVuZE5vdGU+PENpdGU+PEF1dGhvcj5NY0dvdmVybjwvQXV0aG9yPjxZZWFyPjIwMjA8L1llYXI+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</w:fldData>
        </w:fldChar>
      </w:r>
      <w:r w:rsidR="007776BC">
        <w:instrText xml:space="preserve"> ADDIN EN.CITE.DATA </w:instrText>
      </w:r>
      <w:r w:rsidR="007776BC">
        <w:fldChar w:fldCharType="end"/>
      </w:r>
      <w:r w:rsidR="007776BC">
        <w:fldChar w:fldCharType="separate"/>
      </w:r>
      <w:r w:rsidR="007776BC">
        <w:rPr>
          <w:noProof/>
        </w:rPr>
        <w:t>(McGovern et al., 2020)</w:t>
      </w:r>
      <w:r w:rsidR="007776BC">
        <w:fldChar w:fldCharType="end"/>
      </w:r>
      <w:r w:rsidR="00704A7C">
        <w:t xml:space="preserve">. </w:t>
      </w:r>
      <w:r w:rsidR="00CE7D32">
        <w:t xml:space="preserve">Finally, </w:t>
      </w:r>
      <w:r w:rsidR="00BD7296">
        <w:t>p</w:t>
      </w:r>
      <w:r w:rsidR="003052E8">
        <w:t xml:space="preserve">arental SUD rarely occurs as an isolated problem; research into child protection cases and deaths suspected to be caused by maltreatment, show the prominence of parental SUD and its co-occurrence with parental learning disabilities, mental ill health, domestic abuse and poverty </w:t>
      </w:r>
      <w:r w:rsidR="003052E8">
        <w:fldChar w:fldCharType="begin">
          <w:fldData xml:space="preserve">PEVuZE5vdGU+PENpdGU+PEF1dGhvcj5CcmFuZG9uPC9BdXRob3I+PFllYXI+MjAyMDwvWWVhcj48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==
</w:fldData>
        </w:fldChar>
      </w:r>
      <w:r w:rsidR="00DD798B">
        <w:instrText xml:space="preserve"> ADDIN EN.CITE </w:instrText>
      </w:r>
      <w:r w:rsidR="00DD798B">
        <w:fldChar w:fldCharType="begin">
          <w:fldData xml:space="preserve">PEVuZE5vdGU+PENpdGU+PEF1dGhvcj5CcmFuZG9uPC9BdXRob3I+PFllYXI+MjAyMDwvWWVhcj48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==
</w:fldData>
        </w:fldChar>
      </w:r>
      <w:r w:rsidR="00DD798B">
        <w:instrText xml:space="preserve"> ADDIN EN.CITE.DATA </w:instrText>
      </w:r>
      <w:r w:rsidR="00DD798B">
        <w:fldChar w:fldCharType="end"/>
      </w:r>
      <w:r w:rsidR="003052E8">
        <w:fldChar w:fldCharType="separate"/>
      </w:r>
      <w:r w:rsidR="00DD798B">
        <w:rPr>
          <w:noProof/>
        </w:rPr>
        <w:t>(Brandon et al., 2020; Cleaver et al., 2011; Sidebotham et al., 2016b)</w:t>
      </w:r>
      <w:r w:rsidR="003052E8">
        <w:fldChar w:fldCharType="end"/>
      </w:r>
      <w:r w:rsidR="003052E8">
        <w:t xml:space="preserve">, with children sometimes continuing to face adverse experiences and associated negative behavioural, health and social outcomes in adulthood </w:t>
      </w:r>
      <w:r w:rsidR="003052E8">
        <w:fldChar w:fldCharType="begin">
          <w:fldData xml:space="preserve">PEVuZE5vdGU+PENpdGU+PEF1dGhvcj5IdWdoZXM8L0F1dGhvcj48WWVhcj4yMDE3PC9ZZWFyPjxS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</w:fldData>
        </w:fldChar>
      </w:r>
      <w:r w:rsidR="00CE7D32">
        <w:instrText xml:space="preserve"> ADDIN EN.CITE </w:instrText>
      </w:r>
      <w:r w:rsidR="00CE7D32">
        <w:fldChar w:fldCharType="begin">
          <w:fldData xml:space="preserve">PEVuZE5vdGU+PENpdGU+PEF1dGhvcj5IdWdoZXM8L0F1dGhvcj48WWVhcj4yMDE3PC9ZZWFyPjxS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</w:fldData>
        </w:fldChar>
      </w:r>
      <w:r w:rsidR="00CE7D32">
        <w:instrText xml:space="preserve"> ADDIN EN.CITE.DATA </w:instrText>
      </w:r>
      <w:r w:rsidR="00CE7D32">
        <w:fldChar w:fldCharType="end"/>
      </w:r>
      <w:r w:rsidR="003052E8">
        <w:fldChar w:fldCharType="separate"/>
      </w:r>
      <w:r w:rsidR="00CE7D32">
        <w:rPr>
          <w:noProof/>
        </w:rPr>
        <w:t>(Bellis, Lowey, et al., 2014; Cleaver et al., 2011; Hughes et al., 2017)</w:t>
      </w:r>
      <w:r w:rsidR="003052E8">
        <w:fldChar w:fldCharType="end"/>
      </w:r>
      <w:r w:rsidR="003052E8">
        <w:t>.</w:t>
      </w:r>
    </w:p>
    <w:p w14:paraId="3CAC3F37" w14:textId="77777777" w:rsidR="00704A7C" w:rsidRDefault="00704A7C" w:rsidP="003052E8">
      <w:pPr>
        <w:pStyle w:val="NoSpacing"/>
        <w:spacing w:line="360" w:lineRule="auto"/>
      </w:pPr>
    </w:p>
    <w:p w14:paraId="1B157E24" w14:textId="77777777" w:rsidR="00704A7C" w:rsidRDefault="00704A7C" w:rsidP="002B5461">
      <w:pPr>
        <w:shd w:val="clear" w:color="auto" w:fill="FFFFFF"/>
        <w:contextualSpacing w:val="0"/>
        <w:rPr>
          <w:rFonts w:ascii="Open Sans" w:hAnsi="Open Sans" w:cs="Open Sans"/>
          <w:color w:val="333333"/>
        </w:rPr>
      </w:pPr>
    </w:p>
    <w:p w14:paraId="3BE13542" w14:textId="705FDCBB" w:rsidR="00753470" w:rsidRDefault="00372A89" w:rsidP="0042328C">
      <w:pPr>
        <w:pStyle w:val="Heading3"/>
        <w:numPr>
          <w:ilvl w:val="2"/>
          <w:numId w:val="18"/>
        </w:numPr>
        <w:spacing w:line="360" w:lineRule="auto"/>
      </w:pPr>
      <w:bookmarkStart w:id="13" w:name="_Toc189229646"/>
      <w:r>
        <w:t>Parent-child relationships in the context of SUD</w:t>
      </w:r>
      <w:bookmarkEnd w:id="13"/>
    </w:p>
    <w:p w14:paraId="67C104E1" w14:textId="033F1246" w:rsidR="004C5408" w:rsidRDefault="00753470" w:rsidP="00737297">
      <w:pPr>
        <w:pStyle w:val="NoSpacing"/>
        <w:spacing w:line="360" w:lineRule="auto"/>
        <w:rPr>
          <w:noProof/>
        </w:rPr>
      </w:pPr>
      <w:r w:rsidRPr="00D04C8F">
        <w:rPr>
          <w:noProof/>
        </w:rPr>
        <w:t xml:space="preserve">SUD can adversely affect relationships between a child and their primary care giver, known as parent-child dyads. </w:t>
      </w:r>
      <w:r w:rsidR="00CB0342">
        <w:rPr>
          <w:noProof/>
        </w:rPr>
        <w:t>P</w:t>
      </w:r>
      <w:r w:rsidR="00895A5B">
        <w:rPr>
          <w:noProof/>
        </w:rPr>
        <w:t>ositive p</w:t>
      </w:r>
      <w:r w:rsidRPr="00D04C8F">
        <w:rPr>
          <w:noProof/>
        </w:rPr>
        <w:t>arent-child dyads</w:t>
      </w:r>
      <w:r w:rsidR="00895A5B">
        <w:rPr>
          <w:noProof/>
        </w:rPr>
        <w:t xml:space="preserve"> </w:t>
      </w:r>
      <w:r w:rsidRPr="00D04C8F">
        <w:rPr>
          <w:noProof/>
        </w:rPr>
        <w:t xml:space="preserve">are important as they promote 1) a healthy brain and nervous system from foetus to young adulthood, which impacts future emotional, behavioural and cognitive development and wellbeing (neurodevelopment), 2) strong emotional bonds (attachment) and 3) concordance between parent and child, with the primary caregiver acknowledging and responding to their child’s needs (attunement) </w:t>
      </w:r>
      <w:r w:rsidRPr="00D04C8F">
        <w:rPr>
          <w:noProof/>
        </w:rPr>
        <w:fldChar w:fldCharType="begin">
          <w:fldData xml:space="preserve">PEVuZE5vdGU+PENpdGU+PEF1dGhvcj5IZWFsdGggJmFtcDsgTWVkaWNpbmUgUG9saWN5IFJlc2Vh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</w:fldData>
        </w:fldChar>
      </w:r>
      <w:r w:rsidR="00B9334F">
        <w:rPr>
          <w:noProof/>
        </w:rPr>
        <w:instrText xml:space="preserve"> ADDIN EN.CITE </w:instrText>
      </w:r>
      <w:r w:rsidR="00B9334F">
        <w:rPr>
          <w:noProof/>
        </w:rPr>
        <w:fldChar w:fldCharType="begin">
          <w:fldData xml:space="preserve">PEVuZE5vdGU+PENpdGU+PEF1dGhvcj5IZWFsdGggJmFtcDsgTWVkaWNpbmUgUG9saWN5IFJlc2Vh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</w:fldData>
        </w:fldChar>
      </w:r>
      <w:r w:rsidR="00B9334F">
        <w:rPr>
          <w:noProof/>
        </w:rPr>
        <w:instrText xml:space="preserve"> ADDIN EN.CITE.DATA </w:instrText>
      </w:r>
      <w:r w:rsidR="00B9334F">
        <w:rPr>
          <w:noProof/>
        </w:rPr>
      </w:r>
      <w:r w:rsidR="00B9334F">
        <w:rPr>
          <w:noProof/>
        </w:rPr>
        <w:fldChar w:fldCharType="end"/>
      </w:r>
      <w:r w:rsidRPr="00D04C8F">
        <w:rPr>
          <w:noProof/>
        </w:rPr>
      </w:r>
      <w:r w:rsidRPr="00D04C8F">
        <w:rPr>
          <w:noProof/>
        </w:rPr>
        <w:fldChar w:fldCharType="separate"/>
      </w:r>
      <w:r w:rsidR="003C6F70">
        <w:rPr>
          <w:noProof/>
        </w:rPr>
        <w:t>(Cooke et al., 2019; Health &amp; Medicine Policy Research Group, 2018; Ilyka et al., 2021)</w:t>
      </w:r>
      <w:r w:rsidRPr="00D04C8F">
        <w:rPr>
          <w:noProof/>
        </w:rPr>
        <w:fldChar w:fldCharType="end"/>
      </w:r>
      <w:r w:rsidRPr="00D04C8F">
        <w:rPr>
          <w:noProof/>
        </w:rPr>
        <w:t xml:space="preserve">. </w:t>
      </w:r>
    </w:p>
    <w:p w14:paraId="6D568109" w14:textId="77777777" w:rsidR="002D4704" w:rsidRDefault="002D4704" w:rsidP="00737297">
      <w:pPr>
        <w:pStyle w:val="NoSpacing"/>
        <w:spacing w:line="360" w:lineRule="auto"/>
        <w:rPr>
          <w:noProof/>
        </w:rPr>
      </w:pPr>
    </w:p>
    <w:p w14:paraId="3749A011" w14:textId="02BC0C0E" w:rsidR="003C42E1" w:rsidRDefault="007F70B1" w:rsidP="00737297">
      <w:pPr>
        <w:pStyle w:val="NoSpacing"/>
        <w:spacing w:line="360" w:lineRule="auto"/>
      </w:pPr>
      <w:r>
        <w:rPr>
          <w:noProof/>
        </w:rPr>
        <w:t>P</w:t>
      </w:r>
      <w:r w:rsidR="00753470" w:rsidRPr="00D04C8F">
        <w:rPr>
          <w:noProof/>
        </w:rPr>
        <w:t xml:space="preserve">oor parent-child dyads are associated with increased risk of child abuse and neglect, or ‘child maltreatment’ </w:t>
      </w:r>
      <w:r w:rsidR="00753470" w:rsidRPr="00D04C8F">
        <w:rPr>
          <w:noProof/>
        </w:rPr>
        <w:fldChar w:fldCharType="begin"/>
      </w:r>
      <w:r w:rsidR="00B9334F">
        <w:rPr>
          <w:noProof/>
        </w:rPr>
        <w:instrText xml:space="preserve"> ADDIN EN.CITE &lt;EndNote&gt;&lt;Cite&gt;&lt;Author&gt;Stith&lt;/Author&gt;&lt;Year&gt;2009&lt;/Year&gt;&lt;RecNum&gt;68&lt;/RecNum&gt;&lt;DisplayText&gt;(Stith et al., 2009)&lt;/DisplayText&gt;&lt;record&gt;&lt;rec-number&gt;68&lt;/rec-number&gt;&lt;foreign-keys&gt;&lt;key app="EN" db-id="ffzvr5fstavwxoe9v04xf0wmp5t50as52da0" timestamp="1731671640" guid="df6b15b1-7316-4140-8f0a-225d29948d3e"&gt;68&lt;/key&gt;&lt;/foreign-keys&gt;&lt;ref-type name="Journal Article"&gt;17&lt;/ref-type&gt;&lt;contributors&gt;&lt;authors&gt;&lt;author&gt;Stith, S.&lt;/author&gt;&lt;author&gt;Liu, T.&lt;/author&gt;&lt;author&gt;Davies, L.&lt;/author&gt;&lt;author&gt;Boykin, E. L.&lt;/author&gt;&lt;author&gt;Alder, Meagan C.&lt;/author&gt;&lt;author&gt;Harris, J.&lt;/author&gt;&lt;author&gt;Som, A.&lt;/author&gt;&lt;author&gt;Mcpherson, M.&lt;/author&gt;&lt;author&gt;Dees, J. J.&lt;/author&gt;&lt;/authors&gt;&lt;/contributors&gt;&lt;titles&gt;&lt;title&gt;Risk factors in child maltreatment: A meta-analytic review of the literature&lt;/title&gt;&lt;secondary-title&gt;Aggression and Violent Behavior&lt;/secondary-title&gt;&lt;/titles&gt;&lt;periodical&gt;&lt;full-title&gt;Aggression and Violent Behavior&lt;/full-title&gt;&lt;/periodical&gt;&lt;pages&gt;13-29&lt;/pages&gt;&lt;volume&gt;14&lt;/volume&gt;&lt;dates&gt;&lt;year&gt;2009&lt;/year&gt;&lt;/dates&gt;&lt;urls&gt;&lt;/urls&gt;&lt;electronic-resource-num&gt;https://doi.org/10.1016/j.avb.2006.03.006&lt;/electronic-resource-num&gt;&lt;/record&gt;&lt;/Cite&gt;&lt;/EndNote&gt;</w:instrText>
      </w:r>
      <w:r w:rsidR="00753470" w:rsidRPr="00D04C8F">
        <w:rPr>
          <w:noProof/>
        </w:rPr>
        <w:fldChar w:fldCharType="separate"/>
      </w:r>
      <w:r w:rsidR="00A77498">
        <w:rPr>
          <w:noProof/>
        </w:rPr>
        <w:t>(Stith et al., 2009)</w:t>
      </w:r>
      <w:r w:rsidR="00753470" w:rsidRPr="00D04C8F">
        <w:rPr>
          <w:noProof/>
        </w:rPr>
        <w:fldChar w:fldCharType="end"/>
      </w:r>
      <w:r w:rsidR="00753470" w:rsidRPr="00D04C8F">
        <w:rPr>
          <w:noProof/>
        </w:rPr>
        <w:t xml:space="preserve">. In a systematic review and meta-analysis of mother-infant dyads, </w:t>
      </w:r>
      <w:r w:rsidR="00753470" w:rsidRPr="00D04C8F">
        <w:rPr>
          <w:noProof/>
        </w:rPr>
        <w:fldChar w:fldCharType="begin"/>
      </w:r>
      <w:r w:rsidR="00B9334F">
        <w:rPr>
          <w:noProof/>
        </w:rPr>
        <w:instrText xml:space="preserve"> ADDIN EN.CITE &lt;EndNote&gt;&lt;Cite AuthorYear="1"&gt;&lt;Author&gt;Hatzis&lt;/Author&gt;&lt;Year&gt;2017&lt;/Year&gt;&lt;RecNum&gt;364&lt;/RecNum&gt;&lt;DisplayText&gt;Hatzis et al. (2017)&lt;/DisplayText&gt;&lt;record&gt;&lt;rec-number&gt;364&lt;/rec-number&gt;&lt;foreign-keys&gt;&lt;key app="EN" db-id="ffzvr5fstavwxoe9v04xf0wmp5t50as52da0" timestamp="1731671664" guid="71bb7d1c-ab7b-4b75-a117-d14f4d9bb2b2"&gt;364&lt;/key&gt;&lt;/foreign-keys&gt;&lt;ref-type name="Journal Article"&gt;17&lt;/ref-type&gt;&lt;contributors&gt;&lt;authors&gt;&lt;author&gt;Hatzis, Denise&lt;/author&gt;&lt;author&gt;Dawe, Sharon&lt;/author&gt;&lt;author&gt;Harnett, Paul&lt;/author&gt;&lt;author&gt;Barlow, Jane&lt;/author&gt;&lt;/authors&gt;&lt;/contributors&gt;&lt;titles&gt;&lt;title&gt;Quality of Caregiving in Mothers With Illicit Substance Use: A Systematic Review and Meta-analysis&lt;/title&gt;&lt;secondary-title&gt;Substance Abuse: Research and Treatment&lt;/secondary-title&gt;&lt;/titles&gt;&lt;periodical&gt;&lt;full-title&gt;Substance Abuse: Research and Treatment&lt;/full-title&gt;&lt;/periodical&gt;&lt;pages&gt;1178221817694038-1178221817694038&lt;/pages&gt;&lt;volume&gt;11&lt;/volume&gt;&lt;dates&gt;&lt;year&gt;2017&lt;/year&gt;&lt;/dates&gt;&lt;publisher&gt;SAGE Publications&lt;/publisher&gt;&lt;isbn&gt;1178-2218&lt;/isbn&gt;&lt;accession-num&gt;28469425&lt;/accession-num&gt;&lt;urls&gt;&lt;related-urls&gt;&lt;url&gt;https://www.ncbi.nlm.nih.gov/pubmed/28469425&lt;/url&gt;&lt;url&gt;https://www.ncbi.nlm.nih.gov/pmc/PMC5398331/&lt;/url&gt;&lt;/related-urls&gt;&lt;/urls&gt;&lt;electronic-resource-num&gt;10.1177/1178221817694038&lt;/electronic-resource-num&gt;&lt;remote-database-name&gt;PubMed&lt;/remote-database-name&gt;&lt;/record&gt;&lt;/Cite&gt;&lt;/EndNote&gt;</w:instrText>
      </w:r>
      <w:r w:rsidR="00753470" w:rsidRPr="00D04C8F">
        <w:rPr>
          <w:noProof/>
        </w:rPr>
        <w:fldChar w:fldCharType="separate"/>
      </w:r>
      <w:r w:rsidR="00A77498">
        <w:rPr>
          <w:noProof/>
        </w:rPr>
        <w:t>Hatzis et al. (2017)</w:t>
      </w:r>
      <w:r w:rsidR="00753470" w:rsidRPr="00D04C8F">
        <w:rPr>
          <w:noProof/>
        </w:rPr>
        <w:fldChar w:fldCharType="end"/>
      </w:r>
      <w:r w:rsidR="00753470" w:rsidRPr="00D04C8F">
        <w:rPr>
          <w:noProof/>
        </w:rPr>
        <w:t xml:space="preserve"> found that maternal </w:t>
      </w:r>
      <w:r w:rsidR="00753470">
        <w:rPr>
          <w:noProof/>
        </w:rPr>
        <w:t>attachment</w:t>
      </w:r>
      <w:r w:rsidR="00753470" w:rsidRPr="00D04C8F">
        <w:rPr>
          <w:noProof/>
        </w:rPr>
        <w:t xml:space="preserve"> and </w:t>
      </w:r>
      <w:r w:rsidR="00753470">
        <w:rPr>
          <w:noProof/>
        </w:rPr>
        <w:t>attunement</w:t>
      </w:r>
      <w:r w:rsidR="00753470" w:rsidRPr="00D04C8F">
        <w:rPr>
          <w:noProof/>
        </w:rPr>
        <w:t xml:space="preserve"> w</w:t>
      </w:r>
      <w:r w:rsidR="00753470">
        <w:rPr>
          <w:noProof/>
        </w:rPr>
        <w:t>ere</w:t>
      </w:r>
      <w:r w:rsidR="00753470" w:rsidRPr="00D04C8F">
        <w:rPr>
          <w:noProof/>
        </w:rPr>
        <w:t xml:space="preserve"> significantly lower among mothers</w:t>
      </w:r>
      <w:r w:rsidR="00753470">
        <w:rPr>
          <w:noProof/>
        </w:rPr>
        <w:t xml:space="preserve"> using</w:t>
      </w:r>
      <w:r w:rsidR="00753470" w:rsidRPr="00D04C8F">
        <w:rPr>
          <w:noProof/>
        </w:rPr>
        <w:t xml:space="preserve"> illicit drugs compared with non-users. </w:t>
      </w:r>
      <w:r w:rsidR="00753470">
        <w:fldChar w:fldCharType="begin"/>
      </w:r>
      <w:r w:rsidR="00B9334F">
        <w:instrText xml:space="preserve"> ADDIN EN.CITE &lt;EndNote&gt;&lt;Cite AuthorYear="1"&gt;&lt;Author&gt;Slesnick&lt;/Author&gt;&lt;Year&gt;2014&lt;/Year&gt;&lt;RecNum&gt;175&lt;/RecNum&gt;&lt;DisplayText&gt;Slesnick et al. (2014)&lt;/DisplayText&gt;&lt;record&gt;&lt;rec-number&gt;175&lt;/rec-number&gt;&lt;foreign-keys&gt;&lt;key app="EN" db-id="ffzvr5fstavwxoe9v04xf0wmp5t50as52da0" timestamp="1731671647" guid="f4afa552-1a86-49a1-80dc-a2e50022520d"&gt;175&lt;/key&gt;&lt;/foreign-keys&gt;&lt;ref-type name="Journal Article"&gt;17&lt;/ref-type&gt;&lt;contributors&gt;&lt;authors&gt;&lt;author&gt;Slesnick, Natasha&lt;/author&gt;&lt;author&gt;Feng, Xin&lt;/author&gt;&lt;author&gt;Brakenhoff, Brittany&lt;/author&gt;&lt;author&gt;Brigham, Gregory S.&lt;/author&gt;&lt;/authors&gt;&lt;/contributors&gt;&lt;titles&gt;&lt;title&gt;Parenting under the influence: The effects of opioids, alcohol and cocaine on mother–child interaction&lt;/title&gt;&lt;secondary-title&gt;Addictive Behaviors&lt;/secondary-title&gt;&lt;/titles&gt;&lt;periodical&gt;&lt;full-title&gt;Addictive Behaviors&lt;/full-title&gt;&lt;/periodical&gt;&lt;pages&gt;897-900&lt;/pages&gt;&lt;volume&gt;39&lt;/volume&gt;&lt;number&gt;5&lt;/number&gt;&lt;keywords&gt;&lt;keyword&gt;Parenting&lt;/keyword&gt;&lt;keyword&gt;Observational methods&lt;/keyword&gt;&lt;keyword&gt;Parent–child interaction&lt;/keyword&gt;&lt;keyword&gt;Opioid&lt;/keyword&gt;&lt;keyword&gt;Alcohol and cocaine use&lt;/keyword&gt;&lt;/keywords&gt;&lt;dates&gt;&lt;year&gt;2014&lt;/year&gt;&lt;pub-dates&gt;&lt;date&gt;2014/05/01/&lt;/date&gt;&lt;/pub-dates&gt;&lt;/dates&gt;&lt;isbn&gt;0306-4603&lt;/isbn&gt;&lt;urls&gt;&lt;related-urls&gt;&lt;url&gt;https://www.sciencedirect.com/science/article/pii/S0306460314000331&lt;/url&gt;&lt;/related-urls&gt;&lt;/urls&gt;&lt;electronic-resource-num&gt;https://doi.org/10.1016/j.addbeh.2014.02.003&lt;/electronic-resource-num&gt;&lt;/record&gt;&lt;/Cite&gt;&lt;/EndNote&gt;</w:instrText>
      </w:r>
      <w:r w:rsidR="00753470">
        <w:fldChar w:fldCharType="separate"/>
      </w:r>
      <w:r w:rsidR="00A77498">
        <w:rPr>
          <w:noProof/>
        </w:rPr>
        <w:t>Slesnick et al. (2014)</w:t>
      </w:r>
      <w:r w:rsidR="00753470">
        <w:fldChar w:fldCharType="end"/>
      </w:r>
      <w:r w:rsidR="00753470">
        <w:t xml:space="preserve"> observed that in terms of parenting skills and maternal-child dyads, mothers with an opioid, alcohol or cocaine use disorder generally struggled, with alcohol using mothers appearing to struggle the most. Among fathers, substance use generally is associated with poor dyads in terms of relationship tensions, hostility, aggressiveness and child maltreatment </w:t>
      </w:r>
      <w:r w:rsidR="00753470">
        <w:fldChar w:fldCharType="begin"/>
      </w:r>
      <w:r w:rsidR="00B9334F">
        <w:instrText xml:space="preserve"> ADDIN EN.CITE &lt;EndNote&gt;&lt;Cite&gt;&lt;Author&gt;Lee&lt;/Author&gt;&lt;Year&gt;2021&lt;/Year&gt;&lt;RecNum&gt;232&lt;/RecNum&gt;&lt;DisplayText&gt;(Lee et al., 2021)&lt;/DisplayText&gt;&lt;record&gt;&lt;rec-number&gt;232&lt;/rec-number&gt;&lt;foreign-keys&gt;&lt;key app="EN" db-id="ffzvr5fstavwxoe9v04xf0wmp5t50as52da0" timestamp="1731671651" guid="3633c223-f673-47e9-a7ea-614a744526e8"&gt;232&lt;/key&gt;&lt;/foreign-keys&gt;&lt;ref-type name="Journal Article"&gt;17&lt;/ref-type&gt;&lt;contributors&gt;&lt;authors&gt;&lt;author&gt;Lee, Jovin Jie Ning&lt;/author&gt;&lt;author&gt;Cataldo, Ilaria&lt;/author&gt;&lt;author&gt;Coppola, Aurora&lt;/author&gt;&lt;author&gt;Corazza, Ornella&lt;/author&gt;&lt;author&gt;Esposito, Gianluca&lt;/author&gt;&lt;/authors&gt;&lt;/contributors&gt;&lt;titles&gt;&lt;title&gt;Mind the dad–A review on the biopsychosocial influences of drug abuse on father-infant interaction&lt;/title&gt;&lt;secondary-title&gt;Emerging Trends in Drugs, Addictions, and Health&lt;/secondary-title&gt;&lt;/titles&gt;&lt;periodical&gt;&lt;full-title&gt;Emerging Trends in Drugs, Addictions, and Health&lt;/full-title&gt;&lt;/periodical&gt;&lt;pages&gt;100015&lt;/pages&gt;&lt;volume&gt;1&lt;/volume&gt;&lt;keywords&gt;&lt;keyword&gt;Substance use disorder&lt;/keyword&gt;&lt;keyword&gt;Fatherhood&lt;/keyword&gt;&lt;keyword&gt;Parenting&lt;/keyword&gt;&lt;keyword&gt;Fathers&lt;/keyword&gt;&lt;keyword&gt;Drug abuse&lt;/keyword&gt;&lt;keyword&gt;Father-infant&lt;/keyword&gt;&lt;keyword&gt;Father-infant interaction&lt;/keyword&gt;&lt;/keywords&gt;&lt;dates&gt;&lt;year&gt;2021&lt;/year&gt;&lt;pub-dates&gt;&lt;date&gt;2021/01/01/&lt;/date&gt;&lt;/pub-dates&gt;&lt;/dates&gt;&lt;isbn&gt;2667-1182&lt;/isbn&gt;&lt;urls&gt;&lt;related-urls&gt;&lt;url&gt;https://www.sciencedirect.com/science/article/pii/S2667118221000131&lt;/url&gt;&lt;/related-urls&gt;&lt;/urls&gt;&lt;electronic-resource-num&gt;https://doi.org/10.1016/j.etdah.2021.100015&lt;/electronic-resource-num&gt;&lt;/record&gt;&lt;/Cite&gt;&lt;/EndNote&gt;</w:instrText>
      </w:r>
      <w:r w:rsidR="00753470">
        <w:fldChar w:fldCharType="separate"/>
      </w:r>
      <w:r w:rsidR="00A77498">
        <w:rPr>
          <w:noProof/>
        </w:rPr>
        <w:t>(Lee et al., 2021)</w:t>
      </w:r>
      <w:r w:rsidR="00753470">
        <w:fldChar w:fldCharType="end"/>
      </w:r>
      <w:r w:rsidR="00753470">
        <w:t xml:space="preserve">. </w:t>
      </w:r>
    </w:p>
    <w:p w14:paraId="5CF19689" w14:textId="77777777" w:rsidR="003C42E1" w:rsidRDefault="003C42E1" w:rsidP="00737297">
      <w:pPr>
        <w:pStyle w:val="NoSpacing"/>
        <w:spacing w:line="360" w:lineRule="auto"/>
      </w:pPr>
    </w:p>
    <w:p w14:paraId="5966B117" w14:textId="680A73B1" w:rsidR="00BA61C0" w:rsidRDefault="00BA61C0" w:rsidP="00737297">
      <w:pPr>
        <w:pStyle w:val="NoSpacing"/>
        <w:spacing w:line="360" w:lineRule="auto"/>
        <w:rPr>
          <w:noProof/>
        </w:rPr>
      </w:pPr>
      <w:r>
        <w:rPr>
          <w:noProof/>
        </w:rPr>
        <w:lastRenderedPageBreak/>
        <w:t xml:space="preserve">A recent study compared the results of brain activity (via </w:t>
      </w:r>
      <w:r w:rsidRPr="00EF466C">
        <w:rPr>
          <w:noProof/>
        </w:rPr>
        <w:t>functional magnetic resonance imaging</w:t>
      </w:r>
      <w:r>
        <w:rPr>
          <w:noProof/>
        </w:rPr>
        <w:t>)</w:t>
      </w:r>
      <w:r w:rsidRPr="00EF466C">
        <w:rPr>
          <w:noProof/>
        </w:rPr>
        <w:t xml:space="preserve"> </w:t>
      </w:r>
      <w:r>
        <w:rPr>
          <w:noProof/>
        </w:rPr>
        <w:t xml:space="preserve">and personal feelings and thoughts </w:t>
      </w:r>
      <w:r w:rsidRPr="00EF466C">
        <w:rPr>
          <w:noProof/>
        </w:rPr>
        <w:t>while seeing</w:t>
      </w:r>
      <w:r w:rsidR="000B5A81">
        <w:rPr>
          <w:noProof/>
        </w:rPr>
        <w:t xml:space="preserve"> </w:t>
      </w:r>
      <w:r w:rsidRPr="00EF466C">
        <w:rPr>
          <w:noProof/>
        </w:rPr>
        <w:t>infant </w:t>
      </w:r>
      <w:hyperlink r:id="rId13" w:tooltip="Learn more about faces from ScienceDirect's AI-generated Topic Pages" w:history="1">
        <w:r w:rsidRPr="00EF466C">
          <w:rPr>
            <w:noProof/>
          </w:rPr>
          <w:t>faces</w:t>
        </w:r>
      </w:hyperlink>
      <w:r w:rsidRPr="00EF466C">
        <w:rPr>
          <w:noProof/>
        </w:rPr>
        <w:t> and </w:t>
      </w:r>
      <w:hyperlink r:id="rId14" w:tooltip="Learn more about hearing from ScienceDirect's AI-generated Topic Pages" w:history="1">
        <w:r w:rsidRPr="00EF466C">
          <w:rPr>
            <w:noProof/>
          </w:rPr>
          <w:t>hearing</w:t>
        </w:r>
      </w:hyperlink>
      <w:r w:rsidRPr="00EF466C">
        <w:rPr>
          <w:noProof/>
        </w:rPr>
        <w:t> infant cries between mothers who used substances during the perinatal period and mothers who did no</w:t>
      </w:r>
      <w:r>
        <w:rPr>
          <w:noProof/>
        </w:rPr>
        <w:t>t</w:t>
      </w:r>
      <w:r w:rsidRPr="00EF466C">
        <w:rPr>
          <w:noProof/>
        </w:rPr>
        <w:t xml:space="preserve">. </w:t>
      </w:r>
      <w:r>
        <w:rPr>
          <w:noProof/>
        </w:rPr>
        <w:t>The researchers found that maternal substance use was associated with less affective empathy</w:t>
      </w:r>
      <w:r w:rsidR="00420C71">
        <w:rPr>
          <w:noProof/>
        </w:rPr>
        <w:t xml:space="preserve"> (i.e. </w:t>
      </w:r>
      <w:r>
        <w:rPr>
          <w:noProof/>
        </w:rPr>
        <w:t>the ability to share the feelings of the infant</w:t>
      </w:r>
      <w:r w:rsidR="00420C71">
        <w:rPr>
          <w:noProof/>
        </w:rPr>
        <w:t>)</w:t>
      </w:r>
      <w:r>
        <w:rPr>
          <w:noProof/>
        </w:rPr>
        <w:t xml:space="preserve"> without any personal direct emotional stimulation</w:t>
      </w:r>
      <w:r w:rsidR="00113734">
        <w:rPr>
          <w:noProof/>
        </w:rPr>
        <w:t xml:space="preserve"> </w:t>
      </w:r>
      <w:r w:rsidR="00E34ABE">
        <w:rPr>
          <w:noProof/>
        </w:rPr>
        <w:fldChar w:fldCharType="begin"/>
      </w:r>
      <w:r w:rsidR="00B9334F">
        <w:rPr>
          <w:noProof/>
        </w:rPr>
        <w:instrText xml:space="preserve"> ADDIN EN.CITE &lt;EndNote&gt;&lt;Cite&gt;&lt;Author&gt;McCurdy&lt;/Author&gt;&lt;Year&gt;2024&lt;/Year&gt;&lt;RecNum&gt;267&lt;/RecNum&gt;&lt;DisplayText&gt;(McCurdy et al., 2024)&lt;/DisplayText&gt;&lt;record&gt;&lt;rec-number&gt;267&lt;/rec-number&gt;&lt;foreign-keys&gt;&lt;key app="EN" db-id="ffzvr5fstavwxoe9v04xf0wmp5t50as52da0" timestamp="1731671653" guid="25013479-66b1-43fa-8b3a-58b1850da681"&gt;267&lt;/key&gt;&lt;/foreign-keys&gt;&lt;ref-type name="Journal Article"&gt;17&lt;/ref-type&gt;&lt;contributors&gt;&lt;authors&gt;&lt;author&gt;McCurdy, Li Yan&lt;/author&gt;&lt;author&gt;Yip, Sarah W.&lt;/author&gt;&lt;author&gt;Worhunsky, Patrick D.&lt;/author&gt;&lt;author&gt;Zhai, Zu Wei&lt;/author&gt;&lt;author&gt;Kim, Sohye&lt;/author&gt;&lt;author&gt;Strathearn, Lane&lt;/author&gt;&lt;author&gt;Potenza, Marc N.&lt;/author&gt;&lt;author&gt;Mayes, Linda C.&lt;/author&gt;&lt;author&gt;Rutherford, Helena J. V.&lt;/author&gt;&lt;/authors&gt;&lt;/contributors&gt;&lt;titles&gt;&lt;title&gt;Neural correlates of altered emotional responsivity to infant stimuli in mothers who use substances&lt;/title&gt;&lt;secondary-title&gt;Journal of Psychiatric Research&lt;/secondary-title&gt;&lt;/titles&gt;&lt;periodical&gt;&lt;full-title&gt;Journal of Psychiatric Research&lt;/full-title&gt;&lt;/periodical&gt;&lt;pages&gt;126-133&lt;/pages&gt;&lt;volume&gt;171&lt;/volume&gt;&lt;keywords&gt;&lt;keyword&gt;Addictive behaviors&lt;/keyword&gt;&lt;keyword&gt;Motherhood&lt;/keyword&gt;&lt;keyword&gt;Infant stimuli&lt;/keyword&gt;&lt;keyword&gt;Emotional responses&lt;/keyword&gt;&lt;keyword&gt;Substance use&lt;/keyword&gt;&lt;/keywords&gt;&lt;dates&gt;&lt;year&gt;2024&lt;/year&gt;&lt;pub-dates&gt;&lt;date&gt;2024/03/01/&lt;/date&gt;&lt;/pub-dates&gt;&lt;/dates&gt;&lt;isbn&gt;0022-3956&lt;/isbn&gt;&lt;urls&gt;&lt;related-urls&gt;&lt;url&gt;https://www.sciencedirect.com/science/article/pii/S0022395624000335&lt;/url&gt;&lt;/related-urls&gt;&lt;/urls&gt;&lt;electronic-resource-num&gt;https://doi.org/10.1016/j.jpsychires.2024.01.024&lt;/electronic-resource-num&gt;&lt;/record&gt;&lt;/Cite&gt;&lt;/EndNote&gt;</w:instrText>
      </w:r>
      <w:r w:rsidR="00E34ABE">
        <w:rPr>
          <w:noProof/>
        </w:rPr>
        <w:fldChar w:fldCharType="separate"/>
      </w:r>
      <w:r w:rsidR="00A77498">
        <w:rPr>
          <w:noProof/>
        </w:rPr>
        <w:t>(McCurdy et al., 2024)</w:t>
      </w:r>
      <w:r w:rsidR="00E34ABE">
        <w:rPr>
          <w:noProof/>
        </w:rPr>
        <w:fldChar w:fldCharType="end"/>
      </w:r>
      <w:r>
        <w:rPr>
          <w:noProof/>
        </w:rPr>
        <w:t>. However, ascer</w:t>
      </w:r>
      <w:r w:rsidR="00113734">
        <w:rPr>
          <w:noProof/>
        </w:rPr>
        <w:t>taini</w:t>
      </w:r>
      <w:r>
        <w:rPr>
          <w:noProof/>
        </w:rPr>
        <w:t>ng whether differences in responses were associated with differences in caregivi</w:t>
      </w:r>
      <w:r w:rsidR="003907F9">
        <w:rPr>
          <w:noProof/>
        </w:rPr>
        <w:t>n</w:t>
      </w:r>
      <w:r>
        <w:rPr>
          <w:noProof/>
        </w:rPr>
        <w:t xml:space="preserve">g abilities was beyond the scope of the study. </w:t>
      </w:r>
    </w:p>
    <w:p w14:paraId="2D9AB8A5" w14:textId="77777777" w:rsidR="00BA61C0" w:rsidRDefault="00BA61C0" w:rsidP="00737297">
      <w:pPr>
        <w:pStyle w:val="NoSpacing"/>
        <w:spacing w:line="360" w:lineRule="auto"/>
      </w:pPr>
    </w:p>
    <w:p w14:paraId="2B14FCC8" w14:textId="5D705899" w:rsidR="008B00E0" w:rsidRDefault="008B00E0" w:rsidP="00737297">
      <w:pPr>
        <w:pStyle w:val="NoSpacing"/>
        <w:spacing w:line="360" w:lineRule="auto"/>
        <w:rPr>
          <w:noProof/>
        </w:rPr>
      </w:pPr>
      <w:r>
        <w:t xml:space="preserve">In her content analysis review of five UK- and two US-based studies of how parental substance use </w:t>
      </w:r>
      <w:r w:rsidR="00A24106">
        <w:t xml:space="preserve">can </w:t>
      </w:r>
      <w:r w:rsidR="007D6DEC">
        <w:t>a</w:t>
      </w:r>
      <w:r>
        <w:t xml:space="preserve">ffect children, </w:t>
      </w:r>
      <w:r>
        <w:fldChar w:fldCharType="begin"/>
      </w:r>
      <w:r w:rsidR="00B9334F">
        <w:instrText xml:space="preserve"> ADDIN EN.CITE &lt;EndNote&gt;&lt;Cite AuthorYear="1"&gt;&lt;Author&gt;Kroll&lt;/Author&gt;&lt;Year&gt;2004&lt;/Year&gt;&lt;RecNum&gt;29&lt;/RecNum&gt;&lt;DisplayText&gt;Kroll (2004)&lt;/DisplayText&gt;&lt;record&gt;&lt;rec-number&gt;29&lt;/rec-number&gt;&lt;foreign-keys&gt;&lt;key app="EN" db-id="ffzvr5fstavwxoe9v04xf0wmp5t50as52da0" timestamp="1731671637" guid="fb777819-1ed3-40a5-a9ac-0097ad1b6293"&gt;29&lt;/key&gt;&lt;/foreign-keys&gt;&lt;ref-type name="Journal Article"&gt;17&lt;/ref-type&gt;&lt;contributors&gt;&lt;authors&gt;&lt;author&gt;Brynna Kroll&lt;/author&gt;&lt;/authors&gt;&lt;/contributors&gt;&lt;titles&gt;&lt;title&gt;Living with an elephant: Growing up with parental substance misuse&lt;/title&gt;&lt;secondary-title&gt;Child &amp;amp; Family Social Work&lt;/secondary-title&gt;&lt;/titles&gt;&lt;periodical&gt;&lt;full-title&gt;Child &amp;amp; Family Social Work&lt;/full-title&gt;&lt;/periodical&gt;&lt;pages&gt;129-140&lt;/pages&gt;&lt;volume&gt;9&lt;/volume&gt;&lt;number&gt;2&lt;/number&gt;&lt;dates&gt;&lt;year&gt;2004&lt;/year&gt;&lt;/dates&gt;&lt;isbn&gt;1356-7500&lt;/isbn&gt;&lt;urls&gt;&lt;related-urls&gt;&lt;url&gt;https://onlinelibrary.wiley.com/doi/abs/10.1111/j.1365-2206.2004.00325.x&lt;/url&gt;&lt;/related-urls&gt;&lt;/urls&gt;&lt;electronic-resource-num&gt;10.1111/j.1365-2206.2004.00325.x&lt;/electronic-resource-num&gt;&lt;/record&gt;&lt;/Cite&gt;&lt;/EndNote&gt;</w:instrText>
      </w:r>
      <w:r>
        <w:fldChar w:fldCharType="separate"/>
      </w:r>
      <w:r>
        <w:rPr>
          <w:noProof/>
        </w:rPr>
        <w:t>Kroll (2004)</w:t>
      </w:r>
      <w:r>
        <w:fldChar w:fldCharType="end"/>
      </w:r>
      <w:r>
        <w:t xml:space="preserve"> </w:t>
      </w:r>
      <w:r w:rsidR="00CC5EA2">
        <w:t>identified six themes</w:t>
      </w:r>
      <w:r>
        <w:t xml:space="preserve"> </w:t>
      </w:r>
      <w:r w:rsidR="00A24106">
        <w:t xml:space="preserve">affecting </w:t>
      </w:r>
      <w:r w:rsidR="007D6DEC">
        <w:t>relationships</w:t>
      </w:r>
      <w:r>
        <w:t xml:space="preserve">: </w:t>
      </w:r>
    </w:p>
    <w:p w14:paraId="5F3244A5" w14:textId="4FAAE157" w:rsidR="008B00E0" w:rsidRPr="00606DC5" w:rsidRDefault="008B00E0" w:rsidP="009C3BBC">
      <w:pPr>
        <w:pStyle w:val="NoSpacing"/>
        <w:numPr>
          <w:ilvl w:val="0"/>
          <w:numId w:val="16"/>
        </w:numPr>
        <w:spacing w:line="360" w:lineRule="auto"/>
        <w:rPr>
          <w:i/>
        </w:rPr>
      </w:pPr>
      <w:r>
        <w:t>‘D</w:t>
      </w:r>
      <w:r w:rsidRPr="00606DC5">
        <w:t>enial, distortion and secrecy</w:t>
      </w:r>
      <w:r>
        <w:t>’: families not discussing or acknowledging the ‘elephant in the room’ which can lead to separation from wider family members and the community</w:t>
      </w:r>
      <w:r w:rsidR="00CC5EA2">
        <w:t>.</w:t>
      </w:r>
    </w:p>
    <w:p w14:paraId="26804C6E" w14:textId="77777777" w:rsidR="008B00E0" w:rsidRPr="00606DC5" w:rsidRDefault="008B00E0" w:rsidP="00072A75">
      <w:pPr>
        <w:pStyle w:val="NoSpacing"/>
        <w:spacing w:line="240" w:lineRule="auto"/>
        <w:rPr>
          <w:i/>
        </w:rPr>
      </w:pPr>
    </w:p>
    <w:p w14:paraId="2300CD50" w14:textId="77777777" w:rsidR="008B00E0" w:rsidRPr="00AE066C" w:rsidRDefault="008B00E0" w:rsidP="009C3BBC">
      <w:pPr>
        <w:pStyle w:val="NoSpacing"/>
        <w:numPr>
          <w:ilvl w:val="0"/>
          <w:numId w:val="16"/>
        </w:numPr>
        <w:spacing w:line="360" w:lineRule="auto"/>
        <w:rPr>
          <w:i/>
        </w:rPr>
      </w:pPr>
      <w:r>
        <w:t xml:space="preserve">‘Attachment, separation and loss’: parents not being dependable or approachable potentially leaving children to feel abandoned; children losing self-worth, and parents temporarily being lost due to incarceration or family court proceedings. </w:t>
      </w:r>
    </w:p>
    <w:p w14:paraId="70D13620" w14:textId="77777777" w:rsidR="008B00E0" w:rsidRPr="00AE066C" w:rsidRDefault="008B00E0" w:rsidP="00737297">
      <w:pPr>
        <w:pStyle w:val="NoSpacing"/>
        <w:spacing w:line="360" w:lineRule="auto"/>
        <w:rPr>
          <w:i/>
        </w:rPr>
      </w:pPr>
    </w:p>
    <w:p w14:paraId="63E48A01" w14:textId="70210E70" w:rsidR="008B00E0" w:rsidRDefault="008B00E0" w:rsidP="009C3BBC">
      <w:pPr>
        <w:pStyle w:val="NoSpacing"/>
        <w:numPr>
          <w:ilvl w:val="0"/>
          <w:numId w:val="16"/>
        </w:numPr>
        <w:spacing w:line="360" w:lineRule="auto"/>
        <w:rPr>
          <w:i/>
        </w:rPr>
      </w:pPr>
      <w:r>
        <w:t>‘Family functioning, conflict and breakdown’: parental conflict was experienced by all families in the study causing stress and, in some cases, separation</w:t>
      </w:r>
      <w:r w:rsidR="00CC5EA2">
        <w:t>.</w:t>
      </w:r>
    </w:p>
    <w:p w14:paraId="44791CE2" w14:textId="77777777" w:rsidR="00D85D44" w:rsidRPr="00D85D44" w:rsidRDefault="00D85D44" w:rsidP="00737297">
      <w:pPr>
        <w:pStyle w:val="NoSpacing"/>
        <w:spacing w:line="360" w:lineRule="auto"/>
        <w:ind w:left="720"/>
        <w:rPr>
          <w:i/>
        </w:rPr>
      </w:pPr>
    </w:p>
    <w:p w14:paraId="518F3D1A" w14:textId="117FDF96" w:rsidR="008B00E0" w:rsidRPr="00C4270E" w:rsidRDefault="008B00E0" w:rsidP="009C3BBC">
      <w:pPr>
        <w:pStyle w:val="NoSpacing"/>
        <w:numPr>
          <w:ilvl w:val="0"/>
          <w:numId w:val="16"/>
        </w:numPr>
        <w:spacing w:line="360" w:lineRule="auto"/>
        <w:rPr>
          <w:i/>
        </w:rPr>
      </w:pPr>
      <w:r>
        <w:t xml:space="preserve">‘Violence, abuse and living with fear’: violence by substance users, particular those </w:t>
      </w:r>
      <w:r w:rsidR="00E75A98">
        <w:t>with alcohol use disorder</w:t>
      </w:r>
      <w:r>
        <w:t>, was common in the families, causing fear in children</w:t>
      </w:r>
      <w:r w:rsidR="00CC5EA2">
        <w:t>.</w:t>
      </w:r>
    </w:p>
    <w:p w14:paraId="7F27E822" w14:textId="77777777" w:rsidR="008B00E0" w:rsidRPr="00606DC5" w:rsidRDefault="008B00E0" w:rsidP="00737297">
      <w:pPr>
        <w:pStyle w:val="NoSpacing"/>
        <w:spacing w:line="360" w:lineRule="auto"/>
        <w:rPr>
          <w:i/>
        </w:rPr>
      </w:pPr>
    </w:p>
    <w:p w14:paraId="39014A73" w14:textId="4DEB1D01" w:rsidR="008B00E0" w:rsidRPr="00C4270E" w:rsidRDefault="008B00E0" w:rsidP="009C3BBC">
      <w:pPr>
        <w:pStyle w:val="NoSpacing"/>
        <w:numPr>
          <w:ilvl w:val="0"/>
          <w:numId w:val="16"/>
        </w:numPr>
        <w:spacing w:line="360" w:lineRule="auto"/>
        <w:rPr>
          <w:i/>
        </w:rPr>
      </w:pPr>
      <w:r>
        <w:t xml:space="preserve">‘Role reversal, role confusion and the child as a carer’: children having to look after their parents places a heavy toll on their lives and their resilience increases the likelihood of them slipping through the net of </w:t>
      </w:r>
      <w:r w:rsidR="00C42D49">
        <w:t>statutory child welfare</w:t>
      </w:r>
      <w:r>
        <w:t xml:space="preserve"> support.  </w:t>
      </w:r>
    </w:p>
    <w:p w14:paraId="0191FF6A" w14:textId="77777777" w:rsidR="008B00E0" w:rsidRPr="00C4270E" w:rsidRDefault="008B00E0" w:rsidP="00737297">
      <w:pPr>
        <w:pStyle w:val="NoSpacing"/>
        <w:spacing w:line="360" w:lineRule="auto"/>
        <w:rPr>
          <w:i/>
        </w:rPr>
      </w:pPr>
    </w:p>
    <w:p w14:paraId="59002C9F" w14:textId="49024477" w:rsidR="008B00E0" w:rsidRPr="00C4270E" w:rsidRDefault="008B00E0" w:rsidP="009C3BBC">
      <w:pPr>
        <w:pStyle w:val="NoSpacing"/>
        <w:numPr>
          <w:ilvl w:val="0"/>
          <w:numId w:val="16"/>
        </w:numPr>
        <w:spacing w:line="360" w:lineRule="auto"/>
        <w:rPr>
          <w:i/>
        </w:rPr>
      </w:pPr>
      <w:r>
        <w:lastRenderedPageBreak/>
        <w:t xml:space="preserve">‘What children said they needed’: children needing support, both during </w:t>
      </w:r>
      <w:r w:rsidR="006747A2">
        <w:t>periods of parental substance use</w:t>
      </w:r>
      <w:r>
        <w:t xml:space="preserve"> and after recovery to help them adjust</w:t>
      </w:r>
      <w:r w:rsidR="00CC5EA2">
        <w:t>.</w:t>
      </w:r>
      <w:r>
        <w:t xml:space="preserve"> </w:t>
      </w:r>
    </w:p>
    <w:p w14:paraId="76BCA28E" w14:textId="77777777" w:rsidR="008B00E0" w:rsidRDefault="008B00E0" w:rsidP="00737297">
      <w:pPr>
        <w:pStyle w:val="NoSpacing"/>
        <w:spacing w:line="360" w:lineRule="auto"/>
      </w:pPr>
    </w:p>
    <w:p w14:paraId="3DB5223D" w14:textId="764F8C3B" w:rsidR="008B00E0" w:rsidRDefault="008B00E0" w:rsidP="00737297">
      <w:pPr>
        <w:pStyle w:val="NoSpacing"/>
        <w:spacing w:line="360" w:lineRule="auto"/>
      </w:pPr>
      <w:r>
        <w:t xml:space="preserve">Such findings are not uncommon. Interviews with adult family members of people </w:t>
      </w:r>
      <w:r w:rsidR="0044760F">
        <w:t xml:space="preserve">with SUD </w:t>
      </w:r>
      <w:r>
        <w:t xml:space="preserve">in three cultures (Mexico, England and indigenous communities in Australia) provided qualitative evidence that children growing up in such households </w:t>
      </w:r>
      <w:r w:rsidR="00A619C8">
        <w:t xml:space="preserve">with parental SUD </w:t>
      </w:r>
      <w:r>
        <w:t>experienced stress, depression</w:t>
      </w:r>
      <w:r w:rsidR="00164FE6">
        <w:t xml:space="preserve"> </w:t>
      </w:r>
      <w:r>
        <w:t>and great concern for their parent</w:t>
      </w:r>
      <w:r w:rsidR="00895A5B">
        <w:rPr>
          <w:rStyle w:val="CommentReference"/>
          <w:rFonts w:cstheme="minorBidi"/>
        </w:rPr>
        <w:t xml:space="preserve">. </w:t>
      </w:r>
      <w:r w:rsidR="00895A5B">
        <w:t>Par</w:t>
      </w:r>
      <w:r>
        <w:t>ticipants also reported school work being affected and children being left hungry</w:t>
      </w:r>
      <w:r w:rsidR="00895A5B">
        <w:t xml:space="preserve"> </w:t>
      </w:r>
      <w:r w:rsidR="00895A5B">
        <w:fldChar w:fldCharType="begin"/>
      </w:r>
      <w:r w:rsidR="00B9334F">
        <w:instrText xml:space="preserve"> ADDIN EN.CITE &lt;EndNote&gt;&lt;Cite&gt;&lt;Author&gt;Orford&lt;/Author&gt;&lt;Year&gt;2005&lt;/Year&gt;&lt;RecNum&gt;82&lt;/RecNum&gt;&lt;DisplayText&gt;(Orford et al., 2005)&lt;/DisplayText&gt;&lt;record&gt;&lt;rec-number&gt;82&lt;/rec-number&gt;&lt;foreign-keys&gt;&lt;key app="EN" db-id="ffzvr5fstavwxoe9v04xf0wmp5t50as52da0" timestamp="1731671641" guid="0ab36dfc-3984-4b12-9c5f-55f90aa616d8"&gt;82&lt;/key&gt;&lt;/foreign-keys&gt;&lt;ref-type name="Book"&gt;6&lt;/ref-type&gt;&lt;contributors&gt;&lt;authors&gt;&lt;author&gt;Orford, J&lt;/author&gt;&lt;author&gt;Natera, G&lt;/author&gt;&lt;author&gt;Copello, A&lt;/author&gt;&lt;author&gt;Atkinson, C&lt;/author&gt;&lt;author&gt;Tiburcio, M&lt;/author&gt;&lt;author&gt;Velleman, R&lt;/author&gt;&lt;author&gt;Crundall, I&lt;/author&gt;&lt;author&gt;Mora, J&lt;/author&gt;&lt;author&gt;Templeton, L&lt;/author&gt;&lt;author&gt;Walley, G&lt;/author&gt;&lt;/authors&gt;&lt;/contributors&gt;&lt;titles&gt;&lt;title&gt;Coping with Alcohol and Drug Problems: The Experiences of Family Members in Three Contrasting Cultures&lt;/title&gt;&lt;/titles&gt;&lt;dates&gt;&lt;year&gt;2005&lt;/year&gt;&lt;/dates&gt;&lt;pub-location&gt;London&lt;/pub-location&gt;&lt;publisher&gt;Taylor and Francis&lt;/publisher&gt;&lt;urls&gt;&lt;/urls&gt;&lt;/record&gt;&lt;/Cite&gt;&lt;/EndNote&gt;</w:instrText>
      </w:r>
      <w:r w:rsidR="00895A5B">
        <w:fldChar w:fldCharType="separate"/>
      </w:r>
      <w:r w:rsidR="00A77498">
        <w:rPr>
          <w:noProof/>
        </w:rPr>
        <w:t>(Orford et al., 2005)</w:t>
      </w:r>
      <w:r w:rsidR="00895A5B">
        <w:fldChar w:fldCharType="end"/>
      </w:r>
      <w:r>
        <w:t xml:space="preserve">.  </w:t>
      </w:r>
    </w:p>
    <w:p w14:paraId="54E3EDA5" w14:textId="77777777" w:rsidR="008B00E0" w:rsidRDefault="008B00E0" w:rsidP="00737297">
      <w:pPr>
        <w:pStyle w:val="NoSpacing"/>
        <w:spacing w:line="360" w:lineRule="auto"/>
      </w:pPr>
    </w:p>
    <w:p w14:paraId="0DD9BDC9" w14:textId="16EF7F94" w:rsidR="00294289" w:rsidRDefault="00294289" w:rsidP="0042328C">
      <w:pPr>
        <w:pStyle w:val="Heading4"/>
      </w:pPr>
      <w:r>
        <w:t>Child maltreatment</w:t>
      </w:r>
    </w:p>
    <w:p w14:paraId="58BDC1DA" w14:textId="7D862105" w:rsidR="000762F4" w:rsidRDefault="000762F4" w:rsidP="00737297">
      <w:pPr>
        <w:pStyle w:val="NoSpacing"/>
        <w:spacing w:line="360" w:lineRule="auto"/>
      </w:pPr>
      <w:r>
        <w:t xml:space="preserve">There are four generally recognised types of child maltreatment </w:t>
      </w:r>
      <w:r>
        <w:fldChar w:fldCharType="begin"/>
      </w:r>
      <w:r w:rsidR="00B9334F">
        <w:instrText xml:space="preserve"> ADDIN EN.CITE &lt;EndNote&gt;&lt;Cite&gt;&lt;Author&gt;Butchart&lt;/Author&gt;&lt;Year&gt;2006&lt;/Year&gt;&lt;RecNum&gt;83&lt;/RecNum&gt;&lt;DisplayText&gt;(Butchart &amp;amp; Harvey, 2006)&lt;/DisplayText&gt;&lt;record&gt;&lt;rec-number&gt;83&lt;/rec-number&gt;&lt;foreign-keys&gt;&lt;key app="EN" db-id="ffzvr5fstavwxoe9v04xf0wmp5t50as52da0" timestamp="1731671641" guid="8331c455-d0a9-4c66-991a-2d817fdaaf37"&gt;83&lt;/key&gt;&lt;/foreign-keys&gt;&lt;ref-type name="Generic"&gt;13&lt;/ref-type&gt;&lt;contributors&gt;&lt;authors&gt;&lt;author&gt;Alexander Butchart&lt;/author&gt;&lt;author&gt;Alison Phinney Harvey&lt;/author&gt;&lt;/authors&gt;&lt;/contributors&gt;&lt;titles&gt;&lt;title&gt;Preventing child maltreatment: a guide to taking action and generating evidence&lt;/title&gt;&lt;/titles&gt;&lt;dates&gt;&lt;year&gt;2006&lt;/year&gt;&lt;/dates&gt;&lt;pub-location&gt;France&lt;/pub-location&gt;&lt;publisher&gt;WHO and International Society for Prevention of Child Abuse and Neglect&lt;/publisher&gt;&lt;urls&gt;&lt;/urls&gt;&lt;/record&gt;&lt;/Cite&gt;&lt;/EndNote&gt;</w:instrText>
      </w:r>
      <w:r>
        <w:fldChar w:fldCharType="separate"/>
      </w:r>
      <w:r w:rsidR="003C6F70">
        <w:rPr>
          <w:noProof/>
        </w:rPr>
        <w:t>(Butchart &amp; Harvey, 2006)</w:t>
      </w:r>
      <w:r>
        <w:fldChar w:fldCharType="end"/>
      </w:r>
      <w:r>
        <w:t>:</w:t>
      </w:r>
    </w:p>
    <w:p w14:paraId="02C2A8A2" w14:textId="77777777" w:rsidR="000762F4" w:rsidRDefault="000762F4" w:rsidP="009C3BBC">
      <w:pPr>
        <w:pStyle w:val="NoSpacing"/>
        <w:numPr>
          <w:ilvl w:val="0"/>
          <w:numId w:val="26"/>
        </w:numPr>
        <w:spacing w:line="240" w:lineRule="auto"/>
      </w:pPr>
      <w:r>
        <w:t>Physical abuse</w:t>
      </w:r>
    </w:p>
    <w:p w14:paraId="00CBF991" w14:textId="77777777" w:rsidR="000762F4" w:rsidRDefault="000762F4" w:rsidP="009C3BBC">
      <w:pPr>
        <w:pStyle w:val="NoSpacing"/>
        <w:numPr>
          <w:ilvl w:val="0"/>
          <w:numId w:val="26"/>
        </w:numPr>
        <w:spacing w:line="240" w:lineRule="auto"/>
      </w:pPr>
      <w:r>
        <w:t>Sexual abuse</w:t>
      </w:r>
    </w:p>
    <w:p w14:paraId="2C31D153" w14:textId="77777777" w:rsidR="000762F4" w:rsidRDefault="000762F4" w:rsidP="009C3BBC">
      <w:pPr>
        <w:pStyle w:val="NoSpacing"/>
        <w:numPr>
          <w:ilvl w:val="0"/>
          <w:numId w:val="26"/>
        </w:numPr>
        <w:spacing w:line="240" w:lineRule="auto"/>
      </w:pPr>
      <w:r>
        <w:t>Emotional or psychological abuse</w:t>
      </w:r>
    </w:p>
    <w:p w14:paraId="0E38169F" w14:textId="77777777" w:rsidR="000762F4" w:rsidRDefault="000762F4" w:rsidP="009C3BBC">
      <w:pPr>
        <w:pStyle w:val="NoSpacing"/>
        <w:numPr>
          <w:ilvl w:val="0"/>
          <w:numId w:val="26"/>
        </w:numPr>
        <w:spacing w:line="240" w:lineRule="auto"/>
      </w:pPr>
      <w:r>
        <w:t>Neglect</w:t>
      </w:r>
    </w:p>
    <w:p w14:paraId="18C87E4F" w14:textId="77777777" w:rsidR="000762F4" w:rsidRDefault="000762F4" w:rsidP="00D03D72">
      <w:pPr>
        <w:pStyle w:val="NoSpacing"/>
      </w:pPr>
    </w:p>
    <w:p w14:paraId="13B3FD2D" w14:textId="13CA2E5F" w:rsidR="008200A6" w:rsidRDefault="008200A6" w:rsidP="008200A6">
      <w:pPr>
        <w:pStyle w:val="NoSpacing"/>
      </w:pPr>
      <w:r>
        <w:t xml:space="preserve">Child exposure to domestic abuse can also be considered maltreatment </w:t>
      </w:r>
      <w:r>
        <w:fldChar w:fldCharType="begin"/>
      </w:r>
      <w:r w:rsidR="00B9334F">
        <w:instrText xml:space="preserve"> ADDIN EN.CITE &lt;EndNote&gt;&lt;Cite&gt;&lt;Author&gt;WHO&lt;/Author&gt;&lt;Year&gt;2016&lt;/Year&gt;&lt;RecNum&gt;84&lt;/RecNum&gt;&lt;DisplayText&gt;(WHO, 2016)&lt;/DisplayText&gt;&lt;record&gt;&lt;rec-number&gt;84&lt;/rec-number&gt;&lt;foreign-keys&gt;&lt;key app="EN" db-id="ffzvr5fstavwxoe9v04xf0wmp5t50as52da0" timestamp="1731671641" guid="245edd9d-c3ac-4f7f-a226-a3ea75a2c222"&gt;84&lt;/key&gt;&lt;/foreign-keys&gt;&lt;ref-type name="Web Page"&gt;12&lt;/ref-type&gt;&lt;contributors&gt;&lt;authors&gt;&lt;author&gt;WHO&lt;/author&gt;&lt;/authors&gt;&lt;/contributors&gt;&lt;titles&gt;&lt;title&gt;Child maltreatment. Factsheet&lt;/title&gt;&lt;/titles&gt;&lt;volume&gt;2019&lt;/volume&gt;&lt;number&gt;15/05/2019&lt;/number&gt;&lt;dates&gt;&lt;year&gt;2016&lt;/year&gt;&lt;/dates&gt;&lt;urls&gt;&lt;related-urls&gt;&lt;url&gt;https://www.who.int/en/news-room/fact-sheets/detail/child-maltreatment&lt;/url&gt;&lt;/related-urls&gt;&lt;/urls&gt;&lt;/record&gt;&lt;/Cite&gt;&lt;/EndNote&gt;</w:instrText>
      </w:r>
      <w:r>
        <w:fldChar w:fldCharType="separate"/>
      </w:r>
      <w:r w:rsidR="00A77498">
        <w:rPr>
          <w:noProof/>
        </w:rPr>
        <w:t>(WHO, 2016)</w:t>
      </w:r>
      <w:r>
        <w:fldChar w:fldCharType="end"/>
      </w:r>
      <w:r>
        <w:t xml:space="preserve">. </w:t>
      </w:r>
    </w:p>
    <w:p w14:paraId="18EB3DF1" w14:textId="77777777" w:rsidR="008200A6" w:rsidRDefault="008200A6" w:rsidP="00D03D72">
      <w:pPr>
        <w:pStyle w:val="NoSpacing"/>
      </w:pPr>
    </w:p>
    <w:p w14:paraId="5EA262CB" w14:textId="557C99E8" w:rsidR="000762F4" w:rsidRDefault="000762F4" w:rsidP="00D03D72">
      <w:pPr>
        <w:pStyle w:val="NoSpacing"/>
      </w:pPr>
      <w:r>
        <w:t xml:space="preserve">The </w:t>
      </w:r>
      <w:r w:rsidR="008200A6">
        <w:t>t</w:t>
      </w:r>
      <w:r>
        <w:t xml:space="preserve">erm ‘neglect’ is multifaceted. In the UK, it is defined as: </w:t>
      </w:r>
    </w:p>
    <w:p w14:paraId="16B4EFE3" w14:textId="77777777" w:rsidR="000762F4" w:rsidRPr="001847BA" w:rsidRDefault="000762F4" w:rsidP="00681864">
      <w:pPr>
        <w:pStyle w:val="NoSpacing"/>
        <w:spacing w:line="240" w:lineRule="auto"/>
        <w:ind w:left="720"/>
        <w:rPr>
          <w:i/>
        </w:rPr>
      </w:pPr>
      <w:r w:rsidRPr="005B1E31">
        <w:rPr>
          <w:i/>
        </w:rPr>
        <w:t xml:space="preserve">The persistent failure to meet a child’s basic physical and/or psychological needs, likely to result in the serious impairment of the child’s health or development. </w:t>
      </w:r>
      <w:r w:rsidRPr="00D77E21">
        <w:rPr>
          <w:i/>
        </w:rPr>
        <w:t>Neglect may occur during pregnancy as a result of maternal substance abuse</w:t>
      </w:r>
      <w:r>
        <w:rPr>
          <w:i/>
        </w:rPr>
        <w:t>….</w:t>
      </w:r>
    </w:p>
    <w:p w14:paraId="36638313" w14:textId="2F8FB9AB" w:rsidR="000762F4" w:rsidRDefault="000762F4" w:rsidP="00D03D72">
      <w:pPr>
        <w:pStyle w:val="NoSpacing"/>
        <w:ind w:left="720"/>
        <w:jc w:val="right"/>
      </w:pPr>
      <w:r>
        <w:fldChar w:fldCharType="begin"/>
      </w:r>
      <w:r w:rsidR="00B9334F">
        <w:instrText xml:space="preserve"> ADDIN EN.CITE &lt;EndNote&gt;&lt;Cite&gt;&lt;Author&gt;HM Government&lt;/Author&gt;&lt;Year&gt;2018&lt;/Year&gt;&lt;RecNum&gt;32&lt;/RecNum&gt;&lt;Pages&gt;104&lt;/Pages&gt;&lt;DisplayText&gt;(HM Government, 2018, p. 104)&lt;/DisplayText&gt;&lt;record&gt;&lt;rec-number&gt;32&lt;/rec-number&gt;&lt;foreign-keys&gt;&lt;key app="EN" db-id="ffzvr5fstavwxoe9v04xf0wmp5t50as52da0" timestamp="1731671637" guid="d8c02848-9bcb-4710-85da-768f45c658ca"&gt;32&lt;/key&gt;&lt;/foreign-keys&gt;&lt;ref-type name="Electronic Article"&gt;43&lt;/ref-type&gt;&lt;contributors&gt;&lt;authors&gt;&lt;author&gt;HM Government,&lt;/author&gt;&lt;/authors&gt;&lt;/contributors&gt;&lt;titles&gt;&lt;title&gt;Working Together to Safeguard Children: A guide to inter-agency working to safeguard and promote the welfare of children&lt;/title&gt;&lt;/titles&gt;&lt;dates&gt;&lt;year&gt;2018&lt;/year&gt;&lt;/dates&gt;&lt;urls&gt;&lt;related-urls&gt;&lt;url&gt;https://assets.publishing.service.gov.uk/government/uploads/system/uploads/attachment_data/file/779401/Working_Together_to_Safeguard-Children.pdf&lt;/url&gt;&lt;/related-urls&gt;&lt;/urls&gt;&lt;access-date&gt;26/04/2019&lt;/access-date&gt;&lt;/record&gt;&lt;/Cite&gt;&lt;/EndNote&gt;</w:instrText>
      </w:r>
      <w:r>
        <w:fldChar w:fldCharType="separate"/>
      </w:r>
      <w:r w:rsidR="003C6F70">
        <w:rPr>
          <w:noProof/>
        </w:rPr>
        <w:t>(HM Government, 2018, p. 104)</w:t>
      </w:r>
      <w:r>
        <w:fldChar w:fldCharType="end"/>
      </w:r>
    </w:p>
    <w:p w14:paraId="22A83ECE" w14:textId="41E68FA1" w:rsidR="000762F4" w:rsidRDefault="006D6B8A" w:rsidP="00737297">
      <w:pPr>
        <w:pStyle w:val="NoSpacing"/>
        <w:spacing w:line="360" w:lineRule="auto"/>
      </w:pPr>
      <w:r>
        <w:t>Examples include</w:t>
      </w:r>
      <w:r w:rsidR="005C71B9">
        <w:t xml:space="preserve"> </w:t>
      </w:r>
      <w:r w:rsidR="00B53027">
        <w:t xml:space="preserve">repeatedly not engaging with babies and children and/ or </w:t>
      </w:r>
      <w:r w:rsidR="005C71B9">
        <w:t xml:space="preserve">avoiding or forgetting to </w:t>
      </w:r>
      <w:r>
        <w:t>feed or wash</w:t>
      </w:r>
      <w:r w:rsidR="00A63D9C">
        <w:t xml:space="preserve"> </w:t>
      </w:r>
      <w:r w:rsidR="00B53027">
        <w:t xml:space="preserve">them. </w:t>
      </w:r>
    </w:p>
    <w:p w14:paraId="321763A0" w14:textId="42D45CAC" w:rsidR="000762F4" w:rsidRPr="000762F4" w:rsidRDefault="000762F4" w:rsidP="00737297">
      <w:pPr>
        <w:pStyle w:val="NoSpacing"/>
        <w:spacing w:line="360" w:lineRule="auto"/>
      </w:pPr>
    </w:p>
    <w:p w14:paraId="25051502" w14:textId="5EC1D7F0" w:rsidR="00753470" w:rsidRDefault="00753470" w:rsidP="00737297">
      <w:pPr>
        <w:pStyle w:val="NoSpacing"/>
        <w:spacing w:line="360" w:lineRule="auto"/>
      </w:pPr>
      <w:r>
        <w:t xml:space="preserve">It is important to acknowledge that not all children of parents or carers (hereafter ‘parents’) with an SUD experience child maltreatment. For example, </w:t>
      </w:r>
      <w:r>
        <w:fldChar w:fldCharType="begin"/>
      </w:r>
      <w:r w:rsidR="00B9334F">
        <w:instrText xml:space="preserve"> ADDIN EN.CITE &lt;EndNote&gt;&lt;Cite AuthorYear="1"&gt;&lt;Author&gt;Taplin&lt;/Author&gt;&lt;Year&gt;2013&lt;/Year&gt;&lt;RecNum&gt;37&lt;/RecNum&gt;&lt;DisplayText&gt;Taplin and Mattick (2013)&lt;/DisplayText&gt;&lt;record&gt;&lt;rec-number&gt;37&lt;/rec-number&gt;&lt;foreign-keys&gt;&lt;key app="EN" db-id="ffzvr5fstavwxoe9v04xf0wmp5t50as52da0" timestamp="1731671638" guid="3bae7789-f6ed-4eb1-b356-fc83c754e918"&gt;37&lt;/key&gt;&lt;/foreign-keys&gt;&lt;ref-type name="Journal Article"&gt;17&lt;/ref-type&gt;&lt;contributors&gt;&lt;authors&gt;&lt;author&gt;Taplin, Stephanie&lt;/author&gt;&lt;author&gt;Mattick, Richard P.&lt;/author&gt;&lt;/authors&gt;&lt;/contributors&gt;&lt;titles&gt;&lt;title&gt;Mothers in methadone treatment and their involvement with the child protection system: A replication and extension study&lt;/title&gt;&lt;secondary-title&gt;Child Abuse &amp;amp; Neglect&lt;/secondary-title&gt;&lt;/titles&gt;&lt;periodical&gt;&lt;full-title&gt;Child Abuse &amp;amp; Neglect&lt;/full-title&gt;&lt;/periodical&gt;&lt;pages&gt;500-510&lt;/pages&gt;&lt;volume&gt;37&lt;/volume&gt;&lt;number&gt;8&lt;/number&gt;&lt;keywords&gt;&lt;keyword&gt;Maternal substance use&lt;/keyword&gt;&lt;keyword&gt;Substance abuse treatment&lt;/keyword&gt;&lt;keyword&gt;Child welfare&lt;/keyword&gt;&lt;keyword&gt;Mothers&lt;/keyword&gt;&lt;/keywords&gt;&lt;dates&gt;&lt;year&gt;2013&lt;/year&gt;&lt;pub-dates&gt;&lt;date&gt;2013/08/01/&lt;/date&gt;&lt;/pub-dates&gt;&lt;/dates&gt;&lt;isbn&gt;0145-2134&lt;/isbn&gt;&lt;urls&gt;&lt;related-urls&gt;&lt;url&gt;http://www.sciencedirect.com/science/article/pii/S0145213413000045&lt;/url&gt;&lt;/related-urls&gt;&lt;/urls&gt;&lt;electronic-resource-num&gt;https://doi.org/10.1016/j.chiabu.2013.01.003&lt;/electronic-resource-num&gt;&lt;/record&gt;&lt;/Cite&gt;&lt;/EndNote&gt;</w:instrText>
      </w:r>
      <w:r>
        <w:fldChar w:fldCharType="separate"/>
      </w:r>
      <w:r w:rsidR="00C934F9">
        <w:rPr>
          <w:noProof/>
        </w:rPr>
        <w:t>Taplin and Mattick (2013)</w:t>
      </w:r>
      <w:r>
        <w:fldChar w:fldCharType="end"/>
      </w:r>
      <w:r>
        <w:t xml:space="preserve"> found that one-third of children of mothers on a methadone maintenance programme, never required an intervention from statutory child welfare </w:t>
      </w:r>
      <w:r>
        <w:lastRenderedPageBreak/>
        <w:t xml:space="preserve">services. However, the association between parental SUD and poor parenting places children at risk of harm </w:t>
      </w:r>
      <w:r>
        <w:fldChar w:fldCharType="begin"/>
      </w:r>
      <w:r w:rsidR="00B9334F">
        <w:instrText xml:space="preserve"> ADDIN EN.CITE &lt;EndNote&gt;&lt;Cite&gt;&lt;Author&gt;Stith&lt;/Author&gt;&lt;Year&gt;2009&lt;/Year&gt;&lt;RecNum&gt;68&lt;/RecNum&gt;&lt;DisplayText&gt;(Stith et al., 2009)&lt;/DisplayText&gt;&lt;record&gt;&lt;rec-number&gt;68&lt;/rec-number&gt;&lt;foreign-keys&gt;&lt;key app="EN" db-id="ffzvr5fstavwxoe9v04xf0wmp5t50as52da0" timestamp="1731671640" guid="df6b15b1-7316-4140-8f0a-225d29948d3e"&gt;68&lt;/key&gt;&lt;/foreign-keys&gt;&lt;ref-type name="Journal Article"&gt;17&lt;/ref-type&gt;&lt;contributors&gt;&lt;authors&gt;&lt;author&gt;Stith, S.&lt;/author&gt;&lt;author&gt;Liu, T.&lt;/author&gt;&lt;author&gt;Davies, L.&lt;/author&gt;&lt;author&gt;Boykin, E. L.&lt;/author&gt;&lt;author&gt;Alder, Meagan C.&lt;/author&gt;&lt;author&gt;Harris, J.&lt;/author&gt;&lt;author&gt;Som, A.&lt;/author&gt;&lt;author&gt;Mcpherson, M.&lt;/author&gt;&lt;author&gt;Dees, J. J.&lt;/author&gt;&lt;/authors&gt;&lt;/contributors&gt;&lt;titles&gt;&lt;title&gt;Risk factors in child maltreatment: A meta-analytic review of the literature&lt;/title&gt;&lt;secondary-title&gt;Aggression and Violent Behavior&lt;/secondary-title&gt;&lt;/titles&gt;&lt;periodical&gt;&lt;full-title&gt;Aggression and Violent Behavior&lt;/full-title&gt;&lt;/periodical&gt;&lt;pages&gt;13-29&lt;/pages&gt;&lt;volume&gt;14&lt;/volume&gt;&lt;dates&gt;&lt;year&gt;2009&lt;/year&gt;&lt;/dates&gt;&lt;urls&gt;&lt;/urls&gt;&lt;electronic-resource-num&gt;https://doi.org/10.1016/j.avb.2006.03.006&lt;/electronic-resource-num&gt;&lt;/record&gt;&lt;/Cite&gt;&lt;/EndNote&gt;</w:instrText>
      </w:r>
      <w:r>
        <w:fldChar w:fldCharType="separate"/>
      </w:r>
      <w:r w:rsidR="00A77498">
        <w:rPr>
          <w:noProof/>
        </w:rPr>
        <w:t>(Stith et al., 2009)</w:t>
      </w:r>
      <w:r>
        <w:fldChar w:fldCharType="end"/>
      </w:r>
      <w:r>
        <w:t xml:space="preserve"> with parenting capacity potentially changing intermittently as the intensity of substance use changes over time </w:t>
      </w:r>
      <w:r>
        <w:fldChar w:fldCharType="begin"/>
      </w:r>
      <w:r w:rsidR="00B9334F">
        <w:instrText xml:space="preserve"> ADDIN EN.CITE &lt;EndNote&gt;&lt;Cite&gt;&lt;Author&gt;Barnard&lt;/Author&gt;&lt;Year&gt;2004&lt;/Year&gt;&lt;RecNum&gt;692&lt;/RecNum&gt;&lt;DisplayText&gt;(Barnard &amp;amp; McKeganey, 2004)&lt;/DisplayText&gt;&lt;record&gt;&lt;rec-number&gt;692&lt;/rec-number&gt;&lt;foreign-keys&gt;&lt;key app="EN" db-id="ffzvr5fstavwxoe9v04xf0wmp5t50as52da0" timestamp="1731671737" guid="388c60e4-f1c1-487b-a527-e66624235875"&gt;692&lt;/key&gt;&lt;/foreign-keys&gt;&lt;ref-type name="Journal Article"&gt;17&lt;/ref-type&gt;&lt;contributors&gt;&lt;authors&gt;&lt;author&gt;Barnard, Marina&lt;/author&gt;&lt;author&gt;McKeganey, Neil&lt;/author&gt;&lt;/authors&gt;&lt;/contributors&gt;&lt;titles&gt;&lt;title&gt;The impact of parental problem drug use on children: What is the problem and what can be done to help?&lt;/title&gt;&lt;secondary-title&gt;Addiction&lt;/secondary-title&gt;&lt;/titles&gt;&lt;periodical&gt;&lt;full-title&gt;Addiction&lt;/full-title&gt;&lt;/periodical&gt;&lt;pages&gt;552-559&lt;/pages&gt;&lt;volume&gt;99&lt;/volume&gt;&lt;number&gt;5&lt;/number&gt;&lt;dates&gt;&lt;year&gt;2004&lt;/year&gt;&lt;/dates&gt;&lt;isbn&gt;0965-2140&lt;/isbn&gt;&lt;urls&gt;&lt;related-urls&gt;&lt;url&gt;https://onlinelibrary.wiley.com/doi/abs/10.1111/j.1360-0443.2003.00664.x&lt;/url&gt;&lt;/related-urls&gt;&lt;/urls&gt;&lt;electronic-resource-num&gt;10.1111/j.1360-0443.2003.00664.x&lt;/electronic-resource-num&gt;&lt;/record&gt;&lt;/Cite&gt;&lt;/EndNote&gt;</w:instrText>
      </w:r>
      <w:r>
        <w:fldChar w:fldCharType="separate"/>
      </w:r>
      <w:r w:rsidR="003C6F70">
        <w:rPr>
          <w:noProof/>
        </w:rPr>
        <w:t>(Barnard &amp; McKeganey, 2004)</w:t>
      </w:r>
      <w:r>
        <w:fldChar w:fldCharType="end"/>
      </w:r>
      <w:r>
        <w:t xml:space="preserve">. </w:t>
      </w:r>
      <w:r w:rsidRPr="00654229">
        <w:fldChar w:fldCharType="begin"/>
      </w:r>
      <w:r w:rsidR="00B9334F">
        <w:instrText xml:space="preserve"> ADDIN EN.CITE &lt;EndNote&gt;&lt;Cite AuthorYear="1"&gt;&lt;Author&gt;Kepple&lt;/Author&gt;&lt;Year&gt;2018&lt;/Year&gt;&lt;RecNum&gt;27&lt;/RecNum&gt;&lt;DisplayText&gt;Kepple (2018)&lt;/DisplayText&gt;&lt;record&gt;&lt;rec-number&gt;27&lt;/rec-number&gt;&lt;foreign-keys&gt;&lt;key app="EN" db-id="ffzvr5fstavwxoe9v04xf0wmp5t50as52da0" timestamp="1731671637" guid="45d05759-d64a-470a-b3b5-2ae1ab3f2b4e"&gt;27&lt;/key&gt;&lt;/foreign-keys&gt;&lt;ref-type name="Journal Article"&gt;17&lt;/ref-type&gt;&lt;contributors&gt;&lt;authors&gt;&lt;author&gt;Kepple, N. J.&lt;/author&gt;&lt;/authors&gt;&lt;/contributors&gt;&lt;titles&gt;&lt;title&gt;Does parental substance use always engender risk for children? Comparing incidence rate ratios of abusive and neglectful behaviors across substance use behavior patterns&lt;/title&gt;&lt;secondary-title&gt;Child Abuse &amp;amp; Neglect&lt;/secondary-title&gt;&lt;/titles&gt;&lt;periodical&gt;&lt;full-title&gt;Child Abuse &amp;amp; Neglect&lt;/full-title&gt;&lt;/periodical&gt;&lt;pages&gt;44-55&lt;/pages&gt;&lt;volume&gt;76&lt;/volume&gt;&lt;keywords&gt;&lt;keyword&gt;Alcohol use&lt;/keyword&gt;&lt;keyword&gt;Illicit drug use&lt;/keyword&gt;&lt;keyword&gt;Physical abuse&lt;/keyword&gt;&lt;keyword&gt;Emotional abuse&lt;/keyword&gt;&lt;keyword&gt;Neglect&lt;/keyword&gt;&lt;/keywords&gt;&lt;dates&gt;&lt;year&gt;2018&lt;/year&gt;&lt;pub-dates&gt;&lt;date&gt;2018/02/01/&lt;/date&gt;&lt;/pub-dates&gt;&lt;/dates&gt;&lt;isbn&gt;0145-2134&lt;/isbn&gt;&lt;urls&gt;&lt;related-urls&gt;&lt;url&gt;http://www.sciencedirect.com/science/article/pii/S0145213417303514&lt;/url&gt;&lt;/related-urls&gt;&lt;/urls&gt;&lt;electronic-resource-num&gt;https://doi.org/10.1016/j.chiabu.2017.09.015&lt;/electronic-resource-num&gt;&lt;/record&gt;&lt;/Cite&gt;&lt;/EndNote&gt;</w:instrText>
      </w:r>
      <w:r w:rsidRPr="00654229">
        <w:fldChar w:fldCharType="separate"/>
      </w:r>
      <w:r w:rsidR="00C934F9">
        <w:rPr>
          <w:noProof/>
        </w:rPr>
        <w:t>Kepple (2018)</w:t>
      </w:r>
      <w:r w:rsidRPr="00654229">
        <w:fldChar w:fldCharType="end"/>
      </w:r>
      <w:r w:rsidRPr="00654229">
        <w:t xml:space="preserve"> </w:t>
      </w:r>
      <w:r>
        <w:t>observed</w:t>
      </w:r>
      <w:r w:rsidRPr="00654229">
        <w:t xml:space="preserve"> that parental substance use does not universally indicate risk of frequent child maltreatment, that the risk of abuse is different from that of neglect and that risk varies across different substance using behaviours. </w:t>
      </w:r>
    </w:p>
    <w:p w14:paraId="4F03A8EB" w14:textId="77777777" w:rsidR="00753470" w:rsidRDefault="00753470" w:rsidP="00737297">
      <w:pPr>
        <w:spacing w:line="360" w:lineRule="auto"/>
        <w:rPr>
          <w:rFonts w:cs="Arial"/>
        </w:rPr>
      </w:pPr>
    </w:p>
    <w:p w14:paraId="5A742C3E" w14:textId="6937A55B" w:rsidR="00753470" w:rsidRDefault="00753470" w:rsidP="00737297">
      <w:pPr>
        <w:pStyle w:val="NoSpacing"/>
        <w:spacing w:line="360" w:lineRule="auto"/>
      </w:pPr>
      <w:r>
        <w:t xml:space="preserve">Various social and environmental factors coupled with parental substance use can affect child maltreatment risk. </w:t>
      </w:r>
      <w:r w:rsidRPr="00F11967">
        <w:t xml:space="preserve">The risk of child maltreatment committed is </w:t>
      </w:r>
      <w:r>
        <w:t xml:space="preserve">increased </w:t>
      </w:r>
      <w:r w:rsidRPr="00F11967">
        <w:t xml:space="preserve">by the presence of other problems such as mental health or domestic </w:t>
      </w:r>
      <w:r>
        <w:t xml:space="preserve">abuse </w:t>
      </w:r>
      <w:r w:rsidRPr="00F11967">
        <w:fldChar w:fldCharType="begin">
          <w:fldData xml:space="preserve">PEVuZE5vdGU+PENpdGU+PEF1dGhvcj5MdXRtYW48L0F1dGhvcj48WWVhcj4yMDEzPC9ZZWFyPjxS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</w:fldData>
        </w:fldChar>
      </w:r>
      <w:r w:rsidR="00B9334F">
        <w:instrText xml:space="preserve"> ADDIN EN.CITE </w:instrText>
      </w:r>
      <w:r w:rsidR="00B9334F">
        <w:fldChar w:fldCharType="begin">
          <w:fldData xml:space="preserve">PEVuZE5vdGU+PENpdGU+PEF1dGhvcj5MdXRtYW48L0F1dGhvcj48WWVhcj4yMDEzPC9ZZWFyPjxS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</w:fldData>
        </w:fldChar>
      </w:r>
      <w:r w:rsidR="00B9334F">
        <w:instrText xml:space="preserve"> ADDIN EN.CITE.DATA </w:instrText>
      </w:r>
      <w:r w:rsidR="00B9334F">
        <w:fldChar w:fldCharType="end"/>
      </w:r>
      <w:r w:rsidRPr="00F11967">
        <w:fldChar w:fldCharType="separate"/>
      </w:r>
      <w:r w:rsidR="003C6F70">
        <w:rPr>
          <w:noProof/>
        </w:rPr>
        <w:t>(Lutman &amp; Farmer, 2013; Taylor et al., 2008)</w:t>
      </w:r>
      <w:r w:rsidRPr="00F11967">
        <w:fldChar w:fldCharType="end"/>
      </w:r>
      <w:r w:rsidRPr="00F11967">
        <w:t xml:space="preserve">, whether the children belong to a lone parent household or whether one or both parents are </w:t>
      </w:r>
      <w:r>
        <w:t>using</w:t>
      </w:r>
      <w:r w:rsidRPr="00F11967">
        <w:t xml:space="preserve"> substances </w:t>
      </w:r>
      <w:r w:rsidRPr="00F11967">
        <w:fldChar w:fldCharType="begin"/>
      </w:r>
      <w:r w:rsidR="00B9334F">
        <w:instrText xml:space="preserve"> ADDIN EN.CITE &lt;EndNote&gt;&lt;Cite&gt;&lt;Author&gt;Kroll&lt;/Author&gt;&lt;Year&gt;2003&lt;/Year&gt;&lt;RecNum&gt;30&lt;/RecNum&gt;&lt;DisplayText&gt;(Kroll &amp;amp; Taylor, 2003)&lt;/DisplayText&gt;&lt;record&gt;&lt;rec-number&gt;30&lt;/rec-number&gt;&lt;foreign-keys&gt;&lt;key app="EN" db-id="ffzvr5fstavwxoe9v04xf0wmp5t50as52da0" timestamp="1731671637" guid="54e68b52-ab57-42e1-97bb-bf582a7bae39"&gt;30&lt;/key&gt;&lt;/foreign-keys&gt;&lt;ref-type name="Book"&gt;6&lt;/ref-type&gt;&lt;contributors&gt;&lt;authors&gt;&lt;author&gt;Kroll, Brynna&lt;/author&gt;&lt;author&gt;Taylor, Andy&lt;/author&gt;&lt;/authors&gt;&lt;/contributors&gt;&lt;titles&gt;&lt;title&gt;Parental substance misuse and child welfare&lt;/title&gt;&lt;/titles&gt;&lt;dates&gt;&lt;year&gt;2003&lt;/year&gt;&lt;/dates&gt;&lt;pub-location&gt;London&lt;/pub-location&gt;&lt;publisher&gt;Jessica Kingsley Publishers&lt;/publisher&gt;&lt;urls&gt;&lt;/urls&gt;&lt;/record&gt;&lt;/Cite&gt;&lt;/EndNote&gt;</w:instrText>
      </w:r>
      <w:r w:rsidRPr="00F11967">
        <w:fldChar w:fldCharType="separate"/>
      </w:r>
      <w:r w:rsidR="003C6F70">
        <w:rPr>
          <w:noProof/>
        </w:rPr>
        <w:t>(Kroll &amp; Taylor, 2003)</w:t>
      </w:r>
      <w:r w:rsidRPr="00F11967">
        <w:fldChar w:fldCharType="end"/>
      </w:r>
      <w:r w:rsidRPr="00F11967">
        <w:t xml:space="preserve">.  </w:t>
      </w:r>
      <w:r>
        <w:t xml:space="preserve">A rapid evidence assessment by </w:t>
      </w:r>
      <w:r>
        <w:fldChar w:fldCharType="begin"/>
      </w:r>
      <w:r w:rsidR="00B9334F">
        <w:instrText xml:space="preserve"> ADDIN EN.CITE &lt;EndNote&gt;&lt;Cite AuthorYear="1"&gt;&lt;Author&gt;Canfield&lt;/Author&gt;&lt;Year&gt;2017&lt;/Year&gt;&lt;RecNum&gt;280&lt;/RecNum&gt;&lt;DisplayText&gt;Canfield et al. (2017)&lt;/DisplayText&gt;&lt;record&gt;&lt;rec-number&gt;280&lt;/rec-number&gt;&lt;foreign-keys&gt;&lt;key app="EN" db-id="ffzvr5fstavwxoe9v04xf0wmp5t50as52da0" timestamp="1731671654" guid="06a8d64e-9f85-48f7-baf5-7135169ba396"&gt;280&lt;/key&gt;&lt;/foreign-keys&gt;&lt;ref-type name="Journal Article"&gt;17&lt;/ref-type&gt;&lt;contributors&gt;&lt;authors&gt;&lt;author&gt;Canfield, Martha&lt;/author&gt;&lt;author&gt;Radcliffe, Polly&lt;/author&gt;&lt;author&gt;Marlow, Sally&lt;/author&gt;&lt;author&gt;Boreham, Marggie&lt;/author&gt;&lt;author&gt;Gilchrist, Gail&lt;/author&gt;&lt;/authors&gt;&lt;/contributors&gt;&lt;titles&gt;&lt;title&gt;Maternal substance use and child protection: A rapid evidence assessment of factors associated with loss of child care&lt;/title&gt;&lt;secondary-title&gt;Child Abuse &amp;amp; Neglect&lt;/secondary-title&gt;&lt;/titles&gt;&lt;periodical&gt;&lt;full-title&gt;Child Abuse &amp;amp; Neglect&lt;/full-title&gt;&lt;/periodical&gt;&lt;pages&gt;11-27&lt;/pages&gt;&lt;volume&gt;70&lt;/volume&gt;&lt;keywords&gt;&lt;keyword&gt;Maternal substance users&lt;/keyword&gt;&lt;keyword&gt;Child protection&lt;/keyword&gt;&lt;keyword&gt;Child care&lt;/keyword&gt;&lt;keyword&gt;Rapid evidence assessment&lt;/keyword&gt;&lt;/keywords&gt;&lt;dates&gt;&lt;year&gt;2017&lt;/year&gt;&lt;pub-dates&gt;&lt;date&gt;2017/08/01&lt;/date&gt;&lt;/pub-dates&gt;&lt;/dates&gt;&lt;urls&gt;&lt;related-urls&gt;&lt;url&gt;http://www.sciencedirect.com/science/article/pii/S0145213417302016&lt;/url&gt;&lt;/related-urls&gt;&lt;/urls&gt;&lt;electronic-resource-num&gt;https://doi.org/10.1016/j.chiabu.2017.05.005&lt;/electronic-resource-num&gt;&lt;/record&gt;&lt;/Cite&gt;&lt;/EndNote&gt;</w:instrText>
      </w:r>
      <w:r>
        <w:fldChar w:fldCharType="separate"/>
      </w:r>
      <w:r w:rsidR="00A77498">
        <w:rPr>
          <w:noProof/>
        </w:rPr>
        <w:t>Canfield et al. (2017)</w:t>
      </w:r>
      <w:r>
        <w:fldChar w:fldCharType="end"/>
      </w:r>
      <w:r>
        <w:t xml:space="preserve"> found many factors to be associated with mothers who use substances having their children removed from their care as a result of abuse or neglect. These included: being involved with the criminal justice system, cooccurring mental health problems, having adverse childhood experiences, injecting drugs, lack of engagement with specialist treatment and lack of social support. </w:t>
      </w:r>
    </w:p>
    <w:p w14:paraId="35D21D71" w14:textId="77777777" w:rsidR="00753470" w:rsidRDefault="00753470" w:rsidP="00737297">
      <w:pPr>
        <w:pStyle w:val="NoSpacing"/>
        <w:spacing w:line="360" w:lineRule="auto"/>
      </w:pPr>
    </w:p>
    <w:p w14:paraId="375790E4" w14:textId="45040E42" w:rsidR="006B576B" w:rsidRDefault="008A4DAD" w:rsidP="00737297">
      <w:pPr>
        <w:pStyle w:val="NoSpacing"/>
        <w:spacing w:line="360" w:lineRule="auto"/>
      </w:pPr>
      <w:r>
        <w:t>‘</w:t>
      </w:r>
      <w:r w:rsidR="00166D8E">
        <w:t>A</w:t>
      </w:r>
      <w:r>
        <w:t xml:space="preserve">dverse childhood experiences’ </w:t>
      </w:r>
      <w:r w:rsidR="00E92ACF">
        <w:t xml:space="preserve">– maltreatment and household dysfunction during </w:t>
      </w:r>
      <w:r w:rsidR="00166D8E">
        <w:t>childhood including parental SUD</w:t>
      </w:r>
      <w:r w:rsidR="00E92ACF">
        <w:t xml:space="preserve"> </w:t>
      </w:r>
      <w:r w:rsidR="002239AE">
        <w:t>–</w:t>
      </w:r>
      <w:r w:rsidR="00E92ACF">
        <w:t xml:space="preserve"> </w:t>
      </w:r>
      <w:r w:rsidR="002239AE">
        <w:t xml:space="preserve">typically co-occur. </w:t>
      </w:r>
      <w:r w:rsidR="00753470" w:rsidRPr="007865BF">
        <w:t xml:space="preserve">Adverse childhood experiences are associated with a significant increased risk of many adverse outcomes in later life, including future problems with substances, unplanned teenage pregnancy, early sexual activity, domestic abuse, and imprisonment </w:t>
      </w:r>
      <w:r w:rsidR="00753470" w:rsidRPr="007865BF">
        <w:fldChar w:fldCharType="begin"/>
      </w:r>
      <w:r w:rsidR="00B9334F">
        <w:instrText xml:space="preserve"> ADDIN EN.CITE &lt;EndNote&gt;&lt;Cite&gt;&lt;Author&gt;Bellis&lt;/Author&gt;&lt;Year&gt;2014&lt;/Year&gt;&lt;RecNum&gt;286&lt;/RecNum&gt;&lt;DisplayText&gt;(Bellis, Hughes, Leckenby, Perkins, et al., 2014)&lt;/DisplayText&gt;&lt;record&gt;&lt;rec-number&gt;286&lt;/rec-number&gt;&lt;foreign-keys&gt;&lt;key app="EN" db-id="ffzvr5fstavwxoe9v04xf0wmp5t50as52da0" timestamp="1731671655" guid="cb107ee7-32f6-4fb4-a24c-aa4e2789871c"&gt;286&lt;/key&gt;&lt;/foreign-keys&gt;&lt;ref-type name="Journal Article"&gt;17&lt;/ref-type&gt;&lt;contributors&gt;&lt;authors&gt;&lt;author&gt;Bellis, M. A.&lt;/author&gt;&lt;author&gt;Hughes, K.&lt;/author&gt;&lt;author&gt;Leckenby, N. &lt;/author&gt;&lt;author&gt;Perkins, C.&lt;/author&gt;&lt;author&gt;Lowey, H.&lt;/author&gt;&lt;/authors&gt;&lt;/contributors&gt;&lt;titles&gt;&lt;title&gt;National household survey of adverse childhood experiences and their relationship with resilience to health-harming behaviors in England&lt;/title&gt;&lt;secondary-title&gt;BMC Medicine&lt;/secondary-title&gt;&lt;/titles&gt;&lt;periodical&gt;&lt;full-title&gt;BMC Medicine&lt;/full-title&gt;&lt;/periodical&gt;&lt;volume&gt;12&lt;/volume&gt;&lt;number&gt;72&lt;/number&gt;&lt;dates&gt;&lt;year&gt;2014&lt;/year&gt;&lt;/dates&gt;&lt;urls&gt;&lt;/urls&gt;&lt;electronic-resource-num&gt;&lt;style face="underline" font="default" size="100%"&gt;http://dx.doi.org/10.1186/1741-7015-12-72&lt;/style&gt;&lt;/electronic-resource-num&gt;&lt;/record&gt;&lt;/Cite&gt;&lt;/EndNote&gt;</w:instrText>
      </w:r>
      <w:r w:rsidR="00753470" w:rsidRPr="007865BF">
        <w:fldChar w:fldCharType="separate"/>
      </w:r>
      <w:r w:rsidR="003C6F70">
        <w:rPr>
          <w:noProof/>
        </w:rPr>
        <w:t>(Bellis, Hughes, Leckenby, Perkins, et al., 2014)</w:t>
      </w:r>
      <w:r w:rsidR="00753470" w:rsidRPr="007865BF">
        <w:fldChar w:fldCharType="end"/>
      </w:r>
      <w:r w:rsidR="00753470" w:rsidRPr="007865BF">
        <w:t xml:space="preserve">. </w:t>
      </w:r>
    </w:p>
    <w:p w14:paraId="7DF74065" w14:textId="77777777" w:rsidR="006B576B" w:rsidRDefault="006B576B" w:rsidP="00737297">
      <w:pPr>
        <w:pStyle w:val="NoSpacing"/>
        <w:spacing w:line="360" w:lineRule="auto"/>
      </w:pPr>
    </w:p>
    <w:p w14:paraId="154A05C1" w14:textId="2133ACA8" w:rsidR="00753470" w:rsidRPr="00082181" w:rsidRDefault="00753470" w:rsidP="00737297">
      <w:pPr>
        <w:pStyle w:val="NoSpacing"/>
        <w:spacing w:line="360" w:lineRule="auto"/>
      </w:pPr>
      <w:r>
        <w:t xml:space="preserve">Significant </w:t>
      </w:r>
      <w:r w:rsidRPr="007865BF">
        <w:t>associations support</w:t>
      </w:r>
      <w:r>
        <w:t>ing</w:t>
      </w:r>
      <w:r w:rsidRPr="007865BF">
        <w:t xml:space="preserve"> the theory of intergenerational </w:t>
      </w:r>
      <w:r>
        <w:t>transmission of SUD</w:t>
      </w:r>
      <w:r w:rsidRPr="007865BF">
        <w:t xml:space="preserve"> </w:t>
      </w:r>
      <w:r>
        <w:t>have been observed in</w:t>
      </w:r>
      <w:r w:rsidRPr="007865BF">
        <w:t xml:space="preserve"> </w:t>
      </w:r>
      <w:r>
        <w:t xml:space="preserve">longitudinal </w:t>
      </w:r>
      <w:r w:rsidRPr="007865BF">
        <w:t>US stud</w:t>
      </w:r>
      <w:r>
        <w:t>ies</w:t>
      </w:r>
      <w:r w:rsidRPr="007865BF">
        <w:t xml:space="preserve"> of three generations of substance use</w:t>
      </w:r>
      <w:r>
        <w:t xml:space="preserve">rs </w:t>
      </w:r>
      <w:r>
        <w:fldChar w:fldCharType="begin">
          <w:fldData xml:space="preserve">PEVuZE5vdGU+PENpdGU+PEF1dGhvcj5LbmlnaHQ8L0F1dGhvcj48WWVhcj4yMDE0PC9ZZWFyPjxS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</w:fldData>
        </w:fldChar>
      </w:r>
      <w:r w:rsidR="00B9334F">
        <w:instrText xml:space="preserve"> ADDIN EN.CITE </w:instrText>
      </w:r>
      <w:r w:rsidR="00B9334F">
        <w:fldChar w:fldCharType="begin">
          <w:fldData xml:space="preserve">PEVuZE5vdGU+PENpdGU+PEF1dGhvcj5LbmlnaHQ8L0F1dGhvcj48WWVhcj4yMDE0PC9ZZWFyPjxS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</w:fldData>
        </w:fldChar>
      </w:r>
      <w:r w:rsidR="00B9334F">
        <w:instrText xml:space="preserve"> ADDIN EN.CITE.DATA </w:instrText>
      </w:r>
      <w:r w:rsidR="00B9334F">
        <w:fldChar w:fldCharType="end"/>
      </w:r>
      <w:r>
        <w:fldChar w:fldCharType="separate"/>
      </w:r>
      <w:r w:rsidR="003C6F70">
        <w:rPr>
          <w:noProof/>
        </w:rPr>
        <w:t>(Knight et al., 2014; Neppl et al., 2020)</w:t>
      </w:r>
      <w:r>
        <w:fldChar w:fldCharType="end"/>
      </w:r>
      <w:r w:rsidRPr="007865BF">
        <w:t xml:space="preserve">. </w:t>
      </w:r>
      <w:r w:rsidRPr="00082181">
        <w:t xml:space="preserve">With many parents with SUD also being children of parents with SUD, it is perhaps not surprising that many </w:t>
      </w:r>
      <w:r w:rsidR="000C422E">
        <w:t xml:space="preserve">have themselves </w:t>
      </w:r>
      <w:r w:rsidRPr="00082181">
        <w:t xml:space="preserve">experienced child abuse or neglect </w:t>
      </w:r>
      <w:r w:rsidRPr="00082181">
        <w:fldChar w:fldCharType="begin"/>
      </w:r>
      <w:r w:rsidR="00B9334F">
        <w:instrText xml:space="preserve"> ADDIN EN.CITE &lt;EndNote&gt;&lt;Cite&gt;&lt;Author&gt;Pajulo&lt;/Author&gt;&lt;Year&gt;2006&lt;/Year&gt;&lt;RecNum&gt;66&lt;/RecNum&gt;&lt;DisplayText&gt;(Pajulo et al., 2006)&lt;/DisplayText&gt;&lt;record&gt;&lt;rec-number&gt;66&lt;/rec-number&gt;&lt;foreign-keys&gt;&lt;key app="EN" db-id="ffzvr5fstavwxoe9v04xf0wmp5t50as52da0" timestamp="1731671640" guid="ba502fbb-47e7-4f97-b706-0823828a0a6e"&gt;66&lt;/key&gt;&lt;/foreign-keys&gt;&lt;ref-type name="Journal Article"&gt;17&lt;/ref-type&gt;&lt;contributors&gt;&lt;authors&gt;&lt;author&gt;Pajulo, Marjukka&lt;/author&gt;&lt;author&gt;Suchman, Nancy&lt;/author&gt;&lt;author&gt;Kalland, Mirjam&lt;/author&gt;&lt;author&gt;Mayes, Linda&lt;/author&gt;&lt;/authors&gt;&lt;/contributors&gt;&lt;titles&gt;&lt;title&gt;Enhancing the effectiveness of residential treatment for substance abusing pregnant women and parenting women: Focus on maternal reflective functioning and mother-child relationship&lt;/title&gt;&lt;secondary-title&gt;Infant mental health journal&lt;/secondary-title&gt;&lt;/titles&gt;&lt;periodical&gt;&lt;full-title&gt;Infant mental health journal&lt;/full-title&gt;&lt;/periodical&gt;&lt;pages&gt;448-448&lt;/pages&gt;&lt;volume&gt;27&lt;/volume&gt;&lt;number&gt;5&lt;/number&gt;&lt;dates&gt;&lt;year&gt;2006&lt;/year&gt;&lt;/dates&gt;&lt;isbn&gt;1097-0355&amp;#xD;0163-9641&lt;/isbn&gt;&lt;accession-num&gt;20119507&lt;/accession-num&gt;&lt;urls&gt;&lt;related-urls&gt;&lt;url&gt;https://www.ncbi.nlm.nih.gov/pubmed/20119507&lt;/url&gt;&lt;url&gt;https://www.ncbi.nlm.nih.gov/pmc/PMC2813060/&lt;/url&gt;&lt;/related-urls&gt;&lt;/urls&gt;&lt;electronic-resource-num&gt;10.1002/imhj.20100&lt;/electronic-resource-num&gt;&lt;remote-database-name&gt;PubMed&lt;/remote-database-name&gt;&lt;/record&gt;&lt;/Cite&gt;&lt;/EndNote&gt;</w:instrText>
      </w:r>
      <w:r w:rsidRPr="00082181">
        <w:fldChar w:fldCharType="separate"/>
      </w:r>
      <w:r w:rsidR="00A77498">
        <w:rPr>
          <w:noProof/>
        </w:rPr>
        <w:t>(Pajulo et al., 2006)</w:t>
      </w:r>
      <w:r w:rsidRPr="00082181">
        <w:fldChar w:fldCharType="end"/>
      </w:r>
      <w:r w:rsidRPr="00082181">
        <w:t xml:space="preserve"> and that many do not have the necessary skills to form positive parent-child dyads</w:t>
      </w:r>
      <w:r w:rsidR="00AD3726">
        <w:t xml:space="preserve"> with their children</w:t>
      </w:r>
      <w:r w:rsidRPr="00082181">
        <w:t xml:space="preserve">.  In a meta-analysis, </w:t>
      </w:r>
      <w:r w:rsidRPr="00082181">
        <w:fldChar w:fldCharType="begin"/>
      </w:r>
      <w:r w:rsidR="00B9334F">
        <w:instrText xml:space="preserve"> ADDIN EN.CITE &lt;EndNote&gt;&lt;Cite AuthorYear="1"&gt;&lt;Author&gt;Madigan&lt;/Author&gt;&lt;Year&gt;2019&lt;/Year&gt;&lt;RecNum&gt;88&lt;/RecNum&gt;&lt;DisplayText&gt;Madigan et al. (2019)&lt;/DisplayText&gt;&lt;record&gt;&lt;rec-number&gt;88&lt;/rec-number&gt;&lt;foreign-keys&gt;&lt;key app="EN" db-id="ffzvr5fstavwxoe9v04xf0wmp5t50as52da0" timestamp="1731671641" guid="332a5ba5-1417-4686-b429-30993a6b00ff"&gt;88&lt;/key&gt;&lt;/foreign-keys&gt;&lt;ref-type name="Journal Article"&gt;17&lt;/ref-type&gt;&lt;contributors&gt;&lt;authors&gt;&lt;author&gt;Madigan, Sheri&lt;/author&gt;&lt;author&gt;Cyr, Chantal&lt;/author&gt;&lt;author&gt;Eirich, Rachel&lt;/author&gt;&lt;author&gt;Fearon, R. M. Pasco&lt;/author&gt;&lt;author&gt;Ly, Anh&lt;/author&gt;&lt;author&gt;Rash, Christina&lt;/author&gt;&lt;author&gt;Poole, Julia C.&lt;/author&gt;&lt;author&gt;Alink, Lenneke R. A.&lt;/author&gt;&lt;/authors&gt;&lt;/contributors&gt;&lt;titles&gt;&lt;title&gt;Testing the cycle of maltreatment hypothesis: Meta-analytic evidence of the intergenerational transmission of child maltreatment&lt;/title&gt;&lt;secondary-title&gt;Development and Psychopathology&lt;/secondary-title&gt;&lt;/titles&gt;&lt;periodical&gt;&lt;full-title&gt;Development and Psychopathology&lt;/full-title&gt;&lt;/periodical&gt;&lt;pages&gt;23-51&lt;/pages&gt;&lt;volume&gt;31&lt;/volume&gt;&lt;number&gt;1&lt;/number&gt;&lt;edition&gt;2019/02/13&lt;/edition&gt;&lt;dates&gt;&lt;year&gt;2019&lt;/year&gt;&lt;/dates&gt;&lt;publisher&gt;Cambridge University Press&lt;/publisher&gt;&lt;isbn&gt;0954-5794&lt;/isbn&gt;&lt;urls&gt;&lt;related-urls&gt;&lt;url&gt;https://www.cambridge.org/core/article/testing-the-cycle-of-maltreatment-hypothesis-metaanalytic-evidence-of-the-intergenerational-transmission-of-child-maltreatment/C3D3168C2C8B5240075A48F3F074C1A8&lt;/url&gt;&lt;/related-urls&gt;&lt;/urls&gt;&lt;electronic-resource-num&gt;10.1017/S0954579418001700&lt;/electronic-resource-num&gt;&lt;remote-database-name&gt;Cambridge Core&lt;/remote-database-name&gt;&lt;remote-database-provider&gt;Cambridge University Press&lt;/remote-database-provider&gt;&lt;/record&gt;&lt;/Cite&gt;&lt;/EndNote&gt;</w:instrText>
      </w:r>
      <w:r w:rsidRPr="00082181">
        <w:fldChar w:fldCharType="separate"/>
      </w:r>
      <w:r w:rsidR="00A77498">
        <w:rPr>
          <w:noProof/>
        </w:rPr>
        <w:t>Madigan et al. (2019)</w:t>
      </w:r>
      <w:r w:rsidRPr="00082181">
        <w:fldChar w:fldCharType="end"/>
      </w:r>
      <w:r w:rsidRPr="00082181">
        <w:t xml:space="preserve"> found that parents who </w:t>
      </w:r>
      <w:r w:rsidRPr="00082181">
        <w:lastRenderedPageBreak/>
        <w:t xml:space="preserve">themselves experienced child maltreatment were more than twice as likely to abuse or neglect their own children, although effect sizes were small to moderate. Studies of mothers with SUD in the US and Australia have found significant relationships between a history of physical or sexual abuse and current statutory child welfare involvement, pointing to intergenerational continuity of child abuse among parents with SUD </w:t>
      </w:r>
      <w:r w:rsidRPr="00082181">
        <w:fldChar w:fldCharType="begin">
          <w:fldData xml:space="preserve">PEVuZE5vdGU+PENpdGU+PEF1dGhvcj5HcmVsbGE8L0F1dGhvcj48WWVhcj4yMDA2PC9ZZWFyPjxS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</w:fldData>
        </w:fldChar>
      </w:r>
      <w:r w:rsidR="00B9334F">
        <w:instrText xml:space="preserve"> ADDIN EN.CITE </w:instrText>
      </w:r>
      <w:r w:rsidR="00B9334F">
        <w:fldChar w:fldCharType="begin">
          <w:fldData xml:space="preserve">PEVuZE5vdGU+PENpdGU+PEF1dGhvcj5HcmVsbGE8L0F1dGhvcj48WWVhcj4yMDA2PC9ZZWFyPjxS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</w:fldData>
        </w:fldChar>
      </w:r>
      <w:r w:rsidR="00B9334F">
        <w:instrText xml:space="preserve"> ADDIN EN.CITE.DATA </w:instrText>
      </w:r>
      <w:r w:rsidR="00B9334F">
        <w:fldChar w:fldCharType="end"/>
      </w:r>
      <w:r w:rsidRPr="00082181">
        <w:fldChar w:fldCharType="separate"/>
      </w:r>
      <w:r w:rsidR="003C6F70">
        <w:rPr>
          <w:noProof/>
        </w:rPr>
        <w:t>(Grella et al., 2006; Taplin &amp; Mattick, 2013)</w:t>
      </w:r>
      <w:r w:rsidRPr="00082181">
        <w:fldChar w:fldCharType="end"/>
      </w:r>
      <w:r w:rsidRPr="00082181">
        <w:t>. Given the evidence of intergenerational transmission of SUD and child maltreatment, it may be difficult to break the cycle unless the support needs of the parents and children are addressed by appropriate</w:t>
      </w:r>
      <w:r w:rsidR="00A01AA6">
        <w:t>, effective</w:t>
      </w:r>
      <w:r w:rsidRPr="00082181">
        <w:t xml:space="preserve"> and timely interventions. </w:t>
      </w:r>
    </w:p>
    <w:p w14:paraId="0CBE8B23" w14:textId="77777777" w:rsidR="002B5461" w:rsidRDefault="002B5461" w:rsidP="00737297">
      <w:pPr>
        <w:pStyle w:val="NoSpacing"/>
        <w:spacing w:line="360" w:lineRule="auto"/>
      </w:pPr>
    </w:p>
    <w:p w14:paraId="46ADB2F9" w14:textId="15E843B7" w:rsidR="00C718E5" w:rsidRDefault="00C718E5" w:rsidP="002B5461">
      <w:pPr>
        <w:pStyle w:val="Heading3"/>
        <w:numPr>
          <w:ilvl w:val="2"/>
          <w:numId w:val="18"/>
        </w:numPr>
        <w:spacing w:line="360" w:lineRule="auto"/>
      </w:pPr>
      <w:bookmarkStart w:id="14" w:name="_Toc189229647"/>
      <w:r>
        <w:t>Resilience</w:t>
      </w:r>
      <w:bookmarkEnd w:id="14"/>
    </w:p>
    <w:p w14:paraId="03545627" w14:textId="35368FFB" w:rsidR="00E66E9E" w:rsidRDefault="007849EC" w:rsidP="00E66E9E">
      <w:pPr>
        <w:pStyle w:val="NoSpacing"/>
        <w:spacing w:line="360" w:lineRule="auto"/>
      </w:pPr>
      <w:r>
        <w:t>While</w:t>
      </w:r>
      <w:r w:rsidR="00075204">
        <w:t xml:space="preserve"> </w:t>
      </w:r>
      <w:r>
        <w:t xml:space="preserve">the </w:t>
      </w:r>
      <w:r w:rsidR="00417C4A">
        <w:t xml:space="preserve">likelihood of developing substance problems </w:t>
      </w:r>
      <w:r w:rsidR="00075204">
        <w:t>is increased if a parent has SUD,</w:t>
      </w:r>
      <w:r w:rsidR="009F2587">
        <w:t xml:space="preserve"> the relationships between parental SUD and children developing SUD in adulthood </w:t>
      </w:r>
      <w:r w:rsidR="001C393B">
        <w:t xml:space="preserve">is a complex one. </w:t>
      </w:r>
      <w:r w:rsidR="00EF6A67">
        <w:t xml:space="preserve">Families are unique and so adverse child outcomes are not necessarily generalisable </w:t>
      </w:r>
      <w:r w:rsidR="00EF6A67">
        <w:fldChar w:fldCharType="begin"/>
      </w:r>
      <w:r w:rsidR="00EF6A67">
        <w:instrText xml:space="preserve"> ADDIN EN.CITE &lt;EndNote&gt;&lt;Cite&gt;&lt;Author&gt;Velleman&lt;/Author&gt;&lt;Year&gt;2016&lt;/Year&gt;&lt;RecNum&gt;176&lt;/RecNum&gt;&lt;DisplayText&gt;(Velleman &amp;amp; Templeton, 2016)&lt;/DisplayText&gt;&lt;record&gt;&lt;rec-number&gt;176&lt;/rec-number&gt;&lt;foreign-keys&gt;&lt;key app="EN" db-id="ffzvr5fstavwxoe9v04xf0wmp5t50as52da0" timestamp="1731671647" guid="84b5a40e-1e6c-4310-a1c9-1c4de067df9c"&gt;176&lt;/key&gt;&lt;/foreign-keys&gt;&lt;ref-type name="Journal Article"&gt;17&lt;/ref-type&gt;&lt;contributors&gt;&lt;authors&gt;&lt;author&gt;Velleman, Richard&lt;/author&gt;&lt;author&gt;Templeton, Lorna J.&lt;/author&gt;&lt;/authors&gt;&lt;/contributors&gt;&lt;titles&gt;&lt;title&gt;Impact of parents&amp;apos; substance misuse on children: an update&lt;/title&gt;&lt;secondary-title&gt;BJPsych Advances&lt;/secondary-title&gt;&lt;/titles&gt;&lt;periodical&gt;&lt;full-title&gt;BJPsych Advances&lt;/full-title&gt;&lt;/periodical&gt;&lt;pages&gt;108-117&lt;/pages&gt;&lt;volume&gt;22&lt;/volume&gt;&lt;number&gt;2&lt;/number&gt;&lt;edition&gt;2018/04/11&lt;/edition&gt;&lt;dates&gt;&lt;year&gt;2016&lt;/year&gt;&lt;/dates&gt;&lt;publisher&gt;Cambridge University Press&lt;/publisher&gt;&lt;isbn&gt;2056-4678&lt;/isbn&gt;&lt;urls&gt;&lt;related-urls&gt;&lt;url&gt;https://www.cambridge.org/core/article/impact-of-parents-substance-misuse-on-children-an-update/8519374CDB089DFF4568AC1E60F194A6&lt;/url&gt;&lt;/related-urls&gt;&lt;/urls&gt;&lt;electronic-resource-num&gt;10.1192/apt.bp.114.014449&lt;/electronic-resource-num&gt;&lt;remote-database-name&gt;Cambridge Core&lt;/remote-database-name&gt;&lt;remote-database-provider&gt;Cambridge University Press&lt;/remote-database-provider&gt;&lt;/record&gt;&lt;/Cite&gt;&lt;/EndNote&gt;</w:instrText>
      </w:r>
      <w:r w:rsidR="00EF6A67">
        <w:fldChar w:fldCharType="separate"/>
      </w:r>
      <w:r w:rsidR="00EF6A67">
        <w:rPr>
          <w:noProof/>
        </w:rPr>
        <w:t>(Velleman &amp; Templeton, 2016)</w:t>
      </w:r>
      <w:r w:rsidR="00EF6A67">
        <w:fldChar w:fldCharType="end"/>
      </w:r>
      <w:r w:rsidR="00EF6A67">
        <w:t xml:space="preserve">. </w:t>
      </w:r>
      <w:r w:rsidR="001C393B">
        <w:t>Most children of parents</w:t>
      </w:r>
      <w:r w:rsidR="00075204">
        <w:t xml:space="preserve"> </w:t>
      </w:r>
      <w:r w:rsidR="00602037">
        <w:t xml:space="preserve">with drinking problems, for example, do not themselves become problem drinkers </w:t>
      </w:r>
      <w:r w:rsidR="00602037">
        <w:fldChar w:fldCharType="begin"/>
      </w:r>
      <w:r w:rsidR="00602037">
        <w:instrText xml:space="preserve"> ADDIN EN.CITE &lt;EndNote&gt;&lt;Cite&gt;&lt;Author&gt;Velleman&lt;/Author&gt;&lt;Year&gt;2001&lt;/Year&gt;&lt;RecNum&gt;91&lt;/RecNum&gt;&lt;DisplayText&gt;(Velleman &amp;amp; Orford, 2001)&lt;/DisplayText&gt;&lt;record&gt;&lt;rec-number&gt;91&lt;/rec-number&gt;&lt;foreign-keys&gt;&lt;key app="EN" db-id="ffzvr5fstavwxoe9v04xf0wmp5t50as52da0" timestamp="1731671641" guid="da9ef011-00b5-43bf-bf3a-e26a7c5d70e3"&gt;91&lt;/key&gt;&lt;/foreign-keys&gt;&lt;ref-type name="Book"&gt;6&lt;/ref-type&gt;&lt;contributors&gt;&lt;authors&gt;&lt;author&gt;Richard Velleman&lt;/author&gt;&lt;author&gt;Jim Orford&lt;/author&gt;&lt;/authors&gt;&lt;/contributors&gt;&lt;titles&gt;&lt;title&gt;Risk and resilience: adults who were the children of problem drinkers&lt;/title&gt;&lt;/titles&gt;&lt;dates&gt;&lt;year&gt;2001&lt;/year&gt;&lt;/dates&gt;&lt;pub-location&gt;London&lt;/pub-location&gt;&lt;publisher&gt;Routledge&lt;/publisher&gt;&lt;urls&gt;&lt;/urls&gt;&lt;electronic-resource-num&gt;https://doi.org/10.4324/9780203727690&lt;/electronic-resource-num&gt;&lt;/record&gt;&lt;/Cite&gt;&lt;/EndNote&gt;</w:instrText>
      </w:r>
      <w:r w:rsidR="00602037">
        <w:fldChar w:fldCharType="separate"/>
      </w:r>
      <w:r w:rsidR="00602037">
        <w:rPr>
          <w:noProof/>
        </w:rPr>
        <w:t>(Velleman &amp; Orford, 2001)</w:t>
      </w:r>
      <w:r w:rsidR="00602037">
        <w:fldChar w:fldCharType="end"/>
      </w:r>
      <w:r w:rsidR="00846B2B">
        <w:t xml:space="preserve">. It is possible </w:t>
      </w:r>
      <w:r w:rsidR="00DC4F45">
        <w:t xml:space="preserve">that </w:t>
      </w:r>
      <w:r w:rsidR="0046358A">
        <w:t>the impact of growing up in a household with parental SUD acts as a</w:t>
      </w:r>
      <w:r w:rsidR="00E63E34">
        <w:t xml:space="preserve"> powerful</w:t>
      </w:r>
      <w:r w:rsidR="0046358A">
        <w:t xml:space="preserve"> deterrent </w:t>
      </w:r>
      <w:r w:rsidR="0046358A">
        <w:fldChar w:fldCharType="begin"/>
      </w:r>
      <w:r w:rsidR="0046358A">
        <w:instrText xml:space="preserve"> ADDIN EN.CITE &lt;EndNote&gt;&lt;Cite&gt;&lt;Author&gt;Cleaver&lt;/Author&gt;&lt;Year&gt;2011&lt;/Year&gt;&lt;RecNum&gt;43&lt;/RecNum&gt;&lt;DisplayText&gt;(Cleaver et al., 2011)&lt;/DisplayText&gt;&lt;record&gt;&lt;rec-number&gt;43&lt;/rec-number&gt;&lt;foreign-keys&gt;&lt;key app="EN" db-id="ffzvr5fstavwxoe9v04xf0wmp5t50as52da0" timestamp="1731671638" guid="afb0eff6-874e-492c-93e7-beae4f9bd1d2"&gt;43&lt;/key&gt;&lt;/foreign-keys&gt;&lt;ref-type name="Book"&gt;6&lt;/ref-type&gt;&lt;contributors&gt;&lt;authors&gt;&lt;author&gt;H Cleaver&lt;/author&gt;&lt;author&gt;I Unell&lt;/author&gt;&lt;author&gt;J Aldgate&lt;/author&gt;&lt;/authors&gt;&lt;/contributors&gt;&lt;titles&gt;&lt;title&gt;Children&amp;apos;s need - Parenting capacity. Child abuse: parental mental illness , learning disabilty, substance misuse and domestic violence. 2nd edition.&lt;/title&gt;&lt;/titles&gt;&lt;dates&gt;&lt;year&gt;2011&lt;/year&gt;&lt;/dates&gt;&lt;pub-location&gt;London&lt;/pub-location&gt;&lt;publisher&gt;TSO&lt;/publisher&gt;&lt;isbn&gt;9780117063655&lt;/isbn&gt;&lt;urls&gt;&lt;/urls&gt;&lt;/record&gt;&lt;/Cite&gt;&lt;/EndNote&gt;</w:instrText>
      </w:r>
      <w:r w:rsidR="0046358A">
        <w:fldChar w:fldCharType="separate"/>
      </w:r>
      <w:r w:rsidR="0046358A">
        <w:rPr>
          <w:noProof/>
        </w:rPr>
        <w:t>(Cleaver et al., 2011)</w:t>
      </w:r>
      <w:r w:rsidR="0046358A">
        <w:fldChar w:fldCharType="end"/>
      </w:r>
      <w:r w:rsidR="00E63E34">
        <w:t>.</w:t>
      </w:r>
      <w:r w:rsidR="005F4308">
        <w:t xml:space="preserve"> Further, many children who go grow up in parental SUD households go on to </w:t>
      </w:r>
      <w:r w:rsidR="00EB03D7">
        <w:t xml:space="preserve">become well-functioning and contented adults. </w:t>
      </w:r>
      <w:r w:rsidR="00B0571F">
        <w:t>Studies</w:t>
      </w:r>
      <w:r w:rsidR="00EB03D7">
        <w:t xml:space="preserve"> often refer to this phenomenon as ‘resilience’. </w:t>
      </w:r>
    </w:p>
    <w:p w14:paraId="19CFB6B0" w14:textId="77777777" w:rsidR="00704A7C" w:rsidRDefault="00704A7C" w:rsidP="00737297">
      <w:pPr>
        <w:pStyle w:val="NoSpacing"/>
        <w:spacing w:line="360" w:lineRule="auto"/>
      </w:pPr>
    </w:p>
    <w:p w14:paraId="152B67B9" w14:textId="79283EE4" w:rsidR="00877925" w:rsidRDefault="00EE70FB" w:rsidP="00737297">
      <w:pPr>
        <w:pStyle w:val="NoSpacing"/>
        <w:spacing w:line="360" w:lineRule="auto"/>
      </w:pPr>
      <w:r>
        <w:t xml:space="preserve">There is no universal definition of ‘resilience’ </w:t>
      </w:r>
      <w:r>
        <w:fldChar w:fldCharType="begin"/>
      </w:r>
      <w:r>
        <w:instrText xml:space="preserve"> ADDIN EN.CITE &lt;EndNote&gt;&lt;Cite&gt;&lt;Author&gt;Ahlborg&lt;/Author&gt;&lt;Year&gt;2024&lt;/Year&gt;&lt;RecNum&gt;716&lt;/RecNum&gt;&lt;DisplayText&gt;(Ahlborg et al., 2024)&lt;/DisplayText&gt;&lt;record&gt;&lt;rec-number&gt;716&lt;/rec-number&gt;&lt;foreign-keys&gt;&lt;key app="EN" db-id="ffzvr5fstavwxoe9v04xf0wmp5t50as52da0" timestamp="1734959869" guid="03e1e407-8fcb-4121-91ee-98eafb35e4ba"&gt;716&lt;/key&gt;&lt;/foreign-keys&gt;&lt;ref-type name="Journal Article"&gt;17&lt;/ref-type&gt;&lt;contributors&gt;&lt;authors&gt;&lt;author&gt;Ahlborg, Mikael Gunnar&lt;/author&gt;&lt;author&gt;Nygren, Jens Martin&lt;/author&gt;&lt;author&gt;Svedberg, Petra&lt;/author&gt;&lt;author&gt;Regber, Susann&lt;/author&gt;&lt;/authors&gt;&lt;/contributors&gt;&lt;titles&gt;&lt;title&gt;Resilience in children of parents with mental illness, alcohol or substance misuse—An integrative review&lt;/title&gt;&lt;secondary-title&gt;Nursing Open&lt;/secondary-title&gt;&lt;/titles&gt;&lt;periodical&gt;&lt;full-title&gt;Nursing Open&lt;/full-title&gt;&lt;/periodical&gt;&lt;pages&gt;e2219&lt;/pages&gt;&lt;volume&gt;11&lt;/volume&gt;&lt;number&gt;6&lt;/number&gt;&lt;keywords&gt;&lt;keyword&gt;adolescents&lt;/keyword&gt;&lt;keyword&gt;alcohol misuse&lt;/keyword&gt;&lt;keyword&gt;children: Mental illness&lt;/keyword&gt;&lt;keyword&gt;nursing: Parents&lt;/keyword&gt;&lt;keyword&gt;resilience&lt;/keyword&gt;&lt;keyword&gt;substance misuse&lt;/keyword&gt;&lt;keyword&gt;youths&lt;/keyword&gt;&lt;/keywords&gt;&lt;dates&gt;&lt;year&gt;2024&lt;/year&gt;&lt;pub-dates&gt;&lt;date&gt;2024/06/01&lt;/date&gt;&lt;/pub-dates&gt;&lt;/dates&gt;&lt;publisher&gt;John Wiley &amp;amp; Sons, Ltd&lt;/publisher&gt;&lt;isbn&gt;2054-1058&lt;/isbn&gt;&lt;urls&gt;&lt;related-urls&gt;&lt;url&gt;https://doi.org/10.1002/nop2.2219&lt;/url&gt;&lt;/related-urls&gt;&lt;/urls&gt;&lt;electronic-resource-num&gt;https://doi.org/10.1002/nop2.2219&lt;/electronic-resource-num&gt;&lt;access-date&gt;2024/12/23&lt;/access-date&gt;&lt;/record&gt;&lt;/Cite&gt;&lt;/EndNote&gt;</w:instrText>
      </w:r>
      <w:r>
        <w:fldChar w:fldCharType="separate"/>
      </w:r>
      <w:r>
        <w:rPr>
          <w:noProof/>
        </w:rPr>
        <w:t>(Ahlborg et al., 2024)</w:t>
      </w:r>
      <w:r>
        <w:fldChar w:fldCharType="end"/>
      </w:r>
      <w:r w:rsidRPr="007C743D">
        <w:t xml:space="preserve"> </w:t>
      </w:r>
      <w:r w:rsidR="00877925">
        <w:t>According to the WHO, the term ‘resilience’ describes individual (and community) positive outcomes despite the occurrence of negative events. Both Health 2020 – the WHO health policy framework for European countries – and the United Nations Sustainable Development Goals have identified resilience as a priority for health and wellbeing, with the term becoming a buzzword used frequently by academia, businesses and the public sector</w:t>
      </w:r>
      <w:r w:rsidR="007743C7">
        <w:t xml:space="preserve"> alike</w:t>
      </w:r>
      <w:r w:rsidR="00877925">
        <w:t xml:space="preserve"> </w:t>
      </w:r>
      <w:r w:rsidR="00877925">
        <w:fldChar w:fldCharType="begin"/>
      </w:r>
      <w:r w:rsidR="00B9334F">
        <w:instrText xml:space="preserve"> ADDIN EN.CITE &lt;EndNote&gt;&lt;Cite&gt;&lt;Author&gt;Ziglio&lt;/Author&gt;&lt;Year&gt;2017&lt;/Year&gt;&lt;RecNum&gt;90&lt;/RecNum&gt;&lt;DisplayText&gt;(Ziglio, 2017)&lt;/DisplayText&gt;&lt;record&gt;&lt;rec-number&gt;90&lt;/rec-number&gt;&lt;foreign-keys&gt;&lt;key app="EN" db-id="ffzvr5fstavwxoe9v04xf0wmp5t50as52da0" timestamp="1731671641" guid="8348e37e-69af-4f3a-b6ea-eb2fca30eac0"&gt;90&lt;/key&gt;&lt;/foreign-keys&gt;&lt;ref-type name="Electronic Article"&gt;43&lt;/ref-type&gt;&lt;contributors&gt;&lt;authors&gt;&lt;author&gt;Erio Ziglio&lt;/author&gt;&lt;/authors&gt;&lt;/contributors&gt;&lt;titles&gt;&lt;title&gt;Strengthening resilience: a priority shared by Health 2020 and the Sustainable Development Goals&lt;/title&gt;&lt;/titles&gt;&lt;dates&gt;&lt;year&gt;2017&lt;/year&gt;&lt;pub-dates&gt;&lt;date&gt;14/06/2019&lt;/date&gt;&lt;/pub-dates&gt;&lt;/dates&gt;&lt;pub-location&gt;Italy&lt;/pub-location&gt;&lt;publisher&gt;WHO Regional Office for Europe,&lt;/publisher&gt;&lt;urls&gt;&lt;related-urls&gt;&lt;url&gt;http://www.euro.who.int/__data/assets/pdf_file/0005/351284/resilience-report-20171004-h1635.pdf&lt;/url&gt;&lt;/related-urls&gt;&lt;/urls&gt;&lt;/record&gt;&lt;/Cite&gt;&lt;/EndNote&gt;</w:instrText>
      </w:r>
      <w:r w:rsidR="00877925">
        <w:fldChar w:fldCharType="separate"/>
      </w:r>
      <w:r w:rsidR="00A77498">
        <w:rPr>
          <w:noProof/>
        </w:rPr>
        <w:t>(Ziglio, 2017)</w:t>
      </w:r>
      <w:r w:rsidR="00877925">
        <w:fldChar w:fldCharType="end"/>
      </w:r>
      <w:r w:rsidR="00877925">
        <w:t xml:space="preserve">. </w:t>
      </w:r>
      <w:r w:rsidR="00636C01">
        <w:t>‘</w:t>
      </w:r>
      <w:r w:rsidR="00FD46A6" w:rsidRPr="00FD46A6">
        <w:t>Resilience</w:t>
      </w:r>
      <w:r w:rsidR="00636C01">
        <w:t>’</w:t>
      </w:r>
      <w:r w:rsidR="00FD46A6" w:rsidRPr="00FD46A6">
        <w:t xml:space="preserve"> in </w:t>
      </w:r>
      <w:r w:rsidR="00636C01">
        <w:t xml:space="preserve">the </w:t>
      </w:r>
      <w:r w:rsidR="00FD46A6" w:rsidRPr="00FD46A6">
        <w:t xml:space="preserve">children of parents </w:t>
      </w:r>
      <w:r w:rsidR="00636C01">
        <w:t xml:space="preserve">with </w:t>
      </w:r>
      <w:r w:rsidR="00FD46A6">
        <w:t>SUD typically</w:t>
      </w:r>
      <w:r w:rsidR="00FD46A6" w:rsidRPr="00FD46A6">
        <w:t xml:space="preserve"> refers to coping strategies, protective factors and </w:t>
      </w:r>
      <w:r w:rsidR="007B57D3">
        <w:t xml:space="preserve">the </w:t>
      </w:r>
      <w:r w:rsidR="00FD46A6" w:rsidRPr="00FD46A6">
        <w:t xml:space="preserve">absence of symptoms or </w:t>
      </w:r>
      <w:r w:rsidR="00110EBB">
        <w:t xml:space="preserve">substance use </w:t>
      </w:r>
      <w:r w:rsidR="00FD46A6" w:rsidRPr="00FD46A6">
        <w:t>risk behaviour</w:t>
      </w:r>
      <w:r w:rsidR="00110EBB">
        <w:t xml:space="preserve"> </w:t>
      </w:r>
      <w:r w:rsidR="00CF4A75">
        <w:fldChar w:fldCharType="begin"/>
      </w:r>
      <w:r w:rsidR="0048097C">
        <w:instrText xml:space="preserve"> ADDIN EN.CITE &lt;EndNote&gt;&lt;Cite&gt;&lt;Author&gt;Ahlborg&lt;/Author&gt;&lt;Year&gt;2024&lt;/Year&gt;&lt;RecNum&gt;716&lt;/RecNum&gt;&lt;DisplayText&gt;(Ahlborg et al., 2024)&lt;/DisplayText&gt;&lt;record&gt;&lt;rec-number&gt;716&lt;/rec-number&gt;&lt;foreign-keys&gt;&lt;key app="EN" db-id="ffzvr5fstavwxoe9v04xf0wmp5t50as52da0" timestamp="1734959869" guid="03e1e407-8fcb-4121-91ee-98eafb35e4ba"&gt;716&lt;/key&gt;&lt;/foreign-keys&gt;&lt;ref-type name="Journal Article"&gt;17&lt;/ref-type&gt;&lt;contributors&gt;&lt;authors&gt;&lt;author&gt;Ahlborg, Mikael Gunnar&lt;/author&gt;&lt;author&gt;Nygren, Jens Martin&lt;/author&gt;&lt;author&gt;Svedberg, Petra&lt;/author&gt;&lt;author&gt;Regber, Susann&lt;/author&gt;&lt;/authors&gt;&lt;/contributors&gt;&lt;titles&gt;&lt;title&gt;Resilience in children of parents with mental illness, alcohol or substance misuse—An integrative review&lt;/title&gt;&lt;secondary-title&gt;Nursing Open&lt;/secondary-title&gt;&lt;/titles&gt;&lt;periodical&gt;&lt;full-title&gt;Nursing Open&lt;/full-title&gt;&lt;/periodical&gt;&lt;pages&gt;e2219&lt;/pages&gt;&lt;volume&gt;11&lt;/volume&gt;&lt;number&gt;6&lt;/number&gt;&lt;keywords&gt;&lt;keyword&gt;adolescents&lt;/keyword&gt;&lt;keyword&gt;alcohol misuse&lt;/keyword&gt;&lt;keyword&gt;children: Mental illness&lt;/keyword&gt;&lt;keyword&gt;nursing: Parents&lt;/keyword&gt;&lt;keyword&gt;resilience&lt;/keyword&gt;&lt;keyword&gt;substance misuse&lt;/keyword&gt;&lt;keyword&gt;youths&lt;/keyword&gt;&lt;/keywords&gt;&lt;dates&gt;&lt;year&gt;2024&lt;/year&gt;&lt;pub-dates&gt;&lt;date&gt;2024/06/01&lt;/date&gt;&lt;/pub-dates&gt;&lt;/dates&gt;&lt;publisher&gt;John Wiley &amp;amp; Sons, Ltd&lt;/publisher&gt;&lt;isbn&gt;2054-1058&lt;/isbn&gt;&lt;urls&gt;&lt;related-urls&gt;&lt;url&gt;https://doi.org/10.1002/nop2.2219&lt;/url&gt;&lt;/related-urls&gt;&lt;/urls&gt;&lt;electronic-resource-num&gt;https://doi.org/10.1002/nop2.2219&lt;/electronic-resource-num&gt;&lt;access-date&gt;2024/12/23&lt;/access-date&gt;&lt;/record&gt;&lt;/Cite&gt;&lt;/EndNote&gt;</w:instrText>
      </w:r>
      <w:r w:rsidR="00CF4A75">
        <w:fldChar w:fldCharType="separate"/>
      </w:r>
      <w:r w:rsidR="00A93C79">
        <w:rPr>
          <w:noProof/>
        </w:rPr>
        <w:t>(Ahlborg et al., 2024)</w:t>
      </w:r>
      <w:r w:rsidR="00CF4A75">
        <w:fldChar w:fldCharType="end"/>
      </w:r>
      <w:r w:rsidR="00FD46A6" w:rsidRPr="00FD46A6">
        <w:t>.</w:t>
      </w:r>
      <w:r w:rsidR="00650A05">
        <w:t xml:space="preserve"> </w:t>
      </w:r>
      <w:r w:rsidR="00877925">
        <w:t xml:space="preserve">Resilience, can, in part, be explained by genetics. </w:t>
      </w:r>
      <w:r w:rsidR="00877925">
        <w:fldChar w:fldCharType="begin">
          <w:fldData xml:space="preserve">PEVuZE5vdGU+PENpdGUgQXV0aG9yWWVhcj0iMSI+PEF1dGhvcj5QYXJrPC9BdXRob3I+PFllYXI+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</w:fldData>
        </w:fldChar>
      </w:r>
      <w:r w:rsidR="00B9334F">
        <w:instrText xml:space="preserve"> ADDIN EN.CITE </w:instrText>
      </w:r>
      <w:r w:rsidR="00B9334F">
        <w:fldChar w:fldCharType="begin">
          <w:fldData xml:space="preserve">PEVuZE5vdGU+PENpdGUgQXV0aG9yWWVhcj0iMSI+PEF1dGhvcj5QYXJrPC9BdXRob3I+PFllYXI+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</w:fldData>
        </w:fldChar>
      </w:r>
      <w:r w:rsidR="00B9334F">
        <w:instrText xml:space="preserve"> ADDIN EN.CITE.DATA </w:instrText>
      </w:r>
      <w:r w:rsidR="00B9334F">
        <w:fldChar w:fldCharType="end"/>
      </w:r>
      <w:r w:rsidR="00877925">
        <w:fldChar w:fldCharType="separate"/>
      </w:r>
      <w:r w:rsidR="00877925">
        <w:rPr>
          <w:noProof/>
        </w:rPr>
        <w:t>Park and Schepp (2015)</w:t>
      </w:r>
      <w:r w:rsidR="00877925">
        <w:fldChar w:fldCharType="end"/>
      </w:r>
      <w:r w:rsidR="00877925">
        <w:t xml:space="preserve"> identified </w:t>
      </w:r>
      <w:r w:rsidR="00907C0E">
        <w:t>that the</w:t>
      </w:r>
      <w:r w:rsidR="00877925">
        <w:t xml:space="preserve"> brains of ‘resilient’ children of fathers with an alcohol </w:t>
      </w:r>
      <w:r w:rsidR="00F64B3E">
        <w:t>use disorder</w:t>
      </w:r>
      <w:r w:rsidR="00877925">
        <w:t xml:space="preserve"> were observed to have a more active </w:t>
      </w:r>
      <w:r w:rsidR="00877925" w:rsidRPr="004620A1">
        <w:lastRenderedPageBreak/>
        <w:t xml:space="preserve">orbital frontal gyrus </w:t>
      </w:r>
      <w:r w:rsidR="00877925">
        <w:t xml:space="preserve">(OFG) </w:t>
      </w:r>
      <w:r w:rsidR="00877925" w:rsidRPr="004620A1">
        <w:t>and left insula</w:t>
      </w:r>
      <w:r w:rsidR="00877925">
        <w:t xml:space="preserve"> than their ‘vulnerable’ peers</w:t>
      </w:r>
      <w:r w:rsidR="00877925" w:rsidRPr="004620A1">
        <w:t>.</w:t>
      </w:r>
      <w:r w:rsidR="00877925">
        <w:t xml:space="preserve"> These are associated with regulating emotions and behaviour.</w:t>
      </w:r>
    </w:p>
    <w:p w14:paraId="3D36E7F1" w14:textId="77777777" w:rsidR="00877925" w:rsidRDefault="00877925" w:rsidP="00737297">
      <w:pPr>
        <w:pStyle w:val="NoSpacing"/>
        <w:spacing w:line="360" w:lineRule="auto"/>
      </w:pPr>
    </w:p>
    <w:p w14:paraId="7E6CEA2E" w14:textId="1801A233" w:rsidR="00877925" w:rsidRDefault="00CA46B8" w:rsidP="00737297">
      <w:pPr>
        <w:pStyle w:val="NoSpacing"/>
        <w:spacing w:line="360" w:lineRule="auto"/>
      </w:pPr>
      <w:r>
        <w:t xml:space="preserve">In a seminal study of British adults aged 16-35 who were the children of parents with an alcohol use disorder, </w:t>
      </w:r>
      <w:r>
        <w:fldChar w:fldCharType="begin"/>
      </w:r>
      <w:r w:rsidR="00B9334F">
        <w:instrText xml:space="preserve"> ADDIN EN.CITE &lt;EndNote&gt;&lt;Cite AuthorYear="1"&gt;&lt;Author&gt;Velleman&lt;/Author&gt;&lt;Year&gt;2001&lt;/Year&gt;&lt;RecNum&gt;91&lt;/RecNum&gt;&lt;DisplayText&gt;Velleman and Orford (2001)&lt;/DisplayText&gt;&lt;record&gt;&lt;rec-number&gt;91&lt;/rec-number&gt;&lt;foreign-keys&gt;&lt;key app="EN" db-id="ffzvr5fstavwxoe9v04xf0wmp5t50as52da0" timestamp="1731671641" guid="da9ef011-00b5-43bf-bf3a-e26a7c5d70e3"&gt;91&lt;/key&gt;&lt;/foreign-keys&gt;&lt;ref-type name="Book"&gt;6&lt;/ref-type&gt;&lt;contributors&gt;&lt;authors&gt;&lt;author&gt;Richard Velleman&lt;/author&gt;&lt;author&gt;Jim Orford&lt;/author&gt;&lt;/authors&gt;&lt;/contributors&gt;&lt;titles&gt;&lt;title&gt;Risk and resilience: adults who were the children of problem drinkers&lt;/title&gt;&lt;/titles&gt;&lt;dates&gt;&lt;year&gt;2001&lt;/year&gt;&lt;/dates&gt;&lt;pub-location&gt;London&lt;/pub-location&gt;&lt;publisher&gt;Routledge&lt;/publisher&gt;&lt;urls&gt;&lt;/urls&gt;&lt;electronic-resource-num&gt;https://doi.org/10.4324/9780203727690&lt;/electronic-resource-num&gt;&lt;/record&gt;&lt;/Cite&gt;&lt;/EndNote&gt;</w:instrText>
      </w:r>
      <w:r>
        <w:fldChar w:fldCharType="separate"/>
      </w:r>
      <w:r>
        <w:rPr>
          <w:noProof/>
        </w:rPr>
        <w:t>Velleman and Orford (2001)</w:t>
      </w:r>
      <w:r>
        <w:fldChar w:fldCharType="end"/>
      </w:r>
      <w:r>
        <w:t xml:space="preserve"> found that many of the children were resilient. </w:t>
      </w:r>
      <w:r w:rsidR="00877925">
        <w:t xml:space="preserve">In a review of the literature on resilience, </w:t>
      </w:r>
      <w:r w:rsidR="00877925">
        <w:fldChar w:fldCharType="begin"/>
      </w:r>
      <w:r w:rsidR="00B9334F">
        <w:instrText xml:space="preserve"> ADDIN EN.CITE &lt;EndNote&gt;&lt;Cite AuthorYear="1"&gt;&lt;Author&gt;Velleman&lt;/Author&gt;&lt;Year&gt;2007&lt;/Year&gt;&lt;RecNum&gt;93&lt;/RecNum&gt;&lt;DisplayText&gt;Velleman and Templeton (2007)&lt;/DisplayText&gt;&lt;record&gt;&lt;rec-number&gt;93&lt;/rec-number&gt;&lt;foreign-keys&gt;&lt;key app="EN" db-id="ffzvr5fstavwxoe9v04xf0wmp5t50as52da0" timestamp="1731671642" guid="dfe6fe98-d0f3-4433-ad5f-cb8ea189e0dd"&gt;93&lt;/key&gt;&lt;/foreign-keys&gt;&lt;ref-type name="Journal Article"&gt;17&lt;/ref-type&gt;&lt;contributors&gt;&lt;authors&gt;&lt;author&gt;Velleman, Richard&lt;/author&gt;&lt;author&gt;Templeton, Lorna&lt;/author&gt;&lt;/authors&gt;&lt;/contributors&gt;&lt;titles&gt;&lt;title&gt;Understanding and modifying the impact of parents’ substance misuse on children&lt;/title&gt;&lt;secondary-title&gt;Advances in Psychiatric Treatment&lt;/secondary-title&gt;&lt;/titles&gt;&lt;periodical&gt;&lt;full-title&gt;Advances in Psychiatric Treatment&lt;/full-title&gt;&lt;/periodical&gt;&lt;pages&gt;79-89&lt;/pages&gt;&lt;volume&gt;13&lt;/volume&gt;&lt;number&gt;2&lt;/number&gt;&lt;dates&gt;&lt;year&gt;2007&lt;/year&gt;&lt;/dates&gt;&lt;urls&gt;&lt;related-urls&gt;&lt;url&gt;http://apt.rcpsych.org/content/aptrcpsych/13/2/79.full.pdf&lt;/url&gt;&lt;/related-urls&gt;&lt;/urls&gt;&lt;electronic-resource-num&gt;10.1192/apt.bp.106.002386&lt;/electronic-resource-num&gt;&lt;/record&gt;&lt;/Cite&gt;&lt;/EndNote&gt;</w:instrText>
      </w:r>
      <w:r w:rsidR="00877925">
        <w:fldChar w:fldCharType="separate"/>
      </w:r>
      <w:r w:rsidR="00877925">
        <w:rPr>
          <w:noProof/>
        </w:rPr>
        <w:t>Velleman and Templeton (2007)</w:t>
      </w:r>
      <w:r w:rsidR="00877925">
        <w:fldChar w:fldCharType="end"/>
      </w:r>
      <w:r w:rsidR="00877925">
        <w:t xml:space="preserve"> argued that resilience should not be considered as fixed, but rather as a process which can be influenced by social context</w:t>
      </w:r>
      <w:r w:rsidR="00512C0E">
        <w:t>.</w:t>
      </w:r>
      <w:r w:rsidR="00877925">
        <w:t xml:space="preserve"> </w:t>
      </w:r>
      <w:r w:rsidR="00512C0E">
        <w:t>P</w:t>
      </w:r>
      <w:r w:rsidR="00877925">
        <w:t>rotective factors</w:t>
      </w:r>
      <w:r w:rsidR="00AB2175">
        <w:t>,</w:t>
      </w:r>
      <w:r w:rsidR="00877925">
        <w:t xml:space="preserve"> such as parental attachment and emotional support from other adults outside of the home, make it far more likely that a child can demonstrate resilience. </w:t>
      </w:r>
      <w:r w:rsidR="003006DE">
        <w:t>However</w:t>
      </w:r>
      <w:r w:rsidR="00CC3DB5">
        <w:t>,</w:t>
      </w:r>
      <w:r w:rsidR="003006DE">
        <w:t xml:space="preserve"> </w:t>
      </w:r>
      <w:r w:rsidR="00CC3DB5">
        <w:t xml:space="preserve">both stable and unstable </w:t>
      </w:r>
      <w:r w:rsidR="003006DE">
        <w:t>factors can change</w:t>
      </w:r>
      <w:r w:rsidR="00CC3DB5">
        <w:t xml:space="preserve"> over t</w:t>
      </w:r>
      <w:r w:rsidR="00DE2A31">
        <w:t>ime</w:t>
      </w:r>
      <w:r w:rsidR="00877925">
        <w:t xml:space="preserve">, </w:t>
      </w:r>
      <w:r w:rsidR="00DE2A31">
        <w:t>and, for example,</w:t>
      </w:r>
      <w:r w:rsidR="00CC3DB5">
        <w:t xml:space="preserve"> </w:t>
      </w:r>
      <w:r w:rsidR="00877925">
        <w:t xml:space="preserve">a child who may be assessed as resilient at one stage in their life, may not continue to be in future. </w:t>
      </w:r>
    </w:p>
    <w:p w14:paraId="3360DA8D" w14:textId="77777777" w:rsidR="00877925" w:rsidRDefault="00877925" w:rsidP="00737297">
      <w:pPr>
        <w:pStyle w:val="NoSpacing"/>
        <w:spacing w:line="360" w:lineRule="auto"/>
      </w:pPr>
    </w:p>
    <w:p w14:paraId="6967B7BB" w14:textId="5CBD7ECB" w:rsidR="005A6ED0" w:rsidRDefault="001B53C5" w:rsidP="00631FB3">
      <w:pPr>
        <w:pStyle w:val="NoSpacing"/>
        <w:spacing w:line="360" w:lineRule="auto"/>
      </w:pPr>
      <w:r>
        <w:t>T</w:t>
      </w:r>
      <w:r w:rsidR="00020043">
        <w:t>h</w:t>
      </w:r>
      <w:r w:rsidR="006266EF">
        <w:t>e</w:t>
      </w:r>
      <w:r>
        <w:t xml:space="preserve"> </w:t>
      </w:r>
      <w:r w:rsidR="00877925">
        <w:t xml:space="preserve">idea of ‘resilience’ while useful, can be problematic. </w:t>
      </w:r>
      <w:r w:rsidR="00B61784">
        <w:t xml:space="preserve">Much of the literature aligns a child’s resilience with their behaviour </w:t>
      </w:r>
      <w:r w:rsidR="00B61784">
        <w:fldChar w:fldCharType="begin"/>
      </w:r>
      <w:r w:rsidR="00B61784">
        <w:instrText xml:space="preserve"> ADDIN EN.CITE &lt;EndNote&gt;&lt;Cite&gt;&lt;Author&gt;Todman&lt;/Author&gt;&lt;Year&gt;2021&lt;/Year&gt;&lt;RecNum&gt;252&lt;/RecNum&gt;&lt;DisplayText&gt;(Todman, 2021)&lt;/DisplayText&gt;&lt;record&gt;&lt;rec-number&gt;252&lt;/rec-number&gt;&lt;foreign-keys&gt;&lt;key app="EN" db-id="ffzvr5fstavwxoe9v04xf0wmp5t50as52da0" timestamp="1731671652" guid="9f2ae23c-effe-43e9-835c-da0377cb951b"&gt;252&lt;/key&gt;&lt;/foreign-keys&gt;&lt;ref-type name="Thesis"&gt;32&lt;/ref-type&gt;&lt;contributors&gt;&lt;authors&gt;&lt;author&gt;Todman, Hannah Louise&lt;/author&gt;&lt;/authors&gt;&lt;/contributors&gt;&lt;titles&gt;&lt;title&gt;Understanding the needs of children living with parental substance misuse: Perspectives of children and professionals&lt;/title&gt;&lt;/titles&gt;&lt;dates&gt;&lt;year&gt;2021&lt;/year&gt;&lt;/dates&gt;&lt;publisher&gt;Manchester Metropolitan University&lt;/publisher&gt;&lt;urls&gt;&lt;/urls&gt;&lt;/record&gt;&lt;/Cite&gt;&lt;/EndNote&gt;</w:instrText>
      </w:r>
      <w:r w:rsidR="00B61784">
        <w:fldChar w:fldCharType="separate"/>
      </w:r>
      <w:r w:rsidR="00B61784">
        <w:rPr>
          <w:noProof/>
        </w:rPr>
        <w:t>(Todman, 2021)</w:t>
      </w:r>
      <w:r w:rsidR="00B61784">
        <w:fldChar w:fldCharType="end"/>
      </w:r>
      <w:r w:rsidR="00B61784">
        <w:t>. For example, trauma-exposed children who do not use drugs and do well at school are labelled as ‘resilient’</w:t>
      </w:r>
      <w:r w:rsidR="006B5C01">
        <w:t xml:space="preserve">. </w:t>
      </w:r>
      <w:r w:rsidR="006266EF" w:rsidRPr="007C743D">
        <w:t xml:space="preserve">From an early age, </w:t>
      </w:r>
      <w:r w:rsidR="006266EF">
        <w:t xml:space="preserve">trauma-exposed </w:t>
      </w:r>
      <w:r w:rsidR="006266EF" w:rsidRPr="007C743D">
        <w:t>children begin to develop the coping skills needed to recover</w:t>
      </w:r>
      <w:r w:rsidR="006266EF">
        <w:t xml:space="preserve"> </w:t>
      </w:r>
      <w:r w:rsidR="006266EF">
        <w:fldChar w:fldCharType="begin"/>
      </w:r>
      <w:r w:rsidR="00264749">
        <w:instrText xml:space="preserve"> ADDIN EN.CITE &lt;EndNote&gt;&lt;Cite&gt;&lt;Author&gt;Hornor&lt;/Author&gt;&lt;Year&gt;2017&lt;/Year&gt;&lt;RecNum&gt;717&lt;/RecNum&gt;&lt;DisplayText&gt;(Hornor, 2017)&lt;/DisplayText&gt;&lt;record&gt;&lt;rec-number&gt;717&lt;/rec-number&gt;&lt;foreign-keys&gt;&lt;key app="EN" db-id="ffzvr5fstavwxoe9v04xf0wmp5t50as52da0" timestamp="1734960713" guid="1b2c681f-e841-4f08-8828-86e5ab26c04f"&gt;717&lt;/key&gt;&lt;/foreign-keys&gt;&lt;ref-type name="Journal Article"&gt;17&lt;/ref-type&gt;&lt;contributors&gt;&lt;authors&gt;&lt;author&gt;Hornor, Gail&lt;/author&gt;&lt;/authors&gt;&lt;/contributors&gt;&lt;titles&gt;&lt;title&gt;Resilience&lt;/title&gt;&lt;secondary-title&gt;Journal of Pediatric Health Care&lt;/secondary-title&gt;&lt;/titles&gt;&lt;periodical&gt;&lt;full-title&gt;Journal of Pediatric Health Care&lt;/full-title&gt;&lt;/periodical&gt;&lt;pages&gt;384-390&lt;/pages&gt;&lt;volume&gt;31&lt;/volume&gt;&lt;number&gt;3&lt;/number&gt;&lt;keywords&gt;&lt;keyword&gt;Trauma&lt;/keyword&gt;&lt;keyword&gt;resilience&lt;/keyword&gt;&lt;keyword&gt;stress&lt;/keyword&gt;&lt;/keywords&gt;&lt;dates&gt;&lt;year&gt;2017&lt;/year&gt;&lt;pub-dates&gt;&lt;date&gt;2017/05/01/&lt;/date&gt;&lt;/pub-dates&gt;&lt;/dates&gt;&lt;isbn&gt;0891-5245&lt;/isbn&gt;&lt;urls&gt;&lt;related-urls&gt;&lt;url&gt;https://www.sciencedirect.com/science/article/pii/S0891524516302541&lt;/url&gt;&lt;/related-urls&gt;&lt;/urls&gt;&lt;electronic-resource-num&gt;https://doi.org/10.1016/j.pedhc.2016.09.005&lt;/electronic-resource-num&gt;&lt;/record&gt;&lt;/Cite&gt;&lt;/EndNote&gt;</w:instrText>
      </w:r>
      <w:r w:rsidR="006266EF">
        <w:fldChar w:fldCharType="separate"/>
      </w:r>
      <w:r w:rsidR="006266EF">
        <w:rPr>
          <w:noProof/>
        </w:rPr>
        <w:t>(Hornor, 2017)</w:t>
      </w:r>
      <w:r w:rsidR="006266EF">
        <w:fldChar w:fldCharType="end"/>
      </w:r>
      <w:r w:rsidR="006266EF">
        <w:t xml:space="preserve">, but these skills can be to the detriment of the child’s </w:t>
      </w:r>
      <w:r w:rsidR="006D5E50">
        <w:t xml:space="preserve">overall </w:t>
      </w:r>
      <w:r w:rsidR="006266EF">
        <w:t>wellbeing.</w:t>
      </w:r>
      <w:r w:rsidR="006266EF" w:rsidRPr="007C743D">
        <w:t xml:space="preserve"> </w:t>
      </w:r>
      <w:r w:rsidR="001E7875">
        <w:t xml:space="preserve">For example, </w:t>
      </w:r>
      <w:r w:rsidR="00FA7FB8">
        <w:t xml:space="preserve">children may </w:t>
      </w:r>
      <w:r w:rsidR="00334644">
        <w:t>withdraw socially</w:t>
      </w:r>
      <w:r w:rsidR="00FA7FB8">
        <w:t xml:space="preserve"> and adopt avoidance strategies as an act </w:t>
      </w:r>
      <w:r w:rsidR="001E7875">
        <w:t>of self-preservation during</w:t>
      </w:r>
      <w:r w:rsidR="00FA7FB8">
        <w:t xml:space="preserve"> particularly difficult times</w:t>
      </w:r>
      <w:r w:rsidR="00B049A4">
        <w:t xml:space="preserve"> where external support is absent</w:t>
      </w:r>
      <w:r w:rsidR="00264749">
        <w:t xml:space="preserve"> </w:t>
      </w:r>
      <w:r w:rsidR="00264749">
        <w:fldChar w:fldCharType="begin"/>
      </w:r>
      <w:r w:rsidR="00264749">
        <w:instrText xml:space="preserve"> ADDIN EN.CITE &lt;EndNote&gt;&lt;Cite&gt;&lt;Author&gt;Ahlborg&lt;/Author&gt;&lt;Year&gt;2024&lt;/Year&gt;&lt;RecNum&gt;716&lt;/RecNum&gt;&lt;DisplayText&gt;(Ahlborg et al., 2024)&lt;/DisplayText&gt;&lt;record&gt;&lt;rec-number&gt;716&lt;/rec-number&gt;&lt;foreign-keys&gt;&lt;key app="EN" db-id="ffzvr5fstavwxoe9v04xf0wmp5t50as52da0" timestamp="1734959869" guid="03e1e407-8fcb-4121-91ee-98eafb35e4ba"&gt;716&lt;/key&gt;&lt;/foreign-keys&gt;&lt;ref-type name="Journal Article"&gt;17&lt;/ref-type&gt;&lt;contributors&gt;&lt;authors&gt;&lt;author&gt;Ahlborg, Mikael Gunnar&lt;/author&gt;&lt;author&gt;Nygren, Jens Martin&lt;/author&gt;&lt;author&gt;Svedberg, Petra&lt;/author&gt;&lt;author&gt;Regber, Susann&lt;/author&gt;&lt;/authors&gt;&lt;/contributors&gt;&lt;titles&gt;&lt;title&gt;Resilience in children of parents with mental illness, alcohol or substance misuse—An integrative review&lt;/title&gt;&lt;secondary-title&gt;Nursing Open&lt;/secondary-title&gt;&lt;/titles&gt;&lt;periodical&gt;&lt;full-title&gt;Nursing Open&lt;/full-title&gt;&lt;/periodical&gt;&lt;pages&gt;e2219&lt;/pages&gt;&lt;volume&gt;11&lt;/volume&gt;&lt;number&gt;6&lt;/number&gt;&lt;keywords&gt;&lt;keyword&gt;adolescents&lt;/keyword&gt;&lt;keyword&gt;alcohol misuse&lt;/keyword&gt;&lt;keyword&gt;children: Mental illness&lt;/keyword&gt;&lt;keyword&gt;nursing: Parents&lt;/keyword&gt;&lt;keyword&gt;resilience&lt;/keyword&gt;&lt;keyword&gt;substance misuse&lt;/keyword&gt;&lt;keyword&gt;youths&lt;/keyword&gt;&lt;/keywords&gt;&lt;dates&gt;&lt;year&gt;2024&lt;/year&gt;&lt;pub-dates&gt;&lt;date&gt;2024/06/01&lt;/date&gt;&lt;/pub-dates&gt;&lt;/dates&gt;&lt;publisher&gt;John Wiley &amp;amp; Sons, Ltd&lt;/publisher&gt;&lt;isbn&gt;2054-1058&lt;/isbn&gt;&lt;urls&gt;&lt;related-urls&gt;&lt;url&gt;https://doi.org/10.1002/nop2.2219&lt;/url&gt;&lt;/related-urls&gt;&lt;/urls&gt;&lt;electronic-resource-num&gt;https://doi.org/10.1002/nop2.2219&lt;/electronic-resource-num&gt;&lt;access-date&gt;2024/12/23&lt;/access-date&gt;&lt;/record&gt;&lt;/Cite&gt;&lt;/EndNote&gt;</w:instrText>
      </w:r>
      <w:r w:rsidR="00264749">
        <w:fldChar w:fldCharType="separate"/>
      </w:r>
      <w:r w:rsidR="00264749">
        <w:rPr>
          <w:noProof/>
        </w:rPr>
        <w:t>(Ahlborg et al., 2024)</w:t>
      </w:r>
      <w:r w:rsidR="00264749">
        <w:fldChar w:fldCharType="end"/>
      </w:r>
      <w:r w:rsidR="00B049A4">
        <w:t xml:space="preserve">. </w:t>
      </w:r>
      <w:r w:rsidR="006E7DF1">
        <w:t xml:space="preserve">Similarly some children may become adept at hiding how they have been adversely affected and/or making decisions which take them outside of the home, particularly if the home is chaotic and/or unsafe, thereby potentially putting themselves at increased risk </w:t>
      </w:r>
      <w:r w:rsidR="006E7DF1">
        <w:fldChar w:fldCharType="begin"/>
      </w:r>
      <w:r w:rsidR="006E7DF1">
        <w:instrText xml:space="preserve"> ADDIN EN.CITE &lt;EndNote&gt;&lt;Cite&gt;&lt;Author&gt;Ofsted&lt;/Author&gt;&lt;Year&gt;2018&lt;/Year&gt;&lt;RecNum&gt;94&lt;/RecNum&gt;&lt;DisplayText&gt;(Ofsted et al., 2018)&lt;/DisplayText&gt;&lt;record&gt;&lt;rec-number&gt;94&lt;/rec-number&gt;&lt;foreign-keys&gt;&lt;key app="EN" db-id="ffzvr5fstavwxoe9v04xf0wmp5t50as52da0" timestamp="1731671642" guid="4a252ef7-bb3f-4f4d-8144-9deaa66cee24"&gt;94&lt;/key&gt;&lt;/foreign-keys&gt;&lt;ref-type name="Journal Article"&gt;17&lt;/ref-type&gt;&lt;contributors&gt;&lt;authors&gt;&lt;author&gt;Ofsted,&lt;/author&gt;&lt;author&gt;Care Quality Commission,&lt;/author&gt;&lt;author&gt;Her Majesty’s Prison and Probation Service,&lt;/author&gt;&lt;author&gt;HM Inspectorate of Constabulary and Fire &amp;amp; Rescue Services,&lt;/author&gt;&lt;/authors&gt;&lt;/contributors&gt;&lt;titles&gt;&lt;title&gt;Growing up neglected: a multi-agency response to older children&lt;/title&gt;&lt;/titles&gt;&lt;dates&gt;&lt;year&gt;2018&lt;/year&gt;&lt;/dates&gt;&lt;urls&gt;&lt;related-urls&gt;&lt;url&gt;https://assets.publishing.service.gov.uk/government/uploads/system/uploads/attachment_data/file/722740/Older_children_neglect_FINAL_060718.pdf&lt;/url&gt;&lt;/related-urls&gt;&lt;/urls&gt;&lt;access-date&gt;25/05/2019&lt;/access-date&gt;&lt;/record&gt;&lt;/Cite&gt;&lt;/EndNote&gt;</w:instrText>
      </w:r>
      <w:r w:rsidR="006E7DF1">
        <w:fldChar w:fldCharType="separate"/>
      </w:r>
      <w:r w:rsidR="006E7DF1">
        <w:rPr>
          <w:noProof/>
        </w:rPr>
        <w:t>(Ofsted et al., 2018)</w:t>
      </w:r>
      <w:r w:rsidR="006E7DF1">
        <w:fldChar w:fldCharType="end"/>
      </w:r>
      <w:r w:rsidR="006E7DF1">
        <w:t xml:space="preserve">. </w:t>
      </w:r>
      <w:r w:rsidR="00B049A4">
        <w:t>Th</w:t>
      </w:r>
      <w:r w:rsidR="006E7DF1">
        <w:t>ese examples</w:t>
      </w:r>
      <w:r w:rsidR="00FA7FB8">
        <w:t xml:space="preserve"> may come across as</w:t>
      </w:r>
      <w:r w:rsidR="001E7875">
        <w:t xml:space="preserve"> </w:t>
      </w:r>
      <w:r w:rsidR="00353340">
        <w:t xml:space="preserve">‘poor’ </w:t>
      </w:r>
      <w:r w:rsidR="003B268B">
        <w:t xml:space="preserve">individual </w:t>
      </w:r>
      <w:r w:rsidR="00353340">
        <w:t>resilience</w:t>
      </w:r>
      <w:r w:rsidR="00D77782">
        <w:t xml:space="preserve"> </w:t>
      </w:r>
      <w:r w:rsidR="00BF1427">
        <w:t xml:space="preserve">but </w:t>
      </w:r>
      <w:r w:rsidR="00F16BEC">
        <w:t>are</w:t>
      </w:r>
      <w:r w:rsidR="00BF1427">
        <w:t xml:space="preserve"> in fact strateg</w:t>
      </w:r>
      <w:r w:rsidR="00F16BEC">
        <w:t>ies</w:t>
      </w:r>
      <w:r w:rsidR="00BF1427">
        <w:t xml:space="preserve"> of survival </w:t>
      </w:r>
      <w:r w:rsidR="00D77782">
        <w:fldChar w:fldCharType="begin"/>
      </w:r>
      <w:r w:rsidR="0048097C">
        <w:instrText xml:space="preserve"> ADDIN EN.CITE &lt;EndNote&gt;&lt;Cite&gt;&lt;Author&gt;Ahlborg&lt;/Author&gt;&lt;Year&gt;2024&lt;/Year&gt;&lt;RecNum&gt;716&lt;/RecNum&gt;&lt;DisplayText&gt;(Ahlborg et al., 2024)&lt;/DisplayText&gt;&lt;record&gt;&lt;rec-number&gt;716&lt;/rec-number&gt;&lt;foreign-keys&gt;&lt;key app="EN" db-id="ffzvr5fstavwxoe9v04xf0wmp5t50as52da0" timestamp="1734959869" guid="03e1e407-8fcb-4121-91ee-98eafb35e4ba"&gt;716&lt;/key&gt;&lt;/foreign-keys&gt;&lt;ref-type name="Journal Article"&gt;17&lt;/ref-type&gt;&lt;contributors&gt;&lt;authors&gt;&lt;author&gt;Ahlborg, Mikael Gunnar&lt;/author&gt;&lt;author&gt;Nygren, Jens Martin&lt;/author&gt;&lt;author&gt;Svedberg, Petra&lt;/author&gt;&lt;author&gt;Regber, Susann&lt;/author&gt;&lt;/authors&gt;&lt;/contributors&gt;&lt;titles&gt;&lt;title&gt;Resilience in children of parents with mental illness, alcohol or substance misuse—An integrative review&lt;/title&gt;&lt;secondary-title&gt;Nursing Open&lt;/secondary-title&gt;&lt;/titles&gt;&lt;periodical&gt;&lt;full-title&gt;Nursing Open&lt;/full-title&gt;&lt;/periodical&gt;&lt;pages&gt;e2219&lt;/pages&gt;&lt;volume&gt;11&lt;/volume&gt;&lt;number&gt;6&lt;/number&gt;&lt;keywords&gt;&lt;keyword&gt;adolescents&lt;/keyword&gt;&lt;keyword&gt;alcohol misuse&lt;/keyword&gt;&lt;keyword&gt;children: Mental illness&lt;/keyword&gt;&lt;keyword&gt;nursing: Parents&lt;/keyword&gt;&lt;keyword&gt;resilience&lt;/keyword&gt;&lt;keyword&gt;substance misuse&lt;/keyword&gt;&lt;keyword&gt;youths&lt;/keyword&gt;&lt;/keywords&gt;&lt;dates&gt;&lt;year&gt;2024&lt;/year&gt;&lt;pub-dates&gt;&lt;date&gt;2024/06/01&lt;/date&gt;&lt;/pub-dates&gt;&lt;/dates&gt;&lt;publisher&gt;John Wiley &amp;amp; Sons, Ltd&lt;/publisher&gt;&lt;isbn&gt;2054-1058&lt;/isbn&gt;&lt;urls&gt;&lt;related-urls&gt;&lt;url&gt;https://doi.org/10.1002/nop2.2219&lt;/url&gt;&lt;/related-urls&gt;&lt;/urls&gt;&lt;electronic-resource-num&gt;https://doi.org/10.1002/nop2.2219&lt;/electronic-resource-num&gt;&lt;access-date&gt;2024/12/23&lt;/access-date&gt;&lt;/record&gt;&lt;/Cite&gt;&lt;/EndNote&gt;</w:instrText>
      </w:r>
      <w:r w:rsidR="00D77782">
        <w:fldChar w:fldCharType="separate"/>
      </w:r>
      <w:r w:rsidR="00D77782">
        <w:rPr>
          <w:noProof/>
        </w:rPr>
        <w:t>(Ahlborg et al., 2024)</w:t>
      </w:r>
      <w:r w:rsidR="00D77782">
        <w:fldChar w:fldCharType="end"/>
      </w:r>
      <w:r w:rsidR="00F16BEC">
        <w:t>.</w:t>
      </w:r>
      <w:r w:rsidR="006E7DF1">
        <w:t xml:space="preserve"> </w:t>
      </w:r>
      <w:r w:rsidR="00F16BEC">
        <w:t>T</w:t>
      </w:r>
      <w:r w:rsidR="006E7DF1">
        <w:t>he act of</w:t>
      </w:r>
      <w:r w:rsidR="003201B9">
        <w:t xml:space="preserve"> hiding how </w:t>
      </w:r>
      <w:r w:rsidR="00F16BEC">
        <w:t>children</w:t>
      </w:r>
      <w:r w:rsidR="003201B9">
        <w:t xml:space="preserve"> are being affected may make them seem resilient</w:t>
      </w:r>
      <w:r w:rsidR="00874C12">
        <w:t xml:space="preserve"> and not in need of additional </w:t>
      </w:r>
      <w:r w:rsidR="008B09D9">
        <w:t xml:space="preserve">external </w:t>
      </w:r>
      <w:r w:rsidR="00874C12">
        <w:t>support</w:t>
      </w:r>
      <w:r w:rsidR="00353340">
        <w:t xml:space="preserve">. </w:t>
      </w:r>
      <w:r w:rsidR="00631FB3">
        <w:t>Furthermore, l</w:t>
      </w:r>
      <w:r w:rsidR="006B5C01">
        <w:t xml:space="preserve">abelling children </w:t>
      </w:r>
      <w:r w:rsidR="00AB1869">
        <w:t xml:space="preserve">as </w:t>
      </w:r>
      <w:r w:rsidR="001B05B8">
        <w:t>‘</w:t>
      </w:r>
      <w:r w:rsidR="00AB1869">
        <w:t>resilient</w:t>
      </w:r>
      <w:r w:rsidR="001B05B8">
        <w:t>’</w:t>
      </w:r>
      <w:r w:rsidR="00AB1869">
        <w:t xml:space="preserve"> or </w:t>
      </w:r>
      <w:r w:rsidR="006B5C01">
        <w:t>not</w:t>
      </w:r>
      <w:r w:rsidR="00AB1869">
        <w:t>,</w:t>
      </w:r>
      <w:r w:rsidR="008F2476">
        <w:t xml:space="preserve"> </w:t>
      </w:r>
      <w:r w:rsidR="00515EF6">
        <w:t>detracts</w:t>
      </w:r>
      <w:r w:rsidR="006F33BB">
        <w:t xml:space="preserve"> from the </w:t>
      </w:r>
      <w:r w:rsidR="00AE7CDA">
        <w:t>reality</w:t>
      </w:r>
      <w:r w:rsidR="00515EF6">
        <w:t xml:space="preserve"> </w:t>
      </w:r>
      <w:r w:rsidR="006F33BB">
        <w:t xml:space="preserve">that children </w:t>
      </w:r>
      <w:r w:rsidR="002D69FD">
        <w:t xml:space="preserve">of parents with SUD </w:t>
      </w:r>
      <w:r w:rsidR="006F33BB">
        <w:t xml:space="preserve">are victims </w:t>
      </w:r>
      <w:r w:rsidR="00DD57E6">
        <w:t>while</w:t>
      </w:r>
      <w:r w:rsidR="008102B5">
        <w:t xml:space="preserve"> </w:t>
      </w:r>
      <w:r w:rsidR="000D626F">
        <w:t>focus</w:t>
      </w:r>
      <w:r w:rsidR="00DD57E6">
        <w:t>ing</w:t>
      </w:r>
      <w:r w:rsidR="008102B5">
        <w:t xml:space="preserve"> responsibility </w:t>
      </w:r>
      <w:r w:rsidR="000D626F">
        <w:t xml:space="preserve">on the child to </w:t>
      </w:r>
      <w:r w:rsidR="002D69FD">
        <w:t xml:space="preserve">cope with and </w:t>
      </w:r>
      <w:r w:rsidR="000D626F">
        <w:t>manage their situation</w:t>
      </w:r>
      <w:r w:rsidR="00DD57E6">
        <w:t>,</w:t>
      </w:r>
      <w:r w:rsidR="000D626F">
        <w:t xml:space="preserve"> rather than </w:t>
      </w:r>
      <w:r w:rsidR="00843767">
        <w:t xml:space="preserve">responsibility on adults </w:t>
      </w:r>
      <w:r w:rsidR="001C3457">
        <w:t>to safeguard them</w:t>
      </w:r>
      <w:r w:rsidR="002D71D8">
        <w:t xml:space="preserve"> </w:t>
      </w:r>
      <w:r w:rsidR="002D71D8">
        <w:fldChar w:fldCharType="begin"/>
      </w:r>
      <w:r w:rsidR="00B9334F">
        <w:instrText xml:space="preserve"> ADDIN EN.CITE &lt;EndNote&gt;&lt;Cite&gt;&lt;Author&gt;Todman&lt;/Author&gt;&lt;Year&gt;2021&lt;/Year&gt;&lt;RecNum&gt;252&lt;/RecNum&gt;&lt;DisplayText&gt;(Todman, 2021)&lt;/DisplayText&gt;&lt;record&gt;&lt;rec-number&gt;252&lt;/rec-number&gt;&lt;foreign-keys&gt;&lt;key app="EN" db-id="ffzvr5fstavwxoe9v04xf0wmp5t50as52da0" timestamp="1731671652" guid="9f2ae23c-effe-43e9-835c-da0377cb951b"&gt;252&lt;/key&gt;&lt;/foreign-keys&gt;&lt;ref-type name="Thesis"&gt;32&lt;/ref-type&gt;&lt;contributors&gt;&lt;authors&gt;&lt;author&gt;Todman, Hannah Louise&lt;/author&gt;&lt;/authors&gt;&lt;/contributors&gt;&lt;titles&gt;&lt;title&gt;Understanding the needs of children living with parental substance misuse: Perspectives of children and professionals&lt;/title&gt;&lt;/titles&gt;&lt;dates&gt;&lt;year&gt;2021&lt;/year&gt;&lt;/dates&gt;&lt;publisher&gt;Manchester Metropolitan University&lt;/publisher&gt;&lt;urls&gt;&lt;/urls&gt;&lt;/record&gt;&lt;/Cite&gt;&lt;/EndNote&gt;</w:instrText>
      </w:r>
      <w:r w:rsidR="002D71D8">
        <w:fldChar w:fldCharType="separate"/>
      </w:r>
      <w:r w:rsidR="00A77498">
        <w:rPr>
          <w:noProof/>
        </w:rPr>
        <w:t>(Todman, 2021)</w:t>
      </w:r>
      <w:r w:rsidR="002D71D8">
        <w:fldChar w:fldCharType="end"/>
      </w:r>
      <w:r w:rsidR="003A62D0">
        <w:t xml:space="preserve">. </w:t>
      </w:r>
    </w:p>
    <w:p w14:paraId="70D6FA91" w14:textId="77777777" w:rsidR="00042076" w:rsidRPr="00020CCE" w:rsidRDefault="00042076" w:rsidP="00737297">
      <w:pPr>
        <w:pStyle w:val="NoSpacing"/>
        <w:spacing w:line="360" w:lineRule="auto"/>
      </w:pPr>
    </w:p>
    <w:p w14:paraId="59146197" w14:textId="60DF119E" w:rsidR="00127E4C" w:rsidRDefault="003A203F" w:rsidP="009C3BBC">
      <w:pPr>
        <w:pStyle w:val="Heading2"/>
        <w:numPr>
          <w:ilvl w:val="1"/>
          <w:numId w:val="18"/>
        </w:numPr>
        <w:spacing w:line="360" w:lineRule="auto"/>
      </w:pPr>
      <w:bookmarkStart w:id="15" w:name="_Toc189229648"/>
      <w:r>
        <w:lastRenderedPageBreak/>
        <w:t>Social and economic burden</w:t>
      </w:r>
      <w:bookmarkEnd w:id="15"/>
    </w:p>
    <w:p w14:paraId="1F4C5F9A" w14:textId="2B3750AB" w:rsidR="00386B1C" w:rsidRDefault="00CE5CBA" w:rsidP="00737297">
      <w:pPr>
        <w:pStyle w:val="NoSpacing"/>
        <w:spacing w:line="360" w:lineRule="auto"/>
      </w:pPr>
      <w:r>
        <w:t xml:space="preserve">SUD causes harm to </w:t>
      </w:r>
      <w:r w:rsidR="00E61C97">
        <w:t xml:space="preserve">the individual, </w:t>
      </w:r>
      <w:r w:rsidR="00C6207A">
        <w:t>their famil</w:t>
      </w:r>
      <w:r w:rsidR="00175FCD">
        <w:t>y</w:t>
      </w:r>
      <w:r w:rsidR="009A3A11">
        <w:t xml:space="preserve"> and concerned others</w:t>
      </w:r>
      <w:r w:rsidR="00175FCD">
        <w:t xml:space="preserve"> </w:t>
      </w:r>
      <w:r w:rsidR="00C6207A">
        <w:t xml:space="preserve">and wider society. </w:t>
      </w:r>
      <w:r w:rsidR="00DB4985">
        <w:t xml:space="preserve">Alcohol </w:t>
      </w:r>
      <w:r w:rsidR="008A75A3">
        <w:t xml:space="preserve">and drug </w:t>
      </w:r>
      <w:r w:rsidR="00F95196">
        <w:t>use disorders</w:t>
      </w:r>
      <w:r w:rsidR="00DB4985">
        <w:t xml:space="preserve"> </w:t>
      </w:r>
      <w:r w:rsidR="008A75A3">
        <w:t>are</w:t>
      </w:r>
      <w:r w:rsidR="00DB4985">
        <w:t xml:space="preserve"> </w:t>
      </w:r>
      <w:r w:rsidR="005E0CE1">
        <w:t>significant contributors</w:t>
      </w:r>
      <w:r w:rsidR="00DB4985">
        <w:t xml:space="preserve"> </w:t>
      </w:r>
      <w:r w:rsidR="005E0CE1">
        <w:t>to</w:t>
      </w:r>
      <w:r w:rsidR="00DB4985">
        <w:t xml:space="preserve"> </w:t>
      </w:r>
      <w:r w:rsidR="000C40D0">
        <w:t xml:space="preserve">global </w:t>
      </w:r>
      <w:r w:rsidR="00DB4985">
        <w:t>disease burden</w:t>
      </w:r>
      <w:r w:rsidR="000E3FA1">
        <w:t xml:space="preserve"> measured in disability-adjusted life years</w:t>
      </w:r>
      <w:r w:rsidR="001C70B3">
        <w:t xml:space="preserve"> </w:t>
      </w:r>
      <w:r w:rsidR="001C70B3">
        <w:fldChar w:fldCharType="begin">
          <w:fldData xml:space="preserve">PEVuZE5vdGU+PENpdGU+PEF1dGhvcj5EZWdlbmhhcmR0PC9BdXRob3I+PFllYXI+MjAxODwvWWVh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</w:fldData>
        </w:fldChar>
      </w:r>
      <w:r w:rsidR="00B9334F">
        <w:instrText xml:space="preserve"> ADDIN EN.CITE </w:instrText>
      </w:r>
      <w:r w:rsidR="00B9334F">
        <w:fldChar w:fldCharType="begin">
          <w:fldData xml:space="preserve">PEVuZE5vdGU+PENpdGU+PEF1dGhvcj5EZWdlbmhhcmR0PC9BdXRob3I+PFllYXI+MjAxODwvWWVh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</w:fldData>
        </w:fldChar>
      </w:r>
      <w:r w:rsidR="00B9334F">
        <w:instrText xml:space="preserve"> ADDIN EN.CITE.DATA </w:instrText>
      </w:r>
      <w:r w:rsidR="00B9334F">
        <w:fldChar w:fldCharType="end"/>
      </w:r>
      <w:r w:rsidR="001C70B3">
        <w:fldChar w:fldCharType="separate"/>
      </w:r>
      <w:r w:rsidR="003C6F70">
        <w:rPr>
          <w:noProof/>
        </w:rPr>
        <w:t>(Degenhardt et al., 2018; Griswold et al., 2018)</w:t>
      </w:r>
      <w:r w:rsidR="001C70B3">
        <w:fldChar w:fldCharType="end"/>
      </w:r>
      <w:r w:rsidR="00003ED0">
        <w:t>. A</w:t>
      </w:r>
      <w:r w:rsidR="00FC78F3">
        <w:t xml:space="preserve">lcohol and drug use </w:t>
      </w:r>
      <w:r w:rsidR="00DF0A4A">
        <w:t xml:space="preserve">impose </w:t>
      </w:r>
      <w:r w:rsidR="00DB4985">
        <w:t>substantial social and economic burden</w:t>
      </w:r>
      <w:r w:rsidR="009B5A8E">
        <w:t xml:space="preserve"> associated with crime, </w:t>
      </w:r>
      <w:r w:rsidR="006A4F68">
        <w:t>health care</w:t>
      </w:r>
      <w:r w:rsidR="007326BD">
        <w:t>, lost productivity</w:t>
      </w:r>
      <w:r w:rsidR="006A4F68">
        <w:t xml:space="preserve"> </w:t>
      </w:r>
      <w:r w:rsidR="002256F2">
        <w:t>and other costs</w:t>
      </w:r>
      <w:r w:rsidR="00DB4985">
        <w:t xml:space="preserve"> </w:t>
      </w:r>
      <w:r w:rsidR="00DB4985">
        <w:fldChar w:fldCharType="begin">
          <w:fldData xml:space="preserve">PEVuZE5vdGU+PENpdGU+PEF1dGhvcj5MYXJhbcOpZTwvQXV0aG9yPjxZZWFyPjIwMTM8L1llYXI+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</w:fldData>
        </w:fldChar>
      </w:r>
      <w:r w:rsidR="00B9334F">
        <w:instrText xml:space="preserve"> ADDIN EN.CITE </w:instrText>
      </w:r>
      <w:r w:rsidR="00B9334F">
        <w:fldChar w:fldCharType="begin">
          <w:fldData xml:space="preserve">PEVuZE5vdGU+PENpdGU+PEF1dGhvcj5MYXJhbcOpZTwvQXV0aG9yPjxZZWFyPjIwMTM8L1llYXI+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</w:fldData>
        </w:fldChar>
      </w:r>
      <w:r w:rsidR="00B9334F">
        <w:instrText xml:space="preserve"> ADDIN EN.CITE.DATA </w:instrText>
      </w:r>
      <w:r w:rsidR="00B9334F">
        <w:fldChar w:fldCharType="end"/>
      </w:r>
      <w:r w:rsidR="00DB4985">
        <w:fldChar w:fldCharType="separate"/>
      </w:r>
      <w:r w:rsidR="003C6F70">
        <w:rPr>
          <w:noProof/>
        </w:rPr>
        <w:t>(Barrio et al., 2017; Laramée et al., 2013; Manthey et al., 2021)</w:t>
      </w:r>
      <w:r w:rsidR="00DB4985">
        <w:fldChar w:fldCharType="end"/>
      </w:r>
      <w:r w:rsidR="00DB4985">
        <w:t xml:space="preserve">. </w:t>
      </w:r>
    </w:p>
    <w:p w14:paraId="1CBD030A" w14:textId="77777777" w:rsidR="00386B1C" w:rsidRDefault="00386B1C" w:rsidP="00737297">
      <w:pPr>
        <w:pStyle w:val="NoSpacing"/>
        <w:spacing w:line="360" w:lineRule="auto"/>
      </w:pPr>
    </w:p>
    <w:p w14:paraId="13194D33" w14:textId="463DA659" w:rsidR="001829BB" w:rsidRDefault="002065CA" w:rsidP="00737297">
      <w:pPr>
        <w:pStyle w:val="NoSpacing"/>
        <w:spacing w:line="360" w:lineRule="auto"/>
      </w:pPr>
      <w:r>
        <w:t>P</w:t>
      </w:r>
      <w:r w:rsidR="00F424D0">
        <w:t xml:space="preserve">arental alcohol use and drug use experienced in childhood was associated with </w:t>
      </w:r>
      <w:r w:rsidR="00E415C2">
        <w:t xml:space="preserve">annual </w:t>
      </w:r>
      <w:r w:rsidR="00F424D0">
        <w:t xml:space="preserve">costs of </w:t>
      </w:r>
      <w:r w:rsidR="00D22918">
        <w:t xml:space="preserve">£17 billion and </w:t>
      </w:r>
      <w:r w:rsidR="00A1763B">
        <w:t xml:space="preserve">£9.3 billion </w:t>
      </w:r>
      <w:r w:rsidR="00992572">
        <w:t xml:space="preserve">respectively </w:t>
      </w:r>
      <w:r w:rsidR="00D22918">
        <w:t xml:space="preserve">in </w:t>
      </w:r>
      <w:r w:rsidR="00091F97">
        <w:t xml:space="preserve">adulthood from </w:t>
      </w:r>
      <w:r w:rsidR="00D20046">
        <w:t xml:space="preserve">lost productivity </w:t>
      </w:r>
      <w:r w:rsidR="00EE5F4C">
        <w:t xml:space="preserve">(due to premature death or morbidity) </w:t>
      </w:r>
      <w:r w:rsidR="00D20046">
        <w:t xml:space="preserve">in </w:t>
      </w:r>
      <w:r w:rsidR="00D22918">
        <w:t>England</w:t>
      </w:r>
      <w:r w:rsidR="00423EE0">
        <w:t xml:space="preserve"> </w:t>
      </w:r>
      <w:r w:rsidR="00C46AB1">
        <w:fldChar w:fldCharType="begin"/>
      </w:r>
      <w:r w:rsidR="00B9334F">
        <w:instrText xml:space="preserve"> ADDIN EN.CITE &lt;EndNote&gt;&lt;Cite&gt;&lt;Author&gt;Hughes&lt;/Author&gt;&lt;Year&gt;2020&lt;/Year&gt;&lt;RecNum&gt;284&lt;/RecNum&gt;&lt;DisplayText&gt;(Hughes et al., 2020)&lt;/DisplayText&gt;&lt;record&gt;&lt;rec-number&gt;284&lt;/rec-number&gt;&lt;foreign-keys&gt;&lt;key app="EN" db-id="ffzvr5fstavwxoe9v04xf0wmp5t50as52da0" timestamp="1731671654" guid="914a0f91-87fc-4562-9ca1-174ac32f7632"&gt;284&lt;/key&gt;&lt;/foreign-keys&gt;&lt;ref-type name="Journal Article"&gt;17&lt;/ref-type&gt;&lt;contributors&gt;&lt;authors&gt;&lt;author&gt;Karen Hughes&lt;/author&gt;&lt;author&gt;Kat Ford&lt;/author&gt;&lt;author&gt;Rajendra Kadel&lt;/author&gt;&lt;author&gt;Catherine A Sharp&lt;/author&gt;&lt;author&gt;Mark A Bellis&lt;/author&gt;&lt;/authors&gt;&lt;/contributors&gt;&lt;titles&gt;&lt;title&gt;Health and financial burden of adverse childhood experiences in England and Wales: A combined primary data study of five surveys&lt;/title&gt;&lt;secondary-title&gt;BMJ Open&lt;/secondary-title&gt;&lt;/titles&gt;&lt;periodical&gt;&lt;full-title&gt;BMJ Open&lt;/full-title&gt;&lt;/periodical&gt;&lt;pages&gt;e036374&lt;/pages&gt;&lt;volume&gt;10&lt;/volume&gt;&lt;number&gt;6&lt;/number&gt;&lt;dates&gt;&lt;year&gt;2020&lt;/year&gt;&lt;/dates&gt;&lt;urls&gt;&lt;related-urls&gt;&lt;url&gt;https://bmjopen.bmj.com/content/bmjopen/10/6/e036374.full.pdf&lt;/url&gt;&lt;/related-urls&gt;&lt;/urls&gt;&lt;electronic-resource-num&gt;10.1136/bmjopen-2019-036374&lt;/electronic-resource-num&gt;&lt;/record&gt;&lt;/Cite&gt;&lt;/EndNote&gt;</w:instrText>
      </w:r>
      <w:r w:rsidR="00C46AB1">
        <w:fldChar w:fldCharType="separate"/>
      </w:r>
      <w:r w:rsidR="00A77498">
        <w:rPr>
          <w:noProof/>
        </w:rPr>
        <w:t>(Hughes et al., 2020)</w:t>
      </w:r>
      <w:r w:rsidR="00C46AB1">
        <w:fldChar w:fldCharType="end"/>
      </w:r>
      <w:r w:rsidR="00E415C2">
        <w:t xml:space="preserve">. </w:t>
      </w:r>
      <w:r w:rsidR="00386B1C">
        <w:t>Furthermore</w:t>
      </w:r>
      <w:r w:rsidR="00610FC4">
        <w:t>, p</w:t>
      </w:r>
      <w:r w:rsidR="00B45334">
        <w:t xml:space="preserve">arental drug use disorder </w:t>
      </w:r>
      <w:r w:rsidR="00386B1C">
        <w:t xml:space="preserve">is associated with conduct disorder among their offspring </w:t>
      </w:r>
      <w:r w:rsidR="005815B9">
        <w:fldChar w:fldCharType="begin">
          <w:fldData xml:space="preserve">PEVuZE5vdGU+PENpdGU+PEF1dGhvcj5BbmRlcnNvbjwvQXV0aG9yPjxZZWFyPjIwMjM8L1llYXI+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</w:fldData>
        </w:fldChar>
      </w:r>
      <w:r w:rsidR="00B9334F">
        <w:instrText xml:space="preserve"> ADDIN EN.CITE </w:instrText>
      </w:r>
      <w:r w:rsidR="00B9334F">
        <w:fldChar w:fldCharType="begin">
          <w:fldData xml:space="preserve">PEVuZE5vdGU+PENpdGU+PEF1dGhvcj5BbmRlcnNvbjwvQXV0aG9yPjxZZWFyPjIwMjM8L1llYXI+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</w:fldData>
        </w:fldChar>
      </w:r>
      <w:r w:rsidR="00B9334F">
        <w:instrText xml:space="preserve"> ADDIN EN.CITE.DATA </w:instrText>
      </w:r>
      <w:r w:rsidR="00B9334F">
        <w:fldChar w:fldCharType="end"/>
      </w:r>
      <w:r w:rsidR="005815B9">
        <w:fldChar w:fldCharType="separate"/>
      </w:r>
      <w:r w:rsidR="00A77498">
        <w:rPr>
          <w:noProof/>
        </w:rPr>
        <w:t>(Anderson et al., 2023)</w:t>
      </w:r>
      <w:r w:rsidR="005815B9">
        <w:fldChar w:fldCharType="end"/>
      </w:r>
      <w:r w:rsidR="006B2D3A">
        <w:t xml:space="preserve">. </w:t>
      </w:r>
      <w:r w:rsidR="00C16105">
        <w:t>Excess a</w:t>
      </w:r>
      <w:r w:rsidR="000507BE">
        <w:t xml:space="preserve">nnual </w:t>
      </w:r>
      <w:r w:rsidR="00C16105">
        <w:t xml:space="preserve">costs associated with </w:t>
      </w:r>
      <w:r w:rsidR="000507BE">
        <w:t xml:space="preserve">conduct disorder </w:t>
      </w:r>
      <w:r w:rsidR="00C16105">
        <w:t>in childhood is thought to be around £5,500</w:t>
      </w:r>
      <w:r w:rsidR="00A00D51">
        <w:t xml:space="preserve"> per child</w:t>
      </w:r>
      <w:r w:rsidR="00C16105">
        <w:t xml:space="preserve"> in 2017/18 prices </w:t>
      </w:r>
      <w:r w:rsidR="00172DE8">
        <w:t>falling to</w:t>
      </w:r>
      <w:r w:rsidR="00BF45A3">
        <w:t xml:space="preserve"> the education, health and social care sector</w:t>
      </w:r>
      <w:r w:rsidR="00172DE8">
        <w:t xml:space="preserve">s </w:t>
      </w:r>
      <w:r w:rsidR="00614BAE">
        <w:fldChar w:fldCharType="begin"/>
      </w:r>
      <w:r w:rsidR="00B9334F">
        <w:instrText xml:space="preserve"> ADDIN EN.CITE &lt;EndNote&gt;&lt;Cite&gt;&lt;Author&gt;Gutman&lt;/Author&gt;&lt;Year&gt;2018&lt;/Year&gt;&lt;RecNum&gt;269&lt;/RecNum&gt;&lt;DisplayText&gt;(Gutman et al., 2018)&lt;/DisplayText&gt;&lt;record&gt;&lt;rec-number&gt;269&lt;/rec-number&gt;&lt;foreign-keys&gt;&lt;key app="EN" db-id="ffzvr5fstavwxoe9v04xf0wmp5t50as52da0" timestamp="1731671653" guid="8d2fda5d-203b-48fc-bd5f-e544e8b1f9fc"&gt;269&lt;/key&gt;&lt;/foreign-keys&gt;&lt;ref-type name="Journal Article"&gt;17&lt;/ref-type&gt;&lt;contributors&gt;&lt;authors&gt;&lt;author&gt;Gutman, Leslie Morrison&lt;/author&gt;&lt;author&gt;Joshi, Heather&lt;/author&gt;&lt;author&gt;Khan, Lorraine&lt;/author&gt;&lt;author&gt;Schoon, Ingrid&lt;/author&gt;&lt;/authors&gt;&lt;/contributors&gt;&lt;titles&gt;&lt;title&gt;Children of the millennium&lt;/title&gt;&lt;secondary-title&gt;London: Centre for Mental Health&lt;/secondary-title&gt;&lt;/titles&gt;&lt;periodical&gt;&lt;full-title&gt;London: Centre for Mental Health&lt;/full-title&gt;&lt;/periodical&gt;&lt;dates&gt;&lt;year&gt;2018&lt;/year&gt;&lt;/dates&gt;&lt;urls&gt;&lt;/urls&gt;&lt;/record&gt;&lt;/Cite&gt;&lt;/EndNote&gt;</w:instrText>
      </w:r>
      <w:r w:rsidR="00614BAE">
        <w:fldChar w:fldCharType="separate"/>
      </w:r>
      <w:r w:rsidR="00A77498">
        <w:rPr>
          <w:noProof/>
        </w:rPr>
        <w:t>(Gutman et al., 2018)</w:t>
      </w:r>
      <w:r w:rsidR="00614BAE">
        <w:fldChar w:fldCharType="end"/>
      </w:r>
      <w:r w:rsidR="00BF45A3">
        <w:t xml:space="preserve">. </w:t>
      </w:r>
    </w:p>
    <w:p w14:paraId="3E354119" w14:textId="77777777" w:rsidR="001829BB" w:rsidRDefault="001829BB" w:rsidP="00737297">
      <w:pPr>
        <w:pStyle w:val="NoSpacing"/>
        <w:spacing w:line="360" w:lineRule="auto"/>
      </w:pPr>
    </w:p>
    <w:p w14:paraId="37D9E53B" w14:textId="2FAF6159" w:rsidR="009E5C6A" w:rsidRDefault="0032399F" w:rsidP="00737297">
      <w:pPr>
        <w:pStyle w:val="NoSpacing"/>
        <w:spacing w:line="360" w:lineRule="auto"/>
      </w:pPr>
      <w:r w:rsidRPr="0032399F">
        <w:fldChar w:fldCharType="begin"/>
      </w:r>
      <w:r w:rsidRPr="0032399F">
        <w:instrText xml:space="preserve"> REF _Ref167976442 \h </w:instrText>
      </w:r>
      <w:r>
        <w:instrText xml:space="preserve"> \* MERGEFORMAT </w:instrText>
      </w:r>
      <w:r w:rsidRPr="0032399F">
        <w:fldChar w:fldCharType="separate"/>
      </w:r>
      <w:r w:rsidR="0042328C" w:rsidRPr="0042328C">
        <w:t xml:space="preserve">Table </w:t>
      </w:r>
      <w:r w:rsidR="0042328C" w:rsidRPr="0042328C">
        <w:rPr>
          <w:noProof/>
        </w:rPr>
        <w:t>1.5</w:t>
      </w:r>
      <w:r w:rsidR="0042328C" w:rsidRPr="0042328C">
        <w:rPr>
          <w:noProof/>
        </w:rPr>
        <w:noBreakHyphen/>
        <w:t>1</w:t>
      </w:r>
      <w:r w:rsidRPr="0032399F">
        <w:fldChar w:fldCharType="end"/>
      </w:r>
      <w:r w:rsidRPr="0032399F">
        <w:t xml:space="preserve"> </w:t>
      </w:r>
      <w:r w:rsidR="00F50000" w:rsidRPr="0032399F">
        <w:t xml:space="preserve">shows examples of </w:t>
      </w:r>
      <w:r w:rsidR="00063F18" w:rsidRPr="0032399F">
        <w:t xml:space="preserve">excess </w:t>
      </w:r>
      <w:r w:rsidR="00795752" w:rsidRPr="0032399F">
        <w:t>cost</w:t>
      </w:r>
      <w:r w:rsidR="006B3ABE" w:rsidRPr="0032399F">
        <w:t>s likely to be associated with</w:t>
      </w:r>
      <w:r w:rsidR="006B3ABE">
        <w:t xml:space="preserve"> parental </w:t>
      </w:r>
      <w:r w:rsidR="005B377A">
        <w:t xml:space="preserve">SUD. </w:t>
      </w:r>
      <w:r w:rsidR="00920911">
        <w:t xml:space="preserve">Given the risk of intergenerational </w:t>
      </w:r>
      <w:r w:rsidR="00210290">
        <w:t>SUD, t</w:t>
      </w:r>
      <w:r w:rsidR="00B12BAD">
        <w:t>hose experienced by parents may be observed later in life by their adult children</w:t>
      </w:r>
      <w:r w:rsidR="00210290">
        <w:t>.</w:t>
      </w:r>
      <w:bookmarkStart w:id="16" w:name="_Hlk25667082"/>
      <w:r w:rsidR="00210290">
        <w:t xml:space="preserve"> </w:t>
      </w:r>
      <w:r w:rsidR="00E7577C" w:rsidRPr="00E7577C">
        <w:t xml:space="preserve">Direct costs refer to resources diverted towards addressing </w:t>
      </w:r>
      <w:r w:rsidR="00E7577C">
        <w:t>parental SUD</w:t>
      </w:r>
      <w:r w:rsidR="00E7577C" w:rsidRPr="00E7577C">
        <w:t xml:space="preserve"> from other productive uses. Indirect costs relate to either resources being unavailable for productive use, e.g. unemployment</w:t>
      </w:r>
      <w:r w:rsidR="006B3ABE">
        <w:t>,</w:t>
      </w:r>
      <w:r w:rsidR="00E7577C" w:rsidRPr="00E7577C">
        <w:t xml:space="preserve"> or insurance costs related to crime. Intangible costs represent disease burden, rather than resource loss, often quantified as </w:t>
      </w:r>
      <w:r w:rsidR="006B3ABE">
        <w:t xml:space="preserve">disability-adjusted life years (DALYs) or </w:t>
      </w:r>
      <w:r w:rsidR="00E7577C" w:rsidRPr="00BC7547">
        <w:t xml:space="preserve">quality-adjusted life year (QALY) losses. </w:t>
      </w:r>
      <w:bookmarkEnd w:id="16"/>
    </w:p>
    <w:p w14:paraId="3BAF7CC2" w14:textId="77777777" w:rsidR="009E5C6A" w:rsidRDefault="009E5C6A" w:rsidP="00737297">
      <w:pPr>
        <w:pStyle w:val="NoSpacing"/>
        <w:spacing w:line="360" w:lineRule="auto"/>
      </w:pPr>
    </w:p>
    <w:p w14:paraId="1F951667" w14:textId="77777777" w:rsidR="005B4938" w:rsidRDefault="007B47B7" w:rsidP="00737297">
      <w:pPr>
        <w:pStyle w:val="NoSpacing"/>
        <w:spacing w:line="360" w:lineRule="auto"/>
      </w:pPr>
      <w:r>
        <w:t>The likely costs associated with categories like ‘homelessness’</w:t>
      </w:r>
      <w:r w:rsidR="00CD5081">
        <w:t xml:space="preserve"> </w:t>
      </w:r>
      <w:r w:rsidR="00BC7547">
        <w:t xml:space="preserve">and ‘education’ </w:t>
      </w:r>
      <w:r w:rsidR="00161F23">
        <w:t>will overlap with other categories.</w:t>
      </w:r>
      <w:r w:rsidR="00CD5081" w:rsidRPr="4B8CD6A8">
        <w:rPr>
          <w:b/>
          <w:bCs/>
        </w:rPr>
        <w:t xml:space="preserve"> </w:t>
      </w:r>
      <w:r w:rsidR="00161F23">
        <w:t>For example, c</w:t>
      </w:r>
      <w:r>
        <w:t xml:space="preserve">hildren who experience homelessness have a 25% higher risk of serious illness/ disability than children who do not, and so are more likely to need medical resources </w:t>
      </w:r>
      <w:r>
        <w:fldChar w:fldCharType="begin"/>
      </w:r>
      <w:r w:rsidR="00B9334F">
        <w:instrText xml:space="preserve"> ADDIN EN.CITE &lt;EndNote&gt;&lt;Cite&gt;&lt;Author&gt;PwC&lt;/Author&gt;&lt;Year&gt;2018&lt;/Year&gt;&lt;RecNum&gt;270&lt;/RecNum&gt;&lt;DisplayText&gt;(PwC, 2018)&lt;/DisplayText&gt;&lt;record&gt;&lt;rec-number&gt;270&lt;/rec-number&gt;&lt;foreign-keys&gt;&lt;key app="EN" db-id="ffzvr5fstavwxoe9v04xf0wmp5t50as52da0" timestamp="1731671653" guid="aa0f8663-abd6-4774-b8bf-86add27bad72"&gt;270&lt;/key&gt;&lt;/foreign-keys&gt;&lt;ref-type name="Electronic Article"&gt;43&lt;/ref-type&gt;&lt;contributors&gt;&lt;authors&gt;&lt;author&gt;PwC&lt;/author&gt;&lt;/authors&gt;&lt;/contributors&gt;&lt;titles&gt;&lt;title&gt;Assessing the costs and benefits of Crisis’ plan to end homelessness&lt;/title&gt;&lt;/titles&gt;&lt;dates&gt;&lt;year&gt;2018&lt;/year&gt;&lt;/dates&gt;&lt;pub-location&gt;London&lt;/pub-location&gt;&lt;publisher&gt;Price Waterhouse Coopers LLP&lt;/publisher&gt;&lt;urls&gt;&lt;/urls&gt;&lt;/record&gt;&lt;/Cite&gt;&lt;/EndNote&gt;</w:instrText>
      </w:r>
      <w:r>
        <w:fldChar w:fldCharType="separate"/>
      </w:r>
      <w:r w:rsidR="00A77498">
        <w:rPr>
          <w:noProof/>
        </w:rPr>
        <w:t>(PwC, 2018)</w:t>
      </w:r>
      <w:r>
        <w:fldChar w:fldCharType="end"/>
      </w:r>
      <w:r w:rsidR="00BC7547">
        <w:t>,</w:t>
      </w:r>
      <w:r w:rsidR="00C868DC">
        <w:t xml:space="preserve"> as well as </w:t>
      </w:r>
      <w:r w:rsidR="0ECD85B0">
        <w:t xml:space="preserve">other </w:t>
      </w:r>
      <w:r w:rsidR="009E5C6A">
        <w:t xml:space="preserve">costs associated with </w:t>
      </w:r>
      <w:r w:rsidR="3C96B2D4">
        <w:t xml:space="preserve">poor </w:t>
      </w:r>
      <w:r w:rsidR="009E5C6A">
        <w:t>mental</w:t>
      </w:r>
      <w:r w:rsidR="73CB6F74">
        <w:t xml:space="preserve"> </w:t>
      </w:r>
      <w:r w:rsidR="009E5C6A">
        <w:t>health</w:t>
      </w:r>
      <w:r w:rsidR="00F8735E">
        <w:t xml:space="preserve"> (otherwise captured in medical resources)</w:t>
      </w:r>
      <w:r w:rsidR="009E5C6A">
        <w:t xml:space="preserve">, wellbeing and lifetime </w:t>
      </w:r>
      <w:r w:rsidR="2EEB474C">
        <w:t>un</w:t>
      </w:r>
      <w:r w:rsidR="009E5C6A">
        <w:t>employment. The annual cost</w:t>
      </w:r>
      <w:r w:rsidR="00C7570E">
        <w:t xml:space="preserve"> of child homelessness is estimated to be £33,000 per child in 2020/21 prices.</w:t>
      </w:r>
      <w:r w:rsidR="00C8508C">
        <w:t xml:space="preserve"> </w:t>
      </w:r>
      <w:r w:rsidR="00C7570E">
        <w:t>Similarly</w:t>
      </w:r>
      <w:r w:rsidR="00C8508C">
        <w:t xml:space="preserve">, </w:t>
      </w:r>
      <w:r w:rsidR="00C7570E">
        <w:t xml:space="preserve">children who are expelled </w:t>
      </w:r>
      <w:r w:rsidR="004C5616">
        <w:t>from school are estimated to cost</w:t>
      </w:r>
      <w:r w:rsidR="00C8508C">
        <w:t xml:space="preserve"> an annual £12,700 per child</w:t>
      </w:r>
      <w:r w:rsidR="00B36190">
        <w:t xml:space="preserve"> in 2020/21 </w:t>
      </w:r>
      <w:r w:rsidR="00B36190">
        <w:lastRenderedPageBreak/>
        <w:t xml:space="preserve">prices </w:t>
      </w:r>
      <w:r w:rsidR="00347D83">
        <w:t>from provision of alternative education, as well as excess health and social care costs</w:t>
      </w:r>
      <w:r w:rsidR="00F00A70">
        <w:t xml:space="preserve"> </w:t>
      </w:r>
      <w:r>
        <w:fldChar w:fldCharType="begin"/>
      </w:r>
      <w:r w:rsidR="00B9334F">
        <w:instrText xml:space="preserve"> ADDIN EN.CITE &lt;EndNote&gt;&lt;Cite&gt;&lt;Author&gt;Musto Wright&lt;/Author&gt;&lt;Year&gt;2021&lt;/Year&gt;&lt;RecNum&gt;271&lt;/RecNum&gt;&lt;DisplayText&gt;(Musto Wright, 2021)&lt;/DisplayText&gt;&lt;record&gt;&lt;rec-number&gt;271&lt;/rec-number&gt;&lt;foreign-keys&gt;&lt;key app="EN" db-id="ffzvr5fstavwxoe9v04xf0wmp5t50as52da0" timestamp="1731671653" guid="d3a638ec-abda-42e6-a07f-5b277d242bc8"&gt;271&lt;/key&gt;&lt;/foreign-keys&gt;&lt;ref-type name="Electronic Article"&gt;43&lt;/ref-type&gt;&lt;contributors&gt;&lt;authors&gt;&lt;author&gt;Musto Wright, V.&lt;/author&gt;&lt;/authors&gt;&lt;/contributors&gt;&lt;titles&gt;&lt;title&gt;Parents with alcohol and drug problems: investing in families workbook&lt;/title&gt;&lt;/titles&gt;&lt;dates&gt;&lt;year&gt;2021&lt;/year&gt;&lt;/dates&gt;&lt;pub-location&gt;London&lt;/pub-location&gt;&lt;publisher&gt;Public Health England,&lt;/publisher&gt;&lt;urls&gt;&lt;/urls&gt;&lt;/record&gt;&lt;/Cite&gt;&lt;/EndNote&gt;</w:instrText>
      </w:r>
      <w:r>
        <w:fldChar w:fldCharType="separate"/>
      </w:r>
      <w:r w:rsidR="00A77498">
        <w:rPr>
          <w:noProof/>
        </w:rPr>
        <w:t>(Musto Wright, 2021)</w:t>
      </w:r>
      <w:r>
        <w:fldChar w:fldCharType="end"/>
      </w:r>
      <w:r w:rsidR="00347D83">
        <w:t>.</w:t>
      </w:r>
    </w:p>
    <w:p w14:paraId="58160EDC" w14:textId="77777777" w:rsidR="0042328C" w:rsidRDefault="0042328C" w:rsidP="00737297">
      <w:pPr>
        <w:pStyle w:val="NoSpacing"/>
        <w:spacing w:line="360" w:lineRule="auto"/>
      </w:pPr>
    </w:p>
    <w:p w14:paraId="25754220" w14:textId="190DAEF5" w:rsidR="0042328C" w:rsidRDefault="0042328C" w:rsidP="00737297">
      <w:pPr>
        <w:pStyle w:val="NoSpacing"/>
        <w:spacing w:line="360" w:lineRule="auto"/>
      </w:pPr>
      <w:r>
        <w:t xml:space="preserve">Literature on social and economic costs associated with parental SUD typically focus on the effect of substance use during pregnancy on the foetus. For example, in a US study comparing newborns with Neonatal Abstinence Syndrome (NAS) with non-NAS newborns, </w:t>
      </w:r>
      <w:r>
        <w:fldChar w:fldCharType="begin"/>
      </w:r>
      <w:r>
        <w:instrText xml:space="preserve"> ADDIN EN.CITE &lt;EndNote&gt;&lt;Cite AuthorYear="1"&gt;&lt;Author&gt;Corr&lt;/Author&gt;&lt;Year&gt;2017&lt;/Year&gt;&lt;RecNum&gt;157&lt;/RecNum&gt;&lt;DisplayText&gt;Corr and Hollenbeak (2017)&lt;/DisplayText&gt;&lt;record&gt;&lt;rec-number&gt;157&lt;/rec-number&gt;&lt;foreign-keys&gt;&lt;key app="EN" db-id="ffzvr5fstavwxoe9v04xf0wmp5t50as52da0" timestamp="1731671646" guid="dc0a308e-9969-40f3-8c09-98fe396fbf3d"&gt;157&lt;/key&gt;&lt;/foreign-keys&gt;&lt;ref-type name="Journal Article"&gt;17&lt;/ref-type&gt;&lt;contributors&gt;&lt;authors&gt;&lt;author&gt;Corr, Tammy E.&lt;/author&gt;&lt;author&gt;Hollenbeak, Christopher S.&lt;/author&gt;&lt;/authors&gt;&lt;/contributors&gt;&lt;titles&gt;&lt;title&gt;The economic burden of neonatal abstinence syndrome in the United States&lt;/title&gt;&lt;secondary-title&gt;Addiction&lt;/secondary-title&gt;&lt;/titles&gt;&lt;periodical&gt;&lt;full-title&gt;Addiction&lt;/full-title&gt;&lt;/periodical&gt;&lt;pages&gt;1590-1599&lt;/pages&gt;&lt;volume&gt;112&lt;/volume&gt;&lt;number&gt;9&lt;/number&gt;&lt;dates&gt;&lt;year&gt;2017&lt;/year&gt;&lt;/dates&gt;&lt;isbn&gt;0965-2140&lt;/isbn&gt;&lt;urls&gt;&lt;related-urls&gt;&lt;url&gt;https://onlinelibrary.wiley.com/doi/abs/10.1111/add.13842&lt;/url&gt;&lt;/related-urls&gt;&lt;/urls&gt;&lt;electronic-resource-num&gt;10.1111/add.13842&lt;/electronic-resource-num&gt;&lt;/record&gt;&lt;/Cite&gt;&lt;/EndNote&gt;</w:instrText>
      </w:r>
      <w:r>
        <w:fldChar w:fldCharType="separate"/>
      </w:r>
      <w:r>
        <w:rPr>
          <w:noProof/>
        </w:rPr>
        <w:t>Corr and Hollenbeak (2017)</w:t>
      </w:r>
      <w:r>
        <w:fldChar w:fldCharType="end"/>
      </w:r>
      <w:r>
        <w:t xml:space="preserve"> found that the costs of additional intensive treatment and longer stays in hospital were nearly </w:t>
      </w:r>
      <w:r>
        <w:rPr>
          <w:color w:val="1C1D1E"/>
          <w:shd w:val="clear" w:color="auto" w:fill="FFFFFF"/>
        </w:rPr>
        <w:t xml:space="preserve">$316 million in 2012. </w:t>
      </w:r>
      <w:r>
        <w:t xml:space="preserve">In a systematic review and meta-analysis of costs associated with foetal alcohol syndrome disorder (FASD), </w:t>
      </w:r>
      <w:r>
        <w:fldChar w:fldCharType="begin"/>
      </w:r>
      <w:r>
        <w:instrText xml:space="preserve"> ADDIN EN.CITE &lt;EndNote&gt;&lt;Cite AuthorYear="1"&gt;&lt;Author&gt;Greenmyer&lt;/Author&gt;&lt;Year&gt;2018&lt;/Year&gt;&lt;RecNum&gt;75&lt;/RecNum&gt;&lt;DisplayText&gt;Greenmyer et al. (2018)&lt;/DisplayText&gt;&lt;record&gt;&lt;rec-number&gt;75&lt;/rec-number&gt;&lt;foreign-keys&gt;&lt;key app="EN" db-id="ffzvr5fstavwxoe9v04xf0wmp5t50as52da0" timestamp="1731671641" guid="18641a7f-9258-44c2-8605-af6e75dc28bf"&gt;75&lt;/key&gt;&lt;/foreign-keys&gt;&lt;ref-type name="Book"&gt;6&lt;/ref-type&gt;&lt;contributors&gt;&lt;authors&gt;&lt;author&gt;Greenmyer, Jacob R.&lt;/author&gt;&lt;author&gt;Klug, Marilyn, G.&lt;/author&gt;&lt;author&gt;Kambeitz, Cassondra&lt;/author&gt;&lt;author&gt;Popova, Svetlana&lt;/author&gt;&lt;author&gt;Burd, Larry&lt;/author&gt;&lt;/authors&gt;&lt;/contributors&gt;&lt;titles&gt;&lt;title&gt;A Multicountry Updated Assessment of the Economic Impact of Fetal Alcohol Spectrum Disorder: Costs for Children and Adults&lt;/title&gt;&lt;alt-title&gt;Journal of Addiction Medicine&lt;/alt-title&gt;&lt;/titles&gt;&lt;alt-periodical&gt;&lt;full-title&gt;Journal of Addiction Medicine&lt;/full-title&gt;&lt;/alt-periodical&gt;&lt;pages&gt;466-473&lt;/pages&gt;&lt;volume&gt;12&lt;/volume&gt;&lt;dates&gt;&lt;year&gt;2018&lt;/year&gt;&lt;/dates&gt;&lt;urls&gt;&lt;/urls&gt;&lt;electronic-resource-num&gt;10.1097/ADM.0000000000000438&lt;/electronic-resource-num&gt;&lt;/record&gt;&lt;/Cite&gt;&lt;/EndNote&gt;</w:instrText>
      </w:r>
      <w:r>
        <w:fldChar w:fldCharType="separate"/>
      </w:r>
      <w:r>
        <w:rPr>
          <w:noProof/>
        </w:rPr>
        <w:t>Greenmyer et al. (2018)</w:t>
      </w:r>
      <w:r>
        <w:fldChar w:fldCharType="end"/>
      </w:r>
      <w:r>
        <w:t xml:space="preserve"> found 32 mostly North American (n=29; 20 US and 9 Canadian) studies reporting costs of health care, special educational needs, residential care, criminal justice, productivity losses and loss of quality-adjusted life years (QALYs). Despite methodological differences among the studies, the authors estimated an average cost per annum for children with FASD was approximately $23,000 and, for adults, $24,000.  </w:t>
      </w:r>
    </w:p>
    <w:p w14:paraId="460A3E56" w14:textId="77777777" w:rsidR="0042328C" w:rsidRDefault="0042328C" w:rsidP="00737297">
      <w:pPr>
        <w:pStyle w:val="NoSpacing"/>
        <w:spacing w:line="360" w:lineRule="auto"/>
      </w:pPr>
    </w:p>
    <w:p w14:paraId="12064196" w14:textId="77777777" w:rsidR="0042328C" w:rsidRDefault="0042328C" w:rsidP="0042328C">
      <w:pPr>
        <w:pStyle w:val="NoSpacing"/>
        <w:spacing w:line="360" w:lineRule="auto"/>
      </w:pPr>
      <w:r>
        <w:t xml:space="preserve">Literature on social and economic costs associated with parental SUD typically focus on the effect of substance use during pregnancy on the foetus. For example, in a US study comparing newborns with Neonatal Abstinence Syndrome (NAS) with non-NAS newborns, </w:t>
      </w:r>
      <w:r>
        <w:fldChar w:fldCharType="begin"/>
      </w:r>
      <w:r>
        <w:instrText xml:space="preserve"> ADDIN EN.CITE &lt;EndNote&gt;&lt;Cite AuthorYear="1"&gt;&lt;Author&gt;Corr&lt;/Author&gt;&lt;Year&gt;2017&lt;/Year&gt;&lt;RecNum&gt;157&lt;/RecNum&gt;&lt;DisplayText&gt;Corr and Hollenbeak (2017)&lt;/DisplayText&gt;&lt;record&gt;&lt;rec-number&gt;157&lt;/rec-number&gt;&lt;foreign-keys&gt;&lt;key app="EN" db-id="ffzvr5fstavwxoe9v04xf0wmp5t50as52da0" timestamp="1731671646" guid="dc0a308e-9969-40f3-8c09-98fe396fbf3d"&gt;157&lt;/key&gt;&lt;/foreign-keys&gt;&lt;ref-type name="Journal Article"&gt;17&lt;/ref-type&gt;&lt;contributors&gt;&lt;authors&gt;&lt;author&gt;Corr, Tammy E.&lt;/author&gt;&lt;author&gt;Hollenbeak, Christopher S.&lt;/author&gt;&lt;/authors&gt;&lt;/contributors&gt;&lt;titles&gt;&lt;title&gt;The economic burden of neonatal abstinence syndrome in the United States&lt;/title&gt;&lt;secondary-title&gt;Addiction&lt;/secondary-title&gt;&lt;/titles&gt;&lt;periodical&gt;&lt;full-title&gt;Addiction&lt;/full-title&gt;&lt;/periodical&gt;&lt;pages&gt;1590-1599&lt;/pages&gt;&lt;volume&gt;112&lt;/volume&gt;&lt;number&gt;9&lt;/number&gt;&lt;dates&gt;&lt;year&gt;2017&lt;/year&gt;&lt;/dates&gt;&lt;isbn&gt;0965-2140&lt;/isbn&gt;&lt;urls&gt;&lt;related-urls&gt;&lt;url&gt;https://onlinelibrary.wiley.com/doi/abs/10.1111/add.13842&lt;/url&gt;&lt;/related-urls&gt;&lt;/urls&gt;&lt;electronic-resource-num&gt;10.1111/add.13842&lt;/electronic-resource-num&gt;&lt;/record&gt;&lt;/Cite&gt;&lt;/EndNote&gt;</w:instrText>
      </w:r>
      <w:r>
        <w:fldChar w:fldCharType="separate"/>
      </w:r>
      <w:r>
        <w:rPr>
          <w:noProof/>
        </w:rPr>
        <w:t>Corr and Hollenbeak (2017)</w:t>
      </w:r>
      <w:r>
        <w:fldChar w:fldCharType="end"/>
      </w:r>
      <w:r>
        <w:t xml:space="preserve"> found that the costs of additional intensive treatment and longer stays in hospital were nearly </w:t>
      </w:r>
      <w:r>
        <w:rPr>
          <w:color w:val="1C1D1E"/>
          <w:shd w:val="clear" w:color="auto" w:fill="FFFFFF"/>
        </w:rPr>
        <w:t xml:space="preserve">$316 million in 2012. </w:t>
      </w:r>
      <w:r>
        <w:t xml:space="preserve">In a systematic review and meta-analysis of costs associated with foetal alcohol syndrome disorder (FASD), </w:t>
      </w:r>
      <w:r>
        <w:fldChar w:fldCharType="begin"/>
      </w:r>
      <w:r>
        <w:instrText xml:space="preserve"> ADDIN EN.CITE &lt;EndNote&gt;&lt;Cite AuthorYear="1"&gt;&lt;Author&gt;Greenmyer&lt;/Author&gt;&lt;Year&gt;2018&lt;/Year&gt;&lt;RecNum&gt;75&lt;/RecNum&gt;&lt;DisplayText&gt;Greenmyer et al. (2018)&lt;/DisplayText&gt;&lt;record&gt;&lt;rec-number&gt;75&lt;/rec-number&gt;&lt;foreign-keys&gt;&lt;key app="EN" db-id="ffzvr5fstavwxoe9v04xf0wmp5t50as52da0" timestamp="1731671641" guid="18641a7f-9258-44c2-8605-af6e75dc28bf"&gt;75&lt;/key&gt;&lt;/foreign-keys&gt;&lt;ref-type name="Book"&gt;6&lt;/ref-type&gt;&lt;contributors&gt;&lt;authors&gt;&lt;author&gt;Greenmyer, Jacob R.&lt;/author&gt;&lt;author&gt;Klug, Marilyn, G.&lt;/author&gt;&lt;author&gt;Kambeitz, Cassondra&lt;/author&gt;&lt;author&gt;Popova, Svetlana&lt;/author&gt;&lt;author&gt;Burd, Larry&lt;/author&gt;&lt;/authors&gt;&lt;/contributors&gt;&lt;titles&gt;&lt;title&gt;A Multicountry Updated Assessment of the Economic Impact of Fetal Alcohol Spectrum Disorder: Costs for Children and Adults&lt;/title&gt;&lt;alt-title&gt;Journal of Addiction Medicine&lt;/alt-title&gt;&lt;/titles&gt;&lt;alt-periodical&gt;&lt;full-title&gt;Journal of Addiction Medicine&lt;/full-title&gt;&lt;/alt-periodical&gt;&lt;pages&gt;466-473&lt;/pages&gt;&lt;volume&gt;12&lt;/volume&gt;&lt;dates&gt;&lt;year&gt;2018&lt;/year&gt;&lt;/dates&gt;&lt;urls&gt;&lt;/urls&gt;&lt;electronic-resource-num&gt;10.1097/ADM.0000000000000438&lt;/electronic-resource-num&gt;&lt;/record&gt;&lt;/Cite&gt;&lt;/EndNote&gt;</w:instrText>
      </w:r>
      <w:r>
        <w:fldChar w:fldCharType="separate"/>
      </w:r>
      <w:r>
        <w:rPr>
          <w:noProof/>
        </w:rPr>
        <w:t>Greenmyer et al. (2018)</w:t>
      </w:r>
      <w:r>
        <w:fldChar w:fldCharType="end"/>
      </w:r>
      <w:r>
        <w:t xml:space="preserve"> found 32 mostly North American (n=29; 20 US and 9 Canadian) studies reporting costs of health care, special educational needs, residential care, criminal justice, productivity losses and loss of quality-adjusted life years (QALYs). Despite methodological differences among the studies, the authors estimated an average cost per annum for children with FASD was approximately $23,000 and, for adults, $24,000.  </w:t>
      </w:r>
    </w:p>
    <w:p w14:paraId="034FBF1C" w14:textId="456FE548" w:rsidR="0042328C" w:rsidRPr="00063F18" w:rsidRDefault="0042328C" w:rsidP="00737297">
      <w:pPr>
        <w:pStyle w:val="NoSpacing"/>
        <w:spacing w:line="360" w:lineRule="auto"/>
        <w:sectPr w:rsidR="0042328C" w:rsidRPr="00063F18" w:rsidSect="00007E57">
          <w:footerReference w:type="default" r:id="rId15"/>
          <w:pgSz w:w="11906" w:h="16838"/>
          <w:pgMar w:top="1440" w:right="1440" w:bottom="1440" w:left="1440" w:header="709" w:footer="709" w:gutter="0"/>
          <w:cols w:space="708"/>
          <w:docGrid w:linePitch="360"/>
        </w:sectPr>
      </w:pPr>
    </w:p>
    <w:p w14:paraId="501AF58E" w14:textId="09FD3252" w:rsidR="00702C1D" w:rsidRPr="0006639F" w:rsidRDefault="003544A3" w:rsidP="00F8735E">
      <w:pPr>
        <w:pStyle w:val="Caption"/>
        <w:rPr>
          <w:b w:val="0"/>
          <w:bCs w:val="0"/>
          <w:i/>
          <w:iCs/>
          <w:color w:val="auto"/>
          <w:sz w:val="24"/>
          <w:szCs w:val="24"/>
        </w:rPr>
      </w:pPr>
      <w:bookmarkStart w:id="17" w:name="_Ref167976442"/>
      <w:bookmarkStart w:id="18" w:name="_Toc173744116"/>
      <w:bookmarkStart w:id="19" w:name="_Toc185844986"/>
      <w:r>
        <w:rPr>
          <w:b w:val="0"/>
          <w:bCs w:val="0"/>
          <w:i/>
          <w:iCs/>
          <w:color w:val="auto"/>
          <w:sz w:val="24"/>
          <w:szCs w:val="24"/>
        </w:rPr>
        <w:lastRenderedPageBreak/>
        <w:t>Table</w:t>
      </w:r>
      <w:r w:rsidR="006A7F16" w:rsidRPr="0006639F">
        <w:rPr>
          <w:b w:val="0"/>
          <w:bCs w:val="0"/>
          <w:i/>
          <w:iCs/>
          <w:color w:val="auto"/>
          <w:sz w:val="24"/>
          <w:szCs w:val="24"/>
        </w:rPr>
        <w:t xml:space="preserv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1.5</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1</w:t>
      </w:r>
      <w:r w:rsidR="00367870">
        <w:rPr>
          <w:b w:val="0"/>
          <w:bCs w:val="0"/>
          <w:i/>
          <w:iCs/>
          <w:color w:val="auto"/>
          <w:sz w:val="24"/>
          <w:szCs w:val="24"/>
        </w:rPr>
        <w:fldChar w:fldCharType="end"/>
      </w:r>
      <w:bookmarkEnd w:id="17"/>
      <w:r w:rsidR="0006639F">
        <w:rPr>
          <w:b w:val="0"/>
          <w:bCs w:val="0"/>
          <w:i/>
          <w:iCs/>
          <w:color w:val="auto"/>
          <w:sz w:val="24"/>
          <w:szCs w:val="24"/>
        </w:rPr>
        <w:tab/>
      </w:r>
      <w:r w:rsidR="0022432A" w:rsidRPr="0006639F">
        <w:rPr>
          <w:b w:val="0"/>
          <w:bCs w:val="0"/>
          <w:i/>
          <w:iCs/>
          <w:color w:val="auto"/>
          <w:sz w:val="24"/>
          <w:szCs w:val="24"/>
        </w:rPr>
        <w:t xml:space="preserve">Examples of </w:t>
      </w:r>
      <w:r w:rsidR="000B2072" w:rsidRPr="0006639F">
        <w:rPr>
          <w:b w:val="0"/>
          <w:bCs w:val="0"/>
          <w:i/>
          <w:iCs/>
          <w:color w:val="auto"/>
          <w:sz w:val="24"/>
          <w:szCs w:val="24"/>
        </w:rPr>
        <w:t xml:space="preserve">sources of </w:t>
      </w:r>
      <w:r w:rsidR="0022432A" w:rsidRPr="0006639F">
        <w:rPr>
          <w:b w:val="0"/>
          <w:bCs w:val="0"/>
          <w:i/>
          <w:iCs/>
          <w:color w:val="auto"/>
          <w:sz w:val="24"/>
          <w:szCs w:val="24"/>
        </w:rPr>
        <w:t>costs associated with parental SUD</w:t>
      </w:r>
      <w:bookmarkEnd w:id="18"/>
      <w:bookmarkEnd w:id="19"/>
    </w:p>
    <w:p w14:paraId="23D83841" w14:textId="77777777" w:rsidR="00F8735E" w:rsidRPr="00F8735E" w:rsidRDefault="00F8735E" w:rsidP="00F873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2"/>
        <w:gridCol w:w="2024"/>
        <w:gridCol w:w="2024"/>
        <w:gridCol w:w="2025"/>
        <w:gridCol w:w="2024"/>
        <w:gridCol w:w="2024"/>
        <w:gridCol w:w="2025"/>
      </w:tblGrid>
      <w:tr w:rsidR="00BC694D" w:rsidRPr="00A46397" w14:paraId="6F9CA0A1" w14:textId="13FD000C" w:rsidTr="00706119">
        <w:tc>
          <w:tcPr>
            <w:tcW w:w="0" w:type="auto"/>
            <w:vMerge w:val="restart"/>
            <w:tcBorders>
              <w:right w:val="single" w:sz="4" w:space="0" w:color="auto"/>
            </w:tcBorders>
          </w:tcPr>
          <w:p w14:paraId="2F065786" w14:textId="11CE2EE6" w:rsidR="00BC694D" w:rsidRPr="00A46397" w:rsidRDefault="00BC694D" w:rsidP="000B57EF">
            <w:pPr>
              <w:pStyle w:val="NoSpacing"/>
              <w:spacing w:line="240" w:lineRule="auto"/>
              <w:rPr>
                <w:sz w:val="20"/>
                <w:szCs w:val="20"/>
              </w:rPr>
            </w:pPr>
            <w:r w:rsidRPr="00A46397">
              <w:rPr>
                <w:sz w:val="20"/>
                <w:szCs w:val="20"/>
              </w:rPr>
              <w:t>Theme</w:t>
            </w:r>
          </w:p>
        </w:tc>
        <w:tc>
          <w:tcPr>
            <w:tcW w:w="6073" w:type="dxa"/>
            <w:gridSpan w:val="3"/>
            <w:tcBorders>
              <w:left w:val="single" w:sz="4" w:space="0" w:color="auto"/>
              <w:right w:val="single" w:sz="4" w:space="0" w:color="auto"/>
            </w:tcBorders>
          </w:tcPr>
          <w:p w14:paraId="457AD6D9" w14:textId="171B2366" w:rsidR="00BC694D" w:rsidRPr="00A46397" w:rsidRDefault="00BC694D" w:rsidP="002756C3">
            <w:pPr>
              <w:pStyle w:val="NoSpacing"/>
              <w:spacing w:line="240" w:lineRule="auto"/>
              <w:jc w:val="center"/>
              <w:rPr>
                <w:sz w:val="20"/>
                <w:szCs w:val="20"/>
              </w:rPr>
            </w:pPr>
            <w:r w:rsidRPr="00A46397">
              <w:rPr>
                <w:sz w:val="20"/>
                <w:szCs w:val="20"/>
              </w:rPr>
              <w:t>Parental costs</w:t>
            </w:r>
          </w:p>
        </w:tc>
        <w:tc>
          <w:tcPr>
            <w:tcW w:w="6073" w:type="dxa"/>
            <w:gridSpan w:val="3"/>
            <w:tcBorders>
              <w:left w:val="single" w:sz="4" w:space="0" w:color="auto"/>
            </w:tcBorders>
          </w:tcPr>
          <w:p w14:paraId="6B66AABC" w14:textId="77777777" w:rsidR="00BC694D" w:rsidRDefault="00BC694D" w:rsidP="002756C3">
            <w:pPr>
              <w:pStyle w:val="NoSpacing"/>
              <w:spacing w:line="240" w:lineRule="auto"/>
              <w:jc w:val="center"/>
              <w:rPr>
                <w:sz w:val="20"/>
                <w:szCs w:val="20"/>
              </w:rPr>
            </w:pPr>
            <w:r w:rsidRPr="00A46397">
              <w:rPr>
                <w:sz w:val="20"/>
                <w:szCs w:val="20"/>
              </w:rPr>
              <w:t>Child costs</w:t>
            </w:r>
          </w:p>
          <w:p w14:paraId="6BF79A5B" w14:textId="01615F96" w:rsidR="00A46397" w:rsidRPr="00A46397" w:rsidRDefault="00A46397" w:rsidP="002756C3">
            <w:pPr>
              <w:pStyle w:val="NoSpacing"/>
              <w:spacing w:line="240" w:lineRule="auto"/>
              <w:jc w:val="center"/>
              <w:rPr>
                <w:sz w:val="20"/>
                <w:szCs w:val="20"/>
              </w:rPr>
            </w:pPr>
          </w:p>
        </w:tc>
      </w:tr>
      <w:tr w:rsidR="00BC694D" w:rsidRPr="00F8735E" w14:paraId="4A838D7C" w14:textId="42CAD28F" w:rsidTr="00706119">
        <w:tc>
          <w:tcPr>
            <w:tcW w:w="0" w:type="auto"/>
            <w:vMerge/>
            <w:tcBorders>
              <w:bottom w:val="single" w:sz="4" w:space="0" w:color="auto"/>
              <w:right w:val="single" w:sz="4" w:space="0" w:color="auto"/>
            </w:tcBorders>
          </w:tcPr>
          <w:p w14:paraId="5E922D22" w14:textId="768EAAE4" w:rsidR="00BC694D" w:rsidRPr="00F8735E" w:rsidRDefault="00BC694D" w:rsidP="000B57EF">
            <w:pPr>
              <w:pStyle w:val="NoSpacing"/>
              <w:spacing w:line="240" w:lineRule="auto"/>
              <w:rPr>
                <w:sz w:val="20"/>
                <w:szCs w:val="20"/>
              </w:rPr>
            </w:pPr>
          </w:p>
        </w:tc>
        <w:tc>
          <w:tcPr>
            <w:tcW w:w="2024" w:type="dxa"/>
            <w:tcBorders>
              <w:left w:val="single" w:sz="4" w:space="0" w:color="auto"/>
              <w:bottom w:val="single" w:sz="4" w:space="0" w:color="auto"/>
            </w:tcBorders>
          </w:tcPr>
          <w:p w14:paraId="66CB3659" w14:textId="7BBE402C" w:rsidR="00BC694D" w:rsidRPr="00F8735E" w:rsidRDefault="00BC694D" w:rsidP="002756C3">
            <w:pPr>
              <w:pStyle w:val="NoSpacing"/>
              <w:spacing w:line="240" w:lineRule="auto"/>
              <w:jc w:val="center"/>
              <w:rPr>
                <w:i/>
                <w:iCs/>
                <w:sz w:val="20"/>
                <w:szCs w:val="20"/>
              </w:rPr>
            </w:pPr>
            <w:r w:rsidRPr="00F8735E">
              <w:rPr>
                <w:i/>
                <w:iCs/>
                <w:sz w:val="20"/>
                <w:szCs w:val="20"/>
              </w:rPr>
              <w:t xml:space="preserve">Direct </w:t>
            </w:r>
          </w:p>
        </w:tc>
        <w:tc>
          <w:tcPr>
            <w:tcW w:w="2024" w:type="dxa"/>
            <w:tcBorders>
              <w:bottom w:val="single" w:sz="4" w:space="0" w:color="auto"/>
            </w:tcBorders>
          </w:tcPr>
          <w:p w14:paraId="1CF0E9E6" w14:textId="4CB0D63D" w:rsidR="00BC694D" w:rsidRPr="00F8735E" w:rsidRDefault="00BC694D" w:rsidP="002756C3">
            <w:pPr>
              <w:pStyle w:val="NoSpacing"/>
              <w:spacing w:line="240" w:lineRule="auto"/>
              <w:jc w:val="center"/>
              <w:rPr>
                <w:i/>
                <w:iCs/>
                <w:sz w:val="20"/>
                <w:szCs w:val="20"/>
              </w:rPr>
            </w:pPr>
            <w:r w:rsidRPr="00F8735E">
              <w:rPr>
                <w:i/>
                <w:iCs/>
                <w:sz w:val="20"/>
                <w:szCs w:val="20"/>
              </w:rPr>
              <w:t xml:space="preserve">Indirect </w:t>
            </w:r>
          </w:p>
        </w:tc>
        <w:tc>
          <w:tcPr>
            <w:tcW w:w="2025" w:type="dxa"/>
            <w:tcBorders>
              <w:bottom w:val="single" w:sz="4" w:space="0" w:color="auto"/>
              <w:right w:val="single" w:sz="4" w:space="0" w:color="auto"/>
            </w:tcBorders>
          </w:tcPr>
          <w:p w14:paraId="0D42C74B" w14:textId="3717BE8C" w:rsidR="00BC694D" w:rsidRPr="00F8735E" w:rsidRDefault="00BC694D" w:rsidP="002756C3">
            <w:pPr>
              <w:pStyle w:val="NoSpacing"/>
              <w:spacing w:line="240" w:lineRule="auto"/>
              <w:jc w:val="center"/>
              <w:rPr>
                <w:i/>
                <w:iCs/>
                <w:sz w:val="20"/>
                <w:szCs w:val="20"/>
              </w:rPr>
            </w:pPr>
            <w:r w:rsidRPr="00F8735E">
              <w:rPr>
                <w:i/>
                <w:iCs/>
                <w:sz w:val="20"/>
                <w:szCs w:val="20"/>
              </w:rPr>
              <w:t xml:space="preserve">Intangible </w:t>
            </w:r>
          </w:p>
        </w:tc>
        <w:tc>
          <w:tcPr>
            <w:tcW w:w="2024" w:type="dxa"/>
            <w:tcBorders>
              <w:left w:val="single" w:sz="4" w:space="0" w:color="auto"/>
              <w:bottom w:val="single" w:sz="4" w:space="0" w:color="auto"/>
            </w:tcBorders>
          </w:tcPr>
          <w:p w14:paraId="6149CFCE" w14:textId="24F5D947" w:rsidR="00BC694D" w:rsidRPr="00F8735E" w:rsidRDefault="00BC694D" w:rsidP="002756C3">
            <w:pPr>
              <w:pStyle w:val="NoSpacing"/>
              <w:spacing w:line="240" w:lineRule="auto"/>
              <w:jc w:val="center"/>
              <w:rPr>
                <w:i/>
                <w:iCs/>
                <w:sz w:val="20"/>
                <w:szCs w:val="20"/>
              </w:rPr>
            </w:pPr>
            <w:r w:rsidRPr="00F8735E">
              <w:rPr>
                <w:i/>
                <w:iCs/>
                <w:sz w:val="20"/>
                <w:szCs w:val="20"/>
              </w:rPr>
              <w:t xml:space="preserve">Direct </w:t>
            </w:r>
          </w:p>
        </w:tc>
        <w:tc>
          <w:tcPr>
            <w:tcW w:w="2024" w:type="dxa"/>
            <w:tcBorders>
              <w:bottom w:val="single" w:sz="4" w:space="0" w:color="auto"/>
            </w:tcBorders>
          </w:tcPr>
          <w:p w14:paraId="67B5F4F7" w14:textId="069D3929" w:rsidR="00BC694D" w:rsidRPr="00F8735E" w:rsidRDefault="00BC694D" w:rsidP="002756C3">
            <w:pPr>
              <w:pStyle w:val="NoSpacing"/>
              <w:spacing w:line="240" w:lineRule="auto"/>
              <w:jc w:val="center"/>
              <w:rPr>
                <w:i/>
                <w:iCs/>
                <w:sz w:val="20"/>
                <w:szCs w:val="20"/>
              </w:rPr>
            </w:pPr>
            <w:r w:rsidRPr="00F8735E">
              <w:rPr>
                <w:i/>
                <w:iCs/>
                <w:sz w:val="20"/>
                <w:szCs w:val="20"/>
              </w:rPr>
              <w:t xml:space="preserve">Indirect </w:t>
            </w:r>
          </w:p>
        </w:tc>
        <w:tc>
          <w:tcPr>
            <w:tcW w:w="2025" w:type="dxa"/>
            <w:tcBorders>
              <w:bottom w:val="single" w:sz="4" w:space="0" w:color="auto"/>
            </w:tcBorders>
          </w:tcPr>
          <w:p w14:paraId="79FC9708" w14:textId="31F9E3D3" w:rsidR="00BC694D" w:rsidRPr="00F8735E" w:rsidRDefault="00BC694D" w:rsidP="002756C3">
            <w:pPr>
              <w:pStyle w:val="NoSpacing"/>
              <w:spacing w:line="240" w:lineRule="auto"/>
              <w:jc w:val="center"/>
              <w:rPr>
                <w:i/>
                <w:iCs/>
                <w:sz w:val="20"/>
                <w:szCs w:val="20"/>
              </w:rPr>
            </w:pPr>
            <w:r w:rsidRPr="00F8735E">
              <w:rPr>
                <w:i/>
                <w:iCs/>
                <w:sz w:val="20"/>
                <w:szCs w:val="20"/>
              </w:rPr>
              <w:t xml:space="preserve">Intangible </w:t>
            </w:r>
          </w:p>
        </w:tc>
      </w:tr>
      <w:tr w:rsidR="0015668A" w:rsidRPr="00F8735E" w14:paraId="07048F2B" w14:textId="125DD2BE" w:rsidTr="00706119">
        <w:tc>
          <w:tcPr>
            <w:tcW w:w="0" w:type="auto"/>
            <w:tcBorders>
              <w:top w:val="single" w:sz="4" w:space="0" w:color="auto"/>
              <w:bottom w:val="single" w:sz="4" w:space="0" w:color="auto"/>
              <w:right w:val="single" w:sz="4" w:space="0" w:color="auto"/>
            </w:tcBorders>
          </w:tcPr>
          <w:p w14:paraId="5623998C" w14:textId="1E8B0471" w:rsidR="003E227A" w:rsidRPr="00F8735E" w:rsidRDefault="003E227A" w:rsidP="002756C3">
            <w:pPr>
              <w:pStyle w:val="NoSpacing"/>
              <w:spacing w:line="240" w:lineRule="auto"/>
              <w:rPr>
                <w:sz w:val="20"/>
                <w:szCs w:val="20"/>
              </w:rPr>
            </w:pPr>
            <w:r w:rsidRPr="00F8735E">
              <w:rPr>
                <w:sz w:val="20"/>
                <w:szCs w:val="20"/>
              </w:rPr>
              <w:t>Health</w:t>
            </w:r>
          </w:p>
        </w:tc>
        <w:tc>
          <w:tcPr>
            <w:tcW w:w="2024" w:type="dxa"/>
            <w:tcBorders>
              <w:top w:val="single" w:sz="4" w:space="0" w:color="auto"/>
              <w:left w:val="single" w:sz="4" w:space="0" w:color="auto"/>
              <w:bottom w:val="single" w:sz="4" w:space="0" w:color="auto"/>
            </w:tcBorders>
          </w:tcPr>
          <w:p w14:paraId="572807C7" w14:textId="77777777" w:rsidR="007B296F" w:rsidRPr="00F8735E" w:rsidRDefault="007B296F" w:rsidP="007B296F">
            <w:pPr>
              <w:pStyle w:val="NoSpacing"/>
              <w:spacing w:line="240" w:lineRule="auto"/>
              <w:contextualSpacing w:val="0"/>
              <w:rPr>
                <w:rFonts w:eastAsia="Times New Roman"/>
                <w:sz w:val="20"/>
                <w:szCs w:val="20"/>
                <w:lang w:eastAsia="en-GB"/>
              </w:rPr>
            </w:pPr>
            <w:r w:rsidRPr="00F8735E">
              <w:rPr>
                <w:sz w:val="20"/>
                <w:szCs w:val="20"/>
              </w:rPr>
              <w:t>Medical and ambulance services</w:t>
            </w:r>
            <w:r w:rsidRPr="00F8735E">
              <w:rPr>
                <w:rFonts w:eastAsia="Times New Roman"/>
                <w:sz w:val="20"/>
                <w:szCs w:val="20"/>
                <w:lang w:eastAsia="en-GB"/>
              </w:rPr>
              <w:t xml:space="preserve"> </w:t>
            </w:r>
          </w:p>
          <w:p w14:paraId="0667A5DC" w14:textId="77777777" w:rsidR="007B296F" w:rsidRPr="00F8735E" w:rsidRDefault="007B296F" w:rsidP="007B296F">
            <w:pPr>
              <w:pStyle w:val="NoSpacing"/>
              <w:spacing w:line="240" w:lineRule="auto"/>
              <w:contextualSpacing w:val="0"/>
              <w:rPr>
                <w:rFonts w:eastAsia="Times New Roman"/>
                <w:sz w:val="20"/>
                <w:szCs w:val="20"/>
                <w:lang w:eastAsia="en-GB"/>
              </w:rPr>
            </w:pPr>
          </w:p>
          <w:p w14:paraId="0E420F67" w14:textId="35BF4931" w:rsidR="007B296F" w:rsidRPr="00F8735E" w:rsidRDefault="007B296F" w:rsidP="007B296F">
            <w:pPr>
              <w:pStyle w:val="NoSpacing"/>
              <w:spacing w:line="240" w:lineRule="auto"/>
              <w:contextualSpacing w:val="0"/>
              <w:rPr>
                <w:rFonts w:eastAsia="Times New Roman"/>
                <w:sz w:val="20"/>
                <w:szCs w:val="20"/>
                <w:lang w:eastAsia="en-GB"/>
              </w:rPr>
            </w:pPr>
            <w:r w:rsidRPr="00F8735E">
              <w:rPr>
                <w:rFonts w:eastAsia="Times New Roman"/>
                <w:sz w:val="20"/>
                <w:szCs w:val="20"/>
                <w:lang w:eastAsia="en-GB"/>
              </w:rPr>
              <w:t>Prescriptions</w:t>
            </w:r>
          </w:p>
          <w:p w14:paraId="4E4939B0" w14:textId="77777777" w:rsidR="00A93A0D" w:rsidRPr="00F8735E" w:rsidRDefault="00A93A0D" w:rsidP="007B296F">
            <w:pPr>
              <w:pStyle w:val="NoSpacing"/>
              <w:spacing w:line="240" w:lineRule="auto"/>
              <w:rPr>
                <w:rFonts w:eastAsia="Times New Roman"/>
                <w:sz w:val="20"/>
                <w:szCs w:val="20"/>
                <w:lang w:eastAsia="en-GB"/>
              </w:rPr>
            </w:pPr>
          </w:p>
          <w:p w14:paraId="58959869" w14:textId="07F10E65" w:rsidR="00A93A0D" w:rsidRPr="00F8735E" w:rsidRDefault="00A93A0D" w:rsidP="007B296F">
            <w:pPr>
              <w:pStyle w:val="NoSpacing"/>
              <w:spacing w:line="240" w:lineRule="auto"/>
              <w:rPr>
                <w:rFonts w:eastAsia="Times New Roman"/>
                <w:sz w:val="20"/>
                <w:szCs w:val="20"/>
                <w:lang w:eastAsia="en-GB"/>
              </w:rPr>
            </w:pPr>
            <w:r w:rsidRPr="00F8735E">
              <w:rPr>
                <w:rFonts w:eastAsia="Times New Roman"/>
                <w:sz w:val="20"/>
                <w:szCs w:val="20"/>
                <w:lang w:eastAsia="en-GB"/>
              </w:rPr>
              <w:t xml:space="preserve">Mental health </w:t>
            </w:r>
            <w:r w:rsidR="00C458FA" w:rsidRPr="00F8735E">
              <w:rPr>
                <w:rFonts w:eastAsia="Times New Roman"/>
                <w:sz w:val="20"/>
                <w:szCs w:val="20"/>
                <w:lang w:eastAsia="en-GB"/>
              </w:rPr>
              <w:t>treatment</w:t>
            </w:r>
          </w:p>
          <w:p w14:paraId="241F4464" w14:textId="77777777" w:rsidR="00C458FA" w:rsidRPr="00F8735E" w:rsidRDefault="00C458FA" w:rsidP="007B296F">
            <w:pPr>
              <w:pStyle w:val="NoSpacing"/>
              <w:spacing w:line="240" w:lineRule="auto"/>
              <w:rPr>
                <w:sz w:val="20"/>
                <w:szCs w:val="20"/>
              </w:rPr>
            </w:pPr>
          </w:p>
          <w:p w14:paraId="55987F85" w14:textId="00C1EF59" w:rsidR="003E227A" w:rsidRPr="00F8735E" w:rsidRDefault="00C458FA" w:rsidP="002756C3">
            <w:pPr>
              <w:pStyle w:val="NoSpacing"/>
              <w:spacing w:line="240" w:lineRule="auto"/>
              <w:rPr>
                <w:sz w:val="20"/>
                <w:szCs w:val="20"/>
              </w:rPr>
            </w:pPr>
            <w:r w:rsidRPr="00F8735E">
              <w:rPr>
                <w:sz w:val="20"/>
                <w:szCs w:val="20"/>
              </w:rPr>
              <w:t>SUD treatment</w:t>
            </w:r>
          </w:p>
          <w:p w14:paraId="33D79B26" w14:textId="6E0FC1EF" w:rsidR="003E227A" w:rsidRPr="00F8735E" w:rsidRDefault="003E227A" w:rsidP="002756C3">
            <w:pPr>
              <w:pStyle w:val="NoSpacing"/>
              <w:spacing w:line="240" w:lineRule="auto"/>
              <w:rPr>
                <w:sz w:val="20"/>
                <w:szCs w:val="20"/>
              </w:rPr>
            </w:pPr>
          </w:p>
        </w:tc>
        <w:tc>
          <w:tcPr>
            <w:tcW w:w="2024" w:type="dxa"/>
            <w:tcBorders>
              <w:top w:val="single" w:sz="4" w:space="0" w:color="auto"/>
              <w:bottom w:val="single" w:sz="4" w:space="0" w:color="auto"/>
            </w:tcBorders>
          </w:tcPr>
          <w:p w14:paraId="7167D71F" w14:textId="7C976D70" w:rsidR="003E227A" w:rsidRPr="00F8735E" w:rsidRDefault="003E227A" w:rsidP="002756C3">
            <w:pPr>
              <w:pStyle w:val="NoSpacing"/>
              <w:spacing w:line="240" w:lineRule="auto"/>
              <w:rPr>
                <w:sz w:val="20"/>
                <w:szCs w:val="20"/>
              </w:rPr>
            </w:pPr>
          </w:p>
        </w:tc>
        <w:tc>
          <w:tcPr>
            <w:tcW w:w="2025" w:type="dxa"/>
            <w:tcBorders>
              <w:top w:val="single" w:sz="4" w:space="0" w:color="auto"/>
              <w:bottom w:val="single" w:sz="4" w:space="0" w:color="auto"/>
              <w:right w:val="single" w:sz="4" w:space="0" w:color="auto"/>
            </w:tcBorders>
          </w:tcPr>
          <w:p w14:paraId="42C015F9" w14:textId="252D8C7E" w:rsidR="003E227A" w:rsidRPr="00F8735E" w:rsidRDefault="003E227A" w:rsidP="002756C3">
            <w:pPr>
              <w:pStyle w:val="NoSpacing"/>
              <w:spacing w:line="240" w:lineRule="auto"/>
              <w:rPr>
                <w:sz w:val="20"/>
                <w:szCs w:val="20"/>
              </w:rPr>
            </w:pPr>
            <w:r w:rsidRPr="00F8735E">
              <w:rPr>
                <w:sz w:val="20"/>
                <w:szCs w:val="20"/>
              </w:rPr>
              <w:t>Disability-adjusted life years/ quality-adjusted life years</w:t>
            </w:r>
            <w:r w:rsidR="007B296F" w:rsidRPr="00F8735E">
              <w:rPr>
                <w:sz w:val="20"/>
                <w:szCs w:val="20"/>
              </w:rPr>
              <w:t xml:space="preserve"> (QALY)</w:t>
            </w:r>
            <w:r w:rsidRPr="00F8735E">
              <w:rPr>
                <w:sz w:val="20"/>
                <w:szCs w:val="20"/>
              </w:rPr>
              <w:t xml:space="preserve"> </w:t>
            </w:r>
            <w:r w:rsidR="007B296F" w:rsidRPr="00F8735E">
              <w:rPr>
                <w:sz w:val="20"/>
                <w:szCs w:val="20"/>
              </w:rPr>
              <w:t>losses</w:t>
            </w:r>
          </w:p>
        </w:tc>
        <w:tc>
          <w:tcPr>
            <w:tcW w:w="2024" w:type="dxa"/>
            <w:tcBorders>
              <w:top w:val="single" w:sz="4" w:space="0" w:color="auto"/>
              <w:left w:val="single" w:sz="4" w:space="0" w:color="auto"/>
              <w:bottom w:val="single" w:sz="4" w:space="0" w:color="auto"/>
            </w:tcBorders>
          </w:tcPr>
          <w:p w14:paraId="08C81055" w14:textId="77777777" w:rsidR="00C458FA" w:rsidRPr="00F8735E" w:rsidRDefault="00C458FA" w:rsidP="00C458FA">
            <w:pPr>
              <w:pStyle w:val="NoSpacing"/>
              <w:spacing w:line="240" w:lineRule="auto"/>
              <w:contextualSpacing w:val="0"/>
              <w:rPr>
                <w:rFonts w:eastAsia="Times New Roman"/>
                <w:sz w:val="20"/>
                <w:szCs w:val="20"/>
                <w:lang w:eastAsia="en-GB"/>
              </w:rPr>
            </w:pPr>
            <w:r w:rsidRPr="00F8735E">
              <w:rPr>
                <w:sz w:val="20"/>
                <w:szCs w:val="20"/>
              </w:rPr>
              <w:t>Medical and ambulance services</w:t>
            </w:r>
            <w:r w:rsidRPr="00F8735E">
              <w:rPr>
                <w:rFonts w:eastAsia="Times New Roman"/>
                <w:sz w:val="20"/>
                <w:szCs w:val="20"/>
                <w:lang w:eastAsia="en-GB"/>
              </w:rPr>
              <w:t xml:space="preserve"> </w:t>
            </w:r>
          </w:p>
          <w:p w14:paraId="7E273C4E" w14:textId="77777777" w:rsidR="00C458FA" w:rsidRPr="00F8735E" w:rsidRDefault="00C458FA" w:rsidP="00C458FA">
            <w:pPr>
              <w:pStyle w:val="NoSpacing"/>
              <w:spacing w:line="240" w:lineRule="auto"/>
              <w:contextualSpacing w:val="0"/>
              <w:rPr>
                <w:rFonts w:eastAsia="Times New Roman"/>
                <w:sz w:val="20"/>
                <w:szCs w:val="20"/>
                <w:lang w:eastAsia="en-GB"/>
              </w:rPr>
            </w:pPr>
          </w:p>
          <w:p w14:paraId="42417BB7" w14:textId="77777777" w:rsidR="00C458FA" w:rsidRPr="00F8735E" w:rsidRDefault="00C458FA" w:rsidP="00C458FA">
            <w:pPr>
              <w:pStyle w:val="NoSpacing"/>
              <w:spacing w:line="240" w:lineRule="auto"/>
              <w:contextualSpacing w:val="0"/>
              <w:rPr>
                <w:rFonts w:eastAsia="Times New Roman"/>
                <w:sz w:val="20"/>
                <w:szCs w:val="20"/>
                <w:lang w:eastAsia="en-GB"/>
              </w:rPr>
            </w:pPr>
            <w:r w:rsidRPr="00F8735E">
              <w:rPr>
                <w:rFonts w:eastAsia="Times New Roman"/>
                <w:sz w:val="20"/>
                <w:szCs w:val="20"/>
                <w:lang w:eastAsia="en-GB"/>
              </w:rPr>
              <w:t>Prescriptions</w:t>
            </w:r>
          </w:p>
          <w:p w14:paraId="6533ED3A" w14:textId="77777777" w:rsidR="00C458FA" w:rsidRPr="00F8735E" w:rsidRDefault="00C458FA" w:rsidP="00C458FA">
            <w:pPr>
              <w:pStyle w:val="NoSpacing"/>
              <w:spacing w:line="240" w:lineRule="auto"/>
              <w:rPr>
                <w:rFonts w:eastAsia="Times New Roman"/>
                <w:sz w:val="20"/>
                <w:szCs w:val="20"/>
                <w:lang w:eastAsia="en-GB"/>
              </w:rPr>
            </w:pPr>
          </w:p>
          <w:p w14:paraId="1420AA6E" w14:textId="77777777" w:rsidR="00C458FA" w:rsidRPr="00F8735E" w:rsidRDefault="00C458FA" w:rsidP="00C458FA">
            <w:pPr>
              <w:pStyle w:val="NoSpacing"/>
              <w:spacing w:line="240" w:lineRule="auto"/>
              <w:rPr>
                <w:rFonts w:eastAsia="Times New Roman"/>
                <w:sz w:val="20"/>
                <w:szCs w:val="20"/>
                <w:lang w:eastAsia="en-GB"/>
              </w:rPr>
            </w:pPr>
            <w:r w:rsidRPr="00F8735E">
              <w:rPr>
                <w:rFonts w:eastAsia="Times New Roman"/>
                <w:sz w:val="20"/>
                <w:szCs w:val="20"/>
                <w:lang w:eastAsia="en-GB"/>
              </w:rPr>
              <w:t>Mental health treatment</w:t>
            </w:r>
          </w:p>
          <w:p w14:paraId="44370811" w14:textId="77777777" w:rsidR="00C458FA" w:rsidRPr="00F8735E" w:rsidRDefault="00C458FA" w:rsidP="00C458FA">
            <w:pPr>
              <w:pStyle w:val="NoSpacing"/>
              <w:spacing w:line="240" w:lineRule="auto"/>
              <w:rPr>
                <w:sz w:val="20"/>
                <w:szCs w:val="20"/>
              </w:rPr>
            </w:pPr>
          </w:p>
          <w:p w14:paraId="0E3D404E" w14:textId="77777777" w:rsidR="00C458FA" w:rsidRPr="00F8735E" w:rsidRDefault="00C458FA" w:rsidP="00C458FA">
            <w:pPr>
              <w:pStyle w:val="NoSpacing"/>
              <w:spacing w:line="240" w:lineRule="auto"/>
              <w:rPr>
                <w:sz w:val="20"/>
                <w:szCs w:val="20"/>
              </w:rPr>
            </w:pPr>
            <w:r w:rsidRPr="00F8735E">
              <w:rPr>
                <w:sz w:val="20"/>
                <w:szCs w:val="20"/>
              </w:rPr>
              <w:t>SUD treatment</w:t>
            </w:r>
          </w:p>
          <w:p w14:paraId="7AFF7326" w14:textId="77777777" w:rsidR="00162A75" w:rsidRPr="00F8735E" w:rsidRDefault="00162A75" w:rsidP="00C458FA">
            <w:pPr>
              <w:pStyle w:val="NoSpacing"/>
              <w:spacing w:line="240" w:lineRule="auto"/>
              <w:rPr>
                <w:sz w:val="20"/>
                <w:szCs w:val="20"/>
              </w:rPr>
            </w:pPr>
          </w:p>
          <w:p w14:paraId="37B4A3B1" w14:textId="2E039855" w:rsidR="003E227A" w:rsidRPr="00F8735E" w:rsidRDefault="00162A75" w:rsidP="002756C3">
            <w:pPr>
              <w:pStyle w:val="NoSpacing"/>
              <w:spacing w:line="240" w:lineRule="auto"/>
              <w:rPr>
                <w:sz w:val="20"/>
                <w:szCs w:val="20"/>
              </w:rPr>
            </w:pPr>
            <w:r w:rsidRPr="00F8735E">
              <w:rPr>
                <w:sz w:val="20"/>
                <w:szCs w:val="20"/>
              </w:rPr>
              <w:t>Costs associated with FASD</w:t>
            </w:r>
          </w:p>
        </w:tc>
        <w:tc>
          <w:tcPr>
            <w:tcW w:w="2024" w:type="dxa"/>
            <w:tcBorders>
              <w:top w:val="single" w:sz="4" w:space="0" w:color="auto"/>
              <w:bottom w:val="single" w:sz="4" w:space="0" w:color="auto"/>
            </w:tcBorders>
          </w:tcPr>
          <w:p w14:paraId="27F898A4" w14:textId="77777777" w:rsidR="003E227A" w:rsidRPr="00F8735E" w:rsidRDefault="003E227A" w:rsidP="002756C3">
            <w:pPr>
              <w:pStyle w:val="NoSpacing"/>
              <w:spacing w:line="240" w:lineRule="auto"/>
              <w:rPr>
                <w:sz w:val="20"/>
                <w:szCs w:val="20"/>
              </w:rPr>
            </w:pPr>
          </w:p>
        </w:tc>
        <w:tc>
          <w:tcPr>
            <w:tcW w:w="2025" w:type="dxa"/>
            <w:tcBorders>
              <w:top w:val="single" w:sz="4" w:space="0" w:color="auto"/>
              <w:bottom w:val="single" w:sz="4" w:space="0" w:color="auto"/>
            </w:tcBorders>
          </w:tcPr>
          <w:p w14:paraId="346A7E98" w14:textId="611FDEC1" w:rsidR="003E227A" w:rsidRPr="00F8735E" w:rsidRDefault="0015668A" w:rsidP="002756C3">
            <w:pPr>
              <w:pStyle w:val="NoSpacing"/>
              <w:spacing w:line="240" w:lineRule="auto"/>
              <w:rPr>
                <w:sz w:val="20"/>
                <w:szCs w:val="20"/>
              </w:rPr>
            </w:pPr>
            <w:r w:rsidRPr="00F8735E">
              <w:rPr>
                <w:sz w:val="20"/>
                <w:szCs w:val="20"/>
              </w:rPr>
              <w:t>Disability-adjusted life years/ quality-adjusted life years (QALY) losses</w:t>
            </w:r>
          </w:p>
        </w:tc>
      </w:tr>
      <w:tr w:rsidR="0015668A" w:rsidRPr="00F8735E" w14:paraId="3F25EFAA" w14:textId="18876214" w:rsidTr="00706119">
        <w:tc>
          <w:tcPr>
            <w:tcW w:w="0" w:type="auto"/>
            <w:tcBorders>
              <w:top w:val="single" w:sz="4" w:space="0" w:color="auto"/>
              <w:bottom w:val="single" w:sz="4" w:space="0" w:color="auto"/>
              <w:right w:val="single" w:sz="4" w:space="0" w:color="auto"/>
            </w:tcBorders>
          </w:tcPr>
          <w:p w14:paraId="7D983F18" w14:textId="71256B9E" w:rsidR="003E227A" w:rsidRPr="00F8735E" w:rsidRDefault="003E227A" w:rsidP="002756C3">
            <w:pPr>
              <w:pStyle w:val="NoSpacing"/>
              <w:spacing w:line="240" w:lineRule="auto"/>
              <w:rPr>
                <w:sz w:val="20"/>
                <w:szCs w:val="20"/>
              </w:rPr>
            </w:pPr>
            <w:r w:rsidRPr="00F8735E">
              <w:rPr>
                <w:sz w:val="20"/>
                <w:szCs w:val="20"/>
              </w:rPr>
              <w:t>Social care</w:t>
            </w:r>
          </w:p>
        </w:tc>
        <w:tc>
          <w:tcPr>
            <w:tcW w:w="2024" w:type="dxa"/>
            <w:tcBorders>
              <w:top w:val="single" w:sz="4" w:space="0" w:color="auto"/>
              <w:left w:val="single" w:sz="4" w:space="0" w:color="auto"/>
              <w:bottom w:val="single" w:sz="4" w:space="0" w:color="auto"/>
            </w:tcBorders>
          </w:tcPr>
          <w:p w14:paraId="47410E57" w14:textId="77777777" w:rsidR="00FE419B" w:rsidRPr="00F8735E" w:rsidRDefault="005867A6" w:rsidP="002756C3">
            <w:pPr>
              <w:pStyle w:val="NoSpacing"/>
              <w:spacing w:line="240" w:lineRule="auto"/>
              <w:rPr>
                <w:sz w:val="20"/>
                <w:szCs w:val="20"/>
              </w:rPr>
            </w:pPr>
            <w:r w:rsidRPr="00F8735E">
              <w:rPr>
                <w:sz w:val="20"/>
                <w:szCs w:val="20"/>
              </w:rPr>
              <w:t>Parenting Programmes</w:t>
            </w:r>
          </w:p>
          <w:p w14:paraId="372E35C0" w14:textId="77777777" w:rsidR="00A93A0D" w:rsidRPr="00F8735E" w:rsidRDefault="00A93A0D" w:rsidP="002756C3">
            <w:pPr>
              <w:pStyle w:val="NoSpacing"/>
              <w:spacing w:line="240" w:lineRule="auto"/>
              <w:rPr>
                <w:sz w:val="20"/>
                <w:szCs w:val="20"/>
              </w:rPr>
            </w:pPr>
          </w:p>
          <w:p w14:paraId="301641EA" w14:textId="77777777" w:rsidR="00A93A0D" w:rsidRPr="00F8735E" w:rsidRDefault="00A93A0D" w:rsidP="002756C3">
            <w:pPr>
              <w:pStyle w:val="NoSpacing"/>
              <w:spacing w:line="240" w:lineRule="auto"/>
              <w:rPr>
                <w:sz w:val="20"/>
                <w:szCs w:val="20"/>
              </w:rPr>
            </w:pPr>
            <w:r w:rsidRPr="00F8735E">
              <w:rPr>
                <w:sz w:val="20"/>
                <w:szCs w:val="20"/>
              </w:rPr>
              <w:t>Family court</w:t>
            </w:r>
          </w:p>
          <w:p w14:paraId="54B98822" w14:textId="1D192ACA" w:rsidR="0047404C" w:rsidRPr="00F8735E" w:rsidRDefault="0047404C" w:rsidP="002756C3">
            <w:pPr>
              <w:pStyle w:val="NoSpacing"/>
              <w:spacing w:line="240" w:lineRule="auto"/>
              <w:rPr>
                <w:sz w:val="20"/>
                <w:szCs w:val="20"/>
              </w:rPr>
            </w:pPr>
          </w:p>
        </w:tc>
        <w:tc>
          <w:tcPr>
            <w:tcW w:w="2024" w:type="dxa"/>
            <w:tcBorders>
              <w:top w:val="single" w:sz="4" w:space="0" w:color="auto"/>
              <w:bottom w:val="single" w:sz="4" w:space="0" w:color="auto"/>
            </w:tcBorders>
          </w:tcPr>
          <w:p w14:paraId="6CA86979" w14:textId="58773B04" w:rsidR="003E227A" w:rsidRPr="00F8735E" w:rsidRDefault="004857D4" w:rsidP="002756C3">
            <w:pPr>
              <w:pStyle w:val="NoSpacing"/>
              <w:spacing w:line="240" w:lineRule="auto"/>
              <w:rPr>
                <w:sz w:val="20"/>
                <w:szCs w:val="20"/>
              </w:rPr>
            </w:pPr>
            <w:r w:rsidRPr="00F8735E">
              <w:rPr>
                <w:sz w:val="20"/>
                <w:szCs w:val="20"/>
              </w:rPr>
              <w:t>Kinship care</w:t>
            </w:r>
          </w:p>
        </w:tc>
        <w:tc>
          <w:tcPr>
            <w:tcW w:w="2025" w:type="dxa"/>
            <w:tcBorders>
              <w:top w:val="single" w:sz="4" w:space="0" w:color="auto"/>
              <w:bottom w:val="single" w:sz="4" w:space="0" w:color="auto"/>
              <w:right w:val="single" w:sz="4" w:space="0" w:color="auto"/>
            </w:tcBorders>
          </w:tcPr>
          <w:p w14:paraId="736DEC6F" w14:textId="77777777" w:rsidR="003E227A" w:rsidRPr="00F8735E" w:rsidRDefault="003E227A" w:rsidP="002756C3">
            <w:pPr>
              <w:pStyle w:val="NoSpacing"/>
              <w:spacing w:line="240" w:lineRule="auto"/>
              <w:rPr>
                <w:sz w:val="20"/>
                <w:szCs w:val="20"/>
              </w:rPr>
            </w:pPr>
          </w:p>
        </w:tc>
        <w:tc>
          <w:tcPr>
            <w:tcW w:w="2024" w:type="dxa"/>
            <w:tcBorders>
              <w:top w:val="single" w:sz="4" w:space="0" w:color="auto"/>
              <w:left w:val="single" w:sz="4" w:space="0" w:color="auto"/>
              <w:bottom w:val="single" w:sz="4" w:space="0" w:color="auto"/>
            </w:tcBorders>
          </w:tcPr>
          <w:p w14:paraId="47960374" w14:textId="77777777" w:rsidR="00FE419B" w:rsidRPr="00F8735E" w:rsidRDefault="00FE419B" w:rsidP="00FE419B">
            <w:pPr>
              <w:pStyle w:val="NoSpacing"/>
              <w:spacing w:line="240" w:lineRule="auto"/>
              <w:rPr>
                <w:sz w:val="20"/>
                <w:szCs w:val="20"/>
              </w:rPr>
            </w:pPr>
            <w:r w:rsidRPr="00F8735E">
              <w:rPr>
                <w:sz w:val="20"/>
                <w:szCs w:val="20"/>
              </w:rPr>
              <w:t>Statutory plans</w:t>
            </w:r>
          </w:p>
          <w:p w14:paraId="610F6483" w14:textId="77777777" w:rsidR="00FE419B" w:rsidRPr="00F8735E" w:rsidRDefault="00FE419B" w:rsidP="00FE419B">
            <w:pPr>
              <w:pStyle w:val="NoSpacing"/>
              <w:spacing w:line="240" w:lineRule="auto"/>
              <w:rPr>
                <w:sz w:val="20"/>
                <w:szCs w:val="20"/>
              </w:rPr>
            </w:pPr>
          </w:p>
          <w:p w14:paraId="268FDA98" w14:textId="77777777" w:rsidR="00FE419B" w:rsidRPr="00F8735E" w:rsidRDefault="00FE419B" w:rsidP="00FE419B">
            <w:pPr>
              <w:pStyle w:val="NoSpacing"/>
              <w:spacing w:line="240" w:lineRule="auto"/>
              <w:rPr>
                <w:sz w:val="20"/>
                <w:szCs w:val="20"/>
              </w:rPr>
            </w:pPr>
            <w:r w:rsidRPr="00F8735E">
              <w:rPr>
                <w:sz w:val="20"/>
                <w:szCs w:val="20"/>
              </w:rPr>
              <w:t xml:space="preserve">Foster care </w:t>
            </w:r>
          </w:p>
          <w:p w14:paraId="77C1CD5C" w14:textId="77777777" w:rsidR="00FE419B" w:rsidRPr="00F8735E" w:rsidRDefault="00FE419B" w:rsidP="00FE419B">
            <w:pPr>
              <w:pStyle w:val="NoSpacing"/>
              <w:spacing w:line="240" w:lineRule="auto"/>
              <w:rPr>
                <w:sz w:val="20"/>
                <w:szCs w:val="20"/>
              </w:rPr>
            </w:pPr>
          </w:p>
          <w:p w14:paraId="13E34118" w14:textId="60F041F3" w:rsidR="003E227A" w:rsidRPr="00F8735E" w:rsidRDefault="00FE419B" w:rsidP="00FE419B">
            <w:pPr>
              <w:pStyle w:val="NoSpacing"/>
              <w:spacing w:line="240" w:lineRule="auto"/>
              <w:rPr>
                <w:sz w:val="20"/>
                <w:szCs w:val="20"/>
              </w:rPr>
            </w:pPr>
            <w:r w:rsidRPr="00F8735E">
              <w:rPr>
                <w:sz w:val="20"/>
                <w:szCs w:val="20"/>
              </w:rPr>
              <w:t>Adoption</w:t>
            </w:r>
          </w:p>
        </w:tc>
        <w:tc>
          <w:tcPr>
            <w:tcW w:w="2024" w:type="dxa"/>
            <w:tcBorders>
              <w:top w:val="single" w:sz="4" w:space="0" w:color="auto"/>
              <w:bottom w:val="single" w:sz="4" w:space="0" w:color="auto"/>
            </w:tcBorders>
          </w:tcPr>
          <w:p w14:paraId="1044EC32" w14:textId="10E0C3DB" w:rsidR="003E227A" w:rsidRPr="00F8735E" w:rsidRDefault="0018449E" w:rsidP="002756C3">
            <w:pPr>
              <w:pStyle w:val="NoSpacing"/>
              <w:spacing w:line="240" w:lineRule="auto"/>
              <w:rPr>
                <w:sz w:val="20"/>
                <w:szCs w:val="20"/>
              </w:rPr>
            </w:pPr>
            <w:r w:rsidRPr="00F8735E">
              <w:rPr>
                <w:sz w:val="20"/>
                <w:szCs w:val="20"/>
              </w:rPr>
              <w:t>Being a young carer</w:t>
            </w:r>
          </w:p>
        </w:tc>
        <w:tc>
          <w:tcPr>
            <w:tcW w:w="2025" w:type="dxa"/>
            <w:tcBorders>
              <w:top w:val="single" w:sz="4" w:space="0" w:color="auto"/>
              <w:bottom w:val="single" w:sz="4" w:space="0" w:color="auto"/>
            </w:tcBorders>
          </w:tcPr>
          <w:p w14:paraId="1CCA48EC" w14:textId="77777777" w:rsidR="003E227A" w:rsidRPr="00F8735E" w:rsidRDefault="003E227A" w:rsidP="002756C3">
            <w:pPr>
              <w:pStyle w:val="NoSpacing"/>
              <w:spacing w:line="240" w:lineRule="auto"/>
              <w:rPr>
                <w:sz w:val="20"/>
                <w:szCs w:val="20"/>
              </w:rPr>
            </w:pPr>
          </w:p>
        </w:tc>
      </w:tr>
      <w:tr w:rsidR="0015668A" w:rsidRPr="00F8735E" w14:paraId="613A0DD9" w14:textId="727B30F8" w:rsidTr="00706119">
        <w:tc>
          <w:tcPr>
            <w:tcW w:w="0" w:type="auto"/>
            <w:tcBorders>
              <w:top w:val="single" w:sz="4" w:space="0" w:color="auto"/>
              <w:bottom w:val="single" w:sz="4" w:space="0" w:color="auto"/>
              <w:right w:val="single" w:sz="4" w:space="0" w:color="auto"/>
            </w:tcBorders>
          </w:tcPr>
          <w:p w14:paraId="3DC6131F" w14:textId="6FDCFCAF" w:rsidR="003E227A" w:rsidRPr="00F8735E" w:rsidRDefault="003E227A" w:rsidP="002756C3">
            <w:pPr>
              <w:pStyle w:val="NoSpacing"/>
              <w:spacing w:line="240" w:lineRule="auto"/>
              <w:rPr>
                <w:sz w:val="20"/>
                <w:szCs w:val="20"/>
              </w:rPr>
            </w:pPr>
            <w:r w:rsidRPr="00F8735E">
              <w:rPr>
                <w:sz w:val="20"/>
                <w:szCs w:val="20"/>
              </w:rPr>
              <w:t>Education</w:t>
            </w:r>
          </w:p>
        </w:tc>
        <w:tc>
          <w:tcPr>
            <w:tcW w:w="2024" w:type="dxa"/>
            <w:tcBorders>
              <w:top w:val="single" w:sz="4" w:space="0" w:color="auto"/>
              <w:left w:val="single" w:sz="4" w:space="0" w:color="auto"/>
              <w:bottom w:val="single" w:sz="4" w:space="0" w:color="auto"/>
            </w:tcBorders>
          </w:tcPr>
          <w:p w14:paraId="54F511F4" w14:textId="4F48FAB0" w:rsidR="003E227A" w:rsidRPr="00F8735E" w:rsidRDefault="003E227A" w:rsidP="002756C3">
            <w:pPr>
              <w:pStyle w:val="NoSpacing"/>
              <w:spacing w:line="240" w:lineRule="auto"/>
              <w:rPr>
                <w:sz w:val="20"/>
                <w:szCs w:val="20"/>
              </w:rPr>
            </w:pPr>
          </w:p>
        </w:tc>
        <w:tc>
          <w:tcPr>
            <w:tcW w:w="2024" w:type="dxa"/>
            <w:tcBorders>
              <w:top w:val="single" w:sz="4" w:space="0" w:color="auto"/>
              <w:bottom w:val="single" w:sz="4" w:space="0" w:color="auto"/>
            </w:tcBorders>
          </w:tcPr>
          <w:p w14:paraId="58BE935B" w14:textId="528288D0" w:rsidR="003E227A" w:rsidRPr="00F8735E" w:rsidRDefault="003E227A" w:rsidP="002756C3">
            <w:pPr>
              <w:pStyle w:val="NoSpacing"/>
              <w:spacing w:line="240" w:lineRule="auto"/>
              <w:rPr>
                <w:sz w:val="20"/>
                <w:szCs w:val="20"/>
              </w:rPr>
            </w:pPr>
          </w:p>
        </w:tc>
        <w:tc>
          <w:tcPr>
            <w:tcW w:w="2025" w:type="dxa"/>
            <w:tcBorders>
              <w:top w:val="single" w:sz="4" w:space="0" w:color="auto"/>
              <w:bottom w:val="single" w:sz="4" w:space="0" w:color="auto"/>
              <w:right w:val="single" w:sz="4" w:space="0" w:color="auto"/>
            </w:tcBorders>
          </w:tcPr>
          <w:p w14:paraId="715C8E1E" w14:textId="77777777" w:rsidR="003E227A" w:rsidRPr="00F8735E" w:rsidRDefault="003E227A" w:rsidP="002756C3">
            <w:pPr>
              <w:pStyle w:val="NoSpacing"/>
              <w:spacing w:line="240" w:lineRule="auto"/>
              <w:rPr>
                <w:sz w:val="20"/>
                <w:szCs w:val="20"/>
              </w:rPr>
            </w:pPr>
          </w:p>
        </w:tc>
        <w:tc>
          <w:tcPr>
            <w:tcW w:w="2024" w:type="dxa"/>
            <w:tcBorders>
              <w:top w:val="single" w:sz="4" w:space="0" w:color="auto"/>
              <w:left w:val="single" w:sz="4" w:space="0" w:color="auto"/>
              <w:bottom w:val="single" w:sz="4" w:space="0" w:color="auto"/>
            </w:tcBorders>
          </w:tcPr>
          <w:p w14:paraId="22280278" w14:textId="0732FB32" w:rsidR="003E227A" w:rsidRPr="00F8735E" w:rsidRDefault="004857D4" w:rsidP="002756C3">
            <w:pPr>
              <w:pStyle w:val="NoSpacing"/>
              <w:spacing w:line="240" w:lineRule="auto"/>
              <w:rPr>
                <w:sz w:val="20"/>
                <w:szCs w:val="20"/>
              </w:rPr>
            </w:pPr>
            <w:r w:rsidRPr="00F8735E">
              <w:rPr>
                <w:sz w:val="20"/>
                <w:szCs w:val="20"/>
              </w:rPr>
              <w:t>School exclusion and truancy</w:t>
            </w:r>
          </w:p>
        </w:tc>
        <w:tc>
          <w:tcPr>
            <w:tcW w:w="2024" w:type="dxa"/>
            <w:tcBorders>
              <w:top w:val="single" w:sz="4" w:space="0" w:color="auto"/>
              <w:bottom w:val="single" w:sz="4" w:space="0" w:color="auto"/>
            </w:tcBorders>
          </w:tcPr>
          <w:p w14:paraId="77327DF7" w14:textId="77777777" w:rsidR="00620402" w:rsidRPr="00F8735E" w:rsidRDefault="00620402" w:rsidP="002756C3">
            <w:pPr>
              <w:pStyle w:val="NoSpacing"/>
              <w:spacing w:line="240" w:lineRule="auto"/>
              <w:rPr>
                <w:sz w:val="20"/>
                <w:szCs w:val="20"/>
              </w:rPr>
            </w:pPr>
          </w:p>
          <w:p w14:paraId="73F38B75" w14:textId="452486C6" w:rsidR="00620402" w:rsidRPr="00F8735E" w:rsidRDefault="00620402" w:rsidP="002756C3">
            <w:pPr>
              <w:pStyle w:val="NoSpacing"/>
              <w:spacing w:line="240" w:lineRule="auto"/>
              <w:rPr>
                <w:sz w:val="20"/>
                <w:szCs w:val="20"/>
              </w:rPr>
            </w:pPr>
          </w:p>
        </w:tc>
        <w:tc>
          <w:tcPr>
            <w:tcW w:w="2025" w:type="dxa"/>
            <w:tcBorders>
              <w:top w:val="single" w:sz="4" w:space="0" w:color="auto"/>
              <w:bottom w:val="single" w:sz="4" w:space="0" w:color="auto"/>
            </w:tcBorders>
          </w:tcPr>
          <w:p w14:paraId="7B127FFE" w14:textId="77777777" w:rsidR="003E227A" w:rsidRPr="00F8735E" w:rsidRDefault="003E227A" w:rsidP="002756C3">
            <w:pPr>
              <w:pStyle w:val="NoSpacing"/>
              <w:spacing w:line="240" w:lineRule="auto"/>
              <w:rPr>
                <w:sz w:val="20"/>
                <w:szCs w:val="20"/>
              </w:rPr>
            </w:pPr>
          </w:p>
        </w:tc>
      </w:tr>
      <w:tr w:rsidR="0015668A" w:rsidRPr="00F8735E" w14:paraId="67264944" w14:textId="7D1A87C8" w:rsidTr="00706119">
        <w:tc>
          <w:tcPr>
            <w:tcW w:w="0" w:type="auto"/>
            <w:tcBorders>
              <w:top w:val="single" w:sz="4" w:space="0" w:color="auto"/>
              <w:bottom w:val="single" w:sz="4" w:space="0" w:color="auto"/>
              <w:right w:val="single" w:sz="4" w:space="0" w:color="auto"/>
            </w:tcBorders>
          </w:tcPr>
          <w:p w14:paraId="4BB64F45" w14:textId="0FB4893C" w:rsidR="003E227A" w:rsidRPr="00F8735E" w:rsidRDefault="003E227A" w:rsidP="002756C3">
            <w:pPr>
              <w:pStyle w:val="NoSpacing"/>
              <w:spacing w:line="240" w:lineRule="auto"/>
              <w:rPr>
                <w:sz w:val="20"/>
                <w:szCs w:val="20"/>
              </w:rPr>
            </w:pPr>
            <w:r w:rsidRPr="00F8735E">
              <w:rPr>
                <w:sz w:val="20"/>
                <w:szCs w:val="20"/>
              </w:rPr>
              <w:t>Criminal justice</w:t>
            </w:r>
          </w:p>
        </w:tc>
        <w:tc>
          <w:tcPr>
            <w:tcW w:w="2024" w:type="dxa"/>
            <w:tcBorders>
              <w:top w:val="single" w:sz="4" w:space="0" w:color="auto"/>
              <w:left w:val="single" w:sz="4" w:space="0" w:color="auto"/>
              <w:bottom w:val="single" w:sz="4" w:space="0" w:color="auto"/>
            </w:tcBorders>
          </w:tcPr>
          <w:p w14:paraId="5D495EF9" w14:textId="77777777" w:rsidR="00982ABC" w:rsidRPr="00F8735E" w:rsidRDefault="007B296F" w:rsidP="002756C3">
            <w:pPr>
              <w:pStyle w:val="NoSpacing"/>
              <w:spacing w:line="240" w:lineRule="auto"/>
              <w:contextualSpacing w:val="0"/>
              <w:rPr>
                <w:rFonts w:eastAsia="Times New Roman"/>
                <w:sz w:val="20"/>
                <w:szCs w:val="20"/>
                <w:lang w:eastAsia="en-GB"/>
              </w:rPr>
            </w:pPr>
            <w:r w:rsidRPr="00F8735E">
              <w:rPr>
                <w:rFonts w:eastAsia="Times New Roman"/>
                <w:sz w:val="20"/>
                <w:szCs w:val="20"/>
                <w:lang w:eastAsia="en-GB"/>
              </w:rPr>
              <w:t>Priso</w:t>
            </w:r>
            <w:r w:rsidR="00982ABC" w:rsidRPr="00F8735E">
              <w:rPr>
                <w:rFonts w:eastAsia="Times New Roman"/>
                <w:sz w:val="20"/>
                <w:szCs w:val="20"/>
                <w:lang w:eastAsia="en-GB"/>
              </w:rPr>
              <w:t xml:space="preserve">n, </w:t>
            </w:r>
            <w:r w:rsidRPr="00F8735E">
              <w:rPr>
                <w:rFonts w:eastAsia="Times New Roman"/>
                <w:sz w:val="20"/>
                <w:szCs w:val="20"/>
                <w:lang w:eastAsia="en-GB"/>
              </w:rPr>
              <w:t>police</w:t>
            </w:r>
            <w:r w:rsidR="00982ABC" w:rsidRPr="00F8735E">
              <w:rPr>
                <w:rFonts w:eastAsia="Times New Roman"/>
                <w:sz w:val="20"/>
                <w:szCs w:val="20"/>
                <w:lang w:eastAsia="en-GB"/>
              </w:rPr>
              <w:t xml:space="preserve"> and court</w:t>
            </w:r>
            <w:r w:rsidRPr="00F8735E">
              <w:rPr>
                <w:rFonts w:eastAsia="Times New Roman"/>
                <w:sz w:val="20"/>
                <w:szCs w:val="20"/>
                <w:lang w:eastAsia="en-GB"/>
              </w:rPr>
              <w:t xml:space="preserve"> costs</w:t>
            </w:r>
          </w:p>
          <w:p w14:paraId="7A7FBA6A" w14:textId="77777777" w:rsidR="00982ABC" w:rsidRPr="00F8735E" w:rsidRDefault="00982ABC" w:rsidP="002756C3">
            <w:pPr>
              <w:pStyle w:val="NoSpacing"/>
              <w:spacing w:line="240" w:lineRule="auto"/>
              <w:contextualSpacing w:val="0"/>
              <w:rPr>
                <w:rFonts w:eastAsia="Times New Roman"/>
                <w:sz w:val="20"/>
                <w:szCs w:val="20"/>
                <w:lang w:eastAsia="en-GB"/>
              </w:rPr>
            </w:pPr>
          </w:p>
          <w:p w14:paraId="0B3231E6" w14:textId="3219F071" w:rsidR="00982ABC" w:rsidRPr="00F8735E" w:rsidRDefault="00982ABC" w:rsidP="002756C3">
            <w:pPr>
              <w:pStyle w:val="NoSpacing"/>
              <w:spacing w:line="240" w:lineRule="auto"/>
              <w:contextualSpacing w:val="0"/>
              <w:rPr>
                <w:rFonts w:eastAsia="Times New Roman"/>
                <w:sz w:val="20"/>
                <w:szCs w:val="20"/>
                <w:lang w:eastAsia="en-GB"/>
              </w:rPr>
            </w:pPr>
            <w:r w:rsidRPr="00F8735E">
              <w:rPr>
                <w:rFonts w:eastAsia="Times New Roman"/>
                <w:sz w:val="20"/>
                <w:szCs w:val="20"/>
                <w:lang w:eastAsia="en-GB"/>
              </w:rPr>
              <w:t>Probation costs</w:t>
            </w:r>
            <w:r w:rsidR="007B296F" w:rsidRPr="00F8735E">
              <w:rPr>
                <w:rFonts w:eastAsia="Times New Roman"/>
                <w:sz w:val="20"/>
                <w:szCs w:val="20"/>
                <w:lang w:eastAsia="en-GB"/>
              </w:rPr>
              <w:t xml:space="preserve"> </w:t>
            </w:r>
          </w:p>
        </w:tc>
        <w:tc>
          <w:tcPr>
            <w:tcW w:w="2024" w:type="dxa"/>
            <w:tcBorders>
              <w:top w:val="single" w:sz="4" w:space="0" w:color="auto"/>
              <w:bottom w:val="single" w:sz="4" w:space="0" w:color="auto"/>
            </w:tcBorders>
          </w:tcPr>
          <w:p w14:paraId="4B9A4106" w14:textId="77777777" w:rsidR="007B296F" w:rsidRPr="00F8735E" w:rsidRDefault="007B296F" w:rsidP="007B296F">
            <w:pPr>
              <w:pStyle w:val="NoSpacing"/>
              <w:spacing w:line="240" w:lineRule="auto"/>
              <w:contextualSpacing w:val="0"/>
              <w:rPr>
                <w:rFonts w:eastAsia="Times New Roman"/>
                <w:sz w:val="20"/>
                <w:szCs w:val="20"/>
                <w:lang w:eastAsia="en-GB"/>
              </w:rPr>
            </w:pPr>
            <w:r w:rsidRPr="00F8735E">
              <w:rPr>
                <w:rFonts w:eastAsia="Times New Roman"/>
                <w:sz w:val="20"/>
                <w:szCs w:val="20"/>
                <w:lang w:eastAsia="en-GB"/>
              </w:rPr>
              <w:t>Insurance costs</w:t>
            </w:r>
          </w:p>
          <w:p w14:paraId="5AFCE44A" w14:textId="77777777" w:rsidR="007B296F" w:rsidRPr="00F8735E" w:rsidRDefault="007B296F" w:rsidP="007B296F">
            <w:pPr>
              <w:pStyle w:val="NoSpacing"/>
              <w:spacing w:line="240" w:lineRule="auto"/>
              <w:rPr>
                <w:sz w:val="20"/>
                <w:szCs w:val="20"/>
              </w:rPr>
            </w:pPr>
          </w:p>
          <w:p w14:paraId="1FB105E5" w14:textId="48255363" w:rsidR="003E227A" w:rsidRPr="00F8735E" w:rsidRDefault="007B296F" w:rsidP="007B296F">
            <w:pPr>
              <w:pStyle w:val="NoSpacing"/>
              <w:spacing w:line="240" w:lineRule="auto"/>
              <w:rPr>
                <w:sz w:val="20"/>
                <w:szCs w:val="20"/>
              </w:rPr>
            </w:pPr>
            <w:r w:rsidRPr="00F8735E">
              <w:rPr>
                <w:sz w:val="20"/>
                <w:szCs w:val="20"/>
              </w:rPr>
              <w:t>Defensive expenditure</w:t>
            </w:r>
          </w:p>
        </w:tc>
        <w:tc>
          <w:tcPr>
            <w:tcW w:w="2025" w:type="dxa"/>
            <w:tcBorders>
              <w:top w:val="single" w:sz="4" w:space="0" w:color="auto"/>
              <w:bottom w:val="single" w:sz="4" w:space="0" w:color="auto"/>
              <w:right w:val="single" w:sz="4" w:space="0" w:color="auto"/>
            </w:tcBorders>
          </w:tcPr>
          <w:p w14:paraId="298A8FC8" w14:textId="6D6B4AE6" w:rsidR="003E227A" w:rsidRPr="00F8735E" w:rsidRDefault="007B296F" w:rsidP="002756C3">
            <w:pPr>
              <w:pStyle w:val="NoSpacing"/>
              <w:spacing w:line="240" w:lineRule="auto"/>
              <w:rPr>
                <w:sz w:val="20"/>
                <w:szCs w:val="20"/>
              </w:rPr>
            </w:pPr>
            <w:r w:rsidRPr="00F8735E">
              <w:rPr>
                <w:rFonts w:eastAsia="Times New Roman"/>
                <w:sz w:val="20"/>
                <w:szCs w:val="20"/>
                <w:lang w:eastAsia="en-GB"/>
              </w:rPr>
              <w:t>Physical and emotional impact of being a victim of crime (QALY losses)</w:t>
            </w:r>
          </w:p>
        </w:tc>
        <w:tc>
          <w:tcPr>
            <w:tcW w:w="2024" w:type="dxa"/>
            <w:tcBorders>
              <w:top w:val="single" w:sz="4" w:space="0" w:color="auto"/>
              <w:left w:val="single" w:sz="4" w:space="0" w:color="auto"/>
              <w:bottom w:val="single" w:sz="4" w:space="0" w:color="auto"/>
            </w:tcBorders>
          </w:tcPr>
          <w:p w14:paraId="653BE4A7" w14:textId="42616B33" w:rsidR="003E227A" w:rsidRPr="00F8735E" w:rsidRDefault="00982ABC" w:rsidP="002756C3">
            <w:pPr>
              <w:pStyle w:val="NoSpacing"/>
              <w:spacing w:line="240" w:lineRule="auto"/>
              <w:rPr>
                <w:sz w:val="20"/>
                <w:szCs w:val="20"/>
              </w:rPr>
            </w:pPr>
            <w:r w:rsidRPr="00F8735E">
              <w:rPr>
                <w:sz w:val="20"/>
                <w:szCs w:val="20"/>
              </w:rPr>
              <w:t xml:space="preserve">Youth offending costs </w:t>
            </w:r>
          </w:p>
        </w:tc>
        <w:tc>
          <w:tcPr>
            <w:tcW w:w="2024" w:type="dxa"/>
            <w:tcBorders>
              <w:top w:val="single" w:sz="4" w:space="0" w:color="auto"/>
              <w:bottom w:val="single" w:sz="4" w:space="0" w:color="auto"/>
            </w:tcBorders>
          </w:tcPr>
          <w:p w14:paraId="45BFB8EE" w14:textId="77777777" w:rsidR="003E227A" w:rsidRPr="00F8735E" w:rsidRDefault="003E227A" w:rsidP="002756C3">
            <w:pPr>
              <w:pStyle w:val="NoSpacing"/>
              <w:spacing w:line="240" w:lineRule="auto"/>
              <w:rPr>
                <w:sz w:val="20"/>
                <w:szCs w:val="20"/>
              </w:rPr>
            </w:pPr>
          </w:p>
        </w:tc>
        <w:tc>
          <w:tcPr>
            <w:tcW w:w="2025" w:type="dxa"/>
            <w:tcBorders>
              <w:top w:val="single" w:sz="4" w:space="0" w:color="auto"/>
              <w:bottom w:val="single" w:sz="4" w:space="0" w:color="auto"/>
            </w:tcBorders>
          </w:tcPr>
          <w:p w14:paraId="7DD7FA1D" w14:textId="77777777" w:rsidR="003E227A" w:rsidRPr="00F8735E" w:rsidRDefault="003E227A" w:rsidP="002756C3">
            <w:pPr>
              <w:pStyle w:val="NoSpacing"/>
              <w:spacing w:line="240" w:lineRule="auto"/>
              <w:rPr>
                <w:sz w:val="20"/>
                <w:szCs w:val="20"/>
              </w:rPr>
            </w:pPr>
          </w:p>
        </w:tc>
      </w:tr>
      <w:tr w:rsidR="0015668A" w:rsidRPr="00F8735E" w14:paraId="3D0FD6B8" w14:textId="4E45BE4C" w:rsidTr="00706119">
        <w:tc>
          <w:tcPr>
            <w:tcW w:w="0" w:type="auto"/>
            <w:tcBorders>
              <w:top w:val="single" w:sz="4" w:space="0" w:color="auto"/>
              <w:bottom w:val="single" w:sz="4" w:space="0" w:color="auto"/>
              <w:right w:val="single" w:sz="4" w:space="0" w:color="auto"/>
            </w:tcBorders>
          </w:tcPr>
          <w:p w14:paraId="354E270A" w14:textId="046FE935" w:rsidR="003E227A" w:rsidRPr="00F8735E" w:rsidRDefault="003E227A" w:rsidP="002756C3">
            <w:pPr>
              <w:pStyle w:val="NoSpacing"/>
              <w:spacing w:line="240" w:lineRule="auto"/>
              <w:rPr>
                <w:sz w:val="20"/>
                <w:szCs w:val="20"/>
              </w:rPr>
            </w:pPr>
            <w:r w:rsidRPr="00F8735E">
              <w:rPr>
                <w:sz w:val="20"/>
                <w:szCs w:val="20"/>
              </w:rPr>
              <w:t>Employment</w:t>
            </w:r>
          </w:p>
        </w:tc>
        <w:tc>
          <w:tcPr>
            <w:tcW w:w="2024" w:type="dxa"/>
            <w:tcBorders>
              <w:top w:val="single" w:sz="4" w:space="0" w:color="auto"/>
              <w:left w:val="single" w:sz="4" w:space="0" w:color="auto"/>
              <w:bottom w:val="single" w:sz="4" w:space="0" w:color="auto"/>
            </w:tcBorders>
          </w:tcPr>
          <w:p w14:paraId="33BF61AA" w14:textId="113EE7C5" w:rsidR="003E227A" w:rsidRPr="00F8735E" w:rsidRDefault="003E227A" w:rsidP="002756C3">
            <w:pPr>
              <w:pStyle w:val="NoSpacing"/>
              <w:spacing w:line="240" w:lineRule="auto"/>
              <w:rPr>
                <w:sz w:val="20"/>
                <w:szCs w:val="20"/>
              </w:rPr>
            </w:pPr>
          </w:p>
        </w:tc>
        <w:tc>
          <w:tcPr>
            <w:tcW w:w="2024" w:type="dxa"/>
            <w:tcBorders>
              <w:top w:val="single" w:sz="4" w:space="0" w:color="auto"/>
              <w:bottom w:val="single" w:sz="4" w:space="0" w:color="auto"/>
            </w:tcBorders>
          </w:tcPr>
          <w:p w14:paraId="50128AAD" w14:textId="43B983AC" w:rsidR="003E227A" w:rsidRPr="00F8735E" w:rsidRDefault="003E227A" w:rsidP="002756C3">
            <w:pPr>
              <w:pStyle w:val="NoSpacing"/>
              <w:spacing w:line="240" w:lineRule="auto"/>
              <w:rPr>
                <w:sz w:val="20"/>
                <w:szCs w:val="20"/>
              </w:rPr>
            </w:pPr>
            <w:r w:rsidRPr="00F8735E">
              <w:rPr>
                <w:sz w:val="20"/>
                <w:szCs w:val="20"/>
              </w:rPr>
              <w:t>Lost productivity</w:t>
            </w:r>
          </w:p>
        </w:tc>
        <w:tc>
          <w:tcPr>
            <w:tcW w:w="2025" w:type="dxa"/>
            <w:tcBorders>
              <w:top w:val="single" w:sz="4" w:space="0" w:color="auto"/>
              <w:bottom w:val="single" w:sz="4" w:space="0" w:color="auto"/>
              <w:right w:val="single" w:sz="4" w:space="0" w:color="auto"/>
            </w:tcBorders>
          </w:tcPr>
          <w:p w14:paraId="538347E9" w14:textId="77777777" w:rsidR="003E227A" w:rsidRPr="00F8735E" w:rsidRDefault="003E227A" w:rsidP="002756C3">
            <w:pPr>
              <w:pStyle w:val="NoSpacing"/>
              <w:spacing w:line="240" w:lineRule="auto"/>
              <w:rPr>
                <w:sz w:val="20"/>
                <w:szCs w:val="20"/>
              </w:rPr>
            </w:pPr>
          </w:p>
        </w:tc>
        <w:tc>
          <w:tcPr>
            <w:tcW w:w="2024" w:type="dxa"/>
            <w:tcBorders>
              <w:top w:val="single" w:sz="4" w:space="0" w:color="auto"/>
              <w:left w:val="single" w:sz="4" w:space="0" w:color="auto"/>
              <w:bottom w:val="single" w:sz="4" w:space="0" w:color="auto"/>
            </w:tcBorders>
          </w:tcPr>
          <w:p w14:paraId="725EF978" w14:textId="3267CF2A" w:rsidR="003E227A" w:rsidRPr="00F8735E" w:rsidRDefault="003E227A" w:rsidP="002756C3">
            <w:pPr>
              <w:pStyle w:val="NoSpacing"/>
              <w:spacing w:line="240" w:lineRule="auto"/>
              <w:rPr>
                <w:sz w:val="20"/>
                <w:szCs w:val="20"/>
              </w:rPr>
            </w:pPr>
          </w:p>
        </w:tc>
        <w:tc>
          <w:tcPr>
            <w:tcW w:w="2024" w:type="dxa"/>
            <w:tcBorders>
              <w:top w:val="single" w:sz="4" w:space="0" w:color="auto"/>
              <w:bottom w:val="single" w:sz="4" w:space="0" w:color="auto"/>
            </w:tcBorders>
          </w:tcPr>
          <w:p w14:paraId="40955CA4" w14:textId="77777777" w:rsidR="003E227A" w:rsidRPr="00F8735E" w:rsidRDefault="003E227A" w:rsidP="002756C3">
            <w:pPr>
              <w:pStyle w:val="NoSpacing"/>
              <w:spacing w:line="240" w:lineRule="auto"/>
              <w:rPr>
                <w:sz w:val="20"/>
                <w:szCs w:val="20"/>
              </w:rPr>
            </w:pPr>
          </w:p>
        </w:tc>
        <w:tc>
          <w:tcPr>
            <w:tcW w:w="2025" w:type="dxa"/>
            <w:tcBorders>
              <w:top w:val="single" w:sz="4" w:space="0" w:color="auto"/>
              <w:bottom w:val="single" w:sz="4" w:space="0" w:color="auto"/>
            </w:tcBorders>
          </w:tcPr>
          <w:p w14:paraId="64A2556E" w14:textId="77777777" w:rsidR="003E227A" w:rsidRPr="00F8735E" w:rsidRDefault="003E227A" w:rsidP="002756C3">
            <w:pPr>
              <w:pStyle w:val="NoSpacing"/>
              <w:spacing w:line="240" w:lineRule="auto"/>
              <w:rPr>
                <w:sz w:val="20"/>
                <w:szCs w:val="20"/>
              </w:rPr>
            </w:pPr>
          </w:p>
        </w:tc>
      </w:tr>
      <w:tr w:rsidR="0015668A" w:rsidRPr="00F8735E" w14:paraId="17E344CF" w14:textId="255E9583" w:rsidTr="00706119">
        <w:tc>
          <w:tcPr>
            <w:tcW w:w="0" w:type="auto"/>
            <w:tcBorders>
              <w:top w:val="single" w:sz="4" w:space="0" w:color="auto"/>
              <w:bottom w:val="single" w:sz="4" w:space="0" w:color="auto"/>
              <w:right w:val="single" w:sz="4" w:space="0" w:color="auto"/>
            </w:tcBorders>
          </w:tcPr>
          <w:p w14:paraId="2DA1CF71" w14:textId="75E5759A" w:rsidR="003E227A" w:rsidRPr="00F8735E" w:rsidRDefault="007B296F" w:rsidP="002756C3">
            <w:pPr>
              <w:pStyle w:val="NoSpacing"/>
              <w:spacing w:line="240" w:lineRule="auto"/>
              <w:rPr>
                <w:sz w:val="20"/>
                <w:szCs w:val="20"/>
              </w:rPr>
            </w:pPr>
            <w:r w:rsidRPr="00F8735E">
              <w:rPr>
                <w:sz w:val="20"/>
                <w:szCs w:val="20"/>
              </w:rPr>
              <w:t>Homelessness</w:t>
            </w:r>
          </w:p>
        </w:tc>
        <w:tc>
          <w:tcPr>
            <w:tcW w:w="2024" w:type="dxa"/>
            <w:tcBorders>
              <w:top w:val="single" w:sz="4" w:space="0" w:color="auto"/>
              <w:left w:val="single" w:sz="4" w:space="0" w:color="auto"/>
              <w:bottom w:val="single" w:sz="4" w:space="0" w:color="auto"/>
            </w:tcBorders>
          </w:tcPr>
          <w:p w14:paraId="4C0B686E" w14:textId="6CD8A90B" w:rsidR="003E227A" w:rsidRPr="00F8735E" w:rsidRDefault="007B296F" w:rsidP="002756C3">
            <w:pPr>
              <w:pStyle w:val="NoSpacing"/>
              <w:spacing w:line="240" w:lineRule="auto"/>
              <w:rPr>
                <w:sz w:val="20"/>
                <w:szCs w:val="20"/>
              </w:rPr>
            </w:pPr>
            <w:r w:rsidRPr="00F8735E">
              <w:rPr>
                <w:sz w:val="20"/>
                <w:szCs w:val="20"/>
                <w:lang w:eastAsia="en-GB"/>
              </w:rPr>
              <w:t>Housing services</w:t>
            </w:r>
          </w:p>
        </w:tc>
        <w:tc>
          <w:tcPr>
            <w:tcW w:w="2024" w:type="dxa"/>
            <w:tcBorders>
              <w:top w:val="single" w:sz="4" w:space="0" w:color="auto"/>
              <w:bottom w:val="single" w:sz="4" w:space="0" w:color="auto"/>
            </w:tcBorders>
          </w:tcPr>
          <w:p w14:paraId="6CB22E22" w14:textId="77777777" w:rsidR="003E227A" w:rsidRPr="00F8735E" w:rsidRDefault="003E227A" w:rsidP="002756C3">
            <w:pPr>
              <w:pStyle w:val="NoSpacing"/>
              <w:spacing w:line="240" w:lineRule="auto"/>
              <w:rPr>
                <w:sz w:val="20"/>
                <w:szCs w:val="20"/>
              </w:rPr>
            </w:pPr>
          </w:p>
        </w:tc>
        <w:tc>
          <w:tcPr>
            <w:tcW w:w="2025" w:type="dxa"/>
            <w:tcBorders>
              <w:top w:val="single" w:sz="4" w:space="0" w:color="auto"/>
              <w:bottom w:val="single" w:sz="4" w:space="0" w:color="auto"/>
              <w:right w:val="single" w:sz="4" w:space="0" w:color="auto"/>
            </w:tcBorders>
          </w:tcPr>
          <w:p w14:paraId="76EE7246" w14:textId="77777777" w:rsidR="003E227A" w:rsidRPr="00F8735E" w:rsidRDefault="003E227A" w:rsidP="002756C3">
            <w:pPr>
              <w:pStyle w:val="NoSpacing"/>
              <w:spacing w:line="240" w:lineRule="auto"/>
              <w:rPr>
                <w:sz w:val="20"/>
                <w:szCs w:val="20"/>
              </w:rPr>
            </w:pPr>
          </w:p>
        </w:tc>
        <w:tc>
          <w:tcPr>
            <w:tcW w:w="2024" w:type="dxa"/>
            <w:tcBorders>
              <w:top w:val="single" w:sz="4" w:space="0" w:color="auto"/>
              <w:left w:val="single" w:sz="4" w:space="0" w:color="auto"/>
              <w:bottom w:val="single" w:sz="4" w:space="0" w:color="auto"/>
            </w:tcBorders>
          </w:tcPr>
          <w:p w14:paraId="0AA0B6F4" w14:textId="14C8D05E" w:rsidR="003E227A" w:rsidRPr="00F8735E" w:rsidRDefault="003E227A" w:rsidP="002756C3">
            <w:pPr>
              <w:pStyle w:val="NoSpacing"/>
              <w:spacing w:line="240" w:lineRule="auto"/>
              <w:rPr>
                <w:sz w:val="20"/>
                <w:szCs w:val="20"/>
              </w:rPr>
            </w:pPr>
          </w:p>
        </w:tc>
        <w:tc>
          <w:tcPr>
            <w:tcW w:w="2024" w:type="dxa"/>
            <w:tcBorders>
              <w:top w:val="single" w:sz="4" w:space="0" w:color="auto"/>
              <w:bottom w:val="single" w:sz="4" w:space="0" w:color="auto"/>
            </w:tcBorders>
          </w:tcPr>
          <w:p w14:paraId="529777FF" w14:textId="13CB2EE6" w:rsidR="003E227A" w:rsidRPr="00F8735E" w:rsidRDefault="003E227A" w:rsidP="002756C3">
            <w:pPr>
              <w:pStyle w:val="NoSpacing"/>
              <w:spacing w:line="240" w:lineRule="auto"/>
              <w:rPr>
                <w:sz w:val="20"/>
                <w:szCs w:val="20"/>
              </w:rPr>
            </w:pPr>
          </w:p>
        </w:tc>
        <w:tc>
          <w:tcPr>
            <w:tcW w:w="2025" w:type="dxa"/>
            <w:tcBorders>
              <w:top w:val="single" w:sz="4" w:space="0" w:color="auto"/>
              <w:bottom w:val="single" w:sz="4" w:space="0" w:color="auto"/>
            </w:tcBorders>
          </w:tcPr>
          <w:p w14:paraId="389A8D25" w14:textId="77777777" w:rsidR="003E227A" w:rsidRPr="00F8735E" w:rsidRDefault="003E227A" w:rsidP="002756C3">
            <w:pPr>
              <w:pStyle w:val="NoSpacing"/>
              <w:spacing w:line="240" w:lineRule="auto"/>
              <w:rPr>
                <w:sz w:val="20"/>
                <w:szCs w:val="20"/>
              </w:rPr>
            </w:pPr>
          </w:p>
        </w:tc>
      </w:tr>
    </w:tbl>
    <w:p w14:paraId="25635204" w14:textId="77777777" w:rsidR="005B4938" w:rsidRDefault="005B4938" w:rsidP="00C04696">
      <w:pPr>
        <w:pStyle w:val="NoSpacing"/>
        <w:sectPr w:rsidR="005B4938" w:rsidSect="005B4938">
          <w:pgSz w:w="16838" w:h="11906" w:orient="landscape"/>
          <w:pgMar w:top="1440" w:right="1440" w:bottom="1440" w:left="1440" w:header="709" w:footer="709" w:gutter="0"/>
          <w:cols w:space="708"/>
          <w:docGrid w:linePitch="360"/>
        </w:sectPr>
      </w:pPr>
    </w:p>
    <w:p w14:paraId="29CFF1DA" w14:textId="72762255" w:rsidR="0071427A" w:rsidRDefault="004C2328" w:rsidP="0046029B">
      <w:pPr>
        <w:pStyle w:val="Heading2"/>
        <w:numPr>
          <w:ilvl w:val="1"/>
          <w:numId w:val="18"/>
        </w:numPr>
        <w:spacing w:after="240"/>
      </w:pPr>
      <w:bookmarkStart w:id="20" w:name="_Toc189229649"/>
      <w:r>
        <w:lastRenderedPageBreak/>
        <w:t>I</w:t>
      </w:r>
      <w:r w:rsidR="00665C74">
        <w:t xml:space="preserve">nterventions </w:t>
      </w:r>
      <w:r>
        <w:t>to support parents and children affected by parental SUD</w:t>
      </w:r>
      <w:bookmarkEnd w:id="20"/>
    </w:p>
    <w:p w14:paraId="1C965C38" w14:textId="5CF9314D" w:rsidR="00F442A2" w:rsidRDefault="00C2328D" w:rsidP="00737297">
      <w:pPr>
        <w:pStyle w:val="NoSpacing"/>
        <w:spacing w:line="360" w:lineRule="auto"/>
      </w:pPr>
      <w:r>
        <w:t>I</w:t>
      </w:r>
      <w:r w:rsidR="009C3017">
        <w:t>t is important to understand the types of interventions commissioned</w:t>
      </w:r>
      <w:r>
        <w:t xml:space="preserve">, before </w:t>
      </w:r>
      <w:r w:rsidR="00120218">
        <w:t xml:space="preserve">estimating </w:t>
      </w:r>
      <w:r w:rsidR="00C34406">
        <w:t>the</w:t>
      </w:r>
      <w:r w:rsidR="00016904">
        <w:t>ir</w:t>
      </w:r>
      <w:r>
        <w:t xml:space="preserve"> effective</w:t>
      </w:r>
      <w:r w:rsidR="00C34406">
        <w:t>ness</w:t>
      </w:r>
      <w:r>
        <w:t xml:space="preserve"> or cost-effective</w:t>
      </w:r>
      <w:r w:rsidR="00C34406">
        <w:t>ness</w:t>
      </w:r>
      <w:r>
        <w:t xml:space="preserve"> to improve our understanding on interventions aimed at supporting families and reducing prevalence and costs.</w:t>
      </w:r>
    </w:p>
    <w:p w14:paraId="2CA9D069" w14:textId="77777777" w:rsidR="00F442A2" w:rsidRDefault="00F442A2" w:rsidP="00737297">
      <w:pPr>
        <w:pStyle w:val="NoSpacing"/>
        <w:spacing w:line="360" w:lineRule="auto"/>
      </w:pPr>
    </w:p>
    <w:p w14:paraId="0EF6D4C5" w14:textId="61240F7A" w:rsidR="00FD55BD" w:rsidRDefault="00B81CEE" w:rsidP="009C3BBC">
      <w:pPr>
        <w:pStyle w:val="Heading3"/>
        <w:numPr>
          <w:ilvl w:val="2"/>
          <w:numId w:val="18"/>
        </w:numPr>
        <w:spacing w:line="360" w:lineRule="auto"/>
      </w:pPr>
      <w:bookmarkStart w:id="21" w:name="_Toc189229650"/>
      <w:r>
        <w:t>Specialist treatment</w:t>
      </w:r>
      <w:r w:rsidR="00120218">
        <w:t xml:space="preserve"> for SUD</w:t>
      </w:r>
      <w:bookmarkEnd w:id="21"/>
      <w:r>
        <w:t xml:space="preserve"> </w:t>
      </w:r>
    </w:p>
    <w:p w14:paraId="3BA15F1F" w14:textId="3FA24126" w:rsidR="00975EE9" w:rsidRDefault="00951EEA" w:rsidP="00737297">
      <w:pPr>
        <w:pStyle w:val="NoSpacing"/>
        <w:spacing w:line="360" w:lineRule="auto"/>
      </w:pPr>
      <w:r>
        <w:t>In England, s</w:t>
      </w:r>
      <w:r w:rsidRPr="00925EA9">
        <w:t>pecialist treatment</w:t>
      </w:r>
      <w:r w:rsidR="008B5819">
        <w:t>, hereafter ‘treatment’</w:t>
      </w:r>
      <w:r w:rsidRPr="00925EA9">
        <w:t xml:space="preserve"> refers to </w:t>
      </w:r>
      <w:r>
        <w:t xml:space="preserve">pharmacological </w:t>
      </w:r>
      <w:r w:rsidRPr="00925EA9">
        <w:t>and/or psychosocial care</w:t>
      </w:r>
      <w:r w:rsidR="00F655DB" w:rsidRPr="00F655DB">
        <w:t xml:space="preserve"> </w:t>
      </w:r>
      <w:r w:rsidR="00F655DB" w:rsidRPr="00925EA9">
        <w:t>delivered according to a regularly reviewed recovery care plan</w:t>
      </w:r>
      <w:r w:rsidR="004746A4">
        <w:t>.</w:t>
      </w:r>
      <w:r w:rsidR="00E72106">
        <w:t xml:space="preserve"> </w:t>
      </w:r>
      <w:r w:rsidR="004746A4">
        <w:t>It</w:t>
      </w:r>
      <w:r w:rsidR="00E72106">
        <w:t xml:space="preserve"> </w:t>
      </w:r>
      <w:r w:rsidR="004746A4">
        <w:t>should</w:t>
      </w:r>
      <w:r w:rsidRPr="00925EA9">
        <w:t xml:space="preserve"> </w:t>
      </w:r>
      <w:r w:rsidR="00CB6C07">
        <w:t>follow a</w:t>
      </w:r>
      <w:r w:rsidRPr="00925EA9">
        <w:t xml:space="preserve"> comprehensive assessment of </w:t>
      </w:r>
      <w:r w:rsidR="00F655DB">
        <w:t xml:space="preserve">not just </w:t>
      </w:r>
      <w:r>
        <w:t>clinical</w:t>
      </w:r>
      <w:r w:rsidR="00F655DB">
        <w:t>, but also</w:t>
      </w:r>
      <w:r w:rsidR="00F662A4">
        <w:t xml:space="preserve"> wider</w:t>
      </w:r>
      <w:r>
        <w:t xml:space="preserve"> social </w:t>
      </w:r>
      <w:r w:rsidRPr="00925EA9">
        <w:t>need</w:t>
      </w:r>
      <w:r>
        <w:t>s</w:t>
      </w:r>
      <w:r w:rsidR="008B5819">
        <w:t xml:space="preserve">. Treatment </w:t>
      </w:r>
      <w:r w:rsidR="00007E96">
        <w:t xml:space="preserve">usually takes place in an outpatient treatment clinic, </w:t>
      </w:r>
      <w:r w:rsidR="00E72106">
        <w:t xml:space="preserve">hospital, residential </w:t>
      </w:r>
      <w:r w:rsidR="008B5819">
        <w:t>unit</w:t>
      </w:r>
      <w:r w:rsidR="004746A4">
        <w:t xml:space="preserve"> o</w:t>
      </w:r>
      <w:r w:rsidR="008B5819">
        <w:t>r</w:t>
      </w:r>
      <w:r w:rsidR="004746A4">
        <w:t xml:space="preserve"> prison</w:t>
      </w:r>
      <w:r>
        <w:t xml:space="preserve"> </w:t>
      </w:r>
      <w:r>
        <w:fldChar w:fldCharType="begin"/>
      </w:r>
      <w:r w:rsidR="00A77498">
        <w:instrText xml:space="preserve"> ADDIN EN.CITE &lt;EndNote&gt;&lt;Cite&gt;&lt;Author&gt;Public Health England&lt;/Author&gt;&lt;Year&gt;2019&lt;/Year&gt;&lt;RecNum&gt;131&lt;/RecNum&gt;&lt;DisplayText&gt;(Public Health England, 2019)&lt;/DisplayText&gt;&lt;record&gt;&lt;rec-number&gt;131&lt;/rec-number&gt;&lt;foreign-keys&gt;&lt;key app="EN" db-id="2wdfddaawxaseae9fd6xrrs3xdxpavsp5dff" timestamp="1692196130" guid="f47dd6fb-9794-4a79-859c-d2216a81d819"&gt;131&lt;/key&gt;&lt;/foreign-keys&gt;&lt;ref-type name="Electronic Article"&gt;43&lt;/ref-type&gt;&lt;contributors&gt;&lt;authors&gt;&lt;author&gt;Public Health England,&lt;/author&gt;&lt;/authors&gt;&lt;/contributors&gt;&lt;titles&gt;&lt;title&gt;National Drug Treatment Monitoring System (NDTMS). Adult drug and alcohol treatment business definitions. Core dataset O&lt;/title&gt;&lt;/titles&gt;&lt;dates&gt;&lt;year&gt;2019&lt;/year&gt;&lt;pub-dates&gt;&lt;date&gt;14/06/2019&lt;/date&gt;&lt;/pub-dates&gt;&lt;/dates&gt;&lt;urls&gt;&lt;related-urls&gt;&lt;url&gt;https://assets.publishing.service.gov.uk/government/uploads/system/uploads/attachment_data/file/785198/NDTMS_adult_drug_and_alcohol_treatment_business_definitions_CDS-O.pdf&lt;/url&gt;&lt;/related-urls&gt;&lt;/urls&gt;&lt;/record&gt;&lt;/Cite&gt;&lt;/EndNote&gt;</w:instrText>
      </w:r>
      <w:r>
        <w:fldChar w:fldCharType="separate"/>
      </w:r>
      <w:r w:rsidR="00A77498">
        <w:rPr>
          <w:noProof/>
        </w:rPr>
        <w:t>(Public Health England, 2019)</w:t>
      </w:r>
      <w:r>
        <w:fldChar w:fldCharType="end"/>
      </w:r>
      <w:r w:rsidRPr="00925EA9">
        <w:t xml:space="preserve">. </w:t>
      </w:r>
      <w:r>
        <w:t xml:space="preserve"> </w:t>
      </w:r>
    </w:p>
    <w:p w14:paraId="5C5950EE" w14:textId="77777777" w:rsidR="00975EE9" w:rsidRDefault="00975EE9" w:rsidP="00737297">
      <w:pPr>
        <w:pStyle w:val="NoSpacing"/>
        <w:spacing w:line="360" w:lineRule="auto"/>
      </w:pPr>
    </w:p>
    <w:p w14:paraId="3279DC9D" w14:textId="098FD5BF" w:rsidR="00E961D2" w:rsidRDefault="00951EEA" w:rsidP="00737297">
      <w:pPr>
        <w:pStyle w:val="NoSpacing"/>
        <w:spacing w:line="360" w:lineRule="auto"/>
      </w:pPr>
      <w:r w:rsidRPr="00397414">
        <w:t>Pharm</w:t>
      </w:r>
      <w:r>
        <w:t xml:space="preserve">acological interventions refer </w:t>
      </w:r>
      <w:r w:rsidR="00B66B2D">
        <w:t>to the dispensing of</w:t>
      </w:r>
      <w:r>
        <w:t xml:space="preserve"> medication </w:t>
      </w:r>
      <w:r w:rsidR="00B66B2D">
        <w:t xml:space="preserve">to patients </w:t>
      </w:r>
      <w:r w:rsidR="00DB528A">
        <w:t>for</w:t>
      </w:r>
      <w:r w:rsidR="00B66B2D">
        <w:t xml:space="preserve"> </w:t>
      </w:r>
      <w:r w:rsidR="0054080E">
        <w:t>medically assisted withdrawals</w:t>
      </w:r>
      <w:r w:rsidR="00C83379">
        <w:t>,</w:t>
      </w:r>
      <w:r w:rsidR="006369FC">
        <w:t xml:space="preserve"> </w:t>
      </w:r>
      <w:r w:rsidR="00603A96">
        <w:t xml:space="preserve">and more </w:t>
      </w:r>
      <w:r w:rsidR="00A127EF">
        <w:t>commonly for</w:t>
      </w:r>
      <w:r w:rsidR="0054080E" w:rsidRPr="002627A1">
        <w:t xml:space="preserve"> prevent</w:t>
      </w:r>
      <w:r w:rsidR="00A127EF">
        <w:t>ing</w:t>
      </w:r>
      <w:r w:rsidR="0054080E" w:rsidRPr="002627A1">
        <w:t xml:space="preserve"> and manag</w:t>
      </w:r>
      <w:r w:rsidR="00A127EF">
        <w:t>ing</w:t>
      </w:r>
      <w:r w:rsidR="0054080E" w:rsidRPr="002627A1">
        <w:t xml:space="preserve"> withdrawal symptoms</w:t>
      </w:r>
      <w:r w:rsidR="000D5F71">
        <w:t xml:space="preserve">, </w:t>
      </w:r>
      <w:r w:rsidR="002627A1" w:rsidRPr="002627A1">
        <w:t>reduc</w:t>
      </w:r>
      <w:r w:rsidR="00A127EF">
        <w:t>ing</w:t>
      </w:r>
      <w:r w:rsidR="002627A1" w:rsidRPr="002627A1">
        <w:t xml:space="preserve"> cravings</w:t>
      </w:r>
      <w:r w:rsidR="00F05B6A">
        <w:t xml:space="preserve"> and consumption of substances</w:t>
      </w:r>
      <w:r w:rsidR="005E5A3F">
        <w:t xml:space="preserve"> or</w:t>
      </w:r>
      <w:r w:rsidR="006369FC">
        <w:t xml:space="preserve"> </w:t>
      </w:r>
      <w:r w:rsidR="002627A1" w:rsidRPr="002627A1">
        <w:t>prevent</w:t>
      </w:r>
      <w:r w:rsidR="00A127EF">
        <w:t>ing</w:t>
      </w:r>
      <w:r w:rsidR="002627A1" w:rsidRPr="002627A1">
        <w:t xml:space="preserve"> relapse </w:t>
      </w:r>
      <w:r w:rsidR="00450071">
        <w:fldChar w:fldCharType="begin"/>
      </w:r>
      <w:r w:rsidR="00B75C45">
        <w:instrText xml:space="preserve"> ADDIN EN.CITE &lt;EndNote&gt;&lt;Cite&gt;&lt;Author&gt;Department of Health&lt;/Author&gt;&lt;Year&gt;2017&lt;/Year&gt;&lt;RecNum&gt;238&lt;/RecNum&gt;&lt;DisplayText&gt;(Department of Health, 2017; OHID, 2023b)&lt;/DisplayText&gt;&lt;record&gt;&lt;rec-number&gt;238&lt;/rec-number&gt;&lt;foreign-keys&gt;&lt;key app="EN" db-id="ffzvr5fstavwxoe9v04xf0wmp5t50as52da0" timestamp="1731671651" guid="574b22a7-6b57-4658-8370-2d518cf29e27"&gt;238&lt;/key&gt;&lt;/foreign-keys&gt;&lt;ref-type name="Electronic Article"&gt;43&lt;/ref-type&gt;&lt;contributors&gt;&lt;authors&gt;&lt;author&gt;Department of Health,&lt;/author&gt;&lt;/authors&gt;&lt;/contributors&gt;&lt;titles&gt;&lt;title&gt;Drug misuse and dependence: UK guidelines on clinical management. Update 2017&lt;/title&gt;&lt;/titles&gt;&lt;dates&gt;&lt;year&gt;2017&lt;/year&gt;&lt;pub-dates&gt;&lt;date&gt;26/04/2019&lt;/date&gt;&lt;/pub-dates&gt;&lt;/dates&gt;&lt;pub-location&gt;London&lt;/pub-location&gt;&lt;publisher&gt;Department of Health&lt;/publisher&gt;&lt;urls&gt;&lt;related-urls&gt;&lt;url&gt;https://assets.publishing.service.gov.uk/government/uploads/system/uploads/attachment_data/file/673978/clinical_guidelines_2017.pdf&lt;/url&gt;&lt;/related-urls&gt;&lt;/urls&gt;&lt;/record&gt;&lt;/Cite&gt;&lt;Cite&gt;&lt;Author&gt;OHID&lt;/Author&gt;&lt;Year&gt;2023&lt;/Year&gt;&lt;RecNum&gt;237&lt;/RecNum&gt;&lt;record&gt;&lt;rec-number&gt;237&lt;/rec-number&gt;&lt;foreign-keys&gt;&lt;key app="EN" db-id="ffzvr5fstavwxoe9v04xf0wmp5t50as52da0" timestamp="1731671651" guid="199fffd1-ea55-4855-b11b-d22f71b68718"&gt;237&lt;/key&gt;&lt;/foreign-keys&gt;&lt;ref-type name="Electronic Article"&gt;43&lt;/ref-type&gt;&lt;contributors&gt;&lt;authors&gt;&lt;author&gt;OHID&lt;/author&gt;&lt;/authors&gt;&lt;/contributors&gt;&lt;titles&gt;&lt;title&gt;Closed consultation. UK clinical guidelines for alcohol treatment: core elements of alcohol treatment.&lt;/title&gt;&lt;/titles&gt;&lt;dates&gt;&lt;year&gt;2023&lt;/year&gt;&lt;pub-dates&gt;&lt;date&gt;01/04/2024&lt;/date&gt;&lt;/pub-dates&gt;&lt;/dates&gt;&lt;pub-location&gt;London&lt;/pub-location&gt;&lt;publisher&gt;Office for Health Improvement and Disparities,&lt;/publisher&gt;&lt;urls&gt;&lt;related-urls&gt;&lt;url&gt;https://www.gov.uk/government/consultations/uk-clinical-guidelines-for-alcohol-treatment/uk-clinical-guidelines-for-alcohol-treatment-core-elements-of-alcohol-treatment#pharmacological-interventions-1&lt;/url&gt;&lt;/related-urls&gt;&lt;/urls&gt;&lt;/record&gt;&lt;/Cite&gt;&lt;/EndNote&gt;</w:instrText>
      </w:r>
      <w:r w:rsidR="00450071">
        <w:fldChar w:fldCharType="separate"/>
      </w:r>
      <w:r w:rsidR="00B75C45">
        <w:rPr>
          <w:noProof/>
        </w:rPr>
        <w:t>(Department of Health, 2017; OHID, 2023b)</w:t>
      </w:r>
      <w:r w:rsidR="00450071">
        <w:fldChar w:fldCharType="end"/>
      </w:r>
      <w:r w:rsidR="000D5F71">
        <w:t>.</w:t>
      </w:r>
      <w:r w:rsidR="00C83379">
        <w:t xml:space="preserve"> </w:t>
      </w:r>
    </w:p>
    <w:p w14:paraId="044F5D6E" w14:textId="77777777" w:rsidR="007C0682" w:rsidRDefault="007C0682" w:rsidP="00737297">
      <w:pPr>
        <w:pStyle w:val="NoSpacing"/>
        <w:spacing w:line="360" w:lineRule="auto"/>
      </w:pPr>
    </w:p>
    <w:p w14:paraId="68D7A099" w14:textId="39039913" w:rsidR="008C7203" w:rsidRDefault="007C0682" w:rsidP="00737297">
      <w:pPr>
        <w:pStyle w:val="NoSpacing"/>
        <w:spacing w:line="360" w:lineRule="auto"/>
      </w:pPr>
      <w:r>
        <w:t xml:space="preserve">Psychosocial interventions </w:t>
      </w:r>
      <w:r w:rsidR="008C7203">
        <w:t xml:space="preserve">refer to a </w:t>
      </w:r>
      <w:r w:rsidR="008D1E6B">
        <w:t xml:space="preserve">wide range </w:t>
      </w:r>
      <w:r w:rsidR="008C7203">
        <w:t xml:space="preserve">of </w:t>
      </w:r>
      <w:r w:rsidR="008D1E6B">
        <w:t xml:space="preserve">approaches </w:t>
      </w:r>
      <w:r w:rsidR="001A7451">
        <w:t>directed</w:t>
      </w:r>
      <w:r w:rsidR="008C7203">
        <w:t xml:space="preserve"> at psychological </w:t>
      </w:r>
      <w:r w:rsidR="00975EE9">
        <w:t xml:space="preserve">change </w:t>
      </w:r>
      <w:r w:rsidR="001A7451">
        <w:t>(</w:t>
      </w:r>
      <w:r w:rsidR="009C6C63">
        <w:t>ranging from simple motivational interviewing techniques</w:t>
      </w:r>
      <w:r w:rsidR="0084605A">
        <w:t xml:space="preserve"> delivered by a keyworker</w:t>
      </w:r>
      <w:r w:rsidR="009C6C63">
        <w:t xml:space="preserve"> to structured psychological </w:t>
      </w:r>
      <w:r w:rsidR="0084605A">
        <w:t xml:space="preserve">methods such as cognitive behavioural therapy delivered by a </w:t>
      </w:r>
      <w:r w:rsidR="004E2ED2">
        <w:t>therapist</w:t>
      </w:r>
      <w:r w:rsidR="0084605A">
        <w:t>)</w:t>
      </w:r>
      <w:r w:rsidR="001A7451">
        <w:t xml:space="preserve"> </w:t>
      </w:r>
      <w:r w:rsidR="008C7203">
        <w:t>and</w:t>
      </w:r>
      <w:r w:rsidR="001A7451">
        <w:t>/or</w:t>
      </w:r>
      <w:r w:rsidR="008C7203">
        <w:t xml:space="preserve"> social change</w:t>
      </w:r>
      <w:r w:rsidR="0084605A">
        <w:t xml:space="preserve"> </w:t>
      </w:r>
      <w:r w:rsidR="004E2ED2">
        <w:t>(</w:t>
      </w:r>
      <w:r w:rsidR="00C41898">
        <w:t xml:space="preserve">e.g. social skills </w:t>
      </w:r>
      <w:r w:rsidR="0080535B">
        <w:t xml:space="preserve">and vocational </w:t>
      </w:r>
      <w:r w:rsidR="00C41898">
        <w:t>training</w:t>
      </w:r>
      <w:r w:rsidR="00AC7ED2">
        <w:t>). In cases where</w:t>
      </w:r>
      <w:r w:rsidR="0079046F">
        <w:t xml:space="preserve"> a pharmacological intervention is a fundamental part of a </w:t>
      </w:r>
      <w:r w:rsidR="007D2672">
        <w:t xml:space="preserve">substance </w:t>
      </w:r>
      <w:r w:rsidR="0079046F">
        <w:t>user</w:t>
      </w:r>
      <w:r w:rsidR="00975EE9">
        <w:t>’</w:t>
      </w:r>
      <w:r w:rsidR="0079046F">
        <w:t xml:space="preserve">s </w:t>
      </w:r>
      <w:r w:rsidR="00975EE9">
        <w:t xml:space="preserve">recovery </w:t>
      </w:r>
      <w:r w:rsidR="0079046F">
        <w:t xml:space="preserve">care plan, e.g. </w:t>
      </w:r>
      <w:r w:rsidR="00064AEF">
        <w:t>among</w:t>
      </w:r>
      <w:r w:rsidR="0079046F">
        <w:t xml:space="preserve"> heroin users, </w:t>
      </w:r>
      <w:r w:rsidR="008C7203">
        <w:t xml:space="preserve">psychosocial interventions </w:t>
      </w:r>
      <w:r w:rsidR="00064AEF">
        <w:t>should be</w:t>
      </w:r>
      <w:r w:rsidR="008C7203">
        <w:t xml:space="preserve"> offered alongside </w:t>
      </w:r>
      <w:r w:rsidR="00064AEF">
        <w:t>pharmacological interventions</w:t>
      </w:r>
      <w:r w:rsidR="00AE57AF">
        <w:t xml:space="preserve"> </w:t>
      </w:r>
      <w:r w:rsidR="00AE57AF">
        <w:fldChar w:fldCharType="begin"/>
      </w:r>
      <w:r w:rsidR="00B9334F">
        <w:instrText xml:space="preserve"> ADDIN EN.CITE &lt;EndNote&gt;&lt;Cite&gt;&lt;Author&gt;Department of Health&lt;/Author&gt;&lt;Year&gt;2017&lt;/Year&gt;&lt;RecNum&gt;238&lt;/RecNum&gt;&lt;DisplayText&gt;(Department of Health, 2017)&lt;/DisplayText&gt;&lt;record&gt;&lt;rec-number&gt;238&lt;/rec-number&gt;&lt;foreign-keys&gt;&lt;key app="EN" db-id="ffzvr5fstavwxoe9v04xf0wmp5t50as52da0" timestamp="1731671651" guid="574b22a7-6b57-4658-8370-2d518cf29e27"&gt;238&lt;/key&gt;&lt;/foreign-keys&gt;&lt;ref-type name="Electronic Article"&gt;43&lt;/ref-type&gt;&lt;contributors&gt;&lt;authors&gt;&lt;author&gt;Department of Health,&lt;/author&gt;&lt;/authors&gt;&lt;/contributors&gt;&lt;titles&gt;&lt;title&gt;Drug misuse and dependence: UK guidelines on clinical management. Update 2017&lt;/title&gt;&lt;/titles&gt;&lt;dates&gt;&lt;year&gt;2017&lt;/year&gt;&lt;pub-dates&gt;&lt;date&gt;26/04/2019&lt;/date&gt;&lt;/pub-dates&gt;&lt;/dates&gt;&lt;pub-location&gt;London&lt;/pub-location&gt;&lt;publisher&gt;Department of Health&lt;/publisher&gt;&lt;urls&gt;&lt;related-urls&gt;&lt;url&gt;https://assets.publishing.service.gov.uk/government/uploads/system/uploads/attachment_data/file/673978/clinical_guidelines_2017.pdf&lt;/url&gt;&lt;/related-urls&gt;&lt;/urls&gt;&lt;/record&gt;&lt;/Cite&gt;&lt;/EndNote&gt;</w:instrText>
      </w:r>
      <w:r w:rsidR="00AE57AF">
        <w:fldChar w:fldCharType="separate"/>
      </w:r>
      <w:r w:rsidR="00A77498">
        <w:rPr>
          <w:noProof/>
        </w:rPr>
        <w:t>(Department of Health, 2017)</w:t>
      </w:r>
      <w:r w:rsidR="00AE57AF">
        <w:fldChar w:fldCharType="end"/>
      </w:r>
      <w:r w:rsidR="00064AEF">
        <w:t xml:space="preserve">. </w:t>
      </w:r>
    </w:p>
    <w:p w14:paraId="0267F96C" w14:textId="77777777" w:rsidR="00011A4C" w:rsidRDefault="00011A4C" w:rsidP="00737297">
      <w:pPr>
        <w:pStyle w:val="NoSpacing"/>
        <w:spacing w:line="360" w:lineRule="auto"/>
      </w:pPr>
    </w:p>
    <w:p w14:paraId="6CC33326" w14:textId="6A0C212B" w:rsidR="00AA0C12" w:rsidRDefault="00236892" w:rsidP="00737297">
      <w:pPr>
        <w:pStyle w:val="NoSpacing"/>
        <w:spacing w:line="360" w:lineRule="auto"/>
      </w:pPr>
      <w:r>
        <w:t xml:space="preserve">Globally, one in 5 people with a drug use disorder were thought to be in treatment in 2021, with opioids being the most common reason for people accessing treatment in Africa, America and Europe, compared with amphetamine-type stimulants elsewhere </w:t>
      </w:r>
      <w:r>
        <w:fldChar w:fldCharType="begin"/>
      </w:r>
      <w:r w:rsidR="00B9334F">
        <w:instrText xml:space="preserve"> ADDIN EN.CITE &lt;EndNote&gt;&lt;Cite&gt;&lt;Author&gt;UNODC&lt;/Author&gt;&lt;Year&gt;2023&lt;/Year&gt;&lt;RecNum&gt;221&lt;/RecNum&gt;&lt;DisplayText&gt;(UNODC, 2023)&lt;/DisplayText&gt;&lt;record&gt;&lt;rec-number&gt;221&lt;/rec-number&gt;&lt;foreign-keys&gt;&lt;key app="EN" db-id="ffzvr5fstavwxoe9v04xf0wmp5t50as52da0" timestamp="1731671650" guid="11af95cc-cc33-4129-bd7a-5ff99db24faf"&gt;221&lt;/key&gt;&lt;/foreign-keys&gt;&lt;ref-type name="Generic"&gt;13&lt;/ref-type&gt;&lt;contributors&gt;&lt;authors&gt;&lt;author&gt;UNODC&lt;/author&gt;&lt;/authors&gt;&lt;/contributors&gt;&lt;titles&gt;&lt;title&gt;Special Points of Interest. World Drug Report 2023.&lt;/title&gt;&lt;/titles&gt;&lt;dates&gt;&lt;year&gt;2023&lt;/year&gt;&lt;pub-dates&gt;&lt;date&gt;25/03/2024&lt;/date&gt;&lt;/pub-dates&gt;&lt;/dates&gt;&lt;publisher&gt;United Nations Office on Drugs and Crime.&lt;/publisher&gt;&lt;urls&gt;&lt;related-urls&gt;&lt;url&gt;https://www.unodc.org/res/WDR-2023/Special_Points_WDR2023_web_DP.pdf&lt;/url&gt;&lt;/related-urls&gt;&lt;/urls&gt;&lt;/record&gt;&lt;/Cite&gt;&lt;/EndNote&gt;</w:instrText>
      </w:r>
      <w:r>
        <w:fldChar w:fldCharType="separate"/>
      </w:r>
      <w:r w:rsidR="00A77498">
        <w:rPr>
          <w:noProof/>
        </w:rPr>
        <w:t>(UNODC, 2023)</w:t>
      </w:r>
      <w:r>
        <w:fldChar w:fldCharType="end"/>
      </w:r>
      <w:r>
        <w:t xml:space="preserve">. It is estimated that globally fewer than 1 in 5 people with an alcohol use disorder receive treatment </w:t>
      </w:r>
      <w:r>
        <w:fldChar w:fldCharType="begin">
          <w:fldData xml:space="preserve">PEVuZE5vdGU+PENpdGU+PEF1dGhvcj5NZWtvbmVuPC9BdXRob3I+PFllYXI+MjAyMTwvWWVhcj48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</w:fldData>
        </w:fldChar>
      </w:r>
      <w:r w:rsidR="00B9334F">
        <w:instrText xml:space="preserve"> ADDIN EN.CITE </w:instrText>
      </w:r>
      <w:r w:rsidR="00B9334F">
        <w:fldChar w:fldCharType="begin">
          <w:fldData xml:space="preserve">PEVuZE5vdGU+PENpdGU+PEF1dGhvcj5NZWtvbmVuPC9BdXRob3I+PFllYXI+MjAyMTwvWWVhcj48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</w:fldData>
        </w:fldChar>
      </w:r>
      <w:r w:rsidR="00B9334F">
        <w:instrText xml:space="preserve"> ADDIN EN.CITE.DATA </w:instrText>
      </w:r>
      <w:r w:rsidR="00B9334F">
        <w:fldChar w:fldCharType="end"/>
      </w:r>
      <w:r>
        <w:fldChar w:fldCharType="separate"/>
      </w:r>
      <w:r w:rsidR="00A77498">
        <w:rPr>
          <w:noProof/>
        </w:rPr>
        <w:t>(Mekonen et al., 2021)</w:t>
      </w:r>
      <w:r>
        <w:fldChar w:fldCharType="end"/>
      </w:r>
      <w:r>
        <w:t xml:space="preserve">. In comparison in 2019 to 2020 in England, </w:t>
      </w:r>
      <w:r w:rsidR="00C249D3">
        <w:t xml:space="preserve">over </w:t>
      </w:r>
      <w:r>
        <w:t xml:space="preserve">1 in 3 people using opiates and/or in crack </w:t>
      </w:r>
      <w:r w:rsidR="00486882">
        <w:t>(</w:t>
      </w:r>
      <w:r w:rsidR="00713DDC">
        <w:t>42%</w:t>
      </w:r>
      <w:r w:rsidR="00486882">
        <w:t xml:space="preserve">) </w:t>
      </w:r>
      <w:r>
        <w:t xml:space="preserve">and over 1 </w:t>
      </w:r>
      <w:r>
        <w:lastRenderedPageBreak/>
        <w:t>in 5 people</w:t>
      </w:r>
      <w:r w:rsidR="007B4E2F">
        <w:t xml:space="preserve"> (22%)</w:t>
      </w:r>
      <w:r>
        <w:t xml:space="preserve"> </w:t>
      </w:r>
      <w:r w:rsidRPr="001829B1">
        <w:t>with an alcohol use disorder were in treatment</w:t>
      </w:r>
      <w:r w:rsidR="00102D20" w:rsidRPr="001829B1">
        <w:t xml:space="preserve">. </w:t>
      </w:r>
      <w:r w:rsidR="006A1495" w:rsidRPr="001829B1">
        <w:t>Similar proportions were found</w:t>
      </w:r>
      <w:r w:rsidR="00046DB1" w:rsidRPr="001829B1">
        <w:t xml:space="preserve"> for </w:t>
      </w:r>
      <w:r w:rsidR="00B81420">
        <w:t>adults living with children</w:t>
      </w:r>
      <w:r w:rsidR="00046DB1" w:rsidRPr="001829B1">
        <w:t xml:space="preserve"> in treatment (</w:t>
      </w:r>
      <w:r w:rsidR="00FD1249" w:rsidRPr="001829B1">
        <w:t xml:space="preserve">opiates and/or crack = </w:t>
      </w:r>
      <w:r w:rsidR="001829B1" w:rsidRPr="001829B1">
        <w:t>47</w:t>
      </w:r>
      <w:r w:rsidR="00FD1249" w:rsidRPr="001829B1">
        <w:t>%</w:t>
      </w:r>
      <w:r w:rsidR="00B81420">
        <w:t xml:space="preserve">, </w:t>
      </w:r>
      <w:r w:rsidR="00FD1249" w:rsidRPr="001829B1">
        <w:t xml:space="preserve">and </w:t>
      </w:r>
      <w:r w:rsidR="00046DB1" w:rsidRPr="001829B1">
        <w:t xml:space="preserve">alcohol = </w:t>
      </w:r>
      <w:r w:rsidR="00E6458E" w:rsidRPr="001829B1">
        <w:t>24</w:t>
      </w:r>
      <w:r w:rsidR="00046DB1" w:rsidRPr="001829B1">
        <w:t>%)</w:t>
      </w:r>
      <w:r w:rsidR="00102D20" w:rsidRPr="001829B1">
        <w:t xml:space="preserve"> </w:t>
      </w:r>
      <w:r w:rsidRPr="001829B1">
        <w:t xml:space="preserve"> </w:t>
      </w:r>
      <w:r w:rsidR="00D100E1" w:rsidRPr="001829B1">
        <w:fldChar w:fldCharType="begin"/>
      </w:r>
      <w:r w:rsidR="00B9334F">
        <w:instrText xml:space="preserve"> ADDIN EN.CITE &lt;EndNote&gt;&lt;Cite&gt;&lt;Author&gt;OHID and The University of Manchester&lt;/Author&gt;&lt;Year&gt;2024&lt;/Year&gt;&lt;RecNum&gt;241&lt;/RecNum&gt;&lt;DisplayText&gt;(OHID and The University of Manchester, 2024)&lt;/DisplayText&gt;&lt;record&gt;&lt;rec-number&gt;241&lt;/rec-number&gt;&lt;foreign-keys&gt;&lt;key app="EN" db-id="ffzvr5fstavwxoe9v04xf0wmp5t50as52da0" timestamp="1731671651" guid="c498f626-f574-4d8d-ae01-ee1408eca1d0"&gt;241&lt;/key&gt;&lt;/foreign-keys&gt;&lt;ref-type name="Web Page"&gt;12&lt;/ref-type&gt;&lt;contributors&gt;&lt;authors&gt;&lt;author&gt;OHID and The University of Manchester,&lt;/author&gt;&lt;/authors&gt;&lt;/contributors&gt;&lt;titles&gt;&lt;title&gt;NDTMS - National Drug Treatment Monitoring System. Restricted section.&lt;/title&gt;&lt;/titles&gt;&lt;number&gt;01/04/2024&lt;/number&gt;&lt;dates&gt;&lt;year&gt;2024&lt;/year&gt;&lt;/dates&gt;&lt;publisher&gt;Office for Health Improvement and Disparities&lt;/publisher&gt;&lt;urls&gt;&lt;related-urls&gt;&lt;url&gt;https://www.ndtms.net/&lt;/url&gt;&lt;/related-urls&gt;&lt;/urls&gt;&lt;/record&gt;&lt;/Cite&gt;&lt;/EndNote&gt;</w:instrText>
      </w:r>
      <w:r w:rsidR="00D100E1" w:rsidRPr="001829B1">
        <w:fldChar w:fldCharType="separate"/>
      </w:r>
      <w:r w:rsidR="00A77498">
        <w:rPr>
          <w:noProof/>
        </w:rPr>
        <w:t>(OHID and The University of Manchester, 2024)</w:t>
      </w:r>
      <w:r w:rsidR="00D100E1" w:rsidRPr="001829B1">
        <w:fldChar w:fldCharType="end"/>
      </w:r>
      <w:r w:rsidR="00B87DAD" w:rsidRPr="001829B1">
        <w:t>.</w:t>
      </w:r>
    </w:p>
    <w:p w14:paraId="50B82CC5" w14:textId="77777777" w:rsidR="00CD185A" w:rsidRDefault="00CD185A" w:rsidP="00737297">
      <w:pPr>
        <w:pStyle w:val="NoSpacing"/>
        <w:spacing w:line="360" w:lineRule="auto"/>
      </w:pPr>
    </w:p>
    <w:p w14:paraId="57209A8E" w14:textId="1F3A319C" w:rsidR="00CD185A" w:rsidRDefault="00CD185A" w:rsidP="002E30D1">
      <w:pPr>
        <w:pStyle w:val="Heading4"/>
      </w:pPr>
      <w:r>
        <w:t>Barriers to engagement</w:t>
      </w:r>
      <w:r w:rsidR="00202C72">
        <w:t xml:space="preserve"> with treatment services</w:t>
      </w:r>
    </w:p>
    <w:p w14:paraId="70D32F7E" w14:textId="35089880" w:rsidR="00A358C7" w:rsidRDefault="00394247" w:rsidP="00394247">
      <w:pPr>
        <w:pStyle w:val="NoSpacing"/>
        <w:spacing w:line="360" w:lineRule="auto"/>
      </w:pPr>
      <w:r>
        <w:t xml:space="preserve">Barriers to engagement with treatment services are numerous and wide-ranging. </w:t>
      </w:r>
      <w:r w:rsidR="00665E56">
        <w:t>In their review of systematic reviews</w:t>
      </w:r>
      <w:r w:rsidR="00740518">
        <w:t xml:space="preserve">, </w:t>
      </w:r>
      <w:r w:rsidR="00A358C7">
        <w:fldChar w:fldCharType="begin"/>
      </w:r>
      <w:r w:rsidR="00F964C6">
        <w:instrText xml:space="preserve"> ADDIN EN.CITE &lt;EndNote&gt;&lt;Cite AuthorYear="1"&gt;&lt;Author&gt;Farhoudian&lt;/Author&gt;&lt;Year&gt;2022&lt;/Year&gt;&lt;RecNum&gt;718&lt;/RecNum&gt;&lt;DisplayText&gt;Farhoudian et al. (2022)&lt;/DisplayText&gt;&lt;record&gt;&lt;rec-number&gt;718&lt;/rec-number&gt;&lt;foreign-keys&gt;&lt;key app="EN" db-id="ffzvr5fstavwxoe9v04xf0wmp5t50as52da0" timestamp="1734962748" guid="188dd49c-c602-4ef4-95ca-64da0d5830a5"&gt;718&lt;/key&gt;&lt;/foreign-keys&gt;&lt;ref-type name="Journal Article"&gt;17&lt;/ref-type&gt;&lt;contributors&gt;&lt;authors&gt;&lt;author&gt;Farhoudian, Ali&lt;/author&gt;&lt;author&gt;Razaghi, Emran&lt;/author&gt;&lt;author&gt;Hooshyari, Zahra&lt;/author&gt;&lt;author&gt;Noroozi, Alireza&lt;/author&gt;&lt;author&gt;Pilevari, Azam&lt;/author&gt;&lt;author&gt;Mokri, Azarakhsh&lt;/author&gt;&lt;author&gt;Mohammadi, Mohammad Reza&lt;/author&gt;&lt;author&gt;Malekinejad, Mohsen&lt;/author&gt;&lt;/authors&gt;&lt;/contributors&gt;&lt;titles&gt;&lt;title&gt;Barriers and Facilitators to Substance Use Disorder Treatment: An Overview of Systematic Reviews&lt;/title&gt;&lt;secondary-title&gt;Substance Abuse: Research and Treatment&lt;/secondary-title&gt;&lt;/titles&gt;&lt;periodical&gt;&lt;full-title&gt;Substance Abuse: Research and Treatment&lt;/full-title&gt;&lt;/periodical&gt;&lt;pages&gt;11782218221118462&lt;/pages&gt;&lt;volume&gt;16&lt;/volume&gt;&lt;dates&gt;&lt;year&gt;2022&lt;/year&gt;&lt;pub-dates&gt;&lt;date&gt;2022/01/01&lt;/date&gt;&lt;/pub-dates&gt;&lt;/dates&gt;&lt;publisher&gt;SAGE Publications Ltd STM&lt;/publisher&gt;&lt;isbn&gt;1178-2218&lt;/isbn&gt;&lt;urls&gt;&lt;related-urls&gt;&lt;url&gt;https://doi.org/10.1177/11782218221118462&lt;/url&gt;&lt;/related-urls&gt;&lt;/urls&gt;&lt;electronic-resource-num&gt;10.1177/11782218221118462&lt;/electronic-resource-num&gt;&lt;access-date&gt;2024/12/23&lt;/access-date&gt;&lt;/record&gt;&lt;/Cite&gt;&lt;/EndNote&gt;</w:instrText>
      </w:r>
      <w:r w:rsidR="00A358C7">
        <w:fldChar w:fldCharType="separate"/>
      </w:r>
      <w:r w:rsidR="00A358C7">
        <w:rPr>
          <w:noProof/>
        </w:rPr>
        <w:t>Farhoudian et al. (2022)</w:t>
      </w:r>
      <w:r w:rsidR="00A358C7">
        <w:fldChar w:fldCharType="end"/>
      </w:r>
      <w:r w:rsidR="00740518">
        <w:t xml:space="preserve"> </w:t>
      </w:r>
      <w:r w:rsidR="00AC6BD8">
        <w:t>classified barriers to SUD treatment into three levels: individual</w:t>
      </w:r>
      <w:r w:rsidR="00371390">
        <w:t xml:space="preserve"> (n=21)</w:t>
      </w:r>
      <w:r w:rsidR="00AC6BD8">
        <w:t xml:space="preserve">, social </w:t>
      </w:r>
      <w:r w:rsidR="00371390">
        <w:t>(</w:t>
      </w:r>
      <w:r w:rsidR="00140917">
        <w:t>n=19</w:t>
      </w:r>
      <w:r w:rsidR="00371390">
        <w:t xml:space="preserve">) </w:t>
      </w:r>
      <w:r w:rsidR="00AC6BD8">
        <w:t>and structural</w:t>
      </w:r>
      <w:r w:rsidR="00140917">
        <w:t xml:space="preserve"> (n=37)</w:t>
      </w:r>
      <w:r w:rsidR="00AC6BD8">
        <w:t xml:space="preserve">. </w:t>
      </w:r>
      <w:r w:rsidR="00402C42">
        <w:t xml:space="preserve">Individual barriers included </w:t>
      </w:r>
      <w:r w:rsidR="002918C6">
        <w:t xml:space="preserve">a belief that treatment was not necessary/ </w:t>
      </w:r>
      <w:r w:rsidR="0083281B">
        <w:t xml:space="preserve">preference to stop taking drugs/ drinking on their own, </w:t>
      </w:r>
      <w:r w:rsidR="00B4467D">
        <w:t xml:space="preserve">fear of stigma, being arrested, </w:t>
      </w:r>
      <w:r w:rsidR="00E84170">
        <w:t>and/or withdrawal</w:t>
      </w:r>
      <w:r w:rsidR="0015284C">
        <w:t>, comorbid mental health problems</w:t>
      </w:r>
      <w:r w:rsidR="00E84170">
        <w:t>.</w:t>
      </w:r>
      <w:r w:rsidR="0015284C">
        <w:t xml:space="preserve"> Social barriers included </w:t>
      </w:r>
      <w:r w:rsidR="00886841">
        <w:t>s</w:t>
      </w:r>
      <w:r w:rsidR="008A7880" w:rsidRPr="00140764">
        <w:t>tigma</w:t>
      </w:r>
      <w:r w:rsidR="008A7880">
        <w:rPr>
          <w:rFonts w:ascii="Open Sans" w:hAnsi="Open Sans" w:cs="Open Sans"/>
          <w:i/>
          <w:iCs/>
          <w:color w:val="333333"/>
          <w:sz w:val="21"/>
          <w:szCs w:val="21"/>
        </w:rPr>
        <w:t xml:space="preserve"> </w:t>
      </w:r>
      <w:r w:rsidR="008A7880" w:rsidRPr="00140764">
        <w:t>and lack of social support, family/ friends networks</w:t>
      </w:r>
      <w:r w:rsidR="008A561D" w:rsidRPr="00140764">
        <w:t xml:space="preserve">, problems related to treatment services, e.g. </w:t>
      </w:r>
      <w:r w:rsidR="00886841" w:rsidRPr="00140764">
        <w:t>lack of trained/ supportive staff.</w:t>
      </w:r>
      <w:r w:rsidR="00E84170">
        <w:t xml:space="preserve"> </w:t>
      </w:r>
      <w:r w:rsidR="00140764">
        <w:t xml:space="preserve">Structural barriers </w:t>
      </w:r>
      <w:r w:rsidR="00216C80">
        <w:t>included no consideration of contextual factors</w:t>
      </w:r>
      <w:r w:rsidR="00DD6EB6">
        <w:t xml:space="preserve">/ failure to assess and address holistic support needs such as housing/ employment. While most </w:t>
      </w:r>
      <w:r w:rsidR="00FA2F41">
        <w:t xml:space="preserve">barriers were structural, </w:t>
      </w:r>
      <w:r w:rsidR="001865D6">
        <w:t xml:space="preserve">and it is possible that a focus on structural barriers (and </w:t>
      </w:r>
      <w:r w:rsidR="00A11953">
        <w:t>facilitators</w:t>
      </w:r>
      <w:r w:rsidR="001865D6">
        <w:t>) may yield positive results</w:t>
      </w:r>
      <w:r w:rsidR="008A397B">
        <w:t xml:space="preserve"> that in turn affects social and individual levels</w:t>
      </w:r>
      <w:r w:rsidR="001865D6">
        <w:t xml:space="preserve"> as the authors suggest, </w:t>
      </w:r>
      <w:r w:rsidR="00FA2F41">
        <w:t xml:space="preserve">it is not possible to assess which barriers were the most influential </w:t>
      </w:r>
      <w:r w:rsidR="00A11953">
        <w:t xml:space="preserve">in a person’s decision to engage with treatment or not. </w:t>
      </w:r>
      <w:r w:rsidR="00216C80">
        <w:t xml:space="preserve"> </w:t>
      </w:r>
    </w:p>
    <w:p w14:paraId="4DEE5B6E" w14:textId="77777777" w:rsidR="00F454CD" w:rsidRDefault="00F454CD" w:rsidP="00394247">
      <w:pPr>
        <w:pStyle w:val="NoSpacing"/>
        <w:spacing w:line="360" w:lineRule="auto"/>
      </w:pPr>
    </w:p>
    <w:p w14:paraId="78B6DFB8" w14:textId="2E34F2FE" w:rsidR="00835571" w:rsidRDefault="00F454CD" w:rsidP="00835571">
      <w:pPr>
        <w:pStyle w:val="NoSpacing"/>
        <w:spacing w:line="360" w:lineRule="auto"/>
      </w:pPr>
      <w:r>
        <w:t xml:space="preserve">What the evidence does suggest, however, is that </w:t>
      </w:r>
      <w:r w:rsidR="00357DA4">
        <w:t xml:space="preserve">in addition to the above, </w:t>
      </w:r>
      <w:r>
        <w:t>parents</w:t>
      </w:r>
      <w:r w:rsidR="00F964C6">
        <w:t xml:space="preserve">, particularly mothers, and pregnant women, </w:t>
      </w:r>
      <w:r w:rsidR="006917A2">
        <w:t>face</w:t>
      </w:r>
      <w:r w:rsidR="00F964C6">
        <w:t xml:space="preserve"> unique barriers</w:t>
      </w:r>
      <w:r w:rsidR="006917A2">
        <w:t xml:space="preserve"> such as </w:t>
      </w:r>
      <w:r w:rsidR="00007B33">
        <w:t>fear of being accused of child abuse and having their children taken into care</w:t>
      </w:r>
      <w:r w:rsidR="0091731D">
        <w:t xml:space="preserve"> and</w:t>
      </w:r>
      <w:r w:rsidR="00007B33">
        <w:t xml:space="preserve"> </w:t>
      </w:r>
      <w:r w:rsidR="0095146B">
        <w:t xml:space="preserve">lack of childcare </w:t>
      </w:r>
      <w:r w:rsidR="008D2C16">
        <w:t>facilities</w:t>
      </w:r>
      <w:r w:rsidR="0002540B">
        <w:t xml:space="preserve"> for those that live with their children</w:t>
      </w:r>
      <w:r w:rsidR="008D2C16">
        <w:t xml:space="preserve">. Contextual factors such as reporting substance use </w:t>
      </w:r>
      <w:r w:rsidR="007F417B">
        <w:t>to children’s social care can also be a barrier to getting support</w:t>
      </w:r>
      <w:r w:rsidR="00F964C6">
        <w:t xml:space="preserve"> </w:t>
      </w:r>
      <w:r w:rsidR="00F964C6">
        <w:fldChar w:fldCharType="begin"/>
      </w:r>
      <w:r w:rsidR="00835571">
        <w:instrText xml:space="preserve"> ADDIN EN.CITE &lt;EndNote&gt;&lt;Cite&gt;&lt;Author&gt;Choi&lt;/Author&gt;&lt;Year&gt;2022&lt;/Year&gt;&lt;RecNum&gt;719&lt;/RecNum&gt;&lt;DisplayText&gt;(Choi et al., 2022)&lt;/DisplayText&gt;&lt;record&gt;&lt;rec-number&gt;719&lt;/rec-number&gt;&lt;foreign-keys&gt;&lt;key app="EN" db-id="ffzvr5fstavwxoe9v04xf0wmp5t50as52da0" timestamp="1734964113" guid="04b1f4ab-5190-4147-8322-e18aa0776916"&gt;719&lt;/key&gt;&lt;/foreign-keys&gt;&lt;ref-type name="Journal Article"&gt;17&lt;/ref-type&gt;&lt;contributors&gt;&lt;authors&gt;&lt;author&gt;Choi, S.&lt;/author&gt;&lt;author&gt;Rosenbloom, D.&lt;/author&gt;&lt;author&gt;Stein, M. D.&lt;/author&gt;&lt;author&gt;Raifman, J.&lt;/author&gt;&lt;author&gt;Clark, J. A.&lt;/author&gt;&lt;/authors&gt;&lt;/contributors&gt;&lt;auth-address&gt;From the Department of Health Law, Policy &amp;amp; Management, Boston University School of Public Health, Boston, MA.&lt;/auth-address&gt;&lt;titles&gt;&lt;title&gt;Differential Gateways, Facilitators, and Barriers to Substance Use Disorder Treatment for Pregnant Women and Mothers: A Scoping Systematic Review&lt;/title&gt;&lt;secondary-title&gt;J Addict Med&lt;/secondary-title&gt;&lt;/titles&gt;&lt;periodical&gt;&lt;full-title&gt;J Addict Med&lt;/full-title&gt;&lt;/periodical&gt;&lt;pages&gt;e185-e196&lt;/pages&gt;&lt;volume&gt;16&lt;/volume&gt;&lt;number&gt;3&lt;/number&gt;&lt;keywords&gt;&lt;keyword&gt;Female&lt;/keyword&gt;&lt;keyword&gt;Humans&lt;/keyword&gt;&lt;keyword&gt;*Mothers/psychology&lt;/keyword&gt;&lt;keyword&gt;Pregnancy&lt;/keyword&gt;&lt;keyword&gt;*Pregnant Women/psychology&lt;/keyword&gt;&lt;keyword&gt;Social Stigma&lt;/keyword&gt;&lt;keyword&gt;Social Support&lt;/keyword&gt;&lt;keyword&gt;*Substance-Related Disorders/psychology/therapy&lt;/keyword&gt;&lt;/keywords&gt;&lt;dates&gt;&lt;year&gt;2022&lt;/year&gt;&lt;pub-dates&gt;&lt;date&gt;May-Jun 01&lt;/date&gt;&lt;/pub-dates&gt;&lt;/dates&gt;&lt;isbn&gt;1932-0620 (Print)&amp;#xD;1932-0620&lt;/isbn&gt;&lt;accession-num&gt;34380985&lt;/accession-num&gt;&lt;urls&gt;&lt;/urls&gt;&lt;custom1&gt;The authors report no conflicts of interest.&lt;/custom1&gt;&lt;custom2&gt;PMC8828806&lt;/custom2&gt;&lt;custom6&gt;NIHMS1727549&lt;/custom6&gt;&lt;electronic-resource-num&gt;10.1097/adm.0000000000000909&lt;/electronic-resource-num&gt;&lt;remote-database-provider&gt;NLM&lt;/remote-database-provider&gt;&lt;language&gt;eng&lt;/language&gt;&lt;/record&gt;&lt;/Cite&gt;&lt;/EndNote&gt;</w:instrText>
      </w:r>
      <w:r w:rsidR="00F964C6">
        <w:fldChar w:fldCharType="separate"/>
      </w:r>
      <w:r w:rsidR="00F964C6">
        <w:rPr>
          <w:noProof/>
        </w:rPr>
        <w:t>(Choi et al., 2022)</w:t>
      </w:r>
      <w:r w:rsidR="00F964C6">
        <w:fldChar w:fldCharType="end"/>
      </w:r>
      <w:r w:rsidR="007F417B">
        <w:t>.</w:t>
      </w:r>
      <w:r w:rsidR="005F021F">
        <w:t>P</w:t>
      </w:r>
      <w:r w:rsidR="00835571">
        <w:t xml:space="preserve">arents with SUD face particular stigmatization and feelings of shame from having an SUD </w:t>
      </w:r>
      <w:r w:rsidR="00835571" w:rsidRPr="00080AA6">
        <w:rPr>
          <w:i/>
          <w:iCs/>
        </w:rPr>
        <w:t>and</w:t>
      </w:r>
      <w:r w:rsidR="00835571">
        <w:t xml:space="preserve"> being a parent,</w:t>
      </w:r>
      <w:r w:rsidR="005F021F">
        <w:t xml:space="preserve"> </w:t>
      </w:r>
      <w:r w:rsidR="00835571">
        <w:t>with mothers likely to experience stigma and shame more deeply than fathers</w:t>
      </w:r>
      <w:r w:rsidR="00145106">
        <w:t xml:space="preserve"> as they may be perceived as contravening their roles as mothers</w:t>
      </w:r>
      <w:r w:rsidR="00835571">
        <w:t xml:space="preserve"> </w:t>
      </w:r>
      <w:r w:rsidR="00835571">
        <w:fldChar w:fldCharType="begin">
          <w:fldData xml:space="preserve">PEVuZE5vdGU+PENpdGU+PEF1dGhvcj5SYWRjbGlmZmU8L0F1dGhvcj48WWVhcj4yMDExPC9ZZWFy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</w:fldData>
        </w:fldChar>
      </w:r>
      <w:r w:rsidR="00835571">
        <w:instrText xml:space="preserve"> ADDIN EN.CITE </w:instrText>
      </w:r>
      <w:r w:rsidR="00835571">
        <w:fldChar w:fldCharType="begin">
          <w:fldData xml:space="preserve">PEVuZE5vdGU+PENpdGU+PEF1dGhvcj5SYWRjbGlmZmU8L0F1dGhvcj48WWVhcj4yMDExPC9ZZWFy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</w:fldData>
        </w:fldChar>
      </w:r>
      <w:r w:rsidR="00835571">
        <w:instrText xml:space="preserve"> ADDIN EN.CITE.DATA </w:instrText>
      </w:r>
      <w:r w:rsidR="00835571">
        <w:fldChar w:fldCharType="end"/>
      </w:r>
      <w:r w:rsidR="00835571">
        <w:fldChar w:fldCharType="separate"/>
      </w:r>
      <w:r w:rsidR="00835571">
        <w:rPr>
          <w:noProof/>
        </w:rPr>
        <w:t>(Gunn &amp; Miranda Samuels, 2020; Long &amp; Jepsen, 2023; McGovern et al., 2022; Radcliffe, 2011)</w:t>
      </w:r>
      <w:r w:rsidR="00835571">
        <w:fldChar w:fldCharType="end"/>
      </w:r>
      <w:r w:rsidR="00835571">
        <w:t xml:space="preserve">. </w:t>
      </w:r>
    </w:p>
    <w:p w14:paraId="6559227B" w14:textId="77777777" w:rsidR="00603906" w:rsidRDefault="00603906" w:rsidP="00737297">
      <w:pPr>
        <w:pStyle w:val="NoSpacing"/>
        <w:spacing w:line="360" w:lineRule="auto"/>
      </w:pPr>
    </w:p>
    <w:p w14:paraId="3D090E71" w14:textId="72E5DA51" w:rsidR="000A02E0" w:rsidRDefault="000A02E0" w:rsidP="009C3BBC">
      <w:pPr>
        <w:pStyle w:val="Heading3"/>
        <w:numPr>
          <w:ilvl w:val="2"/>
          <w:numId w:val="18"/>
        </w:numPr>
        <w:spacing w:line="360" w:lineRule="auto"/>
      </w:pPr>
      <w:bookmarkStart w:id="22" w:name="_Toc189229651"/>
      <w:r>
        <w:lastRenderedPageBreak/>
        <w:t>Targeted prevention</w:t>
      </w:r>
      <w:bookmarkEnd w:id="22"/>
      <w:r w:rsidR="00AF36CA">
        <w:t xml:space="preserve"> </w:t>
      </w:r>
    </w:p>
    <w:p w14:paraId="34B84806" w14:textId="41D4C9AE" w:rsidR="000A02E0" w:rsidRPr="00EA1B81" w:rsidRDefault="000A02E0" w:rsidP="00737297">
      <w:pPr>
        <w:pStyle w:val="NoSpacing"/>
        <w:spacing w:line="360" w:lineRule="auto"/>
      </w:pPr>
      <w:r w:rsidRPr="00EA1B81">
        <w:t xml:space="preserve">In addition to care planned treatment, recovery support interventions play a key role in supporting people throughout their treatment journey, as well as their recovery journey after treatment, by providing emotional and practical support.  Some people never </w:t>
      </w:r>
      <w:r>
        <w:t>engage with</w:t>
      </w:r>
      <w:r w:rsidRPr="00EA1B81">
        <w:t xml:space="preserve"> treatment </w:t>
      </w:r>
      <w:r>
        <w:t xml:space="preserve">services opting instead to use </w:t>
      </w:r>
      <w:r w:rsidRPr="00EA1B81">
        <w:t>peer-based</w:t>
      </w:r>
      <w:r>
        <w:t xml:space="preserve"> and</w:t>
      </w:r>
      <w:r w:rsidRPr="00EA1B81">
        <w:t xml:space="preserve"> other recovery support services</w:t>
      </w:r>
      <w:r>
        <w:t xml:space="preserve">, such as Alcoholics Anonymous </w:t>
      </w:r>
      <w:r>
        <w:fldChar w:fldCharType="begin"/>
      </w:r>
      <w:r w:rsidR="00B75C45">
        <w:instrText xml:space="preserve"> ADDIN EN.CITE &lt;EndNote&gt;&lt;Cite&gt;&lt;Author&gt;OHID&lt;/Author&gt;&lt;Year&gt;2023&lt;/Year&gt;&lt;RecNum&gt;237&lt;/RecNum&gt;&lt;DisplayText&gt;(OHID, 2023b)&lt;/DisplayText&gt;&lt;record&gt;&lt;rec-number&gt;237&lt;/rec-number&gt;&lt;foreign-keys&gt;&lt;key app="EN" db-id="ffzvr5fstavwxoe9v04xf0wmp5t50as52da0" timestamp="1731671651" guid="199fffd1-ea55-4855-b11b-d22f71b68718"&gt;237&lt;/key&gt;&lt;/foreign-keys&gt;&lt;ref-type name="Electronic Article"&gt;43&lt;/ref-type&gt;&lt;contributors&gt;&lt;authors&gt;&lt;author&gt;OHID&lt;/author&gt;&lt;/authors&gt;&lt;/contributors&gt;&lt;titles&gt;&lt;title&gt;Closed consultation. UK clinical guidelines for alcohol treatment: core elements of alcohol treatment.&lt;/title&gt;&lt;/titles&gt;&lt;dates&gt;&lt;year&gt;2023&lt;/year&gt;&lt;pub-dates&gt;&lt;date&gt;01/04/2024&lt;/date&gt;&lt;/pub-dates&gt;&lt;/dates&gt;&lt;pub-location&gt;London&lt;/pub-location&gt;&lt;publisher&gt;Office for Health Improvement and Disparities,&lt;/publisher&gt;&lt;urls&gt;&lt;related-urls&gt;&lt;url&gt;https://www.gov.uk/government/consultations/uk-clinical-guidelines-for-alcohol-treatment/uk-clinical-guidelines-for-alcohol-treatment-core-elements-of-alcohol-treatment#pharmacological-interventions-1&lt;/url&gt;&lt;/related-urls&gt;&lt;/urls&gt;&lt;/record&gt;&lt;/Cite&gt;&lt;/EndNote&gt;</w:instrText>
      </w:r>
      <w:r>
        <w:fldChar w:fldCharType="separate"/>
      </w:r>
      <w:r w:rsidR="00B75C45">
        <w:rPr>
          <w:noProof/>
        </w:rPr>
        <w:t>(OHID, 2023b)</w:t>
      </w:r>
      <w:r>
        <w:fldChar w:fldCharType="end"/>
      </w:r>
      <w:r w:rsidRPr="00EA1B81">
        <w:t>.</w:t>
      </w:r>
    </w:p>
    <w:p w14:paraId="39564339" w14:textId="77777777" w:rsidR="00603906" w:rsidRDefault="00603906" w:rsidP="00737297">
      <w:pPr>
        <w:pStyle w:val="NoSpacing"/>
        <w:spacing w:line="360" w:lineRule="auto"/>
      </w:pPr>
    </w:p>
    <w:p w14:paraId="77393FCB" w14:textId="21E8BD26" w:rsidR="00480AA1" w:rsidRDefault="0073402E" w:rsidP="00480AA1">
      <w:pPr>
        <w:pStyle w:val="NoSpacing"/>
        <w:spacing w:line="360" w:lineRule="auto"/>
      </w:pPr>
      <w:r>
        <w:t>‘</w:t>
      </w:r>
      <w:r w:rsidR="003239CC">
        <w:t>Recovery support</w:t>
      </w:r>
      <w:r>
        <w:t xml:space="preserve">’ as </w:t>
      </w:r>
      <w:r w:rsidR="00BC7CBA">
        <w:t xml:space="preserve">it is </w:t>
      </w:r>
      <w:r>
        <w:t xml:space="preserve">referred to in </w:t>
      </w:r>
      <w:r w:rsidR="00BC7CBA">
        <w:t>the English treatment sector can be thought of as targeted prevention</w:t>
      </w:r>
      <w:r w:rsidR="00D14354">
        <w:t xml:space="preserve"> aimed </w:t>
      </w:r>
      <w:r w:rsidR="00472AB5">
        <w:t xml:space="preserve">specifically </w:t>
      </w:r>
      <w:r w:rsidR="00D14354">
        <w:t xml:space="preserve">at people with </w:t>
      </w:r>
      <w:r w:rsidR="001D522C">
        <w:t xml:space="preserve">SUD or </w:t>
      </w:r>
      <w:r w:rsidR="00C25DA3">
        <w:t>in recovery</w:t>
      </w:r>
      <w:r w:rsidR="00694095">
        <w:t>, which</w:t>
      </w:r>
      <w:r w:rsidR="001D522C">
        <w:t xml:space="preserve"> aim</w:t>
      </w:r>
      <w:r w:rsidR="00694095">
        <w:t>s</w:t>
      </w:r>
      <w:r w:rsidR="001D522C">
        <w:t xml:space="preserve"> to </w:t>
      </w:r>
      <w:r w:rsidR="00EF6BB2">
        <w:t xml:space="preserve">build their </w:t>
      </w:r>
      <w:r w:rsidR="00C25DA3">
        <w:t>skills</w:t>
      </w:r>
      <w:r w:rsidR="00694095">
        <w:t xml:space="preserve">, </w:t>
      </w:r>
      <w:r w:rsidR="00455C46">
        <w:t>resilience,</w:t>
      </w:r>
      <w:r w:rsidR="00694095">
        <w:t xml:space="preserve"> and ability to make positive decisions</w:t>
      </w:r>
      <w:r w:rsidR="00455C46">
        <w:t xml:space="preserve"> about their wellbeing, and that of the</w:t>
      </w:r>
      <w:r w:rsidR="00E912D5">
        <w:t>ir loved ones</w:t>
      </w:r>
      <w:r w:rsidR="00C25DA3">
        <w:t>.</w:t>
      </w:r>
      <w:r w:rsidR="00472AB5">
        <w:t xml:space="preserve"> </w:t>
      </w:r>
      <w:r w:rsidR="00480AA1">
        <w:t xml:space="preserve">It is based on the theory of recovery capital </w:t>
      </w:r>
      <w:r w:rsidR="00AE4797">
        <w:t>–</w:t>
      </w:r>
      <w:r w:rsidR="00480AA1">
        <w:t xml:space="preserve"> </w:t>
      </w:r>
      <w:r w:rsidR="00AE4797">
        <w:t xml:space="preserve">the internal and external resources that a person </w:t>
      </w:r>
      <w:r w:rsidR="00F30FEE">
        <w:t xml:space="preserve">has and </w:t>
      </w:r>
      <w:r w:rsidR="00AE4797">
        <w:t xml:space="preserve">can use to achieve or sustain their recovery </w:t>
      </w:r>
      <w:r w:rsidR="00F30FEE">
        <w:t xml:space="preserve">from </w:t>
      </w:r>
      <w:r w:rsidR="00C30D6C">
        <w:t>SUD</w:t>
      </w:r>
      <w:r w:rsidR="00D9413B">
        <w:t xml:space="preserve"> </w:t>
      </w:r>
      <w:r w:rsidR="0047099D">
        <w:fldChar w:fldCharType="begin"/>
      </w:r>
      <w:r w:rsidR="00B9334F">
        <w:instrText xml:space="preserve"> ADDIN EN.CITE &lt;EndNote&gt;&lt;Cite&gt;&lt;Author&gt;Cloud&lt;/Author&gt;&lt;Year&gt;2008&lt;/Year&gt;&lt;RecNum&gt;332&lt;/RecNum&gt;&lt;DisplayText&gt;(Cloud &amp;amp; Granfield, 2008)&lt;/DisplayText&gt;&lt;record&gt;&lt;rec-number&gt;332&lt;/rec-number&gt;&lt;foreign-keys&gt;&lt;key app="EN" db-id="ffzvr5fstavwxoe9v04xf0wmp5t50as52da0" timestamp="1731671659" guid="a5eb5680-07ba-4788-8ed2-6765e9c89944"&gt;332&lt;/key&gt;&lt;/foreign-keys&gt;&lt;ref-type name="Journal Article"&gt;17&lt;/ref-type&gt;&lt;contributors&gt;&lt;authors&gt;&lt;author&gt;Cloud, William&lt;/author&gt;&lt;author&gt;Granfield, Robert&lt;/author&gt;&lt;/authors&gt;&lt;/contributors&gt;&lt;titles&gt;&lt;title&gt;Conceptualizing Recovery Capital: Expansion of a Theoretical Construct&lt;/title&gt;&lt;secondary-title&gt;Substance Use &amp;amp; Misuse&lt;/secondary-title&gt;&lt;/titles&gt;&lt;periodical&gt;&lt;full-title&gt;Substance Use &amp;amp; Misuse&lt;/full-title&gt;&lt;/periodical&gt;&lt;pages&gt;1971-1986&lt;/pages&gt;&lt;volume&gt;43&lt;/volume&gt;&lt;number&gt;12-13&lt;/number&gt;&lt;dates&gt;&lt;year&gt;2008&lt;/year&gt;&lt;pub-dates&gt;&lt;date&gt;2008/10/01&lt;/date&gt;&lt;/pub-dates&gt;&lt;/dates&gt;&lt;publisher&gt;Taylor &amp;amp; Francis&lt;/publisher&gt;&lt;isbn&gt;1082-6084&lt;/isbn&gt;&lt;urls&gt;&lt;related-urls&gt;&lt;url&gt;https://www.tandfonline.com/doi/abs/10.1080/10826080802289762&lt;/url&gt;&lt;/related-urls&gt;&lt;/urls&gt;&lt;electronic-resource-num&gt;10.1080/10826080802289762&lt;/electronic-resource-num&gt;&lt;/record&gt;&lt;/Cite&gt;&lt;/EndNote&gt;</w:instrText>
      </w:r>
      <w:r w:rsidR="0047099D">
        <w:fldChar w:fldCharType="separate"/>
      </w:r>
      <w:r w:rsidR="003C6F70">
        <w:rPr>
          <w:noProof/>
        </w:rPr>
        <w:t>(Cloud &amp; Granfield, 2008)</w:t>
      </w:r>
      <w:r w:rsidR="0047099D">
        <w:fldChar w:fldCharType="end"/>
      </w:r>
      <w:r w:rsidR="00F30FEE">
        <w:t>. The more resources</w:t>
      </w:r>
      <w:r w:rsidR="006778B1">
        <w:t xml:space="preserve"> a person has</w:t>
      </w:r>
      <w:r w:rsidR="00F30FEE">
        <w:t xml:space="preserve">, the more likely </w:t>
      </w:r>
      <w:r w:rsidR="006778B1">
        <w:t>they are</w:t>
      </w:r>
      <w:r w:rsidR="00F30FEE">
        <w:t xml:space="preserve"> to achieve recovery</w:t>
      </w:r>
      <w:r w:rsidR="00011122">
        <w:t>, even ‘natural recovery’ which occurs without a treatment intervention</w:t>
      </w:r>
      <w:r w:rsidR="00D9413B">
        <w:t xml:space="preserve"> </w:t>
      </w:r>
      <w:r w:rsidR="00D9413B">
        <w:fldChar w:fldCharType="begin"/>
      </w:r>
      <w:r w:rsidR="00B9334F">
        <w:instrText xml:space="preserve"> ADDIN EN.CITE &lt;EndNote&gt;&lt;Cite&gt;&lt;Author&gt;Granfield&lt;/Author&gt;&lt;Year&gt;2001&lt;/Year&gt;&lt;RecNum&gt;703&lt;/RecNum&gt;&lt;DisplayText&gt;(Granfield &amp;amp; Cloud, 2001)&lt;/DisplayText&gt;&lt;record&gt;&lt;rec-number&gt;703&lt;/rec-number&gt;&lt;foreign-keys&gt;&lt;key app="EN" db-id="ffzvr5fstavwxoe9v04xf0wmp5t50as52da0" timestamp="1731671738" guid="884f0413-ad93-47d6-a3bc-0976a14c96f0"&gt;703&lt;/key&gt;&lt;/foreign-keys&gt;&lt;ref-type name="Journal Article"&gt;17&lt;/ref-type&gt;&lt;contributors&gt;&lt;authors&gt;&lt;author&gt;Granfield, Robert&lt;/author&gt;&lt;author&gt;Cloud, William&lt;/author&gt;&lt;/authors&gt;&lt;/contributors&gt;&lt;titles&gt;&lt;title&gt;Social context and “Natural Recovery”: The role of social capital in the resolution of drug-associated problems.&lt;/title&gt;&lt;secondary-title&gt;Substance Use &amp;amp; Misuse&lt;/secondary-title&gt;&lt;/titles&gt;&lt;periodical&gt;&lt;full-title&gt;Substance Use &amp;amp; Misuse&lt;/full-title&gt;&lt;/periodical&gt;&lt;pages&gt;1543-1570&lt;/pages&gt;&lt;volume&gt;36&lt;/volume&gt;&lt;number&gt;11&lt;/number&gt;&lt;dates&gt;&lt;year&gt;2001&lt;/year&gt;&lt;pub-dates&gt;&lt;date&gt;2001/01/01&lt;/date&gt;&lt;/pub-dates&gt;&lt;/dates&gt;&lt;publisher&gt;Taylor &amp;amp; Francis&lt;/publisher&gt;&lt;isbn&gt;1082-6084&lt;/isbn&gt;&lt;urls&gt;&lt;related-urls&gt;&lt;url&gt;https://doi.org/10.1081/JA-100106963&lt;/url&gt;&lt;/related-urls&gt;&lt;/urls&gt;&lt;electronic-resource-num&gt;10.1081/JA-100106963&lt;/electronic-resource-num&gt;&lt;/record&gt;&lt;/Cite&gt;&lt;/EndNote&gt;</w:instrText>
      </w:r>
      <w:r w:rsidR="00D9413B">
        <w:fldChar w:fldCharType="separate"/>
      </w:r>
      <w:r w:rsidR="003C6F70">
        <w:rPr>
          <w:noProof/>
        </w:rPr>
        <w:t>(Granfield &amp; Cloud, 2001)</w:t>
      </w:r>
      <w:r w:rsidR="00D9413B">
        <w:fldChar w:fldCharType="end"/>
      </w:r>
      <w:r w:rsidR="00011122">
        <w:t xml:space="preserve">. </w:t>
      </w:r>
      <w:r w:rsidR="00480AA1">
        <w:rPr>
          <w:lang w:eastAsia="en-GB"/>
        </w:rPr>
        <w:t>Family support networks can play an important role in an individual’s</w:t>
      </w:r>
      <w:r w:rsidR="001B44C5">
        <w:rPr>
          <w:lang w:eastAsia="en-GB"/>
        </w:rPr>
        <w:t xml:space="preserve"> </w:t>
      </w:r>
      <w:r w:rsidR="00480AA1">
        <w:rPr>
          <w:lang w:eastAsia="en-GB"/>
        </w:rPr>
        <w:t xml:space="preserve">recovery </w:t>
      </w:r>
      <w:r w:rsidR="00EF2C25">
        <w:rPr>
          <w:lang w:eastAsia="en-GB"/>
        </w:rPr>
        <w:t>and th</w:t>
      </w:r>
      <w:r w:rsidR="001B44C5">
        <w:rPr>
          <w:lang w:eastAsia="en-GB"/>
        </w:rPr>
        <w:t xml:space="preserve">us their recovery capital </w:t>
      </w:r>
      <w:r w:rsidR="00480AA1">
        <w:rPr>
          <w:lang w:eastAsia="en-GB"/>
        </w:rPr>
        <w:fldChar w:fldCharType="begin">
          <w:fldData xml:space="preserve">PEVuZE5vdGU+PENpdGU+PEF1dGhvcj5Db3BlbGxvPC9BdXRob3I+PFllYXI+MjAwNTwvWWVhcj48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</w:fldData>
        </w:fldChar>
      </w:r>
      <w:r w:rsidR="00B9334F">
        <w:rPr>
          <w:lang w:eastAsia="en-GB"/>
        </w:rPr>
        <w:instrText xml:space="preserve"> ADDIN EN.CITE </w:instrText>
      </w:r>
      <w:r w:rsidR="00B9334F">
        <w:rPr>
          <w:lang w:eastAsia="en-GB"/>
        </w:rPr>
        <w:fldChar w:fldCharType="begin">
          <w:fldData xml:space="preserve">PEVuZE5vdGU+PENpdGU+PEF1dGhvcj5Db3BlbGxvPC9BdXRob3I+PFllYXI+MjAwNTwvWWVhcj48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</w:fldData>
        </w:fldChar>
      </w:r>
      <w:r w:rsidR="00B9334F">
        <w:rPr>
          <w:lang w:eastAsia="en-GB"/>
        </w:rPr>
        <w:instrText xml:space="preserve"> ADDIN EN.CITE.DATA </w:instrText>
      </w:r>
      <w:r w:rsidR="00B9334F">
        <w:rPr>
          <w:lang w:eastAsia="en-GB"/>
        </w:rPr>
      </w:r>
      <w:r w:rsidR="00B9334F">
        <w:rPr>
          <w:lang w:eastAsia="en-GB"/>
        </w:rPr>
        <w:fldChar w:fldCharType="end"/>
      </w:r>
      <w:r w:rsidR="00480AA1">
        <w:rPr>
          <w:lang w:eastAsia="en-GB"/>
        </w:rPr>
      </w:r>
      <w:r w:rsidR="00480AA1">
        <w:rPr>
          <w:lang w:eastAsia="en-GB"/>
        </w:rPr>
        <w:fldChar w:fldCharType="separate"/>
      </w:r>
      <w:r w:rsidR="003C6F70">
        <w:rPr>
          <w:noProof/>
          <w:lang w:eastAsia="en-GB"/>
        </w:rPr>
        <w:t>(Best &amp; Hennessy, 2022; Copello et al., 2005; Granfield &amp; Cloud, 2001)</w:t>
      </w:r>
      <w:r w:rsidR="00480AA1">
        <w:rPr>
          <w:lang w:eastAsia="en-GB"/>
        </w:rPr>
        <w:fldChar w:fldCharType="end"/>
      </w:r>
      <w:r w:rsidR="00480AA1">
        <w:rPr>
          <w:lang w:eastAsia="en-GB"/>
        </w:rPr>
        <w:t xml:space="preserve">, but </w:t>
      </w:r>
      <w:r w:rsidR="00A50D67">
        <w:rPr>
          <w:lang w:eastAsia="en-GB"/>
        </w:rPr>
        <w:t xml:space="preserve">a person’s recovery is not the responsibility of their family and affected family members may require </w:t>
      </w:r>
      <w:r w:rsidR="00731B69">
        <w:rPr>
          <w:lang w:eastAsia="en-GB"/>
        </w:rPr>
        <w:t>therapeutic support in their own right.</w:t>
      </w:r>
    </w:p>
    <w:p w14:paraId="7E30C10E" w14:textId="77777777" w:rsidR="00731B69" w:rsidRDefault="00731B69" w:rsidP="00737297">
      <w:pPr>
        <w:pStyle w:val="NoSpacing"/>
        <w:spacing w:line="360" w:lineRule="auto"/>
      </w:pPr>
    </w:p>
    <w:p w14:paraId="08AD9C3D" w14:textId="5B6F6A34" w:rsidR="00B70334" w:rsidRDefault="00472AB5" w:rsidP="00737297">
      <w:pPr>
        <w:pStyle w:val="NoSpacing"/>
        <w:spacing w:line="360" w:lineRule="auto"/>
      </w:pPr>
      <w:r>
        <w:t xml:space="preserve">Parents </w:t>
      </w:r>
      <w:r w:rsidR="008F64B2">
        <w:t>should be able to access</w:t>
      </w:r>
      <w:r>
        <w:t xml:space="preserve"> a wide range of targeted prevention</w:t>
      </w:r>
      <w:r w:rsidR="001D3066">
        <w:t xml:space="preserve"> from </w:t>
      </w:r>
      <w:r w:rsidR="005F1946">
        <w:t xml:space="preserve">within the treatment system </w:t>
      </w:r>
      <w:r w:rsidR="0072627C">
        <w:t xml:space="preserve">to enhance their recovery capital, </w:t>
      </w:r>
      <w:r w:rsidR="005F1946">
        <w:t xml:space="preserve">from </w:t>
      </w:r>
      <w:r w:rsidR="001D3066">
        <w:t xml:space="preserve">support with housing and employment to activities specific to </w:t>
      </w:r>
      <w:r>
        <w:t>improv</w:t>
      </w:r>
      <w:r w:rsidR="001D3066">
        <w:t>ing</w:t>
      </w:r>
      <w:r>
        <w:t xml:space="preserve"> parenting skills and familial relationships</w:t>
      </w:r>
      <w:r w:rsidR="001A2362">
        <w:t xml:space="preserve"> (known as ‘</w:t>
      </w:r>
      <w:r w:rsidR="00AB7760">
        <w:t>parenting and/or family</w:t>
      </w:r>
      <w:r w:rsidR="001A2362">
        <w:t xml:space="preserve"> recovery support’)</w:t>
      </w:r>
      <w:r>
        <w:t xml:space="preserve">. </w:t>
      </w:r>
      <w:r w:rsidR="0072046E">
        <w:t>Another</w:t>
      </w:r>
      <w:r w:rsidR="007E4D51">
        <w:t xml:space="preserve"> form of </w:t>
      </w:r>
      <w:r w:rsidR="00510A41">
        <w:t xml:space="preserve">targeted </w:t>
      </w:r>
      <w:r w:rsidR="0072046E">
        <w:t xml:space="preserve">prevention is </w:t>
      </w:r>
      <w:r w:rsidR="007E4D51">
        <w:t>‘early help’</w:t>
      </w:r>
      <w:r w:rsidR="0072046E" w:rsidRPr="0072046E">
        <w:t xml:space="preserve"> </w:t>
      </w:r>
      <w:r w:rsidR="0072046E">
        <w:t xml:space="preserve">provided by </w:t>
      </w:r>
      <w:r w:rsidR="005437B6">
        <w:t xml:space="preserve">children and family services (viz. </w:t>
      </w:r>
      <w:r w:rsidR="0072046E">
        <w:t>children’s centres or Family Hubs</w:t>
      </w:r>
      <w:r w:rsidR="005437B6">
        <w:t xml:space="preserve">) which are </w:t>
      </w:r>
      <w:r w:rsidR="00154084">
        <w:t xml:space="preserve">a level </w:t>
      </w:r>
      <w:r w:rsidR="00E223B3">
        <w:t>above</w:t>
      </w:r>
      <w:r w:rsidR="00154084">
        <w:t xml:space="preserve"> universal </w:t>
      </w:r>
      <w:r w:rsidR="00E223B3">
        <w:t xml:space="preserve">access to </w:t>
      </w:r>
      <w:r w:rsidR="00154084">
        <w:t xml:space="preserve">‘early help’ </w:t>
      </w:r>
      <w:r w:rsidR="00AF36CA">
        <w:t xml:space="preserve">and below the threshold of statutory </w:t>
      </w:r>
      <w:r w:rsidR="000F62CD">
        <w:t>children’s social care</w:t>
      </w:r>
      <w:r w:rsidR="00AF36CA">
        <w:t xml:space="preserve"> </w:t>
      </w:r>
      <w:r w:rsidR="00FF254C">
        <w:t>such a</w:t>
      </w:r>
      <w:r w:rsidR="00B96F42">
        <w:t xml:space="preserve">s child protection </w:t>
      </w:r>
      <w:r w:rsidR="00167BB5">
        <w:fldChar w:fldCharType="begin"/>
      </w:r>
      <w:r w:rsidR="00B9334F">
        <w:instrText xml:space="preserve"> ADDIN EN.CITE &lt;EndNote&gt;&lt;Cite&gt;&lt;Author&gt;Children&amp;apos;s Commissioner&lt;/Author&gt;&lt;Year&gt;2024&lt;/Year&gt;&lt;RecNum&gt;239&lt;/RecNum&gt;&lt;DisplayText&gt;(Children&amp;apos;s Commissioner, 2024)&lt;/DisplayText&gt;&lt;record&gt;&lt;rec-number&gt;239&lt;/rec-number&gt;&lt;foreign-keys&gt;&lt;key app="EN" db-id="ffzvr5fstavwxoe9v04xf0wmp5t50as52da0" timestamp="1731671651" guid="6cd19cd3-46d4-4e03-9f40-5ed0167de54d"&gt;239&lt;/key&gt;&lt;/foreign-keys&gt;&lt;ref-type name="Electronic Article"&gt;43&lt;/ref-type&gt;&lt;contributors&gt;&lt;authors&gt;&lt;author&gt;Children&amp;apos;s Commissioner,&lt;/author&gt;&lt;/authors&gt;&lt;/contributors&gt;&lt;titles&gt;&lt;title&gt;Children on child in need plans&lt;/title&gt;&lt;/titles&gt;&lt;dates&gt;&lt;year&gt;2024&lt;/year&gt;&lt;pub-dates&gt;&lt;date&gt;01/04/2024&lt;/date&gt;&lt;/pub-dates&gt;&lt;/dates&gt;&lt;pub-location&gt;London&lt;/pub-location&gt;&lt;publisher&gt;Office for the Children&amp;apos;s Commissioner,&lt;/publisher&gt;&lt;urls&gt;&lt;related-urls&gt;&lt;url&gt;https://assets.childrenscommissioner.gov.uk/wpuploads/2024/03/Childreninneedreport.pdf&lt;/url&gt;&lt;/related-urls&gt;&lt;/urls&gt;&lt;/record&gt;&lt;/Cite&gt;&lt;/EndNote&gt;</w:instrText>
      </w:r>
      <w:r w:rsidR="00167BB5">
        <w:fldChar w:fldCharType="separate"/>
      </w:r>
      <w:r w:rsidR="00A77498">
        <w:rPr>
          <w:noProof/>
        </w:rPr>
        <w:t>(Children's Commissioner, 2024)</w:t>
      </w:r>
      <w:r w:rsidR="00167BB5">
        <w:fldChar w:fldCharType="end"/>
      </w:r>
      <w:r w:rsidR="002E4077">
        <w:t>.</w:t>
      </w:r>
      <w:r w:rsidR="00B70334">
        <w:t xml:space="preserve"> </w:t>
      </w:r>
    </w:p>
    <w:p w14:paraId="122342C0" w14:textId="77777777" w:rsidR="00B70334" w:rsidRDefault="00B70334" w:rsidP="00737297">
      <w:pPr>
        <w:pStyle w:val="NoSpacing"/>
        <w:spacing w:line="360" w:lineRule="auto"/>
      </w:pPr>
    </w:p>
    <w:p w14:paraId="5BE54AA6" w14:textId="50568C65" w:rsidR="00603906" w:rsidRDefault="00585A18" w:rsidP="00737297">
      <w:pPr>
        <w:pStyle w:val="NoSpacing"/>
        <w:spacing w:line="360" w:lineRule="auto"/>
      </w:pPr>
      <w:r>
        <w:t xml:space="preserve">While the NDTMS </w:t>
      </w:r>
      <w:r w:rsidR="00894CAA">
        <w:t xml:space="preserve">records </w:t>
      </w:r>
      <w:r w:rsidR="008B7E70">
        <w:t xml:space="preserve">targeted prevention activities, this data is hitherto not publicly available. </w:t>
      </w:r>
      <w:r w:rsidR="00371A51">
        <w:t xml:space="preserve">The Association of Directors of Children’s Services estimated that on 31 March 2022, there were 185,100 children </w:t>
      </w:r>
      <w:r w:rsidR="00EE54D7">
        <w:t>in</w:t>
      </w:r>
      <w:r w:rsidR="00371A51">
        <w:t xml:space="preserve"> targeted early help services</w:t>
      </w:r>
      <w:r w:rsidR="004C73ED">
        <w:t xml:space="preserve"> </w:t>
      </w:r>
      <w:r w:rsidR="004C73ED">
        <w:lastRenderedPageBreak/>
        <w:fldChar w:fldCharType="begin"/>
      </w:r>
      <w:r w:rsidR="00B9334F">
        <w:instrText xml:space="preserve"> ADDIN EN.CITE &lt;EndNote&gt;&lt;Cite&gt;&lt;Author&gt;Children&amp;apos;s Commissioner&lt;/Author&gt;&lt;Year&gt;2024&lt;/Year&gt;&lt;RecNum&gt;239&lt;/RecNum&gt;&lt;DisplayText&gt;(Children&amp;apos;s Commissioner, 2024)&lt;/DisplayText&gt;&lt;record&gt;&lt;rec-number&gt;239&lt;/rec-number&gt;&lt;foreign-keys&gt;&lt;key app="EN" db-id="ffzvr5fstavwxoe9v04xf0wmp5t50as52da0" timestamp="1731671651" guid="6cd19cd3-46d4-4e03-9f40-5ed0167de54d"&gt;239&lt;/key&gt;&lt;/foreign-keys&gt;&lt;ref-type name="Electronic Article"&gt;43&lt;/ref-type&gt;&lt;contributors&gt;&lt;authors&gt;&lt;author&gt;Children&amp;apos;s Commissioner,&lt;/author&gt;&lt;/authors&gt;&lt;/contributors&gt;&lt;titles&gt;&lt;title&gt;Children on child in need plans&lt;/title&gt;&lt;/titles&gt;&lt;dates&gt;&lt;year&gt;2024&lt;/year&gt;&lt;pub-dates&gt;&lt;date&gt;01/04/2024&lt;/date&gt;&lt;/pub-dates&gt;&lt;/dates&gt;&lt;pub-location&gt;London&lt;/pub-location&gt;&lt;publisher&gt;Office for the Children&amp;apos;s Commissioner,&lt;/publisher&gt;&lt;urls&gt;&lt;related-urls&gt;&lt;url&gt;https://assets.childrenscommissioner.gov.uk/wpuploads/2024/03/Childreninneedreport.pdf&lt;/url&gt;&lt;/related-urls&gt;&lt;/urls&gt;&lt;/record&gt;&lt;/Cite&gt;&lt;/EndNote&gt;</w:instrText>
      </w:r>
      <w:r w:rsidR="004C73ED">
        <w:fldChar w:fldCharType="separate"/>
      </w:r>
      <w:r w:rsidR="00A77498">
        <w:rPr>
          <w:noProof/>
        </w:rPr>
        <w:t>(Children's Commissioner, 2024)</w:t>
      </w:r>
      <w:r w:rsidR="004C73ED">
        <w:fldChar w:fldCharType="end"/>
      </w:r>
      <w:r w:rsidR="00EE54D7">
        <w:t xml:space="preserve">. </w:t>
      </w:r>
      <w:r w:rsidR="004C73ED">
        <w:t>It is not possible to know how many of these were parental SUD-related.</w:t>
      </w:r>
    </w:p>
    <w:p w14:paraId="36633CFF" w14:textId="77777777" w:rsidR="00371A51" w:rsidRDefault="00371A51" w:rsidP="00737297">
      <w:pPr>
        <w:pStyle w:val="NoSpacing"/>
        <w:spacing w:line="360" w:lineRule="auto"/>
      </w:pPr>
    </w:p>
    <w:p w14:paraId="0DE8E6DB" w14:textId="266E8692" w:rsidR="002A74D3" w:rsidRDefault="00CA673F" w:rsidP="009C3BBC">
      <w:pPr>
        <w:pStyle w:val="Heading3"/>
        <w:numPr>
          <w:ilvl w:val="2"/>
          <w:numId w:val="18"/>
        </w:numPr>
        <w:spacing w:line="360" w:lineRule="auto"/>
      </w:pPr>
      <w:bookmarkStart w:id="23" w:name="_Toc189229652"/>
      <w:r>
        <w:t>Statutory c</w:t>
      </w:r>
      <w:r w:rsidR="00C40EF2">
        <w:t>hildren’s social care</w:t>
      </w:r>
      <w:r w:rsidR="008865F2">
        <w:t xml:space="preserve"> services</w:t>
      </w:r>
      <w:bookmarkEnd w:id="23"/>
    </w:p>
    <w:p w14:paraId="5671F697" w14:textId="7E248714" w:rsidR="00982F70" w:rsidRDefault="00F56424" w:rsidP="00737297">
      <w:pPr>
        <w:pStyle w:val="NoSpacing"/>
        <w:spacing w:line="360" w:lineRule="auto"/>
        <w:rPr>
          <w:rStyle w:val="normaltextrun"/>
        </w:rPr>
      </w:pPr>
      <w:r>
        <w:rPr>
          <w:rStyle w:val="normaltextrun"/>
        </w:rPr>
        <w:t>S</w:t>
      </w:r>
      <w:r w:rsidRPr="00F438C3">
        <w:rPr>
          <w:rStyle w:val="normaltextrun"/>
        </w:rPr>
        <w:t>tat</w:t>
      </w:r>
      <w:r>
        <w:rPr>
          <w:rStyle w:val="normaltextrun"/>
        </w:rPr>
        <w:t xml:space="preserve">utory </w:t>
      </w:r>
      <w:r w:rsidR="00F438C3">
        <w:rPr>
          <w:rStyle w:val="normaltextrun"/>
        </w:rPr>
        <w:t>c</w:t>
      </w:r>
      <w:r w:rsidR="006A06D4" w:rsidRPr="00F438C3">
        <w:rPr>
          <w:rStyle w:val="normaltextrun"/>
        </w:rPr>
        <w:t xml:space="preserve">hild </w:t>
      </w:r>
      <w:r w:rsidR="0042328C" w:rsidRPr="00F438C3">
        <w:rPr>
          <w:rStyle w:val="normaltextrun"/>
        </w:rPr>
        <w:t xml:space="preserve">welfare </w:t>
      </w:r>
      <w:r w:rsidR="0042328C">
        <w:rPr>
          <w:rStyle w:val="normaltextrun"/>
        </w:rPr>
        <w:t>services</w:t>
      </w:r>
      <w:r w:rsidR="00ED4118">
        <w:rPr>
          <w:rStyle w:val="normaltextrun"/>
        </w:rPr>
        <w:t xml:space="preserve"> </w:t>
      </w:r>
      <w:r w:rsidR="006A4D9C">
        <w:rPr>
          <w:rStyle w:val="normaltextrun"/>
        </w:rPr>
        <w:t xml:space="preserve">under children’s social care </w:t>
      </w:r>
      <w:r w:rsidR="00ED4118">
        <w:rPr>
          <w:rStyle w:val="normaltextrun"/>
        </w:rPr>
        <w:t>a</w:t>
      </w:r>
      <w:r w:rsidR="00B21D77">
        <w:rPr>
          <w:rStyle w:val="normaltextrun"/>
        </w:rPr>
        <w:t>r</w:t>
      </w:r>
      <w:r w:rsidR="00ED4118">
        <w:rPr>
          <w:rStyle w:val="normaltextrun"/>
        </w:rPr>
        <w:t xml:space="preserve">e </w:t>
      </w:r>
      <w:r w:rsidR="00B21D77">
        <w:rPr>
          <w:rStyle w:val="normaltextrun"/>
        </w:rPr>
        <w:t xml:space="preserve">managed by child social workers </w:t>
      </w:r>
      <w:r w:rsidR="00CA673F">
        <w:rPr>
          <w:rStyle w:val="normaltextrun"/>
        </w:rPr>
        <w:t>and encompass</w:t>
      </w:r>
      <w:r w:rsidR="00B21D77">
        <w:rPr>
          <w:rStyle w:val="normaltextrun"/>
        </w:rPr>
        <w:t xml:space="preserve"> </w:t>
      </w:r>
      <w:r w:rsidR="00EA20E6">
        <w:rPr>
          <w:rStyle w:val="normaltextrun"/>
        </w:rPr>
        <w:t xml:space="preserve">safeguarding </w:t>
      </w:r>
      <w:r w:rsidR="00B21D77">
        <w:rPr>
          <w:rStyle w:val="normaltextrun"/>
        </w:rPr>
        <w:t xml:space="preserve">assessment, case management </w:t>
      </w:r>
      <w:r w:rsidR="00EA20E6">
        <w:rPr>
          <w:rStyle w:val="normaltextrun"/>
        </w:rPr>
        <w:t>and child protection investigations</w:t>
      </w:r>
      <w:r w:rsidR="00D40223">
        <w:rPr>
          <w:rStyle w:val="normaltextrun"/>
        </w:rPr>
        <w:t xml:space="preserve">. In England, </w:t>
      </w:r>
      <w:r w:rsidR="008D3F18">
        <w:rPr>
          <w:rStyle w:val="normaltextrun"/>
        </w:rPr>
        <w:t xml:space="preserve">whether a child </w:t>
      </w:r>
      <w:r w:rsidR="00485204">
        <w:rPr>
          <w:rStyle w:val="normaltextrun"/>
        </w:rPr>
        <w:t>receives support from</w:t>
      </w:r>
      <w:r w:rsidR="008D3F18">
        <w:rPr>
          <w:rStyle w:val="normaltextrun"/>
        </w:rPr>
        <w:t xml:space="preserve"> statutory </w:t>
      </w:r>
      <w:r w:rsidR="00CA673F">
        <w:rPr>
          <w:rStyle w:val="normaltextrun"/>
        </w:rPr>
        <w:t>children’s social care</w:t>
      </w:r>
      <w:r w:rsidR="008D3F18">
        <w:rPr>
          <w:rStyle w:val="normaltextrun"/>
        </w:rPr>
        <w:t xml:space="preserve"> is</w:t>
      </w:r>
      <w:r w:rsidR="00D40223">
        <w:rPr>
          <w:rStyle w:val="normaltextrun"/>
        </w:rPr>
        <w:t xml:space="preserve"> determined by both operational and legal thresholds</w:t>
      </w:r>
      <w:r w:rsidR="008D3F18">
        <w:rPr>
          <w:rStyle w:val="normaltextrun"/>
        </w:rPr>
        <w:t xml:space="preserve"> </w:t>
      </w:r>
      <w:r w:rsidR="004C6A25">
        <w:rPr>
          <w:rStyle w:val="normaltextrun"/>
        </w:rPr>
        <w:fldChar w:fldCharType="begin"/>
      </w:r>
      <w:r w:rsidR="00F51BFE">
        <w:rPr>
          <w:rStyle w:val="normaltextrun"/>
        </w:rPr>
        <w:instrText xml:space="preserve"> ADDIN EN.CITE &lt;EndNote&gt;&lt;Cite&gt;&lt;Author&gt;Hood&lt;/Author&gt;&lt;Year&gt;2024&lt;/Year&gt;&lt;RecNum&gt;720&lt;/RecNum&gt;&lt;DisplayText&gt;(Hood et al., 2024)&lt;/DisplayText&gt;&lt;record&gt;&lt;rec-number&gt;720&lt;/rec-number&gt;&lt;foreign-keys&gt;&lt;key app="EN" db-id="ffzvr5fstavwxoe9v04xf0wmp5t50as52da0" timestamp="1734965984" guid="f4be13f2-ddc4-4da0-b3e8-c6c3525de4de"&gt;720&lt;/key&gt;&lt;/foreign-keys&gt;&lt;ref-type name="Journal Article"&gt;17&lt;/ref-type&gt;&lt;contributors&gt;&lt;authors&gt;&lt;author&gt;Hood, Rick&lt;/author&gt;&lt;author&gt;Goldacre, Allie&lt;/author&gt;&lt;author&gt;Jones, Ed&lt;/author&gt;&lt;author&gt;Martin, Emma&lt;/author&gt;&lt;author&gt;Clements, Keith&lt;/author&gt;&lt;author&gt;Webb, Calum&lt;/author&gt;&lt;/authors&gt;&lt;/contributors&gt;&lt;titles&gt;&lt;title&gt;Intervention Pathways following a Social Work Assessment: An Analysis of National Administrative Data for Children’s Social Care in England&lt;/title&gt;&lt;secondary-title&gt;The British Journal of Social Work&lt;/secondary-title&gt;&lt;/titles&gt;&lt;periodical&gt;&lt;full-title&gt;The British Journal of Social Work&lt;/full-title&gt;&lt;/periodical&gt;&lt;pages&gt;2937-2956&lt;/pages&gt;&lt;volume&gt;54&lt;/volume&gt;&lt;number&gt;7&lt;/number&gt;&lt;dates&gt;&lt;year&gt;2024&lt;/year&gt;&lt;/dates&gt;&lt;isbn&gt;0045-3102&lt;/isbn&gt;&lt;urls&gt;&lt;related-urls&gt;&lt;url&gt;https://doi.org/10.1093/bjsw/bcae070&lt;/url&gt;&lt;/related-urls&gt;&lt;/urls&gt;&lt;electronic-resource-num&gt;10.1093/bjsw/bcae070&lt;/electronic-resource-num&gt;&lt;access-date&gt;12/23/2024&lt;/access-date&gt;&lt;/record&gt;&lt;/Cite&gt;&lt;/EndNote&gt;</w:instrText>
      </w:r>
      <w:r w:rsidR="004C6A25">
        <w:rPr>
          <w:rStyle w:val="normaltextrun"/>
        </w:rPr>
        <w:fldChar w:fldCharType="separate"/>
      </w:r>
      <w:r w:rsidR="004C6A25">
        <w:rPr>
          <w:rStyle w:val="normaltextrun"/>
          <w:noProof/>
        </w:rPr>
        <w:t>(Hood et al., 2024)</w:t>
      </w:r>
      <w:r w:rsidR="004C6A25">
        <w:rPr>
          <w:rStyle w:val="normaltextrun"/>
        </w:rPr>
        <w:fldChar w:fldCharType="end"/>
      </w:r>
      <w:r w:rsidR="004C6A25">
        <w:rPr>
          <w:rStyle w:val="normaltextrun"/>
        </w:rPr>
        <w:t>.</w:t>
      </w:r>
    </w:p>
    <w:p w14:paraId="2F3CA46D" w14:textId="77777777" w:rsidR="0042328C" w:rsidRDefault="0042328C" w:rsidP="00737297">
      <w:pPr>
        <w:pStyle w:val="NoSpacing"/>
        <w:spacing w:line="360" w:lineRule="auto"/>
        <w:rPr>
          <w:rStyle w:val="normaltextrun"/>
        </w:rPr>
      </w:pPr>
    </w:p>
    <w:p w14:paraId="1C98E360" w14:textId="5CF49D1F" w:rsidR="006A06D4" w:rsidRDefault="00B92364" w:rsidP="00737297">
      <w:pPr>
        <w:pStyle w:val="NoSpacing"/>
        <w:spacing w:line="360" w:lineRule="auto"/>
      </w:pPr>
      <w:r>
        <w:rPr>
          <w:rStyle w:val="normaltextrun"/>
        </w:rPr>
        <w:t>If</w:t>
      </w:r>
      <w:r w:rsidR="005E13BD">
        <w:rPr>
          <w:rStyle w:val="normaltextrun"/>
        </w:rPr>
        <w:t xml:space="preserve"> a child</w:t>
      </w:r>
      <w:r w:rsidR="00597E25">
        <w:rPr>
          <w:rStyle w:val="normaltextrun"/>
        </w:rPr>
        <w:t xml:space="preserve"> is disabled or their </w:t>
      </w:r>
      <w:r w:rsidR="008C6CE5">
        <w:rPr>
          <w:rStyle w:val="normaltextrun"/>
        </w:rPr>
        <w:t xml:space="preserve">development </w:t>
      </w:r>
      <w:r w:rsidR="00F8747A">
        <w:rPr>
          <w:rStyle w:val="normaltextrun"/>
        </w:rPr>
        <w:t>is likely to be impaired</w:t>
      </w:r>
      <w:r w:rsidR="0041491D">
        <w:rPr>
          <w:rStyle w:val="normaltextrun"/>
        </w:rPr>
        <w:t xml:space="preserve"> </w:t>
      </w:r>
      <w:r w:rsidR="00F8747A">
        <w:rPr>
          <w:rStyle w:val="normaltextrun"/>
        </w:rPr>
        <w:t xml:space="preserve">or unlikely to be achieved or maintained </w:t>
      </w:r>
      <w:r w:rsidR="008C6CE5">
        <w:rPr>
          <w:rStyle w:val="normaltextrun"/>
        </w:rPr>
        <w:t>without intervention</w:t>
      </w:r>
      <w:r w:rsidR="00597E25">
        <w:rPr>
          <w:rStyle w:val="normaltextrun"/>
        </w:rPr>
        <w:t xml:space="preserve">, </w:t>
      </w:r>
      <w:r w:rsidR="00C23488">
        <w:rPr>
          <w:rStyle w:val="normaltextrun"/>
        </w:rPr>
        <w:t xml:space="preserve">they </w:t>
      </w:r>
      <w:r w:rsidR="00D20EA3">
        <w:rPr>
          <w:rStyle w:val="normaltextrun"/>
        </w:rPr>
        <w:t xml:space="preserve">are classified as a </w:t>
      </w:r>
      <w:r w:rsidR="00597E25">
        <w:rPr>
          <w:rStyle w:val="normaltextrun"/>
        </w:rPr>
        <w:t>‘</w:t>
      </w:r>
      <w:r w:rsidR="00D20EA3">
        <w:rPr>
          <w:rStyle w:val="normaltextrun"/>
        </w:rPr>
        <w:t>child in need</w:t>
      </w:r>
      <w:r w:rsidR="00597E25">
        <w:rPr>
          <w:rStyle w:val="normaltextrun"/>
        </w:rPr>
        <w:t>’</w:t>
      </w:r>
      <w:r w:rsidR="00D20EA3">
        <w:rPr>
          <w:rStyle w:val="normaltextrun"/>
        </w:rPr>
        <w:t xml:space="preserve"> under section 17 of </w:t>
      </w:r>
      <w:r w:rsidR="00CE7EDB">
        <w:rPr>
          <w:rStyle w:val="normaltextrun"/>
        </w:rPr>
        <w:t xml:space="preserve">the </w:t>
      </w:r>
      <w:r w:rsidR="00D20EA3">
        <w:rPr>
          <w:rStyle w:val="normaltextrun"/>
        </w:rPr>
        <w:t>Children Act 1989. Interventions provided vary according to safeguarding risk.</w:t>
      </w:r>
      <w:r w:rsidR="00C67295">
        <w:rPr>
          <w:rStyle w:val="normaltextrun"/>
        </w:rPr>
        <w:t xml:space="preserve"> If </w:t>
      </w:r>
      <w:r w:rsidR="00F8747A">
        <w:rPr>
          <w:rStyle w:val="normaltextrun"/>
        </w:rPr>
        <w:t>there is</w:t>
      </w:r>
      <w:r w:rsidR="00B54E8C">
        <w:rPr>
          <w:rStyle w:val="normaltextrun"/>
        </w:rPr>
        <w:t xml:space="preserve"> no current risk of child maltreatment, </w:t>
      </w:r>
      <w:r w:rsidR="001A72C5">
        <w:rPr>
          <w:rStyle w:val="normaltextrun"/>
        </w:rPr>
        <w:t>a child</w:t>
      </w:r>
      <w:r w:rsidR="00B54E8C">
        <w:rPr>
          <w:rStyle w:val="normaltextrun"/>
        </w:rPr>
        <w:t xml:space="preserve"> may be </w:t>
      </w:r>
      <w:r w:rsidR="005E3246">
        <w:rPr>
          <w:rStyle w:val="normaltextrun"/>
        </w:rPr>
        <w:t>put</w:t>
      </w:r>
      <w:r w:rsidR="00B54E8C">
        <w:rPr>
          <w:rStyle w:val="normaltextrun"/>
        </w:rPr>
        <w:t xml:space="preserve"> on a child in need plan</w:t>
      </w:r>
      <w:r w:rsidR="00756A63">
        <w:rPr>
          <w:rStyle w:val="normaltextrun"/>
        </w:rPr>
        <w:t xml:space="preserve">, </w:t>
      </w:r>
      <w:r w:rsidR="009C2BA0">
        <w:rPr>
          <w:rStyle w:val="normaltextrun"/>
        </w:rPr>
        <w:t xml:space="preserve">whereas </w:t>
      </w:r>
      <w:r w:rsidR="00C67295" w:rsidRPr="00F438C3">
        <w:rPr>
          <w:rStyle w:val="normaltextrun"/>
        </w:rPr>
        <w:t>in cases of current or likely future child maltreatment</w:t>
      </w:r>
      <w:r w:rsidR="00C67295">
        <w:rPr>
          <w:rStyle w:val="normaltextrun"/>
        </w:rPr>
        <w:t xml:space="preserve">, the child may </w:t>
      </w:r>
      <w:r w:rsidR="005E3246">
        <w:rPr>
          <w:rStyle w:val="normaltextrun"/>
        </w:rPr>
        <w:t>be put</w:t>
      </w:r>
      <w:r w:rsidR="00C67295">
        <w:rPr>
          <w:rStyle w:val="normaltextrun"/>
        </w:rPr>
        <w:t xml:space="preserve"> on a child protection plan</w:t>
      </w:r>
      <w:r w:rsidR="00FA0812">
        <w:rPr>
          <w:rStyle w:val="normaltextrun"/>
        </w:rPr>
        <w:t xml:space="preserve"> following a child protection conference under section 47</w:t>
      </w:r>
      <w:r w:rsidR="009C2BA0">
        <w:rPr>
          <w:rStyle w:val="normaltextrun"/>
        </w:rPr>
        <w:t>.</w:t>
      </w:r>
      <w:r w:rsidR="00C67295">
        <w:rPr>
          <w:rStyle w:val="normaltextrun"/>
        </w:rPr>
        <w:t xml:space="preserve"> </w:t>
      </w:r>
      <w:r w:rsidR="009C2BA0">
        <w:rPr>
          <w:rStyle w:val="normaltextrun"/>
        </w:rPr>
        <w:t>I</w:t>
      </w:r>
      <w:r w:rsidR="00C67295">
        <w:rPr>
          <w:rStyle w:val="normaltextrun"/>
        </w:rPr>
        <w:t xml:space="preserve">n extreme cases </w:t>
      </w:r>
      <w:r w:rsidR="006D297F">
        <w:rPr>
          <w:rStyle w:val="normaltextrun"/>
        </w:rPr>
        <w:t>the child</w:t>
      </w:r>
      <w:r w:rsidR="006A06D4" w:rsidRPr="00F438C3">
        <w:rPr>
          <w:rStyle w:val="normaltextrun"/>
        </w:rPr>
        <w:t xml:space="preserve"> may be removed from their caregivers and placed into care </w:t>
      </w:r>
      <w:r w:rsidR="00DB631D">
        <w:rPr>
          <w:rStyle w:val="normaltextrun"/>
        </w:rPr>
        <w:fldChar w:fldCharType="begin">
          <w:fldData xml:space="preserve">PEVuZE5vdGU+PENpdGU+PEF1dGhvcj5ITSBHb3Zlcm5tZW50PC9BdXRob3I+PFllYXI+MjAxODwv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==
</w:fldData>
        </w:fldChar>
      </w:r>
      <w:r w:rsidR="00F51BFE">
        <w:rPr>
          <w:rStyle w:val="normaltextrun"/>
        </w:rPr>
        <w:instrText xml:space="preserve"> ADDIN EN.CITE </w:instrText>
      </w:r>
      <w:r w:rsidR="00F51BFE">
        <w:rPr>
          <w:rStyle w:val="normaltextrun"/>
        </w:rPr>
        <w:fldChar w:fldCharType="begin">
          <w:fldData xml:space="preserve">PEVuZE5vdGU+PENpdGU+PEF1dGhvcj5ITSBHb3Zlcm5tZW50PC9BdXRob3I+PFllYXI+MjAxODwv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==
</w:fldData>
        </w:fldChar>
      </w:r>
      <w:r w:rsidR="00F51BFE">
        <w:rPr>
          <w:rStyle w:val="normaltextrun"/>
        </w:rPr>
        <w:instrText xml:space="preserve"> ADDIN EN.CITE.DATA </w:instrText>
      </w:r>
      <w:r w:rsidR="00F51BFE">
        <w:rPr>
          <w:rStyle w:val="normaltextrun"/>
        </w:rPr>
      </w:r>
      <w:r w:rsidR="00F51BFE">
        <w:rPr>
          <w:rStyle w:val="normaltextrun"/>
        </w:rPr>
        <w:fldChar w:fldCharType="end"/>
      </w:r>
      <w:r w:rsidR="00DB631D">
        <w:rPr>
          <w:rStyle w:val="normaltextrun"/>
        </w:rPr>
      </w:r>
      <w:r w:rsidR="00DB631D">
        <w:rPr>
          <w:rStyle w:val="normaltextrun"/>
        </w:rPr>
        <w:fldChar w:fldCharType="separate"/>
      </w:r>
      <w:r w:rsidR="002E705C">
        <w:rPr>
          <w:rStyle w:val="normaltextrun"/>
          <w:noProof/>
        </w:rPr>
        <w:t>(HM Government, 2018, 2023; Hood et al., 2024)</w:t>
      </w:r>
      <w:r w:rsidR="00DB631D">
        <w:rPr>
          <w:rStyle w:val="normaltextrun"/>
        </w:rPr>
        <w:fldChar w:fldCharType="end"/>
      </w:r>
      <w:r w:rsidR="00AA1612">
        <w:t xml:space="preserve"> </w:t>
      </w:r>
    </w:p>
    <w:p w14:paraId="382F73B4" w14:textId="77777777" w:rsidR="00BD5F12" w:rsidRDefault="00BD5F12" w:rsidP="00737297">
      <w:pPr>
        <w:pStyle w:val="NoSpacing"/>
        <w:spacing w:line="360" w:lineRule="auto"/>
      </w:pPr>
    </w:p>
    <w:p w14:paraId="128989C0" w14:textId="2CE8B7BD" w:rsidR="008532BF" w:rsidRPr="008532BF" w:rsidRDefault="008532BF" w:rsidP="008532BF">
      <w:pPr>
        <w:spacing w:line="360" w:lineRule="auto"/>
        <w:rPr>
          <w:rStyle w:val="eop"/>
          <w:rFonts w:cs="Arial"/>
        </w:rPr>
      </w:pPr>
      <w:r>
        <w:rPr>
          <w:rFonts w:cs="Arial"/>
        </w:rPr>
        <w:t>Substance use</w:t>
      </w:r>
      <w:r w:rsidRPr="00925EA9">
        <w:rPr>
          <w:rFonts w:cs="Arial"/>
        </w:rPr>
        <w:t xml:space="preserve"> may be the sole reason parents are in contact with </w:t>
      </w:r>
      <w:r w:rsidR="00CB0849">
        <w:rPr>
          <w:rFonts w:cs="Arial"/>
        </w:rPr>
        <w:t xml:space="preserve">statutory </w:t>
      </w:r>
      <w:r w:rsidR="000F62CD">
        <w:rPr>
          <w:rFonts w:cs="Arial"/>
        </w:rPr>
        <w:t>children’s social care</w:t>
      </w:r>
      <w:r w:rsidRPr="00925EA9">
        <w:rPr>
          <w:rFonts w:cs="Arial"/>
        </w:rPr>
        <w:t xml:space="preserve">, or </w:t>
      </w:r>
      <w:r w:rsidR="002D256F">
        <w:rPr>
          <w:rStyle w:val="normaltextrun"/>
          <w:szCs w:val="24"/>
        </w:rPr>
        <w:t>there</w:t>
      </w:r>
      <w:r w:rsidR="002D256F" w:rsidRPr="008532BF">
        <w:rPr>
          <w:rStyle w:val="normaltextrun"/>
          <w:szCs w:val="24"/>
        </w:rPr>
        <w:t xml:space="preserve"> </w:t>
      </w:r>
      <w:r w:rsidRPr="008532BF">
        <w:rPr>
          <w:rStyle w:val="normaltextrun"/>
          <w:szCs w:val="24"/>
        </w:rPr>
        <w:t xml:space="preserve">may be corresponding issues that require support, such as domestic violence. More than one issue present within a family </w:t>
      </w:r>
      <w:r w:rsidR="00B30683">
        <w:rPr>
          <w:rStyle w:val="normaltextrun"/>
          <w:szCs w:val="24"/>
        </w:rPr>
        <w:t xml:space="preserve">is thought to </w:t>
      </w:r>
      <w:r w:rsidRPr="008532BF">
        <w:rPr>
          <w:rStyle w:val="normaltextrun"/>
          <w:szCs w:val="24"/>
        </w:rPr>
        <w:t xml:space="preserve">create a cumulative risk of harm to the child and such families are more likely to be known to services </w:t>
      </w:r>
      <w:r w:rsidRPr="008532BF">
        <w:rPr>
          <w:rStyle w:val="normaltextrun"/>
          <w:szCs w:val="24"/>
        </w:rPr>
        <w:fldChar w:fldCharType="begin">
          <w:fldData xml:space="preserve">PEVuZE5vdGU+PENpdGU+PEF1dGhvcj5TaWRlYm90aGFtPC9BdXRob3I+PFllYXI+MjAxNjwvWWVh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</w:fldData>
        </w:fldChar>
      </w:r>
      <w:r w:rsidR="003052E8">
        <w:rPr>
          <w:rStyle w:val="normaltextrun"/>
          <w:szCs w:val="24"/>
        </w:rPr>
        <w:instrText xml:space="preserve"> ADDIN EN.CITE </w:instrText>
      </w:r>
      <w:r w:rsidR="003052E8">
        <w:rPr>
          <w:rStyle w:val="normaltextrun"/>
          <w:szCs w:val="24"/>
        </w:rPr>
        <w:fldChar w:fldCharType="begin">
          <w:fldData xml:space="preserve">PEVuZE5vdGU+PENpdGU+PEF1dGhvcj5TaWRlYm90aGFtPC9BdXRob3I+PFllYXI+MjAxNjwvWWVh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</w:fldData>
        </w:fldChar>
      </w:r>
      <w:r w:rsidR="003052E8">
        <w:rPr>
          <w:rStyle w:val="normaltextrun"/>
          <w:szCs w:val="24"/>
        </w:rPr>
        <w:instrText xml:space="preserve"> ADDIN EN.CITE.DATA </w:instrText>
      </w:r>
      <w:r w:rsidR="003052E8">
        <w:rPr>
          <w:rStyle w:val="normaltextrun"/>
          <w:szCs w:val="24"/>
        </w:rPr>
      </w:r>
      <w:r w:rsidR="003052E8">
        <w:rPr>
          <w:rStyle w:val="normaltextrun"/>
          <w:szCs w:val="24"/>
        </w:rPr>
        <w:fldChar w:fldCharType="end"/>
      </w:r>
      <w:r w:rsidRPr="008532BF">
        <w:rPr>
          <w:rStyle w:val="normaltextrun"/>
          <w:szCs w:val="24"/>
        </w:rPr>
      </w:r>
      <w:r w:rsidRPr="008532BF">
        <w:rPr>
          <w:rStyle w:val="normaltextrun"/>
          <w:szCs w:val="24"/>
        </w:rPr>
        <w:fldChar w:fldCharType="separate"/>
      </w:r>
      <w:r w:rsidR="003052E8">
        <w:rPr>
          <w:rStyle w:val="normaltextrun"/>
          <w:noProof/>
          <w:szCs w:val="24"/>
        </w:rPr>
        <w:t>(Canfield et al., 2017; Sidebotham et al., 2016a)</w:t>
      </w:r>
      <w:r w:rsidRPr="008532BF">
        <w:rPr>
          <w:rStyle w:val="normaltextrun"/>
          <w:szCs w:val="24"/>
        </w:rPr>
        <w:fldChar w:fldCharType="end"/>
      </w:r>
      <w:r w:rsidRPr="008532BF">
        <w:rPr>
          <w:rStyle w:val="normaltextrun"/>
          <w:szCs w:val="24"/>
        </w:rPr>
        <w:t>.</w:t>
      </w:r>
      <w:r>
        <w:rPr>
          <w:rFonts w:cs="Arial"/>
        </w:rPr>
        <w:t xml:space="preserve"> </w:t>
      </w:r>
    </w:p>
    <w:p w14:paraId="6F78F878" w14:textId="77777777" w:rsidR="00011A4C" w:rsidRDefault="00011A4C" w:rsidP="00737297">
      <w:pPr>
        <w:pStyle w:val="NoSpacing"/>
        <w:spacing w:line="360" w:lineRule="auto"/>
      </w:pPr>
    </w:p>
    <w:p w14:paraId="0641C52A" w14:textId="3607A8FB" w:rsidR="00CF26A8" w:rsidRPr="00862A72" w:rsidRDefault="0094077B" w:rsidP="00737297">
      <w:pPr>
        <w:pStyle w:val="NoSpacing"/>
        <w:spacing w:line="360" w:lineRule="auto"/>
        <w:rPr>
          <w:i/>
          <w:iCs/>
        </w:rPr>
      </w:pPr>
      <w:r>
        <w:t xml:space="preserve">In </w:t>
      </w:r>
      <w:r w:rsidR="00813FCF">
        <w:t xml:space="preserve">2022 to 2023, </w:t>
      </w:r>
      <w:r w:rsidR="00CB00F3">
        <w:t xml:space="preserve">there were </w:t>
      </w:r>
      <w:r w:rsidR="007F2101">
        <w:t xml:space="preserve">around 508,000 </w:t>
      </w:r>
      <w:r w:rsidR="00547A7E">
        <w:t xml:space="preserve">assessments under section 17 of the Children Act 1989 </w:t>
      </w:r>
      <w:r w:rsidR="007F2101">
        <w:t>w</w:t>
      </w:r>
      <w:r w:rsidR="004C0806">
        <w:t>ith</w:t>
      </w:r>
      <w:r w:rsidR="007F2101">
        <w:t xml:space="preserve"> </w:t>
      </w:r>
      <w:r w:rsidR="006A6E81">
        <w:t xml:space="preserve">various </w:t>
      </w:r>
      <w:r w:rsidR="001B14D7">
        <w:t xml:space="preserve">safeguarding </w:t>
      </w:r>
      <w:r w:rsidR="006A6E81">
        <w:t xml:space="preserve">factors identified at the end of </w:t>
      </w:r>
      <w:r w:rsidR="00547A7E">
        <w:t xml:space="preserve">each </w:t>
      </w:r>
      <w:r w:rsidR="006A6E81">
        <w:t xml:space="preserve">assessment. Of these, </w:t>
      </w:r>
      <w:r w:rsidR="00616D16">
        <w:t xml:space="preserve">13.2% were recorded as parental drug use being a factor </w:t>
      </w:r>
      <w:r w:rsidR="00356600">
        <w:t>(increasing to 16.2% to include any adult) and 14.1%</w:t>
      </w:r>
      <w:r w:rsidR="001B14D7">
        <w:t xml:space="preserve"> as</w:t>
      </w:r>
      <w:r w:rsidR="00356600">
        <w:t xml:space="preserve"> parental alcohol use (</w:t>
      </w:r>
      <w:r w:rsidR="002B3235">
        <w:t>increasing to 16.3% to include any adult</w:t>
      </w:r>
      <w:r w:rsidR="00356600">
        <w:t>)</w:t>
      </w:r>
      <w:r w:rsidR="004E2CCF">
        <w:t xml:space="preserve"> </w:t>
      </w:r>
      <w:r w:rsidR="004E2CCF">
        <w:fldChar w:fldCharType="begin"/>
      </w:r>
      <w:r w:rsidR="00B9334F">
        <w:instrText xml:space="preserve"> ADDIN EN.CITE &lt;EndNote&gt;&lt;Cite&gt;&lt;Author&gt;DfE&lt;/Author&gt;&lt;Year&gt;2023&lt;/Year&gt;&lt;RecNum&gt;242&lt;/RecNum&gt;&lt;DisplayText&gt;(DfE, 2023)&lt;/DisplayText&gt;&lt;record&gt;&lt;rec-number&gt;242&lt;/rec-number&gt;&lt;foreign-keys&gt;&lt;key app="EN" db-id="ffzvr5fstavwxoe9v04xf0wmp5t50as52da0" timestamp="1731671651" guid="e55e5397-ac75-458b-a308-c06ecaa76020"&gt;242&lt;/key&gt;&lt;/foreign-keys&gt;&lt;ref-type name="Online Database"&gt;45&lt;/ref-type&gt;&lt;contributors&gt;&lt;authors&gt;&lt;author&gt;DfE&lt;/author&gt;&lt;/authors&gt;&lt;/contributors&gt;&lt;titles&gt;&lt;title&gt;Reporting year 2023. Children in need&lt;/title&gt;&lt;/titles&gt;&lt;dates&gt;&lt;year&gt;2023&lt;/year&gt;&lt;pub-dates&gt;&lt;date&gt;01/04/2024&lt;/date&gt;&lt;/pub-dates&gt;&lt;/dates&gt;&lt;publisher&gt;Department for Education,&lt;/publisher&gt;&lt;urls&gt;&lt;related-urls&gt;&lt;url&gt;https://explore-education-statistics.service.gov.uk/find-statistics/characteristics-of-children-in-need/2023#explore-data-and-files&lt;/url&gt;&lt;/related-urls&gt;&lt;/urls&gt;&lt;/record&gt;&lt;/Cite&gt;&lt;/EndNote&gt;</w:instrText>
      </w:r>
      <w:r w:rsidR="004E2CCF">
        <w:fldChar w:fldCharType="separate"/>
      </w:r>
      <w:r w:rsidR="00A77498">
        <w:rPr>
          <w:noProof/>
        </w:rPr>
        <w:t>(DfE, 2023)</w:t>
      </w:r>
      <w:r w:rsidR="004E2CCF">
        <w:fldChar w:fldCharType="end"/>
      </w:r>
      <w:r w:rsidR="002B3235">
        <w:t>.</w:t>
      </w:r>
      <w:r w:rsidR="00356600">
        <w:t xml:space="preserve"> </w:t>
      </w:r>
      <w:r w:rsidR="007B40B1">
        <w:t xml:space="preserve">It is not possible to know the breakdown of child in need plans, child protection plans or </w:t>
      </w:r>
      <w:r w:rsidR="004C0806">
        <w:t>children being placed in care from this or other official statistics.</w:t>
      </w:r>
      <w:r w:rsidR="00725957">
        <w:t xml:space="preserve"> Moreover, </w:t>
      </w:r>
      <w:r w:rsidR="00857989">
        <w:t xml:space="preserve">as the </w:t>
      </w:r>
      <w:r w:rsidR="00857989">
        <w:fldChar w:fldCharType="begin"/>
      </w:r>
      <w:r w:rsidR="00B9334F">
        <w:instrText xml:space="preserve"> ADDIN EN.CITE &lt;EndNote&gt;&lt;Cite AuthorYear="1"&gt;&lt;Author&gt;Children&amp;apos;s Commissioner&lt;/Author&gt;&lt;Year&gt;2024&lt;/Year&gt;&lt;RecNum&gt;239&lt;/RecNum&gt;&lt;DisplayText&gt;Children&amp;apos;s Commissioner (2024)&lt;/DisplayText&gt;&lt;record&gt;&lt;rec-number&gt;239&lt;/rec-number&gt;&lt;foreign-keys&gt;&lt;key app="EN" db-id="ffzvr5fstavwxoe9v04xf0wmp5t50as52da0" timestamp="1731671651" guid="6cd19cd3-46d4-4e03-9f40-5ed0167de54d"&gt;239&lt;/key&gt;&lt;/foreign-keys&gt;&lt;ref-type name="Electronic Article"&gt;43&lt;/ref-type&gt;&lt;contributors&gt;&lt;authors&gt;&lt;author&gt;Children&amp;apos;s Commissioner,&lt;/author&gt;&lt;/authors&gt;&lt;/contributors&gt;&lt;titles&gt;&lt;title&gt;Children on child in need plans&lt;/title&gt;&lt;/titles&gt;&lt;dates&gt;&lt;year&gt;2024&lt;/year&gt;&lt;pub-dates&gt;&lt;date&gt;01/04/2024&lt;/date&gt;&lt;/pub-dates&gt;&lt;/dates&gt;&lt;pub-location&gt;London&lt;/pub-location&gt;&lt;publisher&gt;Office for the Children&amp;apos;s Commissioner,&lt;/publisher&gt;&lt;urls&gt;&lt;related-urls&gt;&lt;url&gt;https://assets.childrenscommissioner.gov.uk/wpuploads/2024/03/Childreninneedreport.pdf&lt;/url&gt;&lt;/related-urls&gt;&lt;/urls&gt;&lt;/record&gt;&lt;/Cite&gt;&lt;/EndNote&gt;</w:instrText>
      </w:r>
      <w:r w:rsidR="00857989">
        <w:fldChar w:fldCharType="separate"/>
      </w:r>
      <w:r w:rsidR="00857989">
        <w:rPr>
          <w:noProof/>
        </w:rPr>
        <w:t xml:space="preserve">Children's Commissioner </w:t>
      </w:r>
      <w:r w:rsidR="00857989">
        <w:rPr>
          <w:noProof/>
        </w:rPr>
        <w:lastRenderedPageBreak/>
        <w:t>(2024)</w:t>
      </w:r>
      <w:r w:rsidR="00857989">
        <w:fldChar w:fldCharType="end"/>
      </w:r>
      <w:r w:rsidR="00857989">
        <w:t xml:space="preserve"> points out</w:t>
      </w:r>
      <w:r w:rsidR="00AC76E5">
        <w:t>,</w:t>
      </w:r>
      <w:r w:rsidR="00857989">
        <w:t xml:space="preserve"> statutory guidance allows for every local authority </w:t>
      </w:r>
      <w:r w:rsidR="009C7D4B">
        <w:t xml:space="preserve">to </w:t>
      </w:r>
      <w:r w:rsidR="00857989">
        <w:t>establish their own thresholds for child welfare interventions</w:t>
      </w:r>
      <w:r w:rsidR="009C7D4B">
        <w:t>. This means</w:t>
      </w:r>
      <w:r w:rsidR="00857989">
        <w:t xml:space="preserve"> </w:t>
      </w:r>
      <w:r w:rsidR="00862A72">
        <w:t>a</w:t>
      </w:r>
      <w:r w:rsidR="009C7D4B">
        <w:t xml:space="preserve"> child </w:t>
      </w:r>
      <w:r w:rsidR="00862A72">
        <w:t>experiencing</w:t>
      </w:r>
      <w:r w:rsidR="009C7D4B">
        <w:t xml:space="preserve"> parental </w:t>
      </w:r>
      <w:r w:rsidR="00515476">
        <w:t>SUD</w:t>
      </w:r>
      <w:r w:rsidR="009C7D4B">
        <w:t xml:space="preserve"> </w:t>
      </w:r>
      <w:r w:rsidR="001C2C33">
        <w:t>may</w:t>
      </w:r>
      <w:r w:rsidR="009201F6">
        <w:t xml:space="preserve"> be </w:t>
      </w:r>
      <w:r w:rsidR="00725957" w:rsidRPr="00862A72">
        <w:t>assessed as a child in need</w:t>
      </w:r>
      <w:r w:rsidR="009201F6" w:rsidRPr="00862A72">
        <w:t xml:space="preserve"> in one local authority</w:t>
      </w:r>
      <w:r w:rsidR="00725957" w:rsidRPr="00862A72">
        <w:t xml:space="preserve">, </w:t>
      </w:r>
      <w:r w:rsidR="00913116">
        <w:t xml:space="preserve">while </w:t>
      </w:r>
      <w:r w:rsidR="009270B8">
        <w:t xml:space="preserve">a child with identical circumstances may </w:t>
      </w:r>
      <w:r w:rsidR="00913116">
        <w:t>be</w:t>
      </w:r>
      <w:r w:rsidR="00725957" w:rsidRPr="00862A72">
        <w:t xml:space="preserve"> referred for targeted </w:t>
      </w:r>
      <w:r w:rsidR="00382474">
        <w:t>prevention</w:t>
      </w:r>
      <w:r w:rsidR="00862A72" w:rsidRPr="00862A72">
        <w:t xml:space="preserve"> in another</w:t>
      </w:r>
      <w:r w:rsidR="00725957" w:rsidRPr="00862A72">
        <w:t>.</w:t>
      </w:r>
    </w:p>
    <w:p w14:paraId="6829D260" w14:textId="77777777" w:rsidR="002B3235" w:rsidRDefault="002B3235" w:rsidP="00737297">
      <w:pPr>
        <w:pStyle w:val="NoSpacing"/>
        <w:spacing w:line="360" w:lineRule="auto"/>
      </w:pPr>
    </w:p>
    <w:p w14:paraId="1DA6AC95" w14:textId="61666F7A" w:rsidR="00F56424" w:rsidRDefault="00F56424" w:rsidP="0042328C">
      <w:pPr>
        <w:pStyle w:val="Heading3"/>
        <w:numPr>
          <w:ilvl w:val="2"/>
          <w:numId w:val="18"/>
        </w:numPr>
        <w:spacing w:line="240" w:lineRule="auto"/>
      </w:pPr>
      <w:bookmarkStart w:id="24" w:name="_Toc189229653"/>
      <w:r>
        <w:t xml:space="preserve">Summary of </w:t>
      </w:r>
      <w:r w:rsidR="00C15454">
        <w:t>support available to children and families affected by parental SUD</w:t>
      </w:r>
      <w:r w:rsidR="002D2258">
        <w:t xml:space="preserve"> in England</w:t>
      </w:r>
      <w:bookmarkEnd w:id="24"/>
    </w:p>
    <w:p w14:paraId="265F1421" w14:textId="77777777" w:rsidR="00EA025C" w:rsidRDefault="00EA025C" w:rsidP="00EA025C">
      <w:pPr>
        <w:pStyle w:val="NoSpacing"/>
      </w:pPr>
    </w:p>
    <w:p w14:paraId="164690F8" w14:textId="6C6AAF20" w:rsidR="00C15454" w:rsidRDefault="00EA025C" w:rsidP="0042328C">
      <w:pPr>
        <w:pStyle w:val="Caption"/>
        <w:rPr>
          <w:b w:val="0"/>
          <w:bCs w:val="0"/>
          <w:i/>
          <w:iCs/>
          <w:color w:val="auto"/>
          <w:sz w:val="24"/>
          <w:szCs w:val="24"/>
        </w:rPr>
      </w:pPr>
      <w:r>
        <w:rPr>
          <w:b w:val="0"/>
          <w:bCs w:val="0"/>
          <w:i/>
          <w:iCs/>
          <w:color w:val="auto"/>
          <w:sz w:val="24"/>
          <w:szCs w:val="24"/>
        </w:rPr>
        <w:t>Table</w:t>
      </w:r>
      <w:r w:rsidRPr="00EA1ED1">
        <w:rPr>
          <w:b w:val="0"/>
          <w:bCs w:val="0"/>
          <w:i/>
          <w:iCs/>
          <w:color w:val="auto"/>
          <w:sz w:val="24"/>
          <w:szCs w:val="24"/>
        </w:rPr>
        <w:t xml:space="preserve"> </w:t>
      </w:r>
      <w:r>
        <w:rPr>
          <w:b w:val="0"/>
          <w:bCs w:val="0"/>
          <w:i/>
          <w:iCs/>
          <w:color w:val="auto"/>
          <w:sz w:val="24"/>
          <w:szCs w:val="24"/>
        </w:rPr>
        <w:fldChar w:fldCharType="begin"/>
      </w:r>
      <w:r>
        <w:rPr>
          <w:b w:val="0"/>
          <w:bCs w:val="0"/>
          <w:i/>
          <w:iCs/>
          <w:color w:val="auto"/>
          <w:sz w:val="24"/>
          <w:szCs w:val="24"/>
        </w:rPr>
        <w:instrText xml:space="preserve"> STYLEREF 2 \s </w:instrText>
      </w:r>
      <w:r>
        <w:rPr>
          <w:b w:val="0"/>
          <w:bCs w:val="0"/>
          <w:i/>
          <w:iCs/>
          <w:color w:val="auto"/>
          <w:sz w:val="24"/>
          <w:szCs w:val="24"/>
        </w:rPr>
        <w:fldChar w:fldCharType="separate"/>
      </w:r>
      <w:r>
        <w:rPr>
          <w:b w:val="0"/>
          <w:bCs w:val="0"/>
          <w:i/>
          <w:iCs/>
          <w:noProof/>
          <w:color w:val="auto"/>
          <w:sz w:val="24"/>
          <w:szCs w:val="24"/>
        </w:rPr>
        <w:t>1.6</w:t>
      </w:r>
      <w:r>
        <w:rPr>
          <w:b w:val="0"/>
          <w:bCs w:val="0"/>
          <w:i/>
          <w:iCs/>
          <w:color w:val="auto"/>
          <w:sz w:val="24"/>
          <w:szCs w:val="24"/>
        </w:rPr>
        <w:fldChar w:fldCharType="end"/>
      </w:r>
      <w:r>
        <w:rPr>
          <w:b w:val="0"/>
          <w:bCs w:val="0"/>
          <w:i/>
          <w:iCs/>
          <w:color w:val="auto"/>
          <w:sz w:val="24"/>
          <w:szCs w:val="24"/>
        </w:rPr>
        <w:noBreakHyphen/>
      </w:r>
      <w:r>
        <w:rPr>
          <w:b w:val="0"/>
          <w:bCs w:val="0"/>
          <w:i/>
          <w:iCs/>
          <w:color w:val="auto"/>
          <w:sz w:val="24"/>
          <w:szCs w:val="24"/>
        </w:rPr>
        <w:fldChar w:fldCharType="begin"/>
      </w:r>
      <w:r>
        <w:rPr>
          <w:b w:val="0"/>
          <w:bCs w:val="0"/>
          <w:i/>
          <w:iCs/>
          <w:color w:val="auto"/>
          <w:sz w:val="24"/>
          <w:szCs w:val="24"/>
        </w:rPr>
        <w:instrText xml:space="preserve"> SEQ Table \* ARABIC \s 2 </w:instrText>
      </w:r>
      <w:r>
        <w:rPr>
          <w:b w:val="0"/>
          <w:bCs w:val="0"/>
          <w:i/>
          <w:iCs/>
          <w:color w:val="auto"/>
          <w:sz w:val="24"/>
          <w:szCs w:val="24"/>
        </w:rPr>
        <w:fldChar w:fldCharType="separate"/>
      </w:r>
      <w:r>
        <w:rPr>
          <w:b w:val="0"/>
          <w:bCs w:val="0"/>
          <w:i/>
          <w:iCs/>
          <w:noProof/>
          <w:color w:val="auto"/>
          <w:sz w:val="24"/>
          <w:szCs w:val="24"/>
        </w:rPr>
        <w:t>1</w:t>
      </w:r>
      <w:r>
        <w:rPr>
          <w:b w:val="0"/>
          <w:bCs w:val="0"/>
          <w:i/>
          <w:iCs/>
          <w:color w:val="auto"/>
          <w:sz w:val="24"/>
          <w:szCs w:val="24"/>
        </w:rPr>
        <w:fldChar w:fldCharType="end"/>
      </w:r>
      <w:r>
        <w:rPr>
          <w:b w:val="0"/>
          <w:bCs w:val="0"/>
          <w:i/>
          <w:iCs/>
          <w:color w:val="auto"/>
          <w:sz w:val="24"/>
          <w:szCs w:val="24"/>
        </w:rPr>
        <w:tab/>
        <w:t>Statutory and non-statutory support</w:t>
      </w:r>
    </w:p>
    <w:p w14:paraId="05746288" w14:textId="77777777" w:rsidR="0042328C" w:rsidRPr="0042328C" w:rsidRDefault="0042328C" w:rsidP="0042328C"/>
    <w:tbl>
      <w:tblPr>
        <w:tblStyle w:val="TableGrid"/>
        <w:tblW w:w="0" w:type="auto"/>
        <w:tblLook w:val="04A0" w:firstRow="1" w:lastRow="0" w:firstColumn="1" w:lastColumn="0" w:noHBand="0" w:noVBand="1"/>
      </w:tblPr>
      <w:tblGrid>
        <w:gridCol w:w="4508"/>
        <w:gridCol w:w="4508"/>
      </w:tblGrid>
      <w:tr w:rsidR="00C15454" w14:paraId="0FA954A2" w14:textId="77777777" w:rsidTr="00C15454">
        <w:tc>
          <w:tcPr>
            <w:tcW w:w="4508" w:type="dxa"/>
          </w:tcPr>
          <w:p w14:paraId="2518E848" w14:textId="16728E53" w:rsidR="00C15454" w:rsidRPr="0042328C" w:rsidRDefault="00C15454" w:rsidP="0042328C">
            <w:pPr>
              <w:pStyle w:val="NoSpacing"/>
              <w:spacing w:line="240" w:lineRule="auto"/>
              <w:rPr>
                <w:b/>
                <w:bCs/>
              </w:rPr>
            </w:pPr>
            <w:r w:rsidRPr="0042328C">
              <w:rPr>
                <w:b/>
                <w:bCs/>
              </w:rPr>
              <w:t>Intervention</w:t>
            </w:r>
          </w:p>
        </w:tc>
        <w:tc>
          <w:tcPr>
            <w:tcW w:w="4508" w:type="dxa"/>
          </w:tcPr>
          <w:p w14:paraId="4793E447" w14:textId="17C32391" w:rsidR="00C15454" w:rsidRPr="0042328C" w:rsidRDefault="00480E5A" w:rsidP="0042328C">
            <w:pPr>
              <w:pStyle w:val="NoSpacing"/>
              <w:spacing w:line="240" w:lineRule="auto"/>
              <w:rPr>
                <w:b/>
                <w:bCs/>
              </w:rPr>
            </w:pPr>
            <w:r w:rsidRPr="0042328C">
              <w:rPr>
                <w:b/>
                <w:bCs/>
              </w:rPr>
              <w:t>Threshold</w:t>
            </w:r>
          </w:p>
        </w:tc>
      </w:tr>
      <w:tr w:rsidR="00C15454" w14:paraId="50B4EBF3" w14:textId="77777777" w:rsidTr="00C15454">
        <w:tc>
          <w:tcPr>
            <w:tcW w:w="4508" w:type="dxa"/>
          </w:tcPr>
          <w:p w14:paraId="6E208059" w14:textId="02DC90B9" w:rsidR="00C15454" w:rsidRDefault="00480E5A" w:rsidP="0042328C">
            <w:pPr>
              <w:pStyle w:val="NoSpacing"/>
              <w:spacing w:line="240" w:lineRule="auto"/>
            </w:pPr>
            <w:r>
              <w:t xml:space="preserve">Specialist treatment </w:t>
            </w:r>
          </w:p>
        </w:tc>
        <w:tc>
          <w:tcPr>
            <w:tcW w:w="4508" w:type="dxa"/>
          </w:tcPr>
          <w:p w14:paraId="6FE8CAB1" w14:textId="6890B1E4" w:rsidR="00C15454" w:rsidRDefault="00480E5A" w:rsidP="0042328C">
            <w:pPr>
              <w:pStyle w:val="NoSpacing"/>
              <w:spacing w:line="240" w:lineRule="auto"/>
            </w:pPr>
            <w:r>
              <w:t>Available to anyone with alcohol and/or drug problems. No legal requirement to attend unless mandated to do so by a court</w:t>
            </w:r>
            <w:r w:rsidR="00DF052B">
              <w:t xml:space="preserve"> in lieu of a prison sentence/ children being placed in care</w:t>
            </w:r>
            <w:r>
              <w:t xml:space="preserve">. </w:t>
            </w:r>
          </w:p>
        </w:tc>
      </w:tr>
      <w:tr w:rsidR="00C15454" w14:paraId="73AA6156" w14:textId="77777777" w:rsidTr="00C15454">
        <w:tc>
          <w:tcPr>
            <w:tcW w:w="4508" w:type="dxa"/>
          </w:tcPr>
          <w:p w14:paraId="763595EB" w14:textId="77777777" w:rsidR="00C15454" w:rsidRDefault="00DF052B" w:rsidP="0042328C">
            <w:pPr>
              <w:pStyle w:val="NoSpacing"/>
              <w:spacing w:line="240" w:lineRule="auto"/>
            </w:pPr>
            <w:r>
              <w:t xml:space="preserve">Targeted prevention: </w:t>
            </w:r>
          </w:p>
          <w:p w14:paraId="6AD4B5B0" w14:textId="42199B14" w:rsidR="00DF052B" w:rsidRDefault="00DF052B" w:rsidP="0042328C">
            <w:pPr>
              <w:pStyle w:val="NoSpacing"/>
              <w:spacing w:line="240" w:lineRule="auto"/>
            </w:pPr>
            <w:r>
              <w:t>Targets early help; parenting and family recovery support</w:t>
            </w:r>
          </w:p>
          <w:p w14:paraId="47CCA8A9" w14:textId="1E616DDF" w:rsidR="00DF052B" w:rsidRDefault="00DF052B" w:rsidP="0042328C">
            <w:pPr>
              <w:pStyle w:val="NoSpacing"/>
              <w:spacing w:line="240" w:lineRule="auto"/>
            </w:pPr>
          </w:p>
        </w:tc>
        <w:tc>
          <w:tcPr>
            <w:tcW w:w="4508" w:type="dxa"/>
          </w:tcPr>
          <w:p w14:paraId="116F3E01" w14:textId="71508794" w:rsidR="00C15454" w:rsidRDefault="00E15ED2" w:rsidP="0042328C">
            <w:pPr>
              <w:pStyle w:val="NoSpacing"/>
              <w:spacing w:line="240" w:lineRule="auto"/>
            </w:pPr>
            <w:r>
              <w:t>A level above universal access to ‘early help’ and below the threshold of statutory child welfare interventions such as child protection</w:t>
            </w:r>
            <w:r w:rsidR="002018AC">
              <w:t xml:space="preserve"> </w:t>
            </w:r>
            <w:r w:rsidR="002018AC">
              <w:fldChar w:fldCharType="begin"/>
            </w:r>
            <w:r w:rsidR="002018AC">
              <w:instrText xml:space="preserve"> ADDIN EN.CITE &lt;EndNote&gt;&lt;Cite&gt;&lt;Author&gt;Children&amp;apos;s Commissioner&lt;/Author&gt;&lt;Year&gt;2024&lt;/Year&gt;&lt;RecNum&gt;239&lt;/RecNum&gt;&lt;DisplayText&gt;(Children&amp;apos;s Commissioner, 2024)&lt;/DisplayText&gt;&lt;record&gt;&lt;rec-number&gt;239&lt;/rec-number&gt;&lt;foreign-keys&gt;&lt;key app="EN" db-id="ffzvr5fstavwxoe9v04xf0wmp5t50as52da0" timestamp="1731671651" guid="6cd19cd3-46d4-4e03-9f40-5ed0167de54d"&gt;239&lt;/key&gt;&lt;/foreign-keys&gt;&lt;ref-type name="Electronic Article"&gt;43&lt;/ref-type&gt;&lt;contributors&gt;&lt;authors&gt;&lt;author&gt;Children&amp;apos;s Commissioner,&lt;/author&gt;&lt;/authors&gt;&lt;/contributors&gt;&lt;titles&gt;&lt;title&gt;Children on child in need plans&lt;/title&gt;&lt;/titles&gt;&lt;dates&gt;&lt;year&gt;2024&lt;/year&gt;&lt;pub-dates&gt;&lt;date&gt;01/04/2024&lt;/date&gt;&lt;/pub-dates&gt;&lt;/dates&gt;&lt;pub-location&gt;London&lt;/pub-location&gt;&lt;publisher&gt;Office for the Children&amp;apos;s Commissioner,&lt;/publisher&gt;&lt;urls&gt;&lt;related-urls&gt;&lt;url&gt;https://assets.childrenscommissioner.gov.uk/wpuploads/2024/03/Childreninneedreport.pdf&lt;/url&gt;&lt;/related-urls&gt;&lt;/urls&gt;&lt;/record&gt;&lt;/Cite&gt;&lt;/EndNote&gt;</w:instrText>
            </w:r>
            <w:r w:rsidR="002018AC">
              <w:fldChar w:fldCharType="separate"/>
            </w:r>
            <w:r w:rsidR="002018AC">
              <w:rPr>
                <w:noProof/>
              </w:rPr>
              <w:t>(Children's Commissioner, 2024)</w:t>
            </w:r>
            <w:r w:rsidR="002018AC">
              <w:fldChar w:fldCharType="end"/>
            </w:r>
            <w:r>
              <w:t xml:space="preserve">. These can be provided by treatment services or children and family services in the local community. </w:t>
            </w:r>
          </w:p>
        </w:tc>
      </w:tr>
      <w:tr w:rsidR="00C15454" w14:paraId="0792169A" w14:textId="77777777" w:rsidTr="00C15454">
        <w:tc>
          <w:tcPr>
            <w:tcW w:w="4508" w:type="dxa"/>
          </w:tcPr>
          <w:p w14:paraId="6A650A30" w14:textId="7B319F15" w:rsidR="00E775F8" w:rsidRDefault="00E15ED2" w:rsidP="0042328C">
            <w:pPr>
              <w:pStyle w:val="NoSpacing"/>
              <w:spacing w:line="240" w:lineRule="auto"/>
            </w:pPr>
            <w:r>
              <w:t xml:space="preserve">Statutory </w:t>
            </w:r>
            <w:r w:rsidR="000F62CD">
              <w:t>children’s social care</w:t>
            </w:r>
            <w:r w:rsidR="00863655">
              <w:t xml:space="preserve"> services for children on a c</w:t>
            </w:r>
            <w:r w:rsidR="00E775F8">
              <w:t>hild in need</w:t>
            </w:r>
            <w:r w:rsidR="00863655">
              <w:t xml:space="preserve"> or</w:t>
            </w:r>
            <w:r w:rsidR="002018AC">
              <w:t xml:space="preserve"> child protection </w:t>
            </w:r>
            <w:r w:rsidR="00863655">
              <w:t>plan, or</w:t>
            </w:r>
            <w:r w:rsidR="002018AC">
              <w:t xml:space="preserve"> in care </w:t>
            </w:r>
            <w:r w:rsidR="00C7268D">
              <w:t xml:space="preserve"> </w:t>
            </w:r>
          </w:p>
        </w:tc>
        <w:tc>
          <w:tcPr>
            <w:tcW w:w="4508" w:type="dxa"/>
          </w:tcPr>
          <w:p w14:paraId="4144CDA5" w14:textId="1CA39E9D" w:rsidR="00C15454" w:rsidRDefault="002D2258" w:rsidP="0042328C">
            <w:pPr>
              <w:pStyle w:val="NoSpacing"/>
              <w:spacing w:line="240" w:lineRule="auto"/>
            </w:pPr>
            <w:r>
              <w:t>Children assessed as in need</w:t>
            </w:r>
            <w:r w:rsidR="002D5287">
              <w:t xml:space="preserve"> receive statutory services </w:t>
            </w:r>
            <w:r w:rsidR="0075528B">
              <w:t xml:space="preserve">to support their health and development </w:t>
            </w:r>
            <w:r w:rsidR="002D5287">
              <w:t>but no protective interventions,</w:t>
            </w:r>
            <w:r w:rsidR="00CF0449">
              <w:t xml:space="preserve"> unlike those on a child protection plan</w:t>
            </w:r>
            <w:r w:rsidR="00C03761">
              <w:t xml:space="preserve"> where there is concern of significant harm</w:t>
            </w:r>
            <w:r w:rsidR="00CF0449">
              <w:t>.</w:t>
            </w:r>
            <w:r w:rsidR="00C03761">
              <w:t xml:space="preserve"> </w:t>
            </w:r>
            <w:r w:rsidR="00F51BFE">
              <w:t>Some c</w:t>
            </w:r>
            <w:r w:rsidR="00F51BFE" w:rsidRPr="0042328C">
              <w:t xml:space="preserve">hildren </w:t>
            </w:r>
            <w:r w:rsidR="00F51BFE">
              <w:t xml:space="preserve">may </w:t>
            </w:r>
            <w:r w:rsidR="00F51BFE" w:rsidRPr="0042328C">
              <w:t xml:space="preserve">require an episode of out-of-home care, </w:t>
            </w:r>
            <w:r w:rsidR="00F51BFE">
              <w:t>either by</w:t>
            </w:r>
            <w:r w:rsidR="00F51BFE" w:rsidRPr="0042328C">
              <w:t xml:space="preserve"> a consensual </w:t>
            </w:r>
            <w:r w:rsidR="00F51BFE">
              <w:t xml:space="preserve">parental </w:t>
            </w:r>
            <w:r w:rsidR="00F51BFE" w:rsidRPr="0042328C">
              <w:t xml:space="preserve">arrangement </w:t>
            </w:r>
            <w:r w:rsidR="00F51BFE">
              <w:t xml:space="preserve">or court mandate </w:t>
            </w:r>
            <w:r w:rsidR="00F51BFE">
              <w:fldChar w:fldCharType="begin"/>
            </w:r>
            <w:r w:rsidR="00F51BFE">
              <w:instrText xml:space="preserve"> ADDIN EN.CITE &lt;EndNote&gt;&lt;Cite&gt;&lt;Author&gt;Hood&lt;/Author&gt;&lt;Year&gt;2024&lt;/Year&gt;&lt;RecNum&gt;720&lt;/RecNum&gt;&lt;DisplayText&gt;(Hood et al., 2024)&lt;/DisplayText&gt;&lt;record&gt;&lt;rec-number&gt;720&lt;/rec-number&gt;&lt;foreign-keys&gt;&lt;key app="EN" db-id="ffzvr5fstavwxoe9v04xf0wmp5t50as52da0" timestamp="1734965984" guid="f4be13f2-ddc4-4da0-b3e8-c6c3525de4de"&gt;720&lt;/key&gt;&lt;/foreign-keys&gt;&lt;ref-type name="Journal Article"&gt;17&lt;/ref-type&gt;&lt;contributors&gt;&lt;authors&gt;&lt;author&gt;Hood, Rick&lt;/author&gt;&lt;author&gt;Goldacre, Allie&lt;/author&gt;&lt;author&gt;Jones, Ed&lt;/author&gt;&lt;author&gt;Martin, Emma&lt;/author&gt;&lt;author&gt;Clements, Keith&lt;/author&gt;&lt;author&gt;Webb, Calum&lt;/author&gt;&lt;/authors&gt;&lt;/contributors&gt;&lt;titles&gt;&lt;title&gt;Intervention Pathways following a Social Work Assessment: An Analysis of National Administrative Data for Children’s Social Care in England&lt;/title&gt;&lt;secondary-title&gt;The British Journal of Social Work&lt;/secondary-title&gt;&lt;/titles&gt;&lt;periodical&gt;&lt;full-title&gt;The British Journal of Social Work&lt;/full-title&gt;&lt;/periodical&gt;&lt;pages&gt;2937-2956&lt;/pages&gt;&lt;volume&gt;54&lt;/volume&gt;&lt;number&gt;7&lt;/number&gt;&lt;dates&gt;&lt;year&gt;2024&lt;/year&gt;&lt;/dates&gt;&lt;isbn&gt;0045-3102&lt;/isbn&gt;&lt;urls&gt;&lt;related-urls&gt;&lt;url&gt;https://doi.org/10.1093/bjsw/bcae070&lt;/url&gt;&lt;/related-urls&gt;&lt;/urls&gt;&lt;electronic-resource-num&gt;10.1093/bjsw/bcae070&lt;/electronic-resource-num&gt;&lt;access-date&gt;12/23/2024&lt;/access-date&gt;&lt;/record&gt;&lt;/Cite&gt;&lt;/EndNote&gt;</w:instrText>
            </w:r>
            <w:r w:rsidR="00F51BFE">
              <w:fldChar w:fldCharType="separate"/>
            </w:r>
            <w:r w:rsidR="00F51BFE">
              <w:rPr>
                <w:noProof/>
              </w:rPr>
              <w:t>(Hood et al., 2024)</w:t>
            </w:r>
            <w:r w:rsidR="00F51BFE">
              <w:fldChar w:fldCharType="end"/>
            </w:r>
            <w:r w:rsidR="00F51BFE">
              <w:t>.</w:t>
            </w:r>
          </w:p>
        </w:tc>
      </w:tr>
    </w:tbl>
    <w:p w14:paraId="12081562" w14:textId="77777777" w:rsidR="00C15454" w:rsidRPr="00C15454" w:rsidRDefault="00C15454" w:rsidP="0042328C">
      <w:pPr>
        <w:pStyle w:val="NoSpacing"/>
      </w:pPr>
    </w:p>
    <w:p w14:paraId="0DD401F5" w14:textId="77777777" w:rsidR="00F56424" w:rsidRDefault="00F56424" w:rsidP="00737297">
      <w:pPr>
        <w:pStyle w:val="NoSpacing"/>
        <w:spacing w:line="360" w:lineRule="auto"/>
      </w:pPr>
    </w:p>
    <w:p w14:paraId="170C0B76" w14:textId="53A3CCBA" w:rsidR="00951EEA" w:rsidRDefault="00011A4C" w:rsidP="009C3BBC">
      <w:pPr>
        <w:pStyle w:val="Heading3"/>
        <w:numPr>
          <w:ilvl w:val="2"/>
          <w:numId w:val="18"/>
        </w:numPr>
        <w:spacing w:line="360" w:lineRule="auto"/>
      </w:pPr>
      <w:bookmarkStart w:id="25" w:name="_Toc189229654"/>
      <w:r>
        <w:t>Working together</w:t>
      </w:r>
      <w:bookmarkEnd w:id="25"/>
      <w:r>
        <w:t xml:space="preserve"> </w:t>
      </w:r>
    </w:p>
    <w:p w14:paraId="4750EF28" w14:textId="658DB58C" w:rsidR="005D7E97" w:rsidRDefault="008F5FB5" w:rsidP="00737297">
      <w:pPr>
        <w:pStyle w:val="NoSpacing"/>
        <w:spacing w:line="360" w:lineRule="auto"/>
      </w:pPr>
      <w:r w:rsidRPr="00114C26">
        <w:rPr>
          <w:i/>
          <w:iCs/>
        </w:rPr>
        <w:t xml:space="preserve">Working together to safeguard children </w:t>
      </w:r>
      <w:r w:rsidR="00AD0CFF">
        <w:t>is the</w:t>
      </w:r>
      <w:r w:rsidR="00114C26">
        <w:t xml:space="preserve"> statutory guidance </w:t>
      </w:r>
      <w:r w:rsidR="00AD0CFF">
        <w:t>for</w:t>
      </w:r>
      <w:r w:rsidR="00002E93">
        <w:t xml:space="preserve"> </w:t>
      </w:r>
      <w:r w:rsidR="00017931">
        <w:t xml:space="preserve">protecting </w:t>
      </w:r>
      <w:r w:rsidR="003737D6">
        <w:t xml:space="preserve">and </w:t>
      </w:r>
      <w:r w:rsidR="00017931">
        <w:t xml:space="preserve">promoting </w:t>
      </w:r>
      <w:r w:rsidR="00002E93">
        <w:t>child</w:t>
      </w:r>
      <w:r w:rsidR="003737D6">
        <w:t xml:space="preserve"> welfare</w:t>
      </w:r>
      <w:r w:rsidR="006D3BBF">
        <w:t xml:space="preserve"> and applies to all organisations and agencies who </w:t>
      </w:r>
      <w:r w:rsidR="007F6ABD">
        <w:t>work with</w:t>
      </w:r>
      <w:r w:rsidR="006D3BBF">
        <w:t xml:space="preserve"> children</w:t>
      </w:r>
      <w:r w:rsidR="00EB244A">
        <w:t xml:space="preserve">, including targeted prevention and </w:t>
      </w:r>
      <w:r w:rsidR="00382474">
        <w:t>statutory child</w:t>
      </w:r>
      <w:r w:rsidR="00F05302">
        <w:t>ren’s social care</w:t>
      </w:r>
      <w:r w:rsidR="008421A1">
        <w:fldChar w:fldCharType="begin"/>
      </w:r>
      <w:r w:rsidR="00B9334F">
        <w:instrText xml:space="preserve"> ADDIN EN.CITE &lt;EndNote&gt;&lt;Cite&gt;&lt;Author&gt;HM Government&lt;/Author&gt;&lt;Year&gt;2018&lt;/Year&gt;&lt;RecNum&gt;32&lt;/RecNum&gt;&lt;DisplayText&gt;(HM Government, 2018, 2023)&lt;/DisplayText&gt;&lt;record&gt;&lt;rec-number&gt;32&lt;/rec-number&gt;&lt;foreign-keys&gt;&lt;key app="EN" db-id="ffzvr5fstavwxoe9v04xf0wmp5t50as52da0" timestamp="1731671637" guid="d8c02848-9bcb-4710-85da-768f45c658ca"&gt;32&lt;/key&gt;&lt;/foreign-keys&gt;&lt;ref-type name="Electronic Article"&gt;43&lt;/ref-type&gt;&lt;contributors&gt;&lt;authors&gt;&lt;author&gt;HM Government,&lt;/author&gt;&lt;/authors&gt;&lt;/contributors&gt;&lt;titles&gt;&lt;title&gt;Working Together to Safeguard Children: A guide to inter-agency working to safeguard and promote the welfare of children&lt;/title&gt;&lt;/titles&gt;&lt;dates&gt;&lt;year&gt;2018&lt;/year&gt;&lt;/dates&gt;&lt;urls&gt;&lt;related-urls&gt;&lt;url&gt;https://assets.publishing.service.gov.uk/government/uploads/system/uploads/attachment_data/file/779401/Working_Together_to_Safeguard-Children.pdf&lt;/url&gt;&lt;/related-urls&gt;&lt;/urls&gt;&lt;access-date&gt;26/04/2019&lt;/access-date&gt;&lt;/record&gt;&lt;/Cite&gt;&lt;Cite&gt;&lt;Author&gt;HM Government&lt;/Author&gt;&lt;Year&gt;2023&lt;/Year&gt;&lt;RecNum&gt;243&lt;/RecNum&gt;&lt;record&gt;&lt;rec-number&gt;243&lt;/rec-number&gt;&lt;foreign-keys&gt;&lt;key app="EN" db-id="ffzvr5fstavwxoe9v04xf0wmp5t50as52da0" timestamp="1731671651" guid="fcc8cee2-9bdc-46dd-9e84-c16eaefc7ca4"&gt;243&lt;/key&gt;&lt;/foreign-keys&gt;&lt;ref-type name="Electronic Article"&gt;43&lt;/ref-type&gt;&lt;contributors&gt;&lt;authors&gt;&lt;author&gt;HM Government,&lt;/author&gt;&lt;/authors&gt;&lt;/contributors&gt;&lt;titles&gt;&lt;title&gt;Working Together to  Safeguard Children 2023. A guide to multi-agency working to help, protect and promote the welfare of children.&lt;/title&gt;&lt;/titles&gt;&lt;dates&gt;&lt;year&gt;2023&lt;/year&gt;&lt;pub-dates&gt;&lt;date&gt;01/04/2024&lt;/date&gt;&lt;/pub-dates&gt;&lt;/dates&gt;&lt;urls&gt;&lt;related-urls&gt;&lt;url&gt;https://assets.publishing.service.gov.uk/media/65cb4349a7ded0000c79e4e1/Working_together_to_safeguard_children_2023_-_statutory_guidance.pdf&lt;/url&gt;&lt;/related-urls&gt;&lt;/urls&gt;&lt;/record&gt;&lt;/Cite&gt;&lt;/EndNote&gt;</w:instrText>
      </w:r>
      <w:r w:rsidR="008421A1">
        <w:fldChar w:fldCharType="separate"/>
      </w:r>
      <w:r w:rsidR="00A77498">
        <w:rPr>
          <w:noProof/>
        </w:rPr>
        <w:t>(HM Government, 2018, 2023)</w:t>
      </w:r>
      <w:r w:rsidR="008421A1">
        <w:fldChar w:fldCharType="end"/>
      </w:r>
      <w:r w:rsidR="007F6ABD">
        <w:t xml:space="preserve">. </w:t>
      </w:r>
      <w:r w:rsidR="00B02243">
        <w:t xml:space="preserve">The guidance </w:t>
      </w:r>
      <w:r w:rsidR="00EB244A">
        <w:t xml:space="preserve">also </w:t>
      </w:r>
      <w:r w:rsidR="00F874C6">
        <w:t>cover</w:t>
      </w:r>
      <w:r w:rsidR="00B02243">
        <w:t>s</w:t>
      </w:r>
      <w:r w:rsidR="00F874C6">
        <w:t xml:space="preserve"> services for adults who may be responsible for </w:t>
      </w:r>
      <w:r w:rsidR="00EB733B">
        <w:t>children, such as treatment services,</w:t>
      </w:r>
      <w:r w:rsidR="008C1833">
        <w:t xml:space="preserve"> </w:t>
      </w:r>
      <w:r w:rsidR="00C22418">
        <w:t xml:space="preserve">and specifies that these are </w:t>
      </w:r>
      <w:r w:rsidR="00C22418">
        <w:lastRenderedPageBreak/>
        <w:t>subject to</w:t>
      </w:r>
      <w:r w:rsidR="00BC3824">
        <w:t xml:space="preserve"> the duties outlined in</w:t>
      </w:r>
      <w:r w:rsidR="00C22418">
        <w:t xml:space="preserve"> section 11 </w:t>
      </w:r>
      <w:r w:rsidR="00BC3824">
        <w:t>of the</w:t>
      </w:r>
      <w:r w:rsidR="00F35C22">
        <w:t xml:space="preserve"> Children Act 2004 whereby practitioners</w:t>
      </w:r>
      <w:r w:rsidR="00A00EE4">
        <w:t xml:space="preserve">, agencies and organisations </w:t>
      </w:r>
      <w:r w:rsidR="00B94D1B">
        <w:t xml:space="preserve">must </w:t>
      </w:r>
      <w:r w:rsidR="00E322BD">
        <w:t>take measures</w:t>
      </w:r>
      <w:r w:rsidR="008E3544">
        <w:t xml:space="preserve"> to ensure that the</w:t>
      </w:r>
      <w:r w:rsidR="00E322BD">
        <w:t>y safeguard children</w:t>
      </w:r>
      <w:r w:rsidR="002D590D">
        <w:t>, such as asking whether there are children in the</w:t>
      </w:r>
      <w:r w:rsidR="009B4ACE">
        <w:t xml:space="preserve"> </w:t>
      </w:r>
      <w:r w:rsidR="002D590D">
        <w:t xml:space="preserve">family and responding </w:t>
      </w:r>
      <w:r w:rsidR="009B4ACE">
        <w:t>appropriately if children need protecting</w:t>
      </w:r>
      <w:r w:rsidR="00862D80">
        <w:t xml:space="preserve"> and/or </w:t>
      </w:r>
      <w:r w:rsidR="00881F68">
        <w:t>are taking on caring responsibilities</w:t>
      </w:r>
      <w:r w:rsidR="002F5965">
        <w:t xml:space="preserve"> for the adult</w:t>
      </w:r>
      <w:r w:rsidR="009B4ACE">
        <w:t xml:space="preserve">. </w:t>
      </w:r>
      <w:r w:rsidR="00B1407D">
        <w:t xml:space="preserve">The guidance also </w:t>
      </w:r>
      <w:r w:rsidR="00000E4F">
        <w:t xml:space="preserve">emphasises the importance of multiagency collaboration and information sharing. </w:t>
      </w:r>
      <w:r w:rsidR="00EF3C64">
        <w:t xml:space="preserve">Such </w:t>
      </w:r>
      <w:r w:rsidR="0066034F">
        <w:t>steers</w:t>
      </w:r>
      <w:r w:rsidR="00EF3C64">
        <w:t xml:space="preserve"> </w:t>
      </w:r>
      <w:r w:rsidR="0066034F">
        <w:t>are also present</w:t>
      </w:r>
      <w:r w:rsidR="00EF3C64">
        <w:t xml:space="preserve"> in clinical guidelines for </w:t>
      </w:r>
      <w:r w:rsidR="0066034F">
        <w:t>alcohol and drug treatment</w:t>
      </w:r>
      <w:r w:rsidR="00B1407D">
        <w:t xml:space="preserve"> </w:t>
      </w:r>
      <w:r w:rsidR="0066034F">
        <w:fldChar w:fldCharType="begin"/>
      </w:r>
      <w:r w:rsidR="00B75C45">
        <w:instrText xml:space="preserve"> ADDIN EN.CITE &lt;EndNote&gt;&lt;Cite&gt;&lt;Author&gt;Department of Health&lt;/Author&gt;&lt;Year&gt;2017&lt;/Year&gt;&lt;RecNum&gt;238&lt;/RecNum&gt;&lt;DisplayText&gt;(Department of Health, 2017; OHID, 2023b)&lt;/DisplayText&gt;&lt;record&gt;&lt;rec-number&gt;238&lt;/rec-number&gt;&lt;foreign-keys&gt;&lt;key app="EN" db-id="ffzvr5fstavwxoe9v04xf0wmp5t50as52da0" timestamp="1731671651" guid="574b22a7-6b57-4658-8370-2d518cf29e27"&gt;238&lt;/key&gt;&lt;/foreign-keys&gt;&lt;ref-type name="Electronic Article"&gt;43&lt;/ref-type&gt;&lt;contributors&gt;&lt;authors&gt;&lt;author&gt;Department of Health,&lt;/author&gt;&lt;/authors&gt;&lt;/contributors&gt;&lt;titles&gt;&lt;title&gt;Drug misuse and dependence: UK guidelines on clinical management. Update 2017&lt;/title&gt;&lt;/titles&gt;&lt;dates&gt;&lt;year&gt;2017&lt;/year&gt;&lt;pub-dates&gt;&lt;date&gt;26/04/2019&lt;/date&gt;&lt;/pub-dates&gt;&lt;/dates&gt;&lt;pub-location&gt;London&lt;/pub-location&gt;&lt;publisher&gt;Department of Health&lt;/publisher&gt;&lt;urls&gt;&lt;related-urls&gt;&lt;url&gt;https://assets.publishing.service.gov.uk/government/uploads/system/uploads/attachment_data/file/673978/clinical_guidelines_2017.pdf&lt;/url&gt;&lt;/related-urls&gt;&lt;/urls&gt;&lt;/record&gt;&lt;/Cite&gt;&lt;Cite&gt;&lt;Author&gt;OHID&lt;/Author&gt;&lt;Year&gt;2023&lt;/Year&gt;&lt;RecNum&gt;237&lt;/RecNum&gt;&lt;record&gt;&lt;rec-number&gt;237&lt;/rec-number&gt;&lt;foreign-keys&gt;&lt;key app="EN" db-id="ffzvr5fstavwxoe9v04xf0wmp5t50as52da0" timestamp="1731671651" guid="199fffd1-ea55-4855-b11b-d22f71b68718"&gt;237&lt;/key&gt;&lt;/foreign-keys&gt;&lt;ref-type name="Electronic Article"&gt;43&lt;/ref-type&gt;&lt;contributors&gt;&lt;authors&gt;&lt;author&gt;OHID&lt;/author&gt;&lt;/authors&gt;&lt;/contributors&gt;&lt;titles&gt;&lt;title&gt;Closed consultation. UK clinical guidelines for alcohol treatment: core elements of alcohol treatment.&lt;/title&gt;&lt;/titles&gt;&lt;dates&gt;&lt;year&gt;2023&lt;/year&gt;&lt;pub-dates&gt;&lt;date&gt;01/04/2024&lt;/date&gt;&lt;/pub-dates&gt;&lt;/dates&gt;&lt;pub-location&gt;London&lt;/pub-location&gt;&lt;publisher&gt;Office for Health Improvement and Disparities,&lt;/publisher&gt;&lt;urls&gt;&lt;related-urls&gt;&lt;url&gt;https://www.gov.uk/government/consultations/uk-clinical-guidelines-for-alcohol-treatment/uk-clinical-guidelines-for-alcohol-treatment-core-elements-of-alcohol-treatment#pharmacological-interventions-1&lt;/url&gt;&lt;/related-urls&gt;&lt;/urls&gt;&lt;/record&gt;&lt;/Cite&gt;&lt;/EndNote&gt;</w:instrText>
      </w:r>
      <w:r w:rsidR="0066034F">
        <w:fldChar w:fldCharType="separate"/>
      </w:r>
      <w:r w:rsidR="00B75C45">
        <w:rPr>
          <w:noProof/>
        </w:rPr>
        <w:t>(Department of Health, 2017; OHID, 2023b)</w:t>
      </w:r>
      <w:r w:rsidR="0066034F">
        <w:fldChar w:fldCharType="end"/>
      </w:r>
      <w:r w:rsidR="00951EEA">
        <w:t>.</w:t>
      </w:r>
      <w:r w:rsidR="00D53D18">
        <w:t xml:space="preserve"> </w:t>
      </w:r>
    </w:p>
    <w:p w14:paraId="4A7E4A27" w14:textId="77777777" w:rsidR="005D7E97" w:rsidRDefault="005D7E97" w:rsidP="00737297">
      <w:pPr>
        <w:pStyle w:val="NoSpacing"/>
        <w:spacing w:line="360" w:lineRule="auto"/>
      </w:pPr>
    </w:p>
    <w:p w14:paraId="5B299BCA" w14:textId="1FA36205" w:rsidR="00DA18F5" w:rsidRDefault="005D7E97" w:rsidP="00737297">
      <w:pPr>
        <w:pStyle w:val="NoSpacing"/>
        <w:spacing w:line="360" w:lineRule="auto"/>
      </w:pPr>
      <w:r>
        <w:t xml:space="preserve">However, the evidence suggests that these </w:t>
      </w:r>
      <w:r w:rsidR="007F0853">
        <w:t>guidelines are not being routinely applied, if at al</w:t>
      </w:r>
      <w:r w:rsidR="009E6592">
        <w:t>l</w:t>
      </w:r>
      <w:r w:rsidR="007F0853">
        <w:t xml:space="preserve">. </w:t>
      </w:r>
      <w:r w:rsidR="00DA18F5">
        <w:t xml:space="preserve">A key finding noted from an inspection of neglect among those aged 7-15 in England, was the inconsistency of adult treatment services identifying patients as parents </w:t>
      </w:r>
      <w:r w:rsidR="00DA18F5">
        <w:fldChar w:fldCharType="begin"/>
      </w:r>
      <w:r w:rsidR="00B9334F">
        <w:instrText xml:space="preserve"> ADDIN EN.CITE &lt;EndNote&gt;&lt;Cite&gt;&lt;Author&gt;Ofsted&lt;/Author&gt;&lt;Year&gt;2018&lt;/Year&gt;&lt;RecNum&gt;94&lt;/RecNum&gt;&lt;DisplayText&gt;(Ofsted et al., 2018)&lt;/DisplayText&gt;&lt;record&gt;&lt;rec-number&gt;94&lt;/rec-number&gt;&lt;foreign-keys&gt;&lt;key app="EN" db-id="ffzvr5fstavwxoe9v04xf0wmp5t50as52da0" timestamp="1731671642" guid="4a252ef7-bb3f-4f4d-8144-9deaa66cee24"&gt;94&lt;/key&gt;&lt;/foreign-keys&gt;&lt;ref-type name="Journal Article"&gt;17&lt;/ref-type&gt;&lt;contributors&gt;&lt;authors&gt;&lt;author&gt;Ofsted,&lt;/author&gt;&lt;author&gt;Care Quality Commission,&lt;/author&gt;&lt;author&gt;Her Majesty’s Prison and Probation Service,&lt;/author&gt;&lt;author&gt;HM Inspectorate of Constabulary and Fire &amp;amp; Rescue Services,&lt;/author&gt;&lt;/authors&gt;&lt;/contributors&gt;&lt;titles&gt;&lt;title&gt;Growing up neglected: a multi-agency response to older children&lt;/title&gt;&lt;/titles&gt;&lt;dates&gt;&lt;year&gt;2018&lt;/year&gt;&lt;/dates&gt;&lt;urls&gt;&lt;related-urls&gt;&lt;url&gt;https://assets.publishing.service.gov.uk/government/uploads/system/uploads/attachment_data/file/722740/Older_children_neglect_FINAL_060718.pdf&lt;/url&gt;&lt;/related-urls&gt;&lt;/urls&gt;&lt;access-date&gt;25/05/2019&lt;/access-date&gt;&lt;/record&gt;&lt;/Cite&gt;&lt;/EndNote&gt;</w:instrText>
      </w:r>
      <w:r w:rsidR="00DA18F5">
        <w:fldChar w:fldCharType="separate"/>
      </w:r>
      <w:r w:rsidR="00A77498">
        <w:rPr>
          <w:noProof/>
        </w:rPr>
        <w:t>(Ofsted et al., 2018)</w:t>
      </w:r>
      <w:r w:rsidR="00DA18F5">
        <w:fldChar w:fldCharType="end"/>
      </w:r>
      <w:r w:rsidR="00DA18F5">
        <w:t>. Treatment services were criticised for not sharing information about parents with child social workers and for focusing too much on the parent without consideration as to how their behaviour might impact the child. The authors stressed that these issues had already been identified in previous inspections (2013 and 2014). Similar findings were reported in a recent report by the National Society for the Prevention of Cruelty to Children (NSPCC) on local child safeguarding case reviews which featured parental substance use. The report highlighted several failings on the part of child social workers and adult treatment practitioners, such as a lack of understanding among child social workers o</w:t>
      </w:r>
      <w:r w:rsidR="00A952F5">
        <w:t>f</w:t>
      </w:r>
      <w:r w:rsidR="00DA18F5">
        <w:t xml:space="preserve"> substance use and its effect on parenting, treatment staff not adhering to their duties under </w:t>
      </w:r>
      <w:r w:rsidR="00DE3D37">
        <w:t xml:space="preserve">Section 11 of </w:t>
      </w:r>
      <w:r w:rsidR="00DA18F5">
        <w:t>the Children</w:t>
      </w:r>
      <w:r w:rsidR="00532F34">
        <w:t>’s</w:t>
      </w:r>
      <w:r w:rsidR="00DA18F5">
        <w:t xml:space="preserve"> Act 2004 and asking whether there are children in the family</w:t>
      </w:r>
      <w:r w:rsidR="00A952F5">
        <w:t>,</w:t>
      </w:r>
      <w:r w:rsidR="00DA18F5">
        <w:t xml:space="preserve"> and a lack of information sharing between </w:t>
      </w:r>
      <w:r w:rsidR="00A707A1">
        <w:t>statutory child welfare</w:t>
      </w:r>
      <w:r w:rsidR="00DA18F5">
        <w:t xml:space="preserve"> and treatment services </w:t>
      </w:r>
      <w:r w:rsidR="00DA18F5">
        <w:fldChar w:fldCharType="begin"/>
      </w:r>
      <w:r w:rsidR="00B9334F">
        <w:instrText xml:space="preserve"> ADDIN EN.CITE &lt;EndNote&gt;&lt;Cite&gt;&lt;Author&gt;NSPCC&lt;/Author&gt;&lt;Year&gt;2023&lt;/Year&gt;&lt;RecNum&gt;244&lt;/RecNum&gt;&lt;DisplayText&gt;(NSPCC, 2023)&lt;/DisplayText&gt;&lt;record&gt;&lt;rec-number&gt;244&lt;/rec-number&gt;&lt;foreign-keys&gt;&lt;key app="EN" db-id="ffzvr5fstavwxoe9v04xf0wmp5t50as52da0" timestamp="1731671652" guid="8e326de4-69a1-4696-b2aa-88ce100dbcf6"&gt;244&lt;/key&gt;&lt;/foreign-keys&gt;&lt;ref-type name="Electronic Article"&gt;43&lt;/ref-type&gt;&lt;contributors&gt;&lt;authors&gt;&lt;author&gt;NSPCC&lt;/author&gt;&lt;/authors&gt;&lt;/contributors&gt;&lt;titles&gt;&lt;title&gt;Parents with substance use problems: learning from case reviews. Summary of risk factors and learning for improved practice around  parents or carers with substance use problems.&lt;/title&gt;&lt;/titles&gt;&lt;dates&gt;&lt;year&gt;2023&lt;/year&gt;&lt;pub-dates&gt;&lt;date&gt;01/04/2024&lt;/date&gt;&lt;/pub-dates&gt;&lt;/dates&gt;&lt;publisher&gt;NSPCC&lt;/publisher&gt;&lt;urls&gt;&lt;related-urls&gt;&lt;url&gt;https://learning.nspcc.org.uk/media/w2eh34r1/learning-from-case-reviews-parents-substance-use.pdf&lt;/url&gt;&lt;/related-urls&gt;&lt;/urls&gt;&lt;/record&gt;&lt;/Cite&gt;&lt;/EndNote&gt;</w:instrText>
      </w:r>
      <w:r w:rsidR="00DA18F5">
        <w:fldChar w:fldCharType="separate"/>
      </w:r>
      <w:r w:rsidR="00A77498">
        <w:rPr>
          <w:noProof/>
        </w:rPr>
        <w:t>(NSPCC, 2023)</w:t>
      </w:r>
      <w:r w:rsidR="00DA18F5">
        <w:fldChar w:fldCharType="end"/>
      </w:r>
      <w:r w:rsidR="00DA18F5">
        <w:t xml:space="preserve">. </w:t>
      </w:r>
    </w:p>
    <w:p w14:paraId="77F442BD" w14:textId="664A6E4B" w:rsidR="00DA18F5" w:rsidRDefault="00DA18F5" w:rsidP="00737297">
      <w:pPr>
        <w:pStyle w:val="NoSpacing"/>
        <w:spacing w:line="360" w:lineRule="auto"/>
      </w:pPr>
    </w:p>
    <w:p w14:paraId="0E8ACF93" w14:textId="29242082" w:rsidR="00DA18F5" w:rsidRDefault="00DA18F5" w:rsidP="00737297">
      <w:pPr>
        <w:pStyle w:val="NoSpacing"/>
        <w:spacing w:line="360" w:lineRule="auto"/>
      </w:pPr>
      <w:r>
        <w:t xml:space="preserve">The </w:t>
      </w:r>
      <w:r w:rsidR="002F7611">
        <w:t>scientific literature</w:t>
      </w:r>
      <w:r>
        <w:t xml:space="preserve"> shed some light on </w:t>
      </w:r>
      <w:r w:rsidR="00751D4B">
        <w:t xml:space="preserve">possible reasons for </w:t>
      </w:r>
      <w:r>
        <w:t xml:space="preserve">the failure of </w:t>
      </w:r>
      <w:r w:rsidR="00626A8A">
        <w:t xml:space="preserve">services to work together. </w:t>
      </w:r>
      <w:r w:rsidR="00E91797">
        <w:fldChar w:fldCharType="begin"/>
      </w:r>
      <w:r w:rsidR="00B9334F">
        <w:instrText xml:space="preserve"> ADDIN EN.CITE &lt;EndNote&gt;&lt;Cite AuthorYear="1"&gt;&lt;Author&gt;Taylor&lt;/Author&gt;&lt;Year&gt;2004&lt;/Year&gt;&lt;RecNum&gt;107&lt;/RecNum&gt;&lt;DisplayText&gt;Taylor and Kroll (2004)&lt;/DisplayText&gt;&lt;record&gt;&lt;rec-number&gt;107&lt;/rec-number&gt;&lt;foreign-keys&gt;&lt;key app="EN" db-id="ffzvr5fstavwxoe9v04xf0wmp5t50as52da0" timestamp="1731671642" guid="ffa85f33-9479-4c33-bef6-4273ec93669c"&gt;107&lt;/key&gt;&lt;/foreign-keys&gt;&lt;ref-type name="Journal Article"&gt;17&lt;/ref-type&gt;&lt;contributors&gt;&lt;authors&gt;&lt;author&gt;Taylor, Andy&lt;/author&gt;&lt;author&gt;Kroll, Brynna&lt;/author&gt;&lt;/authors&gt;&lt;/contributors&gt;&lt;titles&gt;&lt;title&gt;Working with Parental Substance Misuse: Dilemmas for Practice&lt;/title&gt;&lt;secondary-title&gt;The British Journal of Social Work&lt;/secondary-title&gt;&lt;/titles&gt;&lt;periodical&gt;&lt;full-title&gt;The British Journal of Social Work&lt;/full-title&gt;&lt;/periodical&gt;&lt;pages&gt;1115-1132&lt;/pages&gt;&lt;volume&gt;34&lt;/volume&gt;&lt;number&gt;8&lt;/number&gt;&lt;dates&gt;&lt;year&gt;2004&lt;/year&gt;&lt;/dates&gt;&lt;publisher&gt;Oxford University Press&lt;/publisher&gt;&lt;isbn&gt;00453102, 1468263X&lt;/isbn&gt;&lt;urls&gt;&lt;related-urls&gt;&lt;url&gt;http://www.jstor.org/stable/23720534&lt;/url&gt;&lt;/related-urls&gt;&lt;/urls&gt;&lt;custom1&gt;Full publication date: DECEMBER 2004&lt;/custom1&gt;&lt;remote-database-name&gt;JSTOR&lt;/remote-database-name&gt;&lt;/record&gt;&lt;/Cite&gt;&lt;/EndNote&gt;</w:instrText>
      </w:r>
      <w:r w:rsidR="00E91797">
        <w:fldChar w:fldCharType="separate"/>
      </w:r>
      <w:r w:rsidR="00E91797">
        <w:rPr>
          <w:noProof/>
        </w:rPr>
        <w:t>Taylor and Kroll (2004)</w:t>
      </w:r>
      <w:r w:rsidR="00E91797">
        <w:fldChar w:fldCharType="end"/>
      </w:r>
      <w:r w:rsidR="00E91797">
        <w:t xml:space="preserve"> interviewed 40 </w:t>
      </w:r>
      <w:r w:rsidR="004A778B">
        <w:t xml:space="preserve">child social workers, treatment practitioners and other </w:t>
      </w:r>
      <w:r w:rsidR="00E91797">
        <w:t xml:space="preserve">professionals in London and the </w:t>
      </w:r>
      <w:r w:rsidR="00364F9C">
        <w:t>Southwest</w:t>
      </w:r>
      <w:r w:rsidR="00E91797">
        <w:t xml:space="preserve"> of England working with </w:t>
      </w:r>
      <w:r w:rsidR="00A81F75">
        <w:t>parents using substances</w:t>
      </w:r>
      <w:r w:rsidR="00A25459">
        <w:t>. Interviewees</w:t>
      </w:r>
      <w:r w:rsidR="00A81F75">
        <w:t xml:space="preserve"> r</w:t>
      </w:r>
      <w:r w:rsidR="00E91797">
        <w:t xml:space="preserve">eported </w:t>
      </w:r>
      <w:r w:rsidR="00D2482C">
        <w:t xml:space="preserve">inconsistent recording and monitoring of caring responsibilities owing to </w:t>
      </w:r>
      <w:r w:rsidR="00A25459">
        <w:t>the fear</w:t>
      </w:r>
      <w:r w:rsidR="00E91797">
        <w:t xml:space="preserve"> of </w:t>
      </w:r>
      <w:r w:rsidR="00A25459">
        <w:t xml:space="preserve">parents </w:t>
      </w:r>
      <w:r w:rsidR="00D2482C">
        <w:t xml:space="preserve">disclosing their substance use </w:t>
      </w:r>
      <w:r w:rsidR="00DD36F6">
        <w:t xml:space="preserve">in case it resulted in their </w:t>
      </w:r>
      <w:r w:rsidR="00E91797">
        <w:t xml:space="preserve">children </w:t>
      </w:r>
      <w:r w:rsidR="00DD36F6">
        <w:t xml:space="preserve">being </w:t>
      </w:r>
      <w:r w:rsidR="0039173D">
        <w:t>placed in care</w:t>
      </w:r>
      <w:r w:rsidR="00E91797">
        <w:t>, and the workers fear of losing their trust</w:t>
      </w:r>
      <w:r w:rsidR="00C81C61">
        <w:t>.</w:t>
      </w:r>
      <w:r w:rsidR="00E91797">
        <w:t xml:space="preserve"> </w:t>
      </w:r>
      <w:r w:rsidR="00E91797">
        <w:fldChar w:fldCharType="begin"/>
      </w:r>
      <w:r w:rsidR="00B9334F">
        <w:instrText xml:space="preserve"> ADDIN EN.CITE &lt;EndNote&gt;&lt;Cite AuthorYear="1"&gt;&lt;Author&gt;Itäpuisto&lt;/Author&gt;&lt;Year&gt;2014&lt;/Year&gt;&lt;RecNum&gt;108&lt;/RecNum&gt;&lt;DisplayText&gt;Itäpuisto (2014)&lt;/DisplayText&gt;&lt;record&gt;&lt;rec-number&gt;108&lt;/rec-number&gt;&lt;foreign-keys&gt;&lt;key app="EN" db-id="ffzvr5fstavwxoe9v04xf0wmp5t50as52da0" timestamp="1731671642" guid="0b828145-da29-4510-8772-b7a392abafaa"&gt;108&lt;/key&gt;&lt;/foreign-keys&gt;&lt;ref-type name="Journal Article"&gt;17&lt;/ref-type&gt;&lt;contributors&gt;&lt;authors&gt;&lt;author&gt;Itäpuisto, Maritta Sisko&lt;/author&gt;&lt;/authors&gt;&lt;/contributors&gt;&lt;titles&gt;&lt;title&gt;Helping the children of substance-abusing parents in the context of outpatient substance abuse treatment&lt;/title&gt;&lt;secondary-title&gt;Addiction Research &amp;amp; Theory&lt;/secondary-title&gt;&lt;/titles&gt;&lt;periodical&gt;&lt;full-title&gt;Addiction Research &amp;amp; Theory&lt;/full-title&gt;&lt;/periodical&gt;&lt;pages&gt;498-504&lt;/pages&gt;&lt;volume&gt;22&lt;/volume&gt;&lt;number&gt;6&lt;/number&gt;&lt;dates&gt;&lt;year&gt;2014&lt;/year&gt;&lt;pub-dates&gt;&lt;date&gt;2014/12/01&lt;/date&gt;&lt;/pub-dates&gt;&lt;/dates&gt;&lt;publisher&gt;Taylor &amp;amp; Francis&lt;/publisher&gt;&lt;isbn&gt;1606-6359&lt;/isbn&gt;&lt;urls&gt;&lt;related-urls&gt;&lt;url&gt;https://doi.org/10.3109/16066359.2014.892930&lt;/url&gt;&lt;/related-urls&gt;&lt;/urls&gt;&lt;electronic-resource-num&gt;10.3109/16066359.2014.892930&lt;/electronic-resource-num&gt;&lt;/record&gt;&lt;/Cite&gt;&lt;/EndNote&gt;</w:instrText>
      </w:r>
      <w:r w:rsidR="00E91797">
        <w:fldChar w:fldCharType="separate"/>
      </w:r>
      <w:r w:rsidR="00E91797">
        <w:rPr>
          <w:noProof/>
        </w:rPr>
        <w:t>Itäpuisto (2014)</w:t>
      </w:r>
      <w:r w:rsidR="00E91797">
        <w:fldChar w:fldCharType="end"/>
      </w:r>
      <w:r w:rsidR="00E91797">
        <w:t xml:space="preserve">, in her qualitative analysis of 17 </w:t>
      </w:r>
      <w:r w:rsidR="0039173D">
        <w:t>treatment practitioners</w:t>
      </w:r>
      <w:r w:rsidR="00E91797">
        <w:t xml:space="preserve"> in Finland highlighted that </w:t>
      </w:r>
      <w:r w:rsidR="00ED1C14">
        <w:t xml:space="preserve">whether a </w:t>
      </w:r>
      <w:r w:rsidR="00ED1C14">
        <w:lastRenderedPageBreak/>
        <w:t xml:space="preserve">patient was a parent </w:t>
      </w:r>
      <w:r w:rsidR="00E91797">
        <w:t xml:space="preserve">was </w:t>
      </w:r>
      <w:r w:rsidR="00ED1C14">
        <w:t xml:space="preserve">recorded </w:t>
      </w:r>
      <w:r w:rsidR="00E91797">
        <w:t>merely as background information. Instead, workers focused on the needs of the service user in front of them, and that this was compounded by organisational management policy and practice.</w:t>
      </w:r>
      <w:r>
        <w:t xml:space="preserve"> In a review of social care support and recovery from SUD, </w:t>
      </w:r>
      <w:r>
        <w:fldChar w:fldCharType="begin"/>
      </w:r>
      <w:r w:rsidR="00B9334F">
        <w:instrText xml:space="preserve"> ADDIN EN.CITE &lt;EndNote&gt;&lt;Cite AuthorYear="1"&gt;&lt;Author&gt;Galvani&lt;/Author&gt;&lt;Year&gt;2011&lt;/Year&gt;&lt;RecNum&gt;102&lt;/RecNum&gt;&lt;DisplayText&gt;Galvani and Forrester (2011)&lt;/DisplayText&gt;&lt;record&gt;&lt;rec-number&gt;102&lt;/rec-number&gt;&lt;foreign-keys&gt;&lt;key app="EN" db-id="ffzvr5fstavwxoe9v04xf0wmp5t50as52da0" timestamp="1731671642" guid="c7e08b52-00c9-45a7-9a4a-a5ee905fcd98"&gt;102&lt;/key&gt;&lt;/foreign-keys&gt;&lt;ref-type name="Electronic Article"&gt;43&lt;/ref-type&gt;&lt;contributors&gt;&lt;authors&gt;&lt;author&gt;Sarah Galvani&lt;/author&gt;&lt;author&gt;Donald Forrester&lt;/author&gt;&lt;/authors&gt;&lt;/contributors&gt;&lt;titles&gt;&lt;title&gt;Social Work Services and Recovery from Substance Misuse: A review of the evidence&lt;/title&gt;&lt;/titles&gt;&lt;dates&gt;&lt;year&gt;2011&lt;/year&gt;&lt;pub-dates&gt;&lt;date&gt;21/01/17&lt;/date&gt;&lt;/pub-dates&gt;&lt;/dates&gt;&lt;urls&gt;&lt;related-urls&gt;&lt;url&gt;&lt;style face="underline" font="default" size="100%"&gt;http://www.gov.scot/Publications/2011/03/18085806/0&lt;/style&gt;&lt;/url&gt;&lt;/related-urls&gt;&lt;/urls&gt;&lt;/record&gt;&lt;/Cite&gt;&lt;/EndNote&gt;</w:instrText>
      </w:r>
      <w:r>
        <w:fldChar w:fldCharType="separate"/>
      </w:r>
      <w:r>
        <w:rPr>
          <w:noProof/>
        </w:rPr>
        <w:t>Galvani and Forrester (2011)</w:t>
      </w:r>
      <w:r>
        <w:fldChar w:fldCharType="end"/>
      </w:r>
      <w:r>
        <w:t xml:space="preserve"> found several reasons explaining </w:t>
      </w:r>
      <w:r w:rsidR="001B21A4">
        <w:t>why services do not routinely collaborate,</w:t>
      </w:r>
      <w:r>
        <w:t xml:space="preserve"> which included </w:t>
      </w:r>
      <w:r w:rsidRPr="00925EA9">
        <w:t xml:space="preserve">the lack of resources, competing professional objectives, and a self-declared lack of skill to address issues of </w:t>
      </w:r>
      <w:r w:rsidR="00E5029F">
        <w:t>substance use</w:t>
      </w:r>
      <w:r w:rsidRPr="00925EA9">
        <w:t xml:space="preserve"> among </w:t>
      </w:r>
      <w:r w:rsidR="00E5029F">
        <w:t>child social workers</w:t>
      </w:r>
      <w:r w:rsidRPr="00925EA9">
        <w:t xml:space="preserve"> and </w:t>
      </w:r>
      <w:r w:rsidR="00E5029F">
        <w:t>to address issues of child safeguarding</w:t>
      </w:r>
      <w:r w:rsidRPr="00925EA9">
        <w:t xml:space="preserve"> among those working with adults</w:t>
      </w:r>
      <w:r>
        <w:t xml:space="preserve">. </w:t>
      </w:r>
    </w:p>
    <w:p w14:paraId="13D72A09" w14:textId="77777777" w:rsidR="004E0E24" w:rsidRDefault="004E0E24" w:rsidP="00737297">
      <w:pPr>
        <w:pStyle w:val="NoSpacing"/>
        <w:spacing w:line="360" w:lineRule="auto"/>
      </w:pPr>
    </w:p>
    <w:p w14:paraId="7B4E66BB" w14:textId="087AAC1B" w:rsidR="004E0E24" w:rsidRDefault="004E0E24" w:rsidP="00737297">
      <w:pPr>
        <w:pStyle w:val="NoSpacing"/>
        <w:spacing w:line="360" w:lineRule="auto"/>
      </w:pPr>
      <w:r w:rsidRPr="003A2AE7">
        <w:t xml:space="preserve">Furthermore, </w:t>
      </w:r>
      <w:r w:rsidR="0008621A" w:rsidRPr="003A2AE7">
        <w:t xml:space="preserve">as </w:t>
      </w:r>
      <w:r w:rsidR="0008621A" w:rsidRPr="003A2AE7">
        <w:fldChar w:fldCharType="begin"/>
      </w:r>
      <w:r w:rsidR="00B9334F">
        <w:instrText xml:space="preserve"> ADDIN EN.CITE &lt;EndNote&gt;&lt;Cite AuthorYear="1"&gt;&lt;Author&gt;Schaeffer&lt;/Author&gt;&lt;Year&gt;2013&lt;/Year&gt;&lt;RecNum&gt;688&lt;/RecNum&gt;&lt;DisplayText&gt;Schaeffer et al. (2013)&lt;/DisplayText&gt;&lt;record&gt;&lt;rec-number&gt;688&lt;/rec-number&gt;&lt;foreign-keys&gt;&lt;key app="EN" db-id="ffzvr5fstavwxoe9v04xf0wmp5t50as52da0" timestamp="1731671737" guid="f31740d2-3f3c-4038-ba66-e20007fde679"&gt;688&lt;/key&gt;&lt;/foreign-keys&gt;&lt;ref-type name="Journal Article"&gt;17&lt;/ref-type&gt;&lt;contributors&gt;&lt;authors&gt;&lt;author&gt;Schaeffer, Cindy M.&lt;/author&gt;&lt;author&gt;Swenson, Cynthia Cupit&lt;/author&gt;&lt;author&gt;Tuerk, Elena Hontoria&lt;/author&gt;&lt;author&gt;Henggeler, Scott W.&lt;/author&gt;&lt;/authors&gt;&lt;/contributors&gt;&lt;titles&gt;&lt;title&gt;Comprehensive treatment for co-occurring child maltreatment and parental substance abuse: Outcomes from a 24-month pilot study of the MST-Building Stronger Families program&lt;/title&gt;&lt;secondary-title&gt;Child Abuse &amp;amp; Neglect&lt;/secondary-title&gt;&lt;/titles&gt;&lt;periodical&gt;&lt;full-title&gt;Child Abuse &amp;amp; Neglect&lt;/full-title&gt;&lt;/periodical&gt;&lt;pages&gt;596&lt;/pages&gt;&lt;volume&gt;37&lt;/volume&gt;&lt;number&gt;8&lt;/number&gt;&lt;keywords&gt;&lt;keyword&gt;Criminology And Law Enforcement&lt;/keyword&gt;&lt;keyword&gt;Drug abuse&lt;/keyword&gt;&lt;keyword&gt;Child abuse &amp;amp; neglect&lt;/keyword&gt;&lt;keyword&gt;Child welfare&lt;/keyword&gt;&lt;keyword&gt;Substance abuse treatment&lt;/keyword&gt;&lt;keyword&gt;Aggressiveness&lt;/keyword&gt;&lt;/keywords&gt;&lt;dates&gt;&lt;year&gt;2013&lt;/year&gt;&lt;pub-dates&gt;&lt;date&gt;Aug 2013&amp;#xD;2013-08-17&lt;/date&gt;&lt;/pub-dates&gt;&lt;/dates&gt;&lt;pub-location&gt;Oxford&lt;/pub-location&gt;&lt;publisher&gt;Pergamon Press Inc.&lt;/publisher&gt;&lt;isbn&gt;01452134&lt;/isbn&gt;&lt;accession-num&gt;1425510937&lt;/accession-num&gt;&lt;urls&gt;&lt;related-urls&gt;&lt;url&gt;https://www.sciencedirect.com/science/article/abs/pii/S0145213413001129?via%3Dihub&lt;/url&gt;&lt;/related-urls&gt;&lt;/urls&gt;&lt;electronic-resource-num&gt;https://doi.org/10.1016/j.chiabu.2013.04.004&lt;/electronic-resource-num&gt;&lt;remote-database-name&gt;Applied Social Sciences Index &amp;amp; Abstracts (ASSIA)&lt;/remote-database-name&gt;&lt;language&gt;English&lt;/language&gt;&lt;/record&gt;&lt;/Cite&gt;&lt;/EndNote&gt;</w:instrText>
      </w:r>
      <w:r w:rsidR="0008621A" w:rsidRPr="003A2AE7">
        <w:fldChar w:fldCharType="separate"/>
      </w:r>
      <w:r w:rsidR="00A77498">
        <w:rPr>
          <w:noProof/>
        </w:rPr>
        <w:t>Schaeffer et al. (2013)</w:t>
      </w:r>
      <w:r w:rsidR="0008621A" w:rsidRPr="003A2AE7">
        <w:fldChar w:fldCharType="end"/>
      </w:r>
      <w:r w:rsidR="0008621A" w:rsidRPr="003A2AE7">
        <w:t xml:space="preserve"> point out</w:t>
      </w:r>
      <w:r w:rsidR="00A33DDD" w:rsidRPr="003A2AE7">
        <w:t xml:space="preserve">, </w:t>
      </w:r>
      <w:r w:rsidR="005F431B" w:rsidRPr="003A2AE7">
        <w:t xml:space="preserve">the lack of service collaboration and care management </w:t>
      </w:r>
      <w:r w:rsidR="004C45B9" w:rsidRPr="003A2AE7">
        <w:t xml:space="preserve">mean that some support offered may be duplicated while other support needs are missed entirely. </w:t>
      </w:r>
      <w:r w:rsidR="00602D7A" w:rsidRPr="003A2AE7">
        <w:t xml:space="preserve">This may serve to </w:t>
      </w:r>
      <w:r w:rsidR="003A2AE7" w:rsidRPr="003A2AE7">
        <w:t>“</w:t>
      </w:r>
      <w:r w:rsidRPr="003A2AE7">
        <w:t>frustrate families, impede engagement, and hinder the effectiveness of each component</w:t>
      </w:r>
      <w:r w:rsidR="003A2AE7" w:rsidRPr="003A2AE7">
        <w:t>”</w:t>
      </w:r>
      <w:r w:rsidRPr="003A2AE7">
        <w:t xml:space="preserve">. </w:t>
      </w:r>
      <w:r w:rsidR="007C3C08" w:rsidRPr="003A2AE7">
        <w:t xml:space="preserve">The lack of coordination between treatment and </w:t>
      </w:r>
      <w:r w:rsidR="00C128A3">
        <w:t>children’s social care</w:t>
      </w:r>
      <w:r w:rsidR="007C3C08" w:rsidRPr="003A2AE7">
        <w:t xml:space="preserve"> is particularly concerning</w:t>
      </w:r>
      <w:r w:rsidR="00080660" w:rsidRPr="003A2AE7">
        <w:t xml:space="preserve">, given the potential impact on </w:t>
      </w:r>
      <w:r w:rsidR="003A2AE7" w:rsidRPr="003A2AE7">
        <w:t>safeguarding decisions</w:t>
      </w:r>
      <w:r w:rsidR="008F0047">
        <w:t xml:space="preserve"> and child outcomes</w:t>
      </w:r>
      <w:r w:rsidR="00080660" w:rsidRPr="003A2AE7">
        <w:t>.</w:t>
      </w:r>
    </w:p>
    <w:p w14:paraId="0003C604" w14:textId="77777777" w:rsidR="00B40DE1" w:rsidRDefault="00B40DE1" w:rsidP="00737297">
      <w:pPr>
        <w:pStyle w:val="NoSpacing"/>
        <w:spacing w:line="360" w:lineRule="auto"/>
      </w:pPr>
    </w:p>
    <w:p w14:paraId="5849BC09" w14:textId="119E129B" w:rsidR="004E0E24" w:rsidRDefault="00C57E1F" w:rsidP="00737297">
      <w:pPr>
        <w:pStyle w:val="NoSpacing"/>
        <w:spacing w:line="360" w:lineRule="auto"/>
      </w:pPr>
      <w:r>
        <w:t>There is evidence to suggest</w:t>
      </w:r>
      <w:r w:rsidR="00625713">
        <w:t xml:space="preserve"> that years</w:t>
      </w:r>
      <w:r w:rsidR="00B40DE1">
        <w:t xml:space="preserve"> of disinvestment in </w:t>
      </w:r>
      <w:r w:rsidR="00625713">
        <w:t xml:space="preserve">both </w:t>
      </w:r>
      <w:r w:rsidR="00B40DE1">
        <w:t>treatment and children</w:t>
      </w:r>
      <w:r w:rsidR="003722CA">
        <w:t xml:space="preserve"> and family services have exacerbated problems</w:t>
      </w:r>
      <w:r w:rsidR="001C5576">
        <w:t xml:space="preserve"> prohibiting </w:t>
      </w:r>
      <w:r w:rsidR="00F11AD5">
        <w:t xml:space="preserve">the </w:t>
      </w:r>
      <w:r w:rsidR="00625713">
        <w:t>effective</w:t>
      </w:r>
      <w:r w:rsidR="00F11AD5">
        <w:t>ness of</w:t>
      </w:r>
      <w:r w:rsidR="00625713">
        <w:t xml:space="preserve"> </w:t>
      </w:r>
      <w:r w:rsidR="00F11AD5">
        <w:t xml:space="preserve">support given to families, including </w:t>
      </w:r>
      <w:r w:rsidR="00E550D3">
        <w:t>joint working</w:t>
      </w:r>
      <w:r w:rsidR="009344FC">
        <w:t xml:space="preserve"> as well as provision of</w:t>
      </w:r>
      <w:r w:rsidR="00E76D1F">
        <w:t xml:space="preserve"> beyond treatment as usual </w:t>
      </w:r>
      <w:r w:rsidR="00CB46FD">
        <w:t>interventions</w:t>
      </w:r>
      <w:r w:rsidR="00E76D1F">
        <w:t xml:space="preserve">, such as </w:t>
      </w:r>
      <w:r w:rsidR="00AB7760">
        <w:t>parenting and/or family</w:t>
      </w:r>
      <w:r w:rsidR="00E76D1F">
        <w:t xml:space="preserve"> recovery support</w:t>
      </w:r>
      <w:r w:rsidR="00E550D3">
        <w:t xml:space="preserve">. </w:t>
      </w:r>
      <w:r w:rsidR="00AF740A">
        <w:t xml:space="preserve">High caseloads </w:t>
      </w:r>
      <w:r w:rsidR="00CB46FD">
        <w:t>and having to prioritise the most complex cases</w:t>
      </w:r>
      <w:r w:rsidR="00295F69">
        <w:t xml:space="preserve"> </w:t>
      </w:r>
      <w:r w:rsidR="00E4521A">
        <w:t xml:space="preserve">as a result of </w:t>
      </w:r>
      <w:r w:rsidR="00295F69">
        <w:t xml:space="preserve">prolonged </w:t>
      </w:r>
      <w:r w:rsidR="00E4521A">
        <w:t>funding cu</w:t>
      </w:r>
      <w:r w:rsidR="00794AE5">
        <w:t xml:space="preserve">ts have made providing </w:t>
      </w:r>
      <w:r w:rsidR="00E106A4">
        <w:t xml:space="preserve">individually tailored support to families </w:t>
      </w:r>
      <w:r w:rsidR="00552CF4">
        <w:t xml:space="preserve">challenging </w:t>
      </w:r>
      <w:r w:rsidR="00552CF4">
        <w:fldChar w:fldCharType="begin">
          <w:fldData xml:space="preserve">PEVuZE5vdGU+PENpdGU+PEF1dGhvcj5NdXJwaHk8L0F1dGhvcj48WWVhcj4yMDIzPC9ZZWFyPjxS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==
</w:fldData>
        </w:fldChar>
      </w:r>
      <w:r w:rsidR="00B9334F">
        <w:instrText xml:space="preserve"> ADDIN EN.CITE </w:instrText>
      </w:r>
      <w:r w:rsidR="00B9334F">
        <w:fldChar w:fldCharType="begin">
          <w:fldData xml:space="preserve">PEVuZE5vdGU+PENpdGU+PEF1dGhvcj5NdXJwaHk8L0F1dGhvcj48WWVhcj4yMDIzPC9ZZWFyPjxS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==
</w:fldData>
        </w:fldChar>
      </w:r>
      <w:r w:rsidR="00B9334F">
        <w:instrText xml:space="preserve"> ADDIN EN.CITE.DATA </w:instrText>
      </w:r>
      <w:r w:rsidR="00B9334F">
        <w:fldChar w:fldCharType="end"/>
      </w:r>
      <w:r w:rsidR="00552CF4">
        <w:fldChar w:fldCharType="separate"/>
      </w:r>
      <w:r w:rsidR="003C6F70">
        <w:rPr>
          <w:noProof/>
        </w:rPr>
        <w:t>(Black, 2021; McAllister, 2022; Murphy, 2023; Roscoe et al., 2021)</w:t>
      </w:r>
      <w:r w:rsidR="00552CF4">
        <w:fldChar w:fldCharType="end"/>
      </w:r>
      <w:r w:rsidR="009344FC">
        <w:t xml:space="preserve">. </w:t>
      </w:r>
    </w:p>
    <w:p w14:paraId="61FCBE02" w14:textId="77777777" w:rsidR="001C5576" w:rsidRDefault="001C5576" w:rsidP="00737297">
      <w:pPr>
        <w:pStyle w:val="NoSpacing"/>
        <w:spacing w:line="360" w:lineRule="auto"/>
      </w:pPr>
    </w:p>
    <w:p w14:paraId="6362670C" w14:textId="759732D8" w:rsidR="00C81C61" w:rsidRDefault="00C81C61" w:rsidP="00737297">
      <w:pPr>
        <w:pStyle w:val="NoSpacing"/>
        <w:spacing w:line="360" w:lineRule="auto"/>
      </w:pPr>
      <w:r>
        <w:t xml:space="preserve">The literature </w:t>
      </w:r>
      <w:r w:rsidR="00F15579">
        <w:t>and reviews of practice</w:t>
      </w:r>
      <w:r>
        <w:t xml:space="preserve"> </w:t>
      </w:r>
      <w:r w:rsidR="00626A8A">
        <w:t xml:space="preserve">highlight </w:t>
      </w:r>
      <w:r w:rsidR="00915164">
        <w:t>a</w:t>
      </w:r>
      <w:r>
        <w:t xml:space="preserve"> failure of adult treatment services and </w:t>
      </w:r>
      <w:r w:rsidR="00915164">
        <w:t>child welfare services in</w:t>
      </w:r>
      <w:r>
        <w:t xml:space="preserve"> work</w:t>
      </w:r>
      <w:r w:rsidR="00915164">
        <w:t>ing</w:t>
      </w:r>
      <w:r>
        <w:t xml:space="preserve"> together </w:t>
      </w:r>
      <w:r w:rsidR="00915164">
        <w:t xml:space="preserve">effectively. This failure </w:t>
      </w:r>
      <w:r w:rsidR="00BF09C9">
        <w:t>impedes our understanding of the true scale of parental SUD and the number of children affected</w:t>
      </w:r>
      <w:r w:rsidR="00B2254C">
        <w:t xml:space="preserve">, as well as </w:t>
      </w:r>
      <w:r w:rsidR="005317FD">
        <w:t xml:space="preserve">potentially </w:t>
      </w:r>
      <w:r w:rsidR="00B2254C">
        <w:t>impeding recovery among parents</w:t>
      </w:r>
      <w:r w:rsidR="005317FD">
        <w:t xml:space="preserve"> and improving the outcomes of their children. </w:t>
      </w:r>
      <w:r w:rsidR="00B2254C">
        <w:t xml:space="preserve"> </w:t>
      </w:r>
    </w:p>
    <w:p w14:paraId="65AE92DA" w14:textId="77777777" w:rsidR="002820E3" w:rsidRDefault="002820E3" w:rsidP="00737297">
      <w:pPr>
        <w:pStyle w:val="NoSpacing"/>
        <w:spacing w:line="360" w:lineRule="auto"/>
      </w:pPr>
    </w:p>
    <w:p w14:paraId="64F33E20" w14:textId="77777777" w:rsidR="002820E3" w:rsidRPr="006E1843" w:rsidRDefault="002820E3" w:rsidP="00737297">
      <w:pPr>
        <w:pStyle w:val="NoSpacing"/>
        <w:spacing w:line="360" w:lineRule="auto"/>
      </w:pPr>
    </w:p>
    <w:p w14:paraId="577A6DC2" w14:textId="77777777" w:rsidR="001436B8" w:rsidRDefault="001436B8" w:rsidP="00FD5FD0">
      <w:pPr>
        <w:pStyle w:val="NoSpacing"/>
      </w:pPr>
    </w:p>
    <w:p w14:paraId="750D3AEB" w14:textId="4BCCEEA7" w:rsidR="00655D4A" w:rsidRDefault="00655D4A" w:rsidP="008C1AB0">
      <w:pPr>
        <w:pStyle w:val="Heading2"/>
        <w:numPr>
          <w:ilvl w:val="1"/>
          <w:numId w:val="18"/>
        </w:numPr>
        <w:spacing w:after="240"/>
      </w:pPr>
      <w:bookmarkStart w:id="26" w:name="_Toc189229655"/>
      <w:r>
        <w:lastRenderedPageBreak/>
        <w:t>The effectiveness and cost-effectiveness of interventions to support parents</w:t>
      </w:r>
      <w:r w:rsidR="00C57002">
        <w:t xml:space="preserve">, </w:t>
      </w:r>
      <w:r>
        <w:t xml:space="preserve">children </w:t>
      </w:r>
      <w:r w:rsidR="00C57002">
        <w:t xml:space="preserve">and families </w:t>
      </w:r>
      <w:r>
        <w:t>affected by parental SUD</w:t>
      </w:r>
      <w:bookmarkEnd w:id="26"/>
    </w:p>
    <w:p w14:paraId="115FE6A6" w14:textId="1914A51B" w:rsidR="0059412D" w:rsidRDefault="000415BA" w:rsidP="00737297">
      <w:pPr>
        <w:pStyle w:val="NoSpacing"/>
        <w:spacing w:line="360" w:lineRule="auto"/>
      </w:pPr>
      <w:r>
        <w:t>The evidence suggests that t</w:t>
      </w:r>
      <w:r w:rsidR="00B258FD">
        <w:t xml:space="preserve">reatment for </w:t>
      </w:r>
      <w:r w:rsidR="00085988">
        <w:t xml:space="preserve">adults with </w:t>
      </w:r>
      <w:r w:rsidR="00B258FD">
        <w:t xml:space="preserve">SUD is effective and cost-effective </w:t>
      </w:r>
      <w:r w:rsidR="00CA43F8">
        <w:fldChar w:fldCharType="begin">
          <w:fldData xml:space="preserve">PEVuZE5vdGU+PENpdGU+PEF1dGhvcj5CdXJraW5zaGF3PC9BdXRob3I+PFllYXI+MjAxNzwvWWVh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</w:fldData>
        </w:fldChar>
      </w:r>
      <w:r w:rsidR="00B9334F">
        <w:instrText xml:space="preserve"> ADDIN EN.CITE </w:instrText>
      </w:r>
      <w:r w:rsidR="00B9334F">
        <w:fldChar w:fldCharType="begin">
          <w:fldData xml:space="preserve">PEVuZE5vdGU+PENpdGU+PEF1dGhvcj5CdXJraW5zaGF3PC9BdXRob3I+PFllYXI+MjAxNzwvWWVh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</w:fldData>
        </w:fldChar>
      </w:r>
      <w:r w:rsidR="00B9334F">
        <w:instrText xml:space="preserve"> ADDIN EN.CITE.DATA </w:instrText>
      </w:r>
      <w:r w:rsidR="00B9334F">
        <w:fldChar w:fldCharType="end"/>
      </w:r>
      <w:r w:rsidR="00CA43F8">
        <w:fldChar w:fldCharType="separate"/>
      </w:r>
      <w:r w:rsidR="00CA43F8">
        <w:rPr>
          <w:noProof/>
        </w:rPr>
        <w:t>(Burkinshaw et al., 2017; Burton, Henn, Lavoie, O'Connor, et al., 2016; Burton, Henn, Lavoie, O’Connor, et al., 2016; Department of Health, 2017; NICE, 2011)</w:t>
      </w:r>
      <w:r w:rsidR="00CA43F8">
        <w:fldChar w:fldCharType="end"/>
      </w:r>
      <w:r w:rsidR="00622E9B">
        <w:t xml:space="preserve">, but the extent to which this is true of treatment assigned to parents </w:t>
      </w:r>
      <w:r w:rsidR="00CF1EA4">
        <w:t>with SUD</w:t>
      </w:r>
      <w:r w:rsidR="009652C2">
        <w:t>, and where effectiveness or cost-effectiveness could be improved</w:t>
      </w:r>
      <w:r w:rsidR="00CF1EA4">
        <w:t xml:space="preserve"> is not clear.</w:t>
      </w:r>
      <w:r w:rsidR="00B258FD">
        <w:t xml:space="preserve"> </w:t>
      </w:r>
      <w:r w:rsidR="00060C25">
        <w:t xml:space="preserve">While parents are a subset of the </w:t>
      </w:r>
      <w:r w:rsidR="00085988">
        <w:t xml:space="preserve">adult </w:t>
      </w:r>
      <w:r w:rsidR="00060C25">
        <w:t xml:space="preserve">treatment population, </w:t>
      </w:r>
      <w:r w:rsidR="001468C1">
        <w:t>their support needs</w:t>
      </w:r>
      <w:r w:rsidR="001D070B">
        <w:t xml:space="preserve"> differ </w:t>
      </w:r>
      <w:r w:rsidR="004F2AAE">
        <w:t>from</w:t>
      </w:r>
      <w:r w:rsidR="001D070B">
        <w:t xml:space="preserve"> </w:t>
      </w:r>
      <w:r w:rsidR="004F2AAE">
        <w:t xml:space="preserve">non-parents </w:t>
      </w:r>
      <w:r w:rsidR="001D070B">
        <w:t xml:space="preserve">in treatment. </w:t>
      </w:r>
      <w:r w:rsidR="00D9174D">
        <w:t xml:space="preserve">For example, </w:t>
      </w:r>
      <w:r w:rsidR="00645EC8">
        <w:t xml:space="preserve">parents with SUD </w:t>
      </w:r>
      <w:r w:rsidR="00E12686">
        <w:t xml:space="preserve">face </w:t>
      </w:r>
      <w:r w:rsidR="00B15631">
        <w:t xml:space="preserve">particular </w:t>
      </w:r>
      <w:r w:rsidR="00E12686">
        <w:t>stigmatization</w:t>
      </w:r>
      <w:r w:rsidR="004F2AAE">
        <w:t xml:space="preserve"> and </w:t>
      </w:r>
      <w:r w:rsidR="00B15631">
        <w:t xml:space="preserve">feelings of </w:t>
      </w:r>
      <w:r w:rsidR="004F2AAE">
        <w:t xml:space="preserve">shame </w:t>
      </w:r>
      <w:r w:rsidR="00B15631">
        <w:t xml:space="preserve">from having an SUD </w:t>
      </w:r>
      <w:r w:rsidR="00B15631" w:rsidRPr="00080AA6">
        <w:rPr>
          <w:i/>
          <w:iCs/>
        </w:rPr>
        <w:t>and</w:t>
      </w:r>
      <w:r w:rsidR="00B15631">
        <w:t xml:space="preserve"> being</w:t>
      </w:r>
      <w:r w:rsidR="004F2AAE">
        <w:t xml:space="preserve"> </w:t>
      </w:r>
      <w:r w:rsidR="00080AA6">
        <w:t xml:space="preserve">a </w:t>
      </w:r>
      <w:r w:rsidR="004F2AAE">
        <w:t>parent</w:t>
      </w:r>
      <w:r w:rsidR="00E12686">
        <w:t xml:space="preserve">, </w:t>
      </w:r>
      <w:r w:rsidR="00163C23">
        <w:t xml:space="preserve">which can impede recovery, </w:t>
      </w:r>
      <w:r w:rsidR="00E12686">
        <w:t xml:space="preserve">with mothers likely to experience stigma </w:t>
      </w:r>
      <w:r w:rsidR="00080AA6">
        <w:t xml:space="preserve">and shame more </w:t>
      </w:r>
      <w:r w:rsidR="00021B19">
        <w:t>deeply</w:t>
      </w:r>
      <w:r w:rsidR="00080AA6">
        <w:t xml:space="preserve"> than fathers</w:t>
      </w:r>
      <w:r w:rsidR="00193F34">
        <w:t xml:space="preserve"> </w:t>
      </w:r>
      <w:r w:rsidR="00193F34">
        <w:fldChar w:fldCharType="begin">
          <w:fldData xml:space="preserve">PEVuZE5vdGU+PENpdGU+PEF1dGhvcj5SYWRjbGlmZmU8L0F1dGhvcj48WWVhcj4yMDExPC9ZZWFy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</w:fldData>
        </w:fldChar>
      </w:r>
      <w:r w:rsidR="00B9334F">
        <w:instrText xml:space="preserve"> ADDIN EN.CITE </w:instrText>
      </w:r>
      <w:r w:rsidR="00B9334F">
        <w:fldChar w:fldCharType="begin">
          <w:fldData xml:space="preserve">PEVuZE5vdGU+PENpdGU+PEF1dGhvcj5SYWRjbGlmZmU8L0F1dGhvcj48WWVhcj4yMDExPC9ZZWFy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</w:fldData>
        </w:fldChar>
      </w:r>
      <w:r w:rsidR="00B9334F">
        <w:instrText xml:space="preserve"> ADDIN EN.CITE.DATA </w:instrText>
      </w:r>
      <w:r w:rsidR="00B9334F">
        <w:fldChar w:fldCharType="end"/>
      </w:r>
      <w:r w:rsidR="00193F34">
        <w:fldChar w:fldCharType="separate"/>
      </w:r>
      <w:r w:rsidR="003C6F70">
        <w:rPr>
          <w:noProof/>
        </w:rPr>
        <w:t>(Gunn &amp; Miranda Samuels, 2020; Long &amp; Jepsen, 2023; McGovern et al., 2022; Radcliffe, 2011)</w:t>
      </w:r>
      <w:r w:rsidR="00193F34">
        <w:fldChar w:fldCharType="end"/>
      </w:r>
      <w:r w:rsidR="00E12686">
        <w:t xml:space="preserve">. </w:t>
      </w:r>
      <w:r w:rsidR="00002BA4" w:rsidRPr="00002BA4">
        <w:t xml:space="preserve">Mothers who use drugs are more likely to have their children removed from their care </w:t>
      </w:r>
      <w:r w:rsidR="002543E1">
        <w:t>t</w:t>
      </w:r>
      <w:r w:rsidR="00002BA4" w:rsidRPr="00002BA4">
        <w:t xml:space="preserve">han </w:t>
      </w:r>
      <w:r w:rsidR="002543E1">
        <w:t>those who do not</w:t>
      </w:r>
      <w:r w:rsidR="00D40B98">
        <w:t xml:space="preserve"> </w:t>
      </w:r>
      <w:r w:rsidR="00D40B98">
        <w:fldChar w:fldCharType="begin"/>
      </w:r>
      <w:r w:rsidR="00B9334F">
        <w:instrText xml:space="preserve"> ADDIN EN.CITE &lt;EndNote&gt;&lt;Cite&gt;&lt;Author&gt;Darlington&lt;/Author&gt;&lt;Year&gt;2023&lt;/Year&gt;&lt;RecNum&gt;343&lt;/RecNum&gt;&lt;DisplayText&gt;(Darlington et al., 2023)&lt;/DisplayText&gt;&lt;record&gt;&lt;rec-number&gt;343&lt;/rec-number&gt;&lt;foreign-keys&gt;&lt;key app="EN" db-id="ffzvr5fstavwxoe9v04xf0wmp5t50as52da0" timestamp="1731671660" guid="cc85d116-d74e-4d84-9734-34bff511e66a"&gt;343&lt;/key&gt;&lt;/foreign-keys&gt;&lt;ref-type name="Journal Article"&gt;17&lt;/ref-type&gt;&lt;contributors&gt;&lt;authors&gt;&lt;author&gt;Darlington, Caroline K.&lt;/author&gt;&lt;author&gt;Clark, Rebecca&lt;/author&gt;&lt;author&gt;Jacoby, Sara F.&lt;/author&gt;&lt;author&gt;Terplan, Mishka&lt;/author&gt;&lt;author&gt;Alexander, Karen&lt;/author&gt;&lt;author&gt;Compton, Peggy&lt;/author&gt;&lt;/authors&gt;&lt;/contributors&gt;&lt;titles&gt;&lt;title&gt;Outcomes and experiences after child custody loss among mothers who use drugs: A mixed studies systematic review&lt;/title&gt;&lt;secondary-title&gt;Drug and Alcohol Dependence&lt;/secondary-title&gt;&lt;/titles&gt;&lt;periodical&gt;&lt;full-title&gt;Drug Alcohol Depend&lt;/full-title&gt;&lt;abbr-1&gt;Drug and alcohol dependence&lt;/abbr-1&gt;&lt;/periodical&gt;&lt;pages&gt;110944&lt;/pages&gt;&lt;volume&gt;251&lt;/volume&gt;&lt;keywords&gt;&lt;keyword&gt;Child welfare&lt;/keyword&gt;&lt;keyword&gt;Custody loss&lt;/keyword&gt;&lt;keyword&gt;Drug use&lt;/keyword&gt;&lt;keyword&gt;Maternal health&lt;/keyword&gt;&lt;keyword&gt;Policy&lt;/keyword&gt;&lt;/keywords&gt;&lt;dates&gt;&lt;year&gt;2023&lt;/year&gt;&lt;pub-dates&gt;&lt;date&gt;2023/10/01/&lt;/date&gt;&lt;/pub-dates&gt;&lt;/dates&gt;&lt;isbn&gt;0376-8716&lt;/isbn&gt;&lt;urls&gt;&lt;related-urls&gt;&lt;url&gt;https://www.sciencedirect.com/science/article/pii/S0376871623011821&lt;/url&gt;&lt;/related-urls&gt;&lt;/urls&gt;&lt;electronic-resource-num&gt;https://doi.org/10.1016/j.drugalcdep.2023.110944&lt;/electronic-resource-num&gt;&lt;/record&gt;&lt;/Cite&gt;&lt;/EndNote&gt;</w:instrText>
      </w:r>
      <w:r w:rsidR="00D40B98">
        <w:fldChar w:fldCharType="separate"/>
      </w:r>
      <w:r w:rsidR="00A77498">
        <w:rPr>
          <w:noProof/>
        </w:rPr>
        <w:t>(Darlington et al., 2023)</w:t>
      </w:r>
      <w:r w:rsidR="00D40B98">
        <w:fldChar w:fldCharType="end"/>
      </w:r>
      <w:r w:rsidR="00002BA4" w:rsidRPr="00002BA4">
        <w:t xml:space="preserve">. </w:t>
      </w:r>
      <w:r w:rsidR="005A5D82">
        <w:t xml:space="preserve">Child removal increases </w:t>
      </w:r>
      <w:r w:rsidR="007060AA">
        <w:t>trauma</w:t>
      </w:r>
      <w:r w:rsidR="00D70AF6">
        <w:t xml:space="preserve"> and the risk of</w:t>
      </w:r>
      <w:r w:rsidR="007060AA">
        <w:t xml:space="preserve"> </w:t>
      </w:r>
      <w:r w:rsidR="005A5D82">
        <w:t xml:space="preserve">substance use, </w:t>
      </w:r>
      <w:r w:rsidR="0059412D">
        <w:t xml:space="preserve">depression and suicidal ideation </w:t>
      </w:r>
      <w:r w:rsidR="009531D7">
        <w:fldChar w:fldCharType="begin">
          <w:fldData xml:space="preserve">PEVuZE5vdGU+PENpdGU+PEF1dGhvcj5BbHJvdWg8L0F1dGhvcj48WWVhcj4yMDIyPC9ZZWFyPjxS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=
</w:fldData>
        </w:fldChar>
      </w:r>
      <w:r w:rsidR="00B9334F">
        <w:instrText xml:space="preserve"> ADDIN EN.CITE </w:instrText>
      </w:r>
      <w:r w:rsidR="00B9334F">
        <w:fldChar w:fldCharType="begin">
          <w:fldData xml:space="preserve">PEVuZE5vdGU+PENpdGU+PEF1dGhvcj5BbHJvdWg8L0F1dGhvcj48WWVhcj4yMDIyPC9ZZWFyPjxS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=
</w:fldData>
        </w:fldChar>
      </w:r>
      <w:r w:rsidR="00B9334F">
        <w:instrText xml:space="preserve"> ADDIN EN.CITE.DATA </w:instrText>
      </w:r>
      <w:r w:rsidR="00B9334F">
        <w:fldChar w:fldCharType="end"/>
      </w:r>
      <w:r w:rsidR="009531D7">
        <w:fldChar w:fldCharType="separate"/>
      </w:r>
      <w:r w:rsidR="003C6F70">
        <w:rPr>
          <w:noProof/>
        </w:rPr>
        <w:t>(Alrouh et al., 2022; Broadhurst &amp; Mason, 2020; Crawford et al., 2009; Darlington et al., 2023)</w:t>
      </w:r>
      <w:r w:rsidR="009531D7">
        <w:fldChar w:fldCharType="end"/>
      </w:r>
      <w:r w:rsidR="00C368B9">
        <w:t xml:space="preserve">. </w:t>
      </w:r>
      <w:r w:rsidR="00512A05">
        <w:t xml:space="preserve">Also, </w:t>
      </w:r>
      <w:r w:rsidR="004934C2">
        <w:t xml:space="preserve">financial </w:t>
      </w:r>
      <w:r w:rsidR="00D7203A">
        <w:t>pressures</w:t>
      </w:r>
      <w:r w:rsidR="004934C2">
        <w:t xml:space="preserve"> and housing instability</w:t>
      </w:r>
      <w:r w:rsidR="00D7203A">
        <w:t xml:space="preserve"> </w:t>
      </w:r>
      <w:r w:rsidR="00521960">
        <w:t>may be</w:t>
      </w:r>
      <w:r w:rsidR="00CF1EA4">
        <w:t xml:space="preserve"> more </w:t>
      </w:r>
      <w:r w:rsidR="0030264B">
        <w:t xml:space="preserve">urgent </w:t>
      </w:r>
      <w:r w:rsidR="00CF1EA4">
        <w:t>and</w:t>
      </w:r>
      <w:r w:rsidR="00521960">
        <w:t xml:space="preserve"> felt more strongly among parents </w:t>
      </w:r>
      <w:r w:rsidR="00067D68">
        <w:t xml:space="preserve">with SUD </w:t>
      </w:r>
      <w:r w:rsidR="00521960">
        <w:t xml:space="preserve">who are having to </w:t>
      </w:r>
      <w:r w:rsidR="004934C2">
        <w:t>look after their</w:t>
      </w:r>
      <w:r w:rsidR="002D617B">
        <w:t xml:space="preserve"> children as well as themselves. </w:t>
      </w:r>
    </w:p>
    <w:p w14:paraId="03851E22" w14:textId="77777777" w:rsidR="00C53BDA" w:rsidRDefault="00C53BDA" w:rsidP="00737297">
      <w:pPr>
        <w:pStyle w:val="NoSpacing"/>
        <w:spacing w:line="360" w:lineRule="auto"/>
      </w:pPr>
    </w:p>
    <w:p w14:paraId="689847B1" w14:textId="4D125209" w:rsidR="00541919" w:rsidRDefault="00541919" w:rsidP="009C3BBC">
      <w:pPr>
        <w:pStyle w:val="Heading3"/>
        <w:numPr>
          <w:ilvl w:val="2"/>
          <w:numId w:val="18"/>
        </w:numPr>
        <w:spacing w:line="360" w:lineRule="auto"/>
      </w:pPr>
      <w:bookmarkStart w:id="27" w:name="_Toc189229656"/>
      <w:r>
        <w:t>UK Government funded programmes</w:t>
      </w:r>
      <w:bookmarkEnd w:id="27"/>
    </w:p>
    <w:p w14:paraId="42EF62F6" w14:textId="53F77A28" w:rsidR="009826F1" w:rsidRDefault="00C5337C" w:rsidP="00737297">
      <w:pPr>
        <w:pStyle w:val="NoSpacing"/>
        <w:spacing w:line="360" w:lineRule="auto"/>
      </w:pPr>
      <w:r>
        <w:t>I</w:t>
      </w:r>
      <w:r w:rsidR="00975387">
        <w:t xml:space="preserve">n </w:t>
      </w:r>
      <w:r w:rsidR="00805B54">
        <w:t xml:space="preserve">recent years there have been </w:t>
      </w:r>
      <w:r w:rsidR="00975387">
        <w:t xml:space="preserve">some notable </w:t>
      </w:r>
      <w:r w:rsidR="42DB3B19">
        <w:t xml:space="preserve">UK </w:t>
      </w:r>
      <w:r w:rsidR="00805B54">
        <w:t>Government funded programmes</w:t>
      </w:r>
      <w:r w:rsidR="00F90CBF">
        <w:t>,</w:t>
      </w:r>
      <w:r w:rsidR="001D245E">
        <w:t xml:space="preserve"> </w:t>
      </w:r>
      <w:r w:rsidR="005730D2">
        <w:t>aiming</w:t>
      </w:r>
      <w:r w:rsidR="00805B54">
        <w:t xml:space="preserve"> to improve outcomes for families</w:t>
      </w:r>
      <w:r w:rsidR="1B88D874">
        <w:t xml:space="preserve"> in England </w:t>
      </w:r>
      <w:r w:rsidR="00805B54">
        <w:t>which may be experiencing issues of parental SUD</w:t>
      </w:r>
      <w:r w:rsidR="2A8ACCE3">
        <w:t xml:space="preserve">. </w:t>
      </w:r>
      <w:r w:rsidR="00D04A27">
        <w:t xml:space="preserve"> </w:t>
      </w:r>
      <w:r>
        <w:t>For example, t</w:t>
      </w:r>
      <w:r w:rsidR="000918E5">
        <w:t xml:space="preserve">he Family Intervention Projects (FIPs) and the Supporting Families (formerly Troubled Families) programme are Government interventions targeting English families with multiple support needs, which often (though not necessarily always) include parental SUD. As well as improving outcomes for vulnerable families, these programmes aim for improvements felt in the wider community and society, including local cost savings. </w:t>
      </w:r>
    </w:p>
    <w:p w14:paraId="4265E967" w14:textId="77777777" w:rsidR="009826F1" w:rsidRDefault="009826F1" w:rsidP="00737297">
      <w:pPr>
        <w:pStyle w:val="NoSpacing"/>
        <w:spacing w:line="360" w:lineRule="auto"/>
      </w:pPr>
    </w:p>
    <w:p w14:paraId="2207AA33" w14:textId="1B3AA974" w:rsidR="000918E5" w:rsidRPr="003C4F13" w:rsidRDefault="000918E5" w:rsidP="00737297">
      <w:pPr>
        <w:pStyle w:val="NoSpacing"/>
        <w:spacing w:line="360" w:lineRule="auto"/>
      </w:pPr>
      <w:r>
        <w:t xml:space="preserve">FIPs were launched in 2006 and </w:t>
      </w:r>
      <w:r w:rsidR="00E42454">
        <w:t xml:space="preserve">were </w:t>
      </w:r>
      <w:r>
        <w:t xml:space="preserve">aimed at addressing antisocial behaviour in communities by helping the most high-risk and chaotic families through intensive </w:t>
      </w:r>
      <w:r>
        <w:lastRenderedPageBreak/>
        <w:t xml:space="preserve">interventions </w:t>
      </w:r>
      <w:r>
        <w:fldChar w:fldCharType="begin"/>
      </w:r>
      <w:r w:rsidR="00B9334F">
        <w:instrText xml:space="preserve"> ADDIN EN.CITE &lt;EndNote&gt;&lt;Cite&gt;&lt;Author&gt;Kydd&lt;/Author&gt;&lt;Year&gt;2012&lt;/Year&gt;&lt;RecNum&gt;168&lt;/RecNum&gt;&lt;DisplayText&gt;(Kydd &amp;amp; Roe, 2012)&lt;/DisplayText&gt;&lt;record&gt;&lt;rec-number&gt;168&lt;/rec-number&gt;&lt;foreign-keys&gt;&lt;key app="EN" db-id="ffzvr5fstavwxoe9v04xf0wmp5t50as52da0" timestamp="1731671646" guid="dfe7532b-cbda-4772-8a8e-d60a5242a050"&gt;168&lt;/key&gt;&lt;/foreign-keys&gt;&lt;ref-type name="Electronic Article"&gt;43&lt;/ref-type&gt;&lt;contributors&gt;&lt;authors&gt;&lt;author&gt;Sophie Kydd&lt;/author&gt;&lt;author&gt;Natalie Roe&lt;/author&gt;&lt;/authors&gt;&lt;/contributors&gt;&lt;titles&gt;&lt;title&gt;A better future for families: The importance of family-based interventions in tackling substance misuse. The Breaking the Cycle Commission.&lt;/title&gt;&lt;/titles&gt;&lt;dates&gt;&lt;year&gt;2012&lt;/year&gt;&lt;pub-dates&gt;&lt;date&gt;03/11/2018.&lt;/date&gt;&lt;/pub-dates&gt;&lt;/dates&gt;&lt;publisher&gt;Addaction.&lt;/publisher&gt;&lt;urls&gt;&lt;related-urls&gt;&lt;url&gt;https://www.addaction.org.uk/sites/default/files/public/attachments/the_breaking_the_cycle_commission_2mb_0.pdf&lt;/url&gt;&lt;/related-urls&gt;&lt;/urls&gt;&lt;/record&gt;&lt;/Cite&gt;&lt;/EndNote&gt;</w:instrText>
      </w:r>
      <w:r>
        <w:fldChar w:fldCharType="separate"/>
      </w:r>
      <w:r w:rsidR="003C6F70">
        <w:rPr>
          <w:noProof/>
        </w:rPr>
        <w:t>(Kydd &amp; Roe, 2012)</w:t>
      </w:r>
      <w:r>
        <w:fldChar w:fldCharType="end"/>
      </w:r>
      <w:r>
        <w:t xml:space="preserve">. Families had multiple and complex needs, such as domestic violence, mental illness and parental SUD, and were likely to already be receiving, or at risk of receiving, some kind of statutory intervention. An assessment of intensive family working which justified the launch of FIPs was conducted in 15 local authorities with 53 families. </w:t>
      </w:r>
      <w:r w:rsidR="0003479E">
        <w:t>Th</w:t>
      </w:r>
      <w:r w:rsidR="00353B6C">
        <w:t>e</w:t>
      </w:r>
      <w:r w:rsidR="0003479E">
        <w:t xml:space="preserve"> research</w:t>
      </w:r>
      <w:r w:rsidR="00353B6C">
        <w:t>,</w:t>
      </w:r>
      <w:r w:rsidR="0003479E">
        <w:t xml:space="preserve"> commissioned </w:t>
      </w:r>
      <w:r w:rsidR="00353B6C">
        <w:t xml:space="preserve">by </w:t>
      </w:r>
      <w:r w:rsidR="003B463B">
        <w:t>Government</w:t>
      </w:r>
      <w:r w:rsidR="00353B6C">
        <w:t xml:space="preserve">, </w:t>
      </w:r>
      <w:r>
        <w:t xml:space="preserve">reported that a £1million investment was associated with a social return of £2.5 million </w:t>
      </w:r>
      <w:r>
        <w:fldChar w:fldCharType="begin"/>
      </w:r>
      <w:r w:rsidR="00B9334F">
        <w:instrText xml:space="preserve"> ADDIN EN.CITE &lt;EndNote&gt;&lt;Cite&gt;&lt;Author&gt;Kendall&lt;/Author&gt;&lt;Year&gt;2010&lt;/Year&gt;&lt;RecNum&gt;169&lt;/RecNum&gt;&lt;DisplayText&gt;(Kendall et al., 2010)&lt;/DisplayText&gt;&lt;record&gt;&lt;rec-number&gt;169&lt;/rec-number&gt;&lt;foreign-keys&gt;&lt;key app="EN" db-id="ffzvr5fstavwxoe9v04xf0wmp5t50as52da0" timestamp="1731671646" guid="9a868626-e3f2-4893-99ce-9ba0b7a22945"&gt;169&lt;/key&gt;&lt;/foreign-keys&gt;&lt;ref-type name="Electronic Article"&gt;43&lt;/ref-type&gt;&lt;contributors&gt;&lt;authors&gt;&lt;author&gt;Sally Kendall&lt;/author&gt;&lt;author&gt;John Rodger&lt;/author&gt;&lt;author&gt;Helen Palmer&lt;/author&gt;&lt;/authors&gt;&lt;/contributors&gt;&lt;titles&gt;&lt;title&gt;Redesigning provision for families with multiple problems – an assessment of the early impact of different local approaches. Research Report DFE-RR046&lt;/title&gt;&lt;/titles&gt;&lt;dates&gt;&lt;year&gt;2010&lt;/year&gt;&lt;pub-dates&gt;&lt;date&gt;15/06/2019&lt;/date&gt;&lt;/pub-dates&gt;&lt;/dates&gt;&lt;pub-location&gt;London&lt;/pub-location&gt;&lt;publisher&gt;Department for Education&lt;/publisher&gt;&lt;urls&gt;&lt;related-urls&gt;&lt;url&gt;https://assets.publishing.service.gov.uk/government/uploads/system/uploads/attachment_data/file/181692/DFE-RR046.pdf&lt;/url&gt;&lt;/related-urls&gt;&lt;/urls&gt;&lt;/record&gt;&lt;/Cite&gt;&lt;/EndNote&gt;</w:instrText>
      </w:r>
      <w:r>
        <w:fldChar w:fldCharType="separate"/>
      </w:r>
      <w:r w:rsidR="00A77498">
        <w:rPr>
          <w:noProof/>
        </w:rPr>
        <w:t>(Kendall et al., 2010)</w:t>
      </w:r>
      <w:r>
        <w:fldChar w:fldCharType="end"/>
      </w:r>
      <w:r>
        <w:t xml:space="preserve">, or a social return on investment (SROI) of 2.5:1. However, the study was limited by the small sample size, the lack of a control or comparison group, the lack of external data sources to </w:t>
      </w:r>
      <w:r w:rsidR="00BD6F45">
        <w:t>verify</w:t>
      </w:r>
      <w:r>
        <w:t xml:space="preserve"> the outcomes reported by workers, </w:t>
      </w:r>
      <w:r w:rsidR="009B018E">
        <w:t xml:space="preserve">inconsistency in delivery models across local authorities, </w:t>
      </w:r>
      <w:r>
        <w:t xml:space="preserve">and the lack of follow-up interviews with families after completing the programme to assess whether outcomes were sustained. </w:t>
      </w:r>
    </w:p>
    <w:p w14:paraId="1B19289E" w14:textId="77777777" w:rsidR="000918E5" w:rsidRPr="003C4F13" w:rsidRDefault="000918E5" w:rsidP="00737297">
      <w:pPr>
        <w:pStyle w:val="NoSpacing"/>
        <w:spacing w:line="360" w:lineRule="auto"/>
      </w:pPr>
    </w:p>
    <w:p w14:paraId="2F37F0D1" w14:textId="493CFE98" w:rsidR="000918E5" w:rsidRPr="003C4F13" w:rsidRDefault="000918E5" w:rsidP="00737297">
      <w:pPr>
        <w:pStyle w:val="NoSpacing"/>
        <w:spacing w:line="360" w:lineRule="auto"/>
      </w:pPr>
      <w:r>
        <w:t>While each area developed a delivery model specific to local need, crucially</w:t>
      </w:r>
      <w:r w:rsidR="00FF20BE">
        <w:t>,</w:t>
      </w:r>
      <w:r>
        <w:t xml:space="preserve"> a focus on systems change was common to all. All local authorities focused on developing integrated governance, policy-making and operational practice, e.g. commissioning and information sharing </w:t>
      </w:r>
      <w:r>
        <w:fldChar w:fldCharType="begin"/>
      </w:r>
      <w:r w:rsidR="00B9334F">
        <w:instrText xml:space="preserve"> ADDIN EN.CITE &lt;EndNote&gt;&lt;Cite&gt;&lt;Author&gt;Kendall&lt;/Author&gt;&lt;Year&gt;2010&lt;/Year&gt;&lt;RecNum&gt;169&lt;/RecNum&gt;&lt;DisplayText&gt;(Kendall et al., 2010)&lt;/DisplayText&gt;&lt;record&gt;&lt;rec-number&gt;169&lt;/rec-number&gt;&lt;foreign-keys&gt;&lt;key app="EN" db-id="ffzvr5fstavwxoe9v04xf0wmp5t50as52da0" timestamp="1731671646" guid="9a868626-e3f2-4893-99ce-9ba0b7a22945"&gt;169&lt;/key&gt;&lt;/foreign-keys&gt;&lt;ref-type name="Electronic Article"&gt;43&lt;/ref-type&gt;&lt;contributors&gt;&lt;authors&gt;&lt;author&gt;Sally Kendall&lt;/author&gt;&lt;author&gt;John Rodger&lt;/author&gt;&lt;author&gt;Helen Palmer&lt;/author&gt;&lt;/authors&gt;&lt;/contributors&gt;&lt;titles&gt;&lt;title&gt;Redesigning provision for families with multiple problems – an assessment of the early impact of different local approaches. Research Report DFE-RR046&lt;/title&gt;&lt;/titles&gt;&lt;dates&gt;&lt;year&gt;2010&lt;/year&gt;&lt;pub-dates&gt;&lt;date&gt;15/06/2019&lt;/date&gt;&lt;/pub-dates&gt;&lt;/dates&gt;&lt;pub-location&gt;London&lt;/pub-location&gt;&lt;publisher&gt;Department for Education&lt;/publisher&gt;&lt;urls&gt;&lt;related-urls&gt;&lt;url&gt;https://assets.publishing.service.gov.uk/government/uploads/system/uploads/attachment_data/file/181692/DFE-RR046.pdf&lt;/url&gt;&lt;/related-urls&gt;&lt;/urls&gt;&lt;/record&gt;&lt;/Cite&gt;&lt;/EndNote&gt;</w:instrText>
      </w:r>
      <w:r>
        <w:fldChar w:fldCharType="separate"/>
      </w:r>
      <w:r w:rsidR="00A77498">
        <w:rPr>
          <w:noProof/>
        </w:rPr>
        <w:t>(Kendall et al., 2010)</w:t>
      </w:r>
      <w:r>
        <w:fldChar w:fldCharType="end"/>
      </w:r>
      <w:r>
        <w:t>, with a single dedicated assertive worker considering whole</w:t>
      </w:r>
      <w:r w:rsidR="002C28D9">
        <w:t xml:space="preserve"> </w:t>
      </w:r>
      <w:r>
        <w:t xml:space="preserve">family needs. Among families that completed the programme by March 2012, there was a 39% reduction in drug use and 47% in alcohol use, a 36% reduction in child protection issues and a 49% reduction in ‘poor parenting’, suggesting that national implementation was effective in improving outcomes for communities and families </w:t>
      </w:r>
      <w:r>
        <w:fldChar w:fldCharType="begin"/>
      </w:r>
      <w:r w:rsidR="00B9334F">
        <w:instrText xml:space="preserve"> ADDIN EN.CITE &lt;EndNote&gt;&lt;Cite&gt;&lt;Author&gt;DCLG&lt;/Author&gt;&lt;Year&gt;2012&lt;/Year&gt;&lt;RecNum&gt;170&lt;/RecNum&gt;&lt;DisplayText&gt;(DCLG, 2012)&lt;/DisplayText&gt;&lt;record&gt;&lt;rec-number&gt;170&lt;/rec-number&gt;&lt;foreign-keys&gt;&lt;key app="EN" db-id="ffzvr5fstavwxoe9v04xf0wmp5t50as52da0" timestamp="1731671646" guid="003c1767-18e7-4dd2-8f97-778c6ee65df5"&gt;170&lt;/key&gt;&lt;/foreign-keys&gt;&lt;ref-type name="Electronic Article"&gt;43&lt;/ref-type&gt;&lt;contributors&gt;&lt;authors&gt;&lt;author&gt;DCLG&lt;/author&gt;&lt;/authors&gt;&lt;/contributors&gt;&lt;titles&gt;&lt;title&gt;Working with Troubled Families. A guide to the evidence and good practice&lt;/title&gt;&lt;/titles&gt;&lt;dates&gt;&lt;year&gt;2012&lt;/year&gt;&lt;pub-dates&gt;&lt;date&gt;15/06/2019&lt;/date&gt;&lt;/pub-dates&gt;&lt;/dates&gt;&lt;pub-location&gt;London&lt;/pub-location&gt;&lt;publisher&gt;Department for Communities and Local Government&lt;/publisher&gt;&lt;urls&gt;&lt;related-urls&gt;&lt;url&gt;https://assets.publishing.service.gov.uk/government/uploads/system/uploads/attachment_data/file/66113/121214_Working_with_troubled_families_FINAL_v2.pdf&lt;/url&gt;&lt;/related-urls&gt;&lt;/urls&gt;&lt;/record&gt;&lt;/Cite&gt;&lt;/EndNote&gt;</w:instrText>
      </w:r>
      <w:r>
        <w:fldChar w:fldCharType="separate"/>
      </w:r>
      <w:r w:rsidR="00A77498">
        <w:rPr>
          <w:noProof/>
        </w:rPr>
        <w:t>(DCLG, 2012)</w:t>
      </w:r>
      <w:r>
        <w:fldChar w:fldCharType="end"/>
      </w:r>
      <w:r>
        <w:t xml:space="preserve">. </w:t>
      </w:r>
    </w:p>
    <w:p w14:paraId="101E5D57" w14:textId="77777777" w:rsidR="000918E5" w:rsidRPr="003C4F13" w:rsidRDefault="000918E5" w:rsidP="00737297">
      <w:pPr>
        <w:pStyle w:val="NoSpacing"/>
        <w:spacing w:line="360" w:lineRule="auto"/>
      </w:pPr>
    </w:p>
    <w:p w14:paraId="77EF9D28" w14:textId="56D2DE08" w:rsidR="000918E5" w:rsidRPr="003C4F13" w:rsidRDefault="000918E5" w:rsidP="00737297">
      <w:pPr>
        <w:pStyle w:val="NoSpacing"/>
        <w:spacing w:line="360" w:lineRule="auto"/>
      </w:pPr>
      <w:r w:rsidRPr="003C4F13">
        <w:t xml:space="preserve">In 2011, FIPs were replaced by the national Troubled Families Programme. The Ministry of Housing, Community and Local Government required local authorities to </w:t>
      </w:r>
      <w:r w:rsidR="007C77B5">
        <w:t>make</w:t>
      </w:r>
      <w:r w:rsidR="007C77B5" w:rsidRPr="003C4F13">
        <w:t xml:space="preserve"> </w:t>
      </w:r>
      <w:r w:rsidRPr="003C4F13">
        <w:t xml:space="preserve">a whole family assessment of support needs and to assign each family on the programme a key worker or care manager. The national evaluation </w:t>
      </w:r>
      <w:r>
        <w:t xml:space="preserve">matched participants to a wide range of government administrative datasets to create a comparison group and compare outcomes. </w:t>
      </w:r>
      <w:r w:rsidR="007C7528">
        <w:t xml:space="preserve">This did </w:t>
      </w:r>
      <w:r w:rsidR="007C7528" w:rsidRPr="002C28D9">
        <w:t>not</w:t>
      </w:r>
      <w:r w:rsidR="007C7528">
        <w:t xml:space="preserve"> include the NDTMS. </w:t>
      </w:r>
      <w:r>
        <w:t xml:space="preserve">The evaluators </w:t>
      </w:r>
      <w:r w:rsidRPr="003C4F13">
        <w:t xml:space="preserve">found it to be as effective or more so than other programmes supporting families with multiple and complex support needs. The economic evaluation found a benefit-cost ratio 2.28:1. The programme was expanded to include ‘reducing and recovery from substance use’ as a key outcome and since 2021 </w:t>
      </w:r>
      <w:r w:rsidR="002A2EA8">
        <w:t>and</w:t>
      </w:r>
      <w:r w:rsidRPr="003C4F13">
        <w:t xml:space="preserve"> rebranded to the less judgemental and accusatory ‘Supporting Families’. In the Autumn Budget </w:t>
      </w:r>
      <w:r w:rsidRPr="003C4F13">
        <w:lastRenderedPageBreak/>
        <w:t xml:space="preserve">2021, the government announced an additional £200 million to supplement the £500 million already invested for the programme from 1 April 2023 to 31 March 2025 </w:t>
      </w:r>
      <w:r w:rsidRPr="003C4F13">
        <w:fldChar w:fldCharType="begin"/>
      </w:r>
      <w:r w:rsidR="00B9334F">
        <w:instrText xml:space="preserve"> ADDIN EN.CITE &lt;EndNote&gt;&lt;Cite&gt;&lt;Author&gt;Foster&lt;/Author&gt;&lt;Year&gt;2023&lt;/Year&gt;&lt;RecNum&gt;253&lt;/RecNum&gt;&lt;DisplayText&gt;(Foster, 2023)&lt;/DisplayText&gt;&lt;record&gt;&lt;rec-number&gt;253&lt;/rec-number&gt;&lt;foreign-keys&gt;&lt;key app="EN" db-id="ffzvr5fstavwxoe9v04xf0wmp5t50as52da0" timestamp="1731671652" guid="005a4d84-f6c1-4f8f-b1cd-d3f76578ab7b"&gt;253&lt;/key&gt;&lt;/foreign-keys&gt;&lt;ref-type name="Electronic Article"&gt;43&lt;/ref-type&gt;&lt;contributors&gt;&lt;authors&gt;&lt;author&gt;David Foster&lt;/author&gt;&lt;/authors&gt;&lt;/contributors&gt;&lt;titles&gt;&lt;title&gt;Supporting Families. Research Briefing.&lt;/title&gt;&lt;/titles&gt;&lt;dates&gt;&lt;year&gt;2023&lt;/year&gt;&lt;pub-dates&gt;&lt;date&gt;04/04/2024&lt;/date&gt;&lt;/pub-dates&gt;&lt;/dates&gt;&lt;pub-location&gt;London&lt;/pub-location&gt;&lt;publisher&gt;House of Commons Library,&lt;/publisher&gt;&lt;urls&gt;&lt;related-urls&gt;&lt;url&gt;https://researchbriefings.files.parliament.uk/documents/CBP-7585/CBP-7585.pdf&lt;/url&gt;&lt;/related-urls&gt;&lt;/urls&gt;&lt;/record&gt;&lt;/Cite&gt;&lt;/EndNote&gt;</w:instrText>
      </w:r>
      <w:r w:rsidRPr="003C4F13">
        <w:fldChar w:fldCharType="separate"/>
      </w:r>
      <w:r w:rsidR="00A77498">
        <w:rPr>
          <w:noProof/>
        </w:rPr>
        <w:t>(Foster, 2023)</w:t>
      </w:r>
      <w:r w:rsidRPr="003C4F13">
        <w:fldChar w:fldCharType="end"/>
      </w:r>
      <w:r w:rsidRPr="003C4F13">
        <w:t>.</w:t>
      </w:r>
    </w:p>
    <w:p w14:paraId="3E6CFD78" w14:textId="77777777" w:rsidR="000918E5" w:rsidRDefault="000918E5" w:rsidP="00737297">
      <w:pPr>
        <w:pStyle w:val="NoSpacing"/>
        <w:spacing w:line="360" w:lineRule="auto"/>
      </w:pPr>
    </w:p>
    <w:p w14:paraId="45C08034" w14:textId="60944D7A" w:rsidR="000918E5" w:rsidRDefault="000918E5" w:rsidP="00737297">
      <w:pPr>
        <w:pStyle w:val="NoSpacing"/>
        <w:spacing w:line="360" w:lineRule="auto"/>
        <w:rPr>
          <w:rFonts w:eastAsia="Times New Roman"/>
          <w:color w:val="0B0C0C"/>
          <w:lang w:eastAsia="en-GB"/>
        </w:rPr>
      </w:pPr>
      <w:r>
        <w:t xml:space="preserve">In 2018, local authorities </w:t>
      </w:r>
      <w:r w:rsidR="00D278C7">
        <w:t xml:space="preserve">in England </w:t>
      </w:r>
      <w:r>
        <w:t xml:space="preserve">were invited to bid for their potential share of a </w:t>
      </w:r>
      <w:r w:rsidRPr="00F93630">
        <w:rPr>
          <w:rFonts w:eastAsia="Times New Roman"/>
          <w:color w:val="0B0C0C"/>
          <w:lang w:eastAsia="en-GB"/>
        </w:rPr>
        <w:t xml:space="preserve">£4.5 million innovation fund to develop plans </w:t>
      </w:r>
      <w:r>
        <w:rPr>
          <w:rFonts w:eastAsia="Times New Roman"/>
          <w:color w:val="0B0C0C"/>
          <w:lang w:eastAsia="en-GB"/>
        </w:rPr>
        <w:t>which aimed to</w:t>
      </w:r>
      <w:r w:rsidRPr="00F93630">
        <w:rPr>
          <w:rFonts w:eastAsia="Times New Roman"/>
          <w:color w:val="0B0C0C"/>
          <w:lang w:eastAsia="en-GB"/>
        </w:rPr>
        <w:t xml:space="preserve"> improve outcomes for </w:t>
      </w:r>
      <w:r>
        <w:rPr>
          <w:rFonts w:eastAsia="Times New Roman"/>
          <w:color w:val="0B0C0C"/>
          <w:lang w:eastAsia="en-GB"/>
        </w:rPr>
        <w:t xml:space="preserve">the </w:t>
      </w:r>
      <w:r w:rsidRPr="00F93630">
        <w:rPr>
          <w:rFonts w:eastAsia="Times New Roman"/>
          <w:color w:val="0B0C0C"/>
          <w:lang w:eastAsia="en-GB"/>
        </w:rPr>
        <w:t xml:space="preserve">children of </w:t>
      </w:r>
      <w:r>
        <w:rPr>
          <w:rFonts w:eastAsia="Times New Roman"/>
          <w:color w:val="0B0C0C"/>
          <w:lang w:eastAsia="en-GB"/>
        </w:rPr>
        <w:t xml:space="preserve">parents with an alcohol use disorder. Nine areas (spanning 13 local authorities) </w:t>
      </w:r>
      <w:r w:rsidRPr="00A8233A">
        <w:t xml:space="preserve">were successful. Funding was initially set for two years up to 31 March 2021, but was extended another year through £700,000 funding to </w:t>
      </w:r>
      <w:r>
        <w:t>assuage</w:t>
      </w:r>
      <w:r w:rsidRPr="00A8233A">
        <w:t xml:space="preserve"> the impact of the COVID-19 pandemic. </w:t>
      </w:r>
      <w:r>
        <w:t xml:space="preserve">The </w:t>
      </w:r>
      <w:r w:rsidR="00BF41DA">
        <w:t>Children of Alcohol Dependents Programme</w:t>
      </w:r>
      <w:r>
        <w:t xml:space="preserve"> was managed by Public Health England</w:t>
      </w:r>
      <w:r w:rsidR="00025692">
        <w:t xml:space="preserve"> </w:t>
      </w:r>
      <w:r>
        <w:t>and f</w:t>
      </w:r>
      <w:r w:rsidRPr="00A8233A">
        <w:t>und</w:t>
      </w:r>
      <w:r w:rsidR="00FF4591">
        <w:t>ed</w:t>
      </w:r>
      <w:r w:rsidRPr="00A8233A">
        <w:t xml:space="preserve"> jointly by the Department of Health and Social Care and the Department for Work and Pensions (DWP). Local authorities had to include DWP’s Reducing Parental Conflict programme in their delivery.</w:t>
      </w:r>
      <w:r>
        <w:rPr>
          <w:rFonts w:eastAsia="Times New Roman"/>
          <w:color w:val="0B0C0C"/>
          <w:lang w:eastAsia="en-GB"/>
        </w:rPr>
        <w:t xml:space="preserve"> An independent evaluation found positive results for local systems, parents and children through interviews and synthesis of local analysis and evaluations, namely: earlier identification of parents with alcohol use disorder and their children, improvements in local systems for supporting families, </w:t>
      </w:r>
      <w:r w:rsidR="00844DE4">
        <w:rPr>
          <w:rFonts w:eastAsia="Times New Roman"/>
          <w:color w:val="0B0C0C"/>
          <w:lang w:eastAsia="en-GB"/>
        </w:rPr>
        <w:t xml:space="preserve">and </w:t>
      </w:r>
      <w:r>
        <w:rPr>
          <w:rFonts w:eastAsia="Times New Roman"/>
          <w:color w:val="0B0C0C"/>
          <w:lang w:eastAsia="en-GB"/>
        </w:rPr>
        <w:t xml:space="preserve">better outcomes for families </w:t>
      </w:r>
      <w:r>
        <w:rPr>
          <w:rFonts w:eastAsia="Times New Roman"/>
          <w:color w:val="0B0C0C"/>
          <w:lang w:eastAsia="en-GB"/>
        </w:rPr>
        <w:fldChar w:fldCharType="begin"/>
      </w:r>
      <w:r w:rsidR="00B9334F">
        <w:rPr>
          <w:rFonts w:eastAsia="Times New Roman"/>
          <w:color w:val="0B0C0C"/>
          <w:lang w:eastAsia="en-GB"/>
        </w:rPr>
        <w:instrText xml:space="preserve"> ADDIN EN.CITE &lt;EndNote&gt;&lt;Cite&gt;&lt;Author&gt;Tavistock Institute of Human Relations&lt;/Author&gt;&lt;Year&gt;2023&lt;/Year&gt;&lt;RecNum&gt;254&lt;/RecNum&gt;&lt;DisplayText&gt;(Tavistock Institute of Human Relations, 2023)&lt;/DisplayText&gt;&lt;record&gt;&lt;rec-number&gt;254&lt;/rec-number&gt;&lt;foreign-keys&gt;&lt;key app="EN" db-id="ffzvr5fstavwxoe9v04xf0wmp5t50as52da0" timestamp="1731671652" guid="13da1654-87d2-40c7-b398-cc462f258028"&gt;254&lt;/key&gt;&lt;/foreign-keys&gt;&lt;ref-type name="Electronic Article"&gt;43&lt;/ref-type&gt;&lt;contributors&gt;&lt;authors&gt;&lt;author&gt;Tavistock Institute of Human Relations,&lt;/author&gt;&lt;/authors&gt;&lt;/contributors&gt;&lt;titles&gt;&lt;title&gt;Evaluation of the Children of Alcohol Dependent Parents programme innovation fund: full report. Independent Evaluation.&lt;/title&gt;&lt;/titles&gt;&lt;dates&gt;&lt;year&gt;2023&lt;/year&gt;&lt;pub-dates&gt;&lt;date&gt;04/04/2024&lt;/date&gt;&lt;/pub-dates&gt;&lt;/dates&gt;&lt;publisher&gt;Department of Health and Social Care,&lt;/publisher&gt;&lt;urls&gt;&lt;related-urls&gt;&lt;url&gt;https://www.gov.uk/government/publications/evaluation-of-the-children-of-alcohol-dependent-parents-programme-innovation-fund/evaluation-of-the-children-of-alcohol-dependent-parents-programme-innovation-fund-full-report#conclusions-and-reflections&lt;/url&gt;&lt;/related-urls&gt;&lt;/urls&gt;&lt;/record&gt;&lt;/Cite&gt;&lt;/EndNote&gt;</w:instrText>
      </w:r>
      <w:r>
        <w:rPr>
          <w:rFonts w:eastAsia="Times New Roman"/>
          <w:color w:val="0B0C0C"/>
          <w:lang w:eastAsia="en-GB"/>
        </w:rPr>
        <w:fldChar w:fldCharType="separate"/>
      </w:r>
      <w:r w:rsidR="00A77498">
        <w:rPr>
          <w:rFonts w:eastAsia="Times New Roman"/>
          <w:noProof/>
          <w:color w:val="0B0C0C"/>
          <w:lang w:eastAsia="en-GB"/>
        </w:rPr>
        <w:t>(Tavistock Institute of Human Relations, 2023)</w:t>
      </w:r>
      <w:r>
        <w:rPr>
          <w:rFonts w:eastAsia="Times New Roman"/>
          <w:color w:val="0B0C0C"/>
          <w:lang w:eastAsia="en-GB"/>
        </w:rPr>
        <w:fldChar w:fldCharType="end"/>
      </w:r>
      <w:r>
        <w:rPr>
          <w:rFonts w:eastAsia="Times New Roman"/>
          <w:color w:val="0B0C0C"/>
          <w:lang w:eastAsia="en-GB"/>
        </w:rPr>
        <w:t xml:space="preserve">. However, the size and varying quality of local analyses and evaluations make a robust assessment of the effectiveness of the programme challenging. </w:t>
      </w:r>
    </w:p>
    <w:p w14:paraId="16FA05D8" w14:textId="77777777" w:rsidR="001436B8" w:rsidRDefault="001436B8" w:rsidP="00737297">
      <w:pPr>
        <w:pStyle w:val="NoSpacing"/>
        <w:spacing w:line="360" w:lineRule="auto"/>
      </w:pPr>
    </w:p>
    <w:p w14:paraId="0206A0F3" w14:textId="333C34BC" w:rsidR="00E67DEB" w:rsidRDefault="004F24CE" w:rsidP="00737297">
      <w:pPr>
        <w:pStyle w:val="NoSpacing"/>
        <w:spacing w:line="360" w:lineRule="auto"/>
      </w:pPr>
      <w:r>
        <w:t xml:space="preserve">One participating area used the </w:t>
      </w:r>
      <w:r w:rsidR="00E67DEB">
        <w:t xml:space="preserve">funding received </w:t>
      </w:r>
      <w:r w:rsidR="00F4610A">
        <w:t xml:space="preserve">from the Children of Alcohol Dependents Programme </w:t>
      </w:r>
      <w:r>
        <w:t>to</w:t>
      </w:r>
      <w:r w:rsidR="00E67DEB">
        <w:t xml:space="preserve"> </w:t>
      </w:r>
      <w:r w:rsidR="00F4610A">
        <w:t>enhance</w:t>
      </w:r>
      <w:r w:rsidR="00E67DEB">
        <w:t xml:space="preserve"> their </w:t>
      </w:r>
      <w:r w:rsidR="00E67DEB" w:rsidRPr="00063602">
        <w:t>Moving Parents and Children Together</w:t>
      </w:r>
      <w:r w:rsidR="00E67DEB">
        <w:t xml:space="preserve"> (M-PACT)</w:t>
      </w:r>
      <w:r w:rsidR="00F4610A">
        <w:t xml:space="preserve"> offer to families. </w:t>
      </w:r>
      <w:r w:rsidR="00E67DEB" w:rsidRPr="00063602">
        <w:t xml:space="preserve">Introduced in 2006 and developed by Action on Addiction, </w:t>
      </w:r>
      <w:r w:rsidR="54B592C1" w:rsidRPr="00063602">
        <w:t>a</w:t>
      </w:r>
      <w:r w:rsidR="00E67DEB" w:rsidRPr="00DB78E1">
        <w:t xml:space="preserve"> </w:t>
      </w:r>
      <w:r w:rsidR="00E67DEB" w:rsidRPr="00DB78E1">
        <w:rPr>
          <w:shd w:val="clear" w:color="auto" w:fill="FFFFFF"/>
        </w:rPr>
        <w:t xml:space="preserve">UK-based charity working with people affected by </w:t>
      </w:r>
      <w:r w:rsidR="00E67DEB">
        <w:rPr>
          <w:shd w:val="clear" w:color="auto" w:fill="FFFFFF"/>
        </w:rPr>
        <w:t>SUD,</w:t>
      </w:r>
      <w:r w:rsidR="00E67DEB" w:rsidRPr="00063602">
        <w:t xml:space="preserve"> M-PACT is </w:t>
      </w:r>
      <w:r w:rsidR="00E67DEB">
        <w:t>an</w:t>
      </w:r>
      <w:r w:rsidR="00E67DEB" w:rsidRPr="00063602">
        <w:t xml:space="preserve"> adaptation of the Strengthening Families Programme.  </w:t>
      </w:r>
      <w:r w:rsidR="00E67DEB">
        <w:t>M-PACT brings together a small number of families with children aged 8-17 and runs for 12 weeks. It uses a psychosocial and education approach to sessions which</w:t>
      </w:r>
      <w:r w:rsidR="00E67DEB" w:rsidRPr="00063602">
        <w:t xml:space="preserve"> focus on the impact of </w:t>
      </w:r>
      <w:r w:rsidR="00E67DEB">
        <w:t>substance use</w:t>
      </w:r>
      <w:r w:rsidR="00E67DEB" w:rsidRPr="00063602">
        <w:t>, family strengths, communication skills, wellbeing, safety, the home environment and familial relationships. A reunion brings families together again three months after completion of the programme. M-PACT is delivered across England, Wales and the Republic of Ireland in community and prison settings. Comic Relief and The Royal Foundation joint-funding has led to it also being delivered in partnership with Place2Be in schools.</w:t>
      </w:r>
      <w:r w:rsidR="00E67DEB">
        <w:t xml:space="preserve"> Analysis has shown that families reported improvements over </w:t>
      </w:r>
      <w:r w:rsidR="00E67DEB">
        <w:lastRenderedPageBreak/>
        <w:t>time in: global family functioning; the severity of the problem as they perceived it; how families thought they were managing; how families viewed the programme; and coping efficacy. A social return on investment</w:t>
      </w:r>
      <w:r w:rsidR="00804152">
        <w:t xml:space="preserve"> (SROI)</w:t>
      </w:r>
      <w:r w:rsidR="00E67DEB">
        <w:t xml:space="preserve"> evaluation found an SROI of 6.53:1 within the first year of completing the programme</w:t>
      </w:r>
      <w:r w:rsidR="00E417BE">
        <w:t xml:space="preserve"> </w:t>
      </w:r>
      <w:r w:rsidR="00E67DEB">
        <w:fldChar w:fldCharType="begin"/>
      </w:r>
      <w:r w:rsidR="00B9334F">
        <w:instrText xml:space="preserve"> ADDIN EN.CITE &lt;EndNote&gt;&lt;Cite&gt;&lt;Author&gt;Templeton&lt;/Author&gt;&lt;Year&gt;2018&lt;/Year&gt;&lt;RecNum&gt;255&lt;/RecNum&gt;&lt;DisplayText&gt;(Templeton, 2018)&lt;/DisplayText&gt;&lt;record&gt;&lt;rec-number&gt;255&lt;/rec-number&gt;&lt;foreign-keys&gt;&lt;key app="EN" db-id="ffzvr5fstavwxoe9v04xf0wmp5t50as52da0" timestamp="1731671652" guid="03286e6b-3b53-4f9e-b08d-3a8112eab292"&gt;255&lt;/key&gt;&lt;/foreign-keys&gt;&lt;ref-type name="Electronic Article"&gt;43&lt;/ref-type&gt;&lt;contributors&gt;&lt;authors&gt;&lt;author&gt;Lorna Templeton&lt;/author&gt;&lt;/authors&gt;&lt;/contributors&gt;&lt;titles&gt;&lt;title&gt;MPACT. Moving Parents and Children Together. Evaluation Report, 2006-2018.&lt;/title&gt;&lt;/titles&gt;&lt;dates&gt;&lt;year&gt;2018&lt;/year&gt;&lt;pub-dates&gt;&lt;date&gt;04/04/2024&lt;/date&gt;&lt;/pub-dates&gt;&lt;/dates&gt;&lt;publisher&gt;Action on Addiction,&lt;/publisher&gt;&lt;urls&gt;&lt;related-urls&gt;&lt;url&gt;https://www.actiononaddiction.org.uk/media/112/m-pact-evaluation-report-2006-18-draft-v7b.pdf?1563200966&lt;/url&gt;&lt;/related-urls&gt;&lt;/urls&gt;&lt;/record&gt;&lt;/Cite&gt;&lt;/EndNote&gt;</w:instrText>
      </w:r>
      <w:r w:rsidR="00E67DEB">
        <w:fldChar w:fldCharType="separate"/>
      </w:r>
      <w:r w:rsidR="00A77498">
        <w:rPr>
          <w:noProof/>
        </w:rPr>
        <w:t>(Templeton, 2018)</w:t>
      </w:r>
      <w:r w:rsidR="00E67DEB">
        <w:fldChar w:fldCharType="end"/>
      </w:r>
      <w:r w:rsidR="00E67DEB">
        <w:t>.</w:t>
      </w:r>
      <w:r w:rsidR="00E417BE">
        <w:t xml:space="preserve"> </w:t>
      </w:r>
    </w:p>
    <w:p w14:paraId="27A2596E" w14:textId="77777777" w:rsidR="00335838" w:rsidRDefault="00335838" w:rsidP="00737297">
      <w:pPr>
        <w:pStyle w:val="NoSpacing"/>
        <w:spacing w:line="360" w:lineRule="auto"/>
      </w:pPr>
    </w:p>
    <w:p w14:paraId="7A234237" w14:textId="758EC90A" w:rsidR="005D6A2B" w:rsidRDefault="00475A57" w:rsidP="00737297">
      <w:pPr>
        <w:pStyle w:val="NoSpacing"/>
        <w:spacing w:line="360" w:lineRule="auto"/>
      </w:pPr>
      <w:r>
        <w:t>Another area participating</w:t>
      </w:r>
      <w:r w:rsidR="00CC4020">
        <w:t xml:space="preserve"> in</w:t>
      </w:r>
      <w:r>
        <w:t xml:space="preserve"> the programme was Brighton and Hove</w:t>
      </w:r>
      <w:r w:rsidR="00280140">
        <w:t xml:space="preserve">. The Brighton Oasis Project </w:t>
      </w:r>
      <w:r w:rsidR="001D4800">
        <w:t xml:space="preserve">delivers </w:t>
      </w:r>
      <w:r w:rsidR="00BF6D4B">
        <w:t>support for women with SUD and their families</w:t>
      </w:r>
      <w:r w:rsidR="00E819B5">
        <w:t xml:space="preserve"> with the aim of reducing SUD and improving parenting thereby keeping families together</w:t>
      </w:r>
      <w:r w:rsidR="00BF6D4B">
        <w:t xml:space="preserve">. </w:t>
      </w:r>
      <w:r w:rsidR="00C02B12">
        <w:t xml:space="preserve">Recognising that access to childcare can be a barrier to women accessing services, </w:t>
      </w:r>
      <w:r w:rsidR="00E819B5">
        <w:t xml:space="preserve">the Project has a creche. </w:t>
      </w:r>
      <w:r w:rsidR="00EA6D16">
        <w:t xml:space="preserve"> The </w:t>
      </w:r>
      <w:r w:rsidR="005A0240">
        <w:t xml:space="preserve">Project is a partner agency in the area’s </w:t>
      </w:r>
      <w:r w:rsidR="00EA6D16" w:rsidRPr="00EA6D16">
        <w:t>Parents of Children at Risk</w:t>
      </w:r>
      <w:r w:rsidR="00EA6D16">
        <w:t xml:space="preserve"> </w:t>
      </w:r>
      <w:r w:rsidR="00E36C9C">
        <w:t xml:space="preserve">(POCAR) </w:t>
      </w:r>
      <w:r w:rsidR="00EA6D16">
        <w:t xml:space="preserve">programme </w:t>
      </w:r>
      <w:r w:rsidR="00FB46AE">
        <w:t xml:space="preserve">for children who are on a child in need or child protection plan. </w:t>
      </w:r>
      <w:r w:rsidR="00A76CFD">
        <w:t xml:space="preserve">Partner agencies working together was integral to its design and key to its success. This has </w:t>
      </w:r>
      <w:r w:rsidR="005C6F5A">
        <w:t>necessitated</w:t>
      </w:r>
      <w:r w:rsidR="00A76CFD">
        <w:t xml:space="preserve"> agreeing and establishing care pathways, </w:t>
      </w:r>
      <w:r w:rsidR="005C6F5A">
        <w:t>referral routes and information sharing</w:t>
      </w:r>
      <w:r w:rsidR="00B0022F">
        <w:t xml:space="preserve"> </w:t>
      </w:r>
      <w:r w:rsidR="00B0022F">
        <w:fldChar w:fldCharType="begin"/>
      </w:r>
      <w:r w:rsidR="00B9334F">
        <w:instrText xml:space="preserve"> ADDIN EN.CITE &lt;EndNote&gt;&lt;Cite&gt;&lt;Author&gt;Welsh&lt;/Author&gt;&lt;Year&gt;2008&lt;/Year&gt;&lt;RecNum&gt;341&lt;/RecNum&gt;&lt;DisplayText&gt;(Welsh et al., 2008)&lt;/DisplayText&gt;&lt;record&gt;&lt;rec-number&gt;341&lt;/rec-number&gt;&lt;foreign-keys&gt;&lt;key app="EN" db-id="ffzvr5fstavwxoe9v04xf0wmp5t50as52da0" timestamp="1731671660" guid="260db323-ae54-4323-9141-158f131d93a3"&gt;341&lt;/key&gt;&lt;/foreign-keys&gt;&lt;ref-type name="Journal Article"&gt;17&lt;/ref-type&gt;&lt;contributors&gt;&lt;authors&gt;&lt;author&gt;Welsh, Jo-Anne&lt;/author&gt;&lt;author&gt;Precey, Gretchen&lt;/author&gt;&lt;author&gt;Lambert, Pauline&lt;/author&gt;&lt;/authors&gt;&lt;/contributors&gt;&lt;titles&gt;&lt;title&gt;Parents of children at risk—a multi-agency initiative to address substance misuse amongst parents whose children are at risk of neglect&lt;/title&gt;&lt;secondary-title&gt;Child Abuse Review&lt;/secondary-title&gt;&lt;/titles&gt;&lt;periodical&gt;&lt;full-title&gt;Child Abuse Review&lt;/full-title&gt;&lt;/periodical&gt;&lt;pages&gt;454-462&lt;/pages&gt;&lt;volume&gt;17&lt;/volume&gt;&lt;number&gt;6&lt;/number&gt;&lt;keywords&gt;&lt;keyword&gt;HOVE (England)&lt;/keyword&gt;&lt;keyword&gt;BRIGHTON (England)&lt;/keyword&gt;&lt;keyword&gt;ENGLAND&lt;/keyword&gt;&lt;keyword&gt;CHILDREN of drug abusers&lt;/keyword&gt;&lt;keyword&gt;CHILDREN of people with drug addiction&lt;/keyword&gt;&lt;keyword&gt;SUBSTANCE abuse&lt;/keyword&gt;&lt;/keywords&gt;&lt;dates&gt;&lt;year&gt;2008&lt;/year&gt;&lt;/dates&gt;&lt;publisher&gt;Wiley-Blackwell&lt;/publisher&gt;&lt;isbn&gt;0952-9136&lt;/isbn&gt;&lt;urls&gt;&lt;related-urls&gt;&lt;url&gt;https://research.ebsco.com/linkprocessor/plink?id=39608e9c-330c-3c03-83fd-5f9b9e083e28&lt;/url&gt;&lt;/related-urls&gt;&lt;/urls&gt;&lt;electronic-resource-num&gt;10.1002/car.1050&lt;/electronic-resource-num&gt;&lt;remote-database-name&gt;Psychology and Behavioral Sciences Collection&lt;/remote-database-name&gt;&lt;remote-database-provider&gt;EBSCOhost&lt;/remote-database-provider&gt;&lt;language&gt;eng&lt;/language&gt;&lt;/record&gt;&lt;/Cite&gt;&lt;/EndNote&gt;</w:instrText>
      </w:r>
      <w:r w:rsidR="00B0022F">
        <w:fldChar w:fldCharType="separate"/>
      </w:r>
      <w:r w:rsidR="00A77498">
        <w:rPr>
          <w:noProof/>
        </w:rPr>
        <w:t>(Welsh et al., 2008)</w:t>
      </w:r>
      <w:r w:rsidR="00B0022F">
        <w:fldChar w:fldCharType="end"/>
      </w:r>
      <w:r w:rsidR="005C6F5A">
        <w:t xml:space="preserve">. </w:t>
      </w:r>
      <w:r w:rsidR="000221F8">
        <w:t xml:space="preserve">An </w:t>
      </w:r>
      <w:r w:rsidR="00355C32">
        <w:t xml:space="preserve">evaluation </w:t>
      </w:r>
      <w:r w:rsidR="00D41215">
        <w:t xml:space="preserve">by </w:t>
      </w:r>
      <w:r w:rsidR="00355C32">
        <w:t xml:space="preserve">New Economics Foundation Consulting </w:t>
      </w:r>
      <w:r w:rsidR="003F3EB7">
        <w:t xml:space="preserve">commissioned by the Project </w:t>
      </w:r>
      <w:r w:rsidR="00804152">
        <w:t>estimated a return on in</w:t>
      </w:r>
      <w:r w:rsidR="007D7B41">
        <w:t xml:space="preserve">vestment (ROI) of 3.83:1 </w:t>
      </w:r>
      <w:r w:rsidR="004167C0">
        <w:t>from savings to children’s social care</w:t>
      </w:r>
      <w:r w:rsidR="0077426A">
        <w:t xml:space="preserve"> alone</w:t>
      </w:r>
      <w:r w:rsidR="00D96544">
        <w:t xml:space="preserve"> associated with POCAR</w:t>
      </w:r>
      <w:r w:rsidR="004167C0">
        <w:t xml:space="preserve">, with the largest benefit resulting from children remaining in or returning to, </w:t>
      </w:r>
      <w:r w:rsidR="004221AD">
        <w:t>the care of their mother</w:t>
      </w:r>
      <w:r w:rsidR="000B08A0">
        <w:t xml:space="preserve"> </w:t>
      </w:r>
      <w:r w:rsidR="000B08A0">
        <w:fldChar w:fldCharType="begin"/>
      </w:r>
      <w:r w:rsidR="00B9334F">
        <w:instrText xml:space="preserve"> ADDIN EN.CITE &lt;EndNote&gt;&lt;Cite&gt;&lt;Author&gt;Crack&lt;/Author&gt;&lt;Year&gt;2015&lt;/Year&gt;&lt;RecNum&gt;342&lt;/RecNum&gt;&lt;DisplayText&gt;(Crack et al., 2015)&lt;/DisplayText&gt;&lt;record&gt;&lt;rec-number&gt;342&lt;/rec-number&gt;&lt;foreign-keys&gt;&lt;key app="EN" db-id="ffzvr5fstavwxoe9v04xf0wmp5t50as52da0" timestamp="1731671660" guid="5059415e-2661-4c21-a2aa-d0b249032052"&gt;342&lt;/key&gt;&lt;/foreign-keys&gt;&lt;ref-type name="Electronic Article"&gt;43&lt;/ref-type&gt;&lt;contributors&gt;&lt;authors&gt;&lt;author&gt;Charlotte Crack&lt;/author&gt;&lt;author&gt;Jonathan Gardner&lt;/author&gt;&lt;author&gt;Debjani Ghosh&lt;/author&gt;&lt;/authors&gt;&lt;/contributors&gt;&lt;titles&gt;&lt;title&gt;Brighton Oasis Project: POCAR programme evaluation&lt;/title&gt;&lt;/titles&gt;&lt;dates&gt;&lt;year&gt;2015&lt;/year&gt;&lt;pub-dates&gt;&lt;date&gt;04/09/2024&lt;/date&gt;&lt;/pub-dates&gt;&lt;/dates&gt;&lt;pub-location&gt;London&lt;/pub-location&gt;&lt;publisher&gt;NEF Consulting Limited&lt;/publisher&gt;&lt;urls&gt;&lt;related-urls&gt;&lt;url&gt;https://www.oasisproject.org.uk/wp-content/uploads/2020/12/Brighton-Oasis-evaluation-FINAL.pdf&lt;/url&gt;&lt;/related-urls&gt;&lt;/urls&gt;&lt;/record&gt;&lt;/Cite&gt;&lt;/EndNote&gt;</w:instrText>
      </w:r>
      <w:r w:rsidR="000B08A0">
        <w:fldChar w:fldCharType="separate"/>
      </w:r>
      <w:r w:rsidR="00A77498">
        <w:rPr>
          <w:noProof/>
        </w:rPr>
        <w:t>(Crack et al., 2015)</w:t>
      </w:r>
      <w:r w:rsidR="000B08A0">
        <w:fldChar w:fldCharType="end"/>
      </w:r>
      <w:r w:rsidR="0077426A">
        <w:t>.</w:t>
      </w:r>
    </w:p>
    <w:p w14:paraId="08C9BA79" w14:textId="77777777" w:rsidR="00D57047" w:rsidRDefault="00D57047" w:rsidP="00737297">
      <w:pPr>
        <w:pStyle w:val="NoSpacing"/>
        <w:spacing w:line="360" w:lineRule="auto"/>
      </w:pPr>
    </w:p>
    <w:p w14:paraId="2628CF7F" w14:textId="6215AD8B" w:rsidR="003E475C" w:rsidRDefault="003E475C" w:rsidP="00737297">
      <w:pPr>
        <w:pStyle w:val="NoSpacing"/>
        <w:spacing w:line="360" w:lineRule="auto"/>
      </w:pPr>
      <w:r>
        <w:t xml:space="preserve">While the results from M-PACT and POCAR </w:t>
      </w:r>
      <w:r w:rsidR="00AA7A07">
        <w:t xml:space="preserve">seem promising, </w:t>
      </w:r>
      <w:r>
        <w:t xml:space="preserve">evaluations have not been peer-reviewed, and </w:t>
      </w:r>
      <w:r w:rsidR="00AA7A07">
        <w:t>both</w:t>
      </w:r>
      <w:r>
        <w:t xml:space="preserve"> lacked comparison groups with which to compare outcomes</w:t>
      </w:r>
      <w:r w:rsidR="0086769F">
        <w:t>,</w:t>
      </w:r>
      <w:r>
        <w:t xml:space="preserve"> and follow-ups to assess long-term outcomes.</w:t>
      </w:r>
    </w:p>
    <w:p w14:paraId="36196E60" w14:textId="77777777" w:rsidR="003E475C" w:rsidRDefault="003E475C" w:rsidP="00737297">
      <w:pPr>
        <w:pStyle w:val="NoSpacing"/>
        <w:spacing w:line="360" w:lineRule="auto"/>
      </w:pPr>
    </w:p>
    <w:p w14:paraId="6A13D88B" w14:textId="241A352C" w:rsidR="00814CC5" w:rsidRDefault="003F1440" w:rsidP="00737297">
      <w:pPr>
        <w:pStyle w:val="NoSpacing"/>
        <w:spacing w:line="360" w:lineRule="auto"/>
      </w:pPr>
      <w:r>
        <w:rPr>
          <w:rStyle w:val="NoSpacingChar"/>
        </w:rPr>
        <w:t xml:space="preserve">A more </w:t>
      </w:r>
      <w:r w:rsidR="005E711A">
        <w:rPr>
          <w:rStyle w:val="NoSpacingChar"/>
        </w:rPr>
        <w:t>prevalent</w:t>
      </w:r>
      <w:r>
        <w:rPr>
          <w:rStyle w:val="NoSpacingChar"/>
        </w:rPr>
        <w:t xml:space="preserve"> intervention for</w:t>
      </w:r>
      <w:r w:rsidRPr="003F1440">
        <w:rPr>
          <w:rStyle w:val="NoSpacingChar"/>
        </w:rPr>
        <w:t xml:space="preserve"> </w:t>
      </w:r>
      <w:r>
        <w:rPr>
          <w:rStyle w:val="NoSpacingChar"/>
        </w:rPr>
        <w:t>p</w:t>
      </w:r>
      <w:r w:rsidRPr="009B4BD2">
        <w:rPr>
          <w:rStyle w:val="NoSpacingChar"/>
        </w:rPr>
        <w:t xml:space="preserve">arents who </w:t>
      </w:r>
      <w:r>
        <w:rPr>
          <w:rStyle w:val="NoSpacingChar"/>
        </w:rPr>
        <w:t xml:space="preserve">use substances and </w:t>
      </w:r>
      <w:r w:rsidRPr="009B4BD2">
        <w:rPr>
          <w:rStyle w:val="NoSpacingChar"/>
        </w:rPr>
        <w:t>are</w:t>
      </w:r>
      <w:r w:rsidRPr="00925EA9">
        <w:t xml:space="preserve"> </w:t>
      </w:r>
      <w:r>
        <w:t>at risk of having their children put into care are</w:t>
      </w:r>
      <w:r>
        <w:rPr>
          <w:rStyle w:val="NoSpacingChar"/>
        </w:rPr>
        <w:t xml:space="preserve"> f</w:t>
      </w:r>
      <w:r w:rsidR="00814CC5">
        <w:rPr>
          <w:rStyle w:val="NoSpacingChar"/>
        </w:rPr>
        <w:t>amily treatment drug courts (FTDC</w:t>
      </w:r>
      <w:r w:rsidR="001E1A82">
        <w:rPr>
          <w:rStyle w:val="NoSpacingChar"/>
        </w:rPr>
        <w:t>s</w:t>
      </w:r>
      <w:r w:rsidR="00814CC5">
        <w:rPr>
          <w:rStyle w:val="NoSpacingChar"/>
        </w:rPr>
        <w:t>), known as family drug and alcohol courts (FDACs)</w:t>
      </w:r>
      <w:r w:rsidR="00814CC5" w:rsidRPr="00925EA9">
        <w:t xml:space="preserve">. Originally established in </w:t>
      </w:r>
      <w:r w:rsidR="00814CC5">
        <w:t>the US</w:t>
      </w:r>
      <w:r w:rsidR="00814CC5" w:rsidRPr="00925EA9">
        <w:t xml:space="preserve">, most states have implemented </w:t>
      </w:r>
      <w:r w:rsidR="00814CC5">
        <w:t>one</w:t>
      </w:r>
      <w:r w:rsidR="00814CC5" w:rsidRPr="00925EA9">
        <w:t xml:space="preserve">. Encouraged by the promising findings emerging from the US and rooted in concerns about the lack of coordination between adult and children’s services and the high costs of standard proceedings </w:t>
      </w:r>
      <w:r w:rsidR="00814CC5" w:rsidRPr="00925EA9">
        <w:fldChar w:fldCharType="begin"/>
      </w:r>
      <w:r w:rsidR="00B9334F">
        <w:instrText xml:space="preserve"> ADDIN EN.CITE &lt;EndNote&gt;&lt;Cite&gt;&lt;Author&gt;Harwin&lt;/Author&gt;&lt;Year&gt;2014&lt;/Year&gt;&lt;RecNum&gt;289&lt;/RecNum&gt;&lt;DisplayText&gt;(Harwin et al., 2014)&lt;/DisplayText&gt;&lt;record&gt;&lt;rec-number&gt;289&lt;/rec-number&gt;&lt;foreign-keys&gt;&lt;key app="EN" db-id="ffzvr5fstavwxoe9v04xf0wmp5t50as52da0" timestamp="1731671655" guid="3356f393-80c3-48b2-bdaf-da9b596cfa34"&gt;289&lt;/key&gt;&lt;/foreign-keys&gt;&lt;ref-type name="Journal Article"&gt;17&lt;/ref-type&gt;&lt;contributors&gt;&lt;authors&gt;&lt;author&gt;Harwin, Judith&lt;/author&gt;&lt;author&gt;Alrouh, Bachar&lt;/author&gt;&lt;author&gt;Ryan, Mary&lt;/author&gt;&lt;author&gt;Tunnard, Jo&lt;/author&gt;&lt;/authors&gt;&lt;/contributors&gt;&lt;titles&gt;&lt;title&gt;Changing Lifestyles, Keeping Children Safe: An evaluation of the first Family Drug and Alcohol Court (FDAC) in care proceedings&lt;/title&gt;&lt;/titles&gt;&lt;dates&gt;&lt;year&gt;2014&lt;/year&gt;&lt;/dates&gt;&lt;urls&gt;&lt;/urls&gt;&lt;/record&gt;&lt;/Cite&gt;&lt;/EndNote&gt;</w:instrText>
      </w:r>
      <w:r w:rsidR="00814CC5" w:rsidRPr="00925EA9">
        <w:fldChar w:fldCharType="separate"/>
      </w:r>
      <w:r w:rsidR="00A77498">
        <w:rPr>
          <w:noProof/>
        </w:rPr>
        <w:t>(Harwin et al., 2014)</w:t>
      </w:r>
      <w:r w:rsidR="00814CC5" w:rsidRPr="00925EA9">
        <w:fldChar w:fldCharType="end"/>
      </w:r>
      <w:r w:rsidR="00814CC5" w:rsidRPr="00925EA9">
        <w:t xml:space="preserve">, three pilot sites were established in London. </w:t>
      </w:r>
      <w:r w:rsidR="007D5F83">
        <w:t>By</w:t>
      </w:r>
      <w:r w:rsidR="00814CC5">
        <w:t xml:space="preserve"> 2023, there were 14 services working in 22 family courts in 38 English local authorities.</w:t>
      </w:r>
    </w:p>
    <w:p w14:paraId="780FC9C5" w14:textId="77777777" w:rsidR="008143A9" w:rsidRDefault="008143A9" w:rsidP="00737297">
      <w:pPr>
        <w:pStyle w:val="NoSpacing"/>
        <w:spacing w:line="360" w:lineRule="auto"/>
      </w:pPr>
    </w:p>
    <w:p w14:paraId="166736D2" w14:textId="7BE76B64" w:rsidR="00814CC5" w:rsidRDefault="00814CC5" w:rsidP="00737297">
      <w:pPr>
        <w:pStyle w:val="NoSpacing"/>
        <w:spacing w:line="360" w:lineRule="auto"/>
      </w:pPr>
      <w:r w:rsidRPr="00925EA9">
        <w:t xml:space="preserve">The main aim of </w:t>
      </w:r>
      <w:r>
        <w:t>FDAC</w:t>
      </w:r>
      <w:r w:rsidRPr="00925EA9">
        <w:t xml:space="preserve"> is permanency</w:t>
      </w:r>
      <w:r>
        <w:t>, i.e. a constant, stable living situation</w:t>
      </w:r>
      <w:r w:rsidRPr="00925EA9">
        <w:t>.</w:t>
      </w:r>
      <w:r>
        <w:t xml:space="preserve"> M</w:t>
      </w:r>
      <w:r w:rsidRPr="00925EA9">
        <w:t>ultidisciplinary teams comprising judicial</w:t>
      </w:r>
      <w:r>
        <w:t xml:space="preserve"> representatives and</w:t>
      </w:r>
      <w:r w:rsidRPr="00925EA9">
        <w:t xml:space="preserve"> adult treatment and </w:t>
      </w:r>
      <w:r w:rsidRPr="00925EA9">
        <w:lastRenderedPageBreak/>
        <w:t xml:space="preserve">child </w:t>
      </w:r>
      <w:r>
        <w:t>social workers</w:t>
      </w:r>
      <w:r w:rsidRPr="00925EA9">
        <w:t xml:space="preserve"> support families and monitor progress</w:t>
      </w:r>
      <w:r>
        <w:t>,</w:t>
      </w:r>
      <w:r w:rsidRPr="00925EA9">
        <w:t xml:space="preserve"> typically for one year. Collaborative working and regular monitoring expedite access to treatment for parents at the start of court proceedings and later should they complete treatment and then relapse.</w:t>
      </w:r>
      <w:r>
        <w:t xml:space="preserve"> </w:t>
      </w:r>
      <w:r w:rsidRPr="00925EA9">
        <w:t xml:space="preserve">To graduate, parents must successfully complete treatment, sustain their recovery for a pre-specified amount of time and demonstrate </w:t>
      </w:r>
      <w:r w:rsidRPr="00D224A1">
        <w:t>that they can provide safe and stable living environments for their children.</w:t>
      </w:r>
    </w:p>
    <w:p w14:paraId="10AEE677" w14:textId="77777777" w:rsidR="00814CC5" w:rsidRDefault="00814CC5" w:rsidP="00737297">
      <w:pPr>
        <w:pStyle w:val="NoSpacing"/>
        <w:spacing w:line="360" w:lineRule="auto"/>
      </w:pPr>
    </w:p>
    <w:p w14:paraId="20CC2458" w14:textId="38369747" w:rsidR="00814CC5" w:rsidRDefault="00814CC5" w:rsidP="00737297">
      <w:pPr>
        <w:pStyle w:val="NoSpacing"/>
        <w:spacing w:line="360" w:lineRule="auto"/>
      </w:pPr>
      <w:r w:rsidRPr="00D224A1">
        <w:t xml:space="preserve">In England, mothers </w:t>
      </w:r>
      <w:r>
        <w:t>in FDAC</w:t>
      </w:r>
      <w:r w:rsidRPr="00D224A1">
        <w:t xml:space="preserve"> were significantly more likely to stop using substances</w:t>
      </w:r>
      <w:r>
        <w:t xml:space="preserve"> than those who were not,</w:t>
      </w:r>
      <w:r w:rsidRPr="00D224A1">
        <w:t xml:space="preserve"> and when compared with mothers who were reunified with their children, </w:t>
      </w:r>
      <w:r>
        <w:t xml:space="preserve">intervention </w:t>
      </w:r>
      <w:r w:rsidRPr="00D224A1">
        <w:t xml:space="preserve">mothers were significantly more likely to sustain their recovery during a five-year follow-up period </w:t>
      </w:r>
      <w:r>
        <w:t xml:space="preserve"> </w:t>
      </w:r>
      <w:r w:rsidR="000C41D9">
        <w:fldChar w:fldCharType="begin">
          <w:fldData xml:space="preserve">PEVuZE5vdGU+PENpdGU+PEF1dGhvcj5IYXJ3aW48L0F1dGhvcj48WWVhcj4yMDE4PC9ZZWFyPjxS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</w:fldData>
        </w:fldChar>
      </w:r>
      <w:r w:rsidR="00B9334F">
        <w:instrText xml:space="preserve"> ADDIN EN.CITE </w:instrText>
      </w:r>
      <w:r w:rsidR="00B9334F">
        <w:fldChar w:fldCharType="begin">
          <w:fldData xml:space="preserve">PEVuZE5vdGU+PENpdGU+PEF1dGhvcj5IYXJ3aW48L0F1dGhvcj48WWVhcj4yMDE4PC9ZZWFyPjxS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</w:fldData>
        </w:fldChar>
      </w:r>
      <w:r w:rsidR="00B9334F">
        <w:instrText xml:space="preserve"> ADDIN EN.CITE.DATA </w:instrText>
      </w:r>
      <w:r w:rsidR="00B9334F">
        <w:fldChar w:fldCharType="end"/>
      </w:r>
      <w:r w:rsidR="000C41D9">
        <w:fldChar w:fldCharType="separate"/>
      </w:r>
      <w:r w:rsidR="003C6F70">
        <w:rPr>
          <w:noProof/>
        </w:rPr>
        <w:t>(Harwin et al., 2018; Harwin et al., 2016; Harwin et al., 2014)</w:t>
      </w:r>
      <w:r w:rsidR="000C41D9">
        <w:fldChar w:fldCharType="end"/>
      </w:r>
      <w:r w:rsidRPr="00D224A1">
        <w:t xml:space="preserve">. </w:t>
      </w:r>
      <w:r>
        <w:t xml:space="preserve">The authors found </w:t>
      </w:r>
      <w:r w:rsidRPr="00D224A1">
        <w:t xml:space="preserve">no significant differences observed in the time it took to achieve permanency over </w:t>
      </w:r>
      <w:r>
        <w:t>five</w:t>
      </w:r>
      <w:r w:rsidRPr="00D224A1">
        <w:t xml:space="preserve"> years although families were significantly more likely to remain together/ be reunited at the end of court proceedings and at subsequent follow-ups. </w:t>
      </w:r>
      <w:r w:rsidRPr="00D224A1">
        <w:rPr>
          <w:noProof/>
        </w:rPr>
        <w:fldChar w:fldCharType="begin"/>
      </w:r>
      <w:r w:rsidR="00B9334F">
        <w:rPr>
          <w:noProof/>
        </w:rPr>
        <w:instrText xml:space="preserve"> ADDIN EN.CITE &lt;EndNote&gt;&lt;Cite AuthorYear="1"&gt;&lt;Author&gt;Harwin&lt;/Author&gt;&lt;Year&gt;2014&lt;/Year&gt;&lt;RecNum&gt;289&lt;/RecNum&gt;&lt;DisplayText&gt;Harwin et al. (2014)&lt;/DisplayText&gt;&lt;record&gt;&lt;rec-number&gt;289&lt;/rec-number&gt;&lt;foreign-keys&gt;&lt;key app="EN" db-id="ffzvr5fstavwxoe9v04xf0wmp5t50as52da0" timestamp="1731671655" guid="3356f393-80c3-48b2-bdaf-da9b596cfa34"&gt;289&lt;/key&gt;&lt;/foreign-keys&gt;&lt;ref-type name="Journal Article"&gt;17&lt;/ref-type&gt;&lt;contributors&gt;&lt;authors&gt;&lt;author&gt;Harwin, Judith&lt;/author&gt;&lt;author&gt;Alrouh, Bachar&lt;/author&gt;&lt;author&gt;Ryan, Mary&lt;/author&gt;&lt;author&gt;Tunnard, Jo&lt;/author&gt;&lt;/authors&gt;&lt;/contributors&gt;&lt;titles&gt;&lt;title&gt;Changing Lifestyles, Keeping Children Safe: An evaluation of the first Family Drug and Alcohol Court (FDAC) in care proceedings&lt;/title&gt;&lt;/titles&gt;&lt;dates&gt;&lt;year&gt;2014&lt;/year&gt;&lt;/dates&gt;&lt;urls&gt;&lt;/urls&gt;&lt;/record&gt;&lt;/Cite&gt;&lt;/EndNote&gt;</w:instrText>
      </w:r>
      <w:r w:rsidRPr="00D224A1">
        <w:rPr>
          <w:noProof/>
        </w:rPr>
        <w:fldChar w:fldCharType="separate"/>
      </w:r>
      <w:r w:rsidR="00A77498">
        <w:rPr>
          <w:noProof/>
        </w:rPr>
        <w:t>Harwin et al. (2014)</w:t>
      </w:r>
      <w:r w:rsidRPr="00D224A1">
        <w:rPr>
          <w:noProof/>
        </w:rPr>
        <w:fldChar w:fldCharType="end"/>
      </w:r>
      <w:r w:rsidR="00732F7D">
        <w:rPr>
          <w:noProof/>
        </w:rPr>
        <w:t>, in their report funded by the Home Office,</w:t>
      </w:r>
      <w:r w:rsidRPr="00D224A1">
        <w:rPr>
          <w:noProof/>
        </w:rPr>
        <w:t xml:space="preserve"> </w:t>
      </w:r>
      <w:r>
        <w:rPr>
          <w:noProof/>
        </w:rPr>
        <w:t>reported</w:t>
      </w:r>
      <w:r w:rsidRPr="00D224A1">
        <w:rPr>
          <w:noProof/>
        </w:rPr>
        <w:t xml:space="preserve"> that the cost of the FDAC team per family (</w:t>
      </w:r>
      <w:r w:rsidRPr="00D224A1">
        <w:rPr>
          <w:noProof/>
          <w:szCs w:val="22"/>
        </w:rPr>
        <w:t>£8,740)</w:t>
      </w:r>
      <w:r w:rsidRPr="00D224A1">
        <w:rPr>
          <w:noProof/>
        </w:rPr>
        <w:t xml:space="preserve"> was offset</w:t>
      </w:r>
      <w:r w:rsidRPr="00D224A1">
        <w:t xml:space="preserve"> by the savings resulting from reunification, </w:t>
      </w:r>
      <w:r>
        <w:t>despite</w:t>
      </w:r>
      <w:r w:rsidRPr="00D224A1">
        <w:t xml:space="preserve"> f</w:t>
      </w:r>
      <w:r>
        <w:t>inding</w:t>
      </w:r>
      <w:r w:rsidRPr="00D224A1">
        <w:t xml:space="preserve"> no significant difference</w:t>
      </w:r>
      <w:r w:rsidR="00B24853">
        <w:t>s</w:t>
      </w:r>
      <w:r w:rsidRPr="00D224A1">
        <w:t xml:space="preserve"> in achieving reunification and permanency. </w:t>
      </w:r>
    </w:p>
    <w:p w14:paraId="6961DACD" w14:textId="77777777" w:rsidR="00814CC5" w:rsidRDefault="00814CC5" w:rsidP="00737297">
      <w:pPr>
        <w:pStyle w:val="NoSpacing"/>
        <w:spacing w:line="360" w:lineRule="auto"/>
      </w:pPr>
    </w:p>
    <w:p w14:paraId="2C430DD7" w14:textId="765A9331" w:rsidR="001D1D33" w:rsidRDefault="00D8624A" w:rsidP="00737297">
      <w:pPr>
        <w:pStyle w:val="NoSpacing"/>
        <w:spacing w:line="360" w:lineRule="auto"/>
      </w:pPr>
      <w:r>
        <w:t>While there</w:t>
      </w:r>
      <w:r w:rsidR="009B6C36">
        <w:t xml:space="preserve"> have been high-profile interventions</w:t>
      </w:r>
      <w:r w:rsidR="009B6C36" w:rsidRPr="00A71232">
        <w:t xml:space="preserve"> </w:t>
      </w:r>
      <w:r w:rsidR="009B6C36">
        <w:t>delivered in England</w:t>
      </w:r>
      <w:r w:rsidR="009B6C36" w:rsidRPr="00EF7A8A">
        <w:t xml:space="preserve"> </w:t>
      </w:r>
      <w:r w:rsidR="009B6C36">
        <w:t xml:space="preserve">for parents with SUD, there is a need for </w:t>
      </w:r>
      <w:r w:rsidR="00A27A66">
        <w:t>robust</w:t>
      </w:r>
      <w:r w:rsidR="00BC50AD">
        <w:t xml:space="preserve"> </w:t>
      </w:r>
      <w:r w:rsidR="00B01358">
        <w:t xml:space="preserve">independent </w:t>
      </w:r>
      <w:r w:rsidR="00BC50AD">
        <w:t>peer-reviewed</w:t>
      </w:r>
      <w:r w:rsidR="009B6C36">
        <w:t xml:space="preserve"> research to evaluate the</w:t>
      </w:r>
      <w:r w:rsidR="005D73BE">
        <w:t>ir</w:t>
      </w:r>
      <w:r w:rsidR="009B6C36">
        <w:t xml:space="preserve"> effectiveness and cost-effectiveness.</w:t>
      </w:r>
    </w:p>
    <w:p w14:paraId="55924192" w14:textId="77777777" w:rsidR="00F21D4E" w:rsidRDefault="00F21D4E" w:rsidP="00737297">
      <w:pPr>
        <w:pStyle w:val="NoSpacing"/>
        <w:spacing w:line="360" w:lineRule="auto"/>
      </w:pPr>
    </w:p>
    <w:p w14:paraId="4C8CB413" w14:textId="587F639E" w:rsidR="008B19FE" w:rsidRDefault="00650FF9" w:rsidP="009C3BBC">
      <w:pPr>
        <w:pStyle w:val="Heading3"/>
        <w:numPr>
          <w:ilvl w:val="2"/>
          <w:numId w:val="18"/>
        </w:numPr>
        <w:spacing w:line="360" w:lineRule="auto"/>
      </w:pPr>
      <w:bookmarkStart w:id="28" w:name="_Toc189229657"/>
      <w:r>
        <w:t>Scientifically evaluated programmes</w:t>
      </w:r>
      <w:bookmarkEnd w:id="28"/>
    </w:p>
    <w:p w14:paraId="6142908E" w14:textId="7A63EAB9" w:rsidR="00644CC4" w:rsidRDefault="00A00CA4" w:rsidP="00737297">
      <w:pPr>
        <w:pStyle w:val="NoSpacing"/>
        <w:spacing w:line="360" w:lineRule="auto"/>
      </w:pPr>
      <w:r>
        <w:t xml:space="preserve">A review of the literature </w:t>
      </w:r>
      <w:r w:rsidR="00551FB8">
        <w:t xml:space="preserve">on the effectiveness and cost-effectiveness of interventions for parents with SUD </w:t>
      </w:r>
      <w:r>
        <w:t xml:space="preserve">was submitted as part of </w:t>
      </w:r>
      <w:r w:rsidR="00C56710">
        <w:t>my confirmation review (upgrade from MPhil to PhD in July 2019).</w:t>
      </w:r>
      <w:r w:rsidR="009547A0">
        <w:t xml:space="preserve"> This was prior to </w:t>
      </w:r>
      <w:r w:rsidR="0029759F">
        <w:t>key</w:t>
      </w:r>
      <w:r w:rsidR="009547A0">
        <w:t xml:space="preserve"> systematic reviews </w:t>
      </w:r>
      <w:r w:rsidR="007E5B12">
        <w:t xml:space="preserve">presenting and synthesising </w:t>
      </w:r>
      <w:r w:rsidR="00614F17">
        <w:t xml:space="preserve">pertinent </w:t>
      </w:r>
      <w:r w:rsidR="007F10D7">
        <w:t xml:space="preserve">studies </w:t>
      </w:r>
      <w:r w:rsidR="00DE1A97">
        <w:t xml:space="preserve">being </w:t>
      </w:r>
      <w:r w:rsidR="007F34D0">
        <w:t xml:space="preserve">published </w:t>
      </w:r>
      <w:r w:rsidR="00BC4D96">
        <w:fldChar w:fldCharType="begin">
          <w:fldData xml:space="preserve">PEVuZE5vdGU+PENpdGU+PEF1dGhvcj5FbC1CYW5uYTwvQXV0aG9yPjxZZWFyPjIwMjE8L1llYXI+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</w:fldData>
        </w:fldChar>
      </w:r>
      <w:r w:rsidR="00B9334F">
        <w:instrText xml:space="preserve"> ADDIN EN.CITE </w:instrText>
      </w:r>
      <w:r w:rsidR="00B9334F">
        <w:fldChar w:fldCharType="begin">
          <w:fldData xml:space="preserve">PEVuZE5vdGU+PENpdGU+PEF1dGhvcj5FbC1CYW5uYTwvQXV0aG9yPjxZZWFyPjIwMjE8L1llYXI+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</w:fldData>
        </w:fldChar>
      </w:r>
      <w:r w:rsidR="00B9334F">
        <w:instrText xml:space="preserve"> ADDIN EN.CITE.DATA </w:instrText>
      </w:r>
      <w:r w:rsidR="00B9334F">
        <w:fldChar w:fldCharType="end"/>
      </w:r>
      <w:r w:rsidR="00BC4D96">
        <w:fldChar w:fldCharType="separate"/>
      </w:r>
      <w:r w:rsidR="00BC4D96">
        <w:rPr>
          <w:noProof/>
        </w:rPr>
        <w:t>(El-Banna et al., 2021; McGovern et al., 2022; Minozzi et al., 2020; Neo et al., 2021; Sampaio et al., 2024)</w:t>
      </w:r>
      <w:r w:rsidR="00BC4D96">
        <w:fldChar w:fldCharType="end"/>
      </w:r>
      <w:r w:rsidR="00BC4D96">
        <w:t xml:space="preserve">. </w:t>
      </w:r>
      <w:r w:rsidR="000A6671">
        <w:t xml:space="preserve">This section summarises the </w:t>
      </w:r>
      <w:r w:rsidR="0075159F">
        <w:t xml:space="preserve">key </w:t>
      </w:r>
      <w:r w:rsidR="00312F48">
        <w:t xml:space="preserve">findings from the </w:t>
      </w:r>
      <w:r w:rsidR="00A62FB9">
        <w:t xml:space="preserve">systematic reviews </w:t>
      </w:r>
      <w:r w:rsidR="0075159F">
        <w:t>relevant to</w:t>
      </w:r>
      <w:r w:rsidR="00C710F3">
        <w:t xml:space="preserve"> </w:t>
      </w:r>
      <w:r w:rsidR="00322C55">
        <w:t xml:space="preserve">my population of interest: parents with SUD who are receiving treatment </w:t>
      </w:r>
      <w:r w:rsidR="00F93A96">
        <w:t xml:space="preserve">only or are receiving treatment </w:t>
      </w:r>
      <w:r w:rsidR="00545D7B">
        <w:t>plus</w:t>
      </w:r>
      <w:r w:rsidR="00F93A96">
        <w:t xml:space="preserve"> an</w:t>
      </w:r>
      <w:r w:rsidR="00322C55">
        <w:t xml:space="preserve"> intervention </w:t>
      </w:r>
      <w:r w:rsidR="00F93A96">
        <w:t xml:space="preserve">that promotes and protects child welfare, such as a </w:t>
      </w:r>
      <w:r w:rsidR="00F93A96">
        <w:lastRenderedPageBreak/>
        <w:t xml:space="preserve">parenting programme or </w:t>
      </w:r>
      <w:r w:rsidR="00C128A3">
        <w:t>children’s social care</w:t>
      </w:r>
      <w:r w:rsidR="003E5A4E">
        <w:t>, with</w:t>
      </w:r>
      <w:r w:rsidR="005534C9">
        <w:t xml:space="preserve"> s</w:t>
      </w:r>
      <w:r w:rsidR="0075159F">
        <w:t>tudies from the UK discussed in detail</w:t>
      </w:r>
      <w:r w:rsidR="00564D23">
        <w:t>, as these are likely to be most relevant to my research</w:t>
      </w:r>
      <w:r w:rsidR="0075159F">
        <w:t xml:space="preserve">. </w:t>
      </w:r>
    </w:p>
    <w:p w14:paraId="7CADE9B8" w14:textId="77777777" w:rsidR="00644CC4" w:rsidRDefault="00644CC4" w:rsidP="00737297">
      <w:pPr>
        <w:pStyle w:val="NoSpacing"/>
        <w:spacing w:line="360" w:lineRule="auto"/>
      </w:pPr>
    </w:p>
    <w:p w14:paraId="230484E7" w14:textId="7C112E33" w:rsidR="0073585D" w:rsidRPr="00473AED" w:rsidRDefault="002A2A1A" w:rsidP="00737297">
      <w:pPr>
        <w:pStyle w:val="NoSpacing"/>
        <w:spacing w:line="360" w:lineRule="auto"/>
        <w:rPr>
          <w:u w:val="single"/>
        </w:rPr>
      </w:pPr>
      <w:r>
        <w:t>The</w:t>
      </w:r>
      <w:r w:rsidR="00D343E6">
        <w:t xml:space="preserve"> </w:t>
      </w:r>
      <w:r w:rsidR="00BD6CD0">
        <w:t>literature review</w:t>
      </w:r>
      <w:r>
        <w:t xml:space="preserve"> submitted for upgrade, updated to </w:t>
      </w:r>
      <w:r w:rsidR="00DE5FC8">
        <w:t>March 2024</w:t>
      </w:r>
      <w:r w:rsidR="003C489A">
        <w:t>,</w:t>
      </w:r>
      <w:r w:rsidR="00DE5FC8">
        <w:t xml:space="preserve"> and </w:t>
      </w:r>
      <w:r>
        <w:t>includ</w:t>
      </w:r>
      <w:r w:rsidR="00DE5FC8">
        <w:t>ing</w:t>
      </w:r>
      <w:r>
        <w:t xml:space="preserve"> studies </w:t>
      </w:r>
      <w:r w:rsidR="00A23A82">
        <w:t xml:space="preserve">pertinent to my research </w:t>
      </w:r>
      <w:r>
        <w:t xml:space="preserve">from </w:t>
      </w:r>
      <w:r w:rsidR="0080298B">
        <w:t xml:space="preserve">the </w:t>
      </w:r>
      <w:r w:rsidR="00DE5FC8">
        <w:t>recent</w:t>
      </w:r>
      <w:r w:rsidR="00F16710">
        <w:t>ly published</w:t>
      </w:r>
      <w:r w:rsidR="00DE5FC8">
        <w:t xml:space="preserve"> systematic reviews </w:t>
      </w:r>
      <w:r w:rsidR="00C354C0">
        <w:t xml:space="preserve">is presented in </w:t>
      </w:r>
      <w:r w:rsidR="0080298B" w:rsidRPr="007D2904">
        <w:rPr>
          <w:i/>
          <w:iCs/>
        </w:rPr>
        <w:fldChar w:fldCharType="begin"/>
      </w:r>
      <w:r w:rsidR="0080298B" w:rsidRPr="007D2904">
        <w:rPr>
          <w:i/>
          <w:iCs/>
        </w:rPr>
        <w:instrText xml:space="preserve"> REF _Ref177030305 \h </w:instrText>
      </w:r>
      <w:r w:rsidR="007D2904">
        <w:rPr>
          <w:i/>
          <w:iCs/>
        </w:rPr>
        <w:instrText xml:space="preserve"> \* MERGEFORMAT </w:instrText>
      </w:r>
      <w:r w:rsidR="0080298B" w:rsidRPr="007D2904">
        <w:rPr>
          <w:i/>
          <w:iCs/>
        </w:rPr>
      </w:r>
      <w:r w:rsidR="0080298B" w:rsidRPr="007D2904">
        <w:rPr>
          <w:i/>
          <w:iCs/>
        </w:rPr>
        <w:fldChar w:fldCharType="separate"/>
      </w:r>
      <w:r w:rsidR="0080298B" w:rsidRPr="007D2904">
        <w:rPr>
          <w:i/>
          <w:iCs/>
        </w:rPr>
        <w:t>Appendix A</w:t>
      </w:r>
      <w:r w:rsidR="0080298B" w:rsidRPr="007D2904">
        <w:rPr>
          <w:i/>
          <w:iCs/>
        </w:rPr>
        <w:fldChar w:fldCharType="end"/>
      </w:r>
      <w:r w:rsidR="00BE7F31" w:rsidRPr="00473AED">
        <w:rPr>
          <w:i/>
          <w:iCs/>
        </w:rPr>
        <w:fldChar w:fldCharType="begin"/>
      </w:r>
      <w:r w:rsidR="00BE7F31" w:rsidRPr="00473AED">
        <w:rPr>
          <w:i/>
          <w:iCs/>
        </w:rPr>
        <w:instrText xml:space="preserve"> REF _Ref177027052 \h </w:instrText>
      </w:r>
      <w:r w:rsidR="00473AED">
        <w:rPr>
          <w:i/>
          <w:iCs/>
        </w:rPr>
        <w:instrText xml:space="preserve"> \* MERGEFORMAT </w:instrText>
      </w:r>
      <w:r w:rsidR="00BE7F31" w:rsidRPr="00473AED">
        <w:rPr>
          <w:i/>
          <w:iCs/>
        </w:rPr>
      </w:r>
      <w:r w:rsidR="00000000">
        <w:rPr>
          <w:i/>
          <w:iCs/>
        </w:rPr>
        <w:fldChar w:fldCharType="separate"/>
      </w:r>
      <w:r w:rsidR="00BE7F31" w:rsidRPr="00473AED">
        <w:rPr>
          <w:i/>
          <w:iCs/>
        </w:rPr>
        <w:fldChar w:fldCharType="end"/>
      </w:r>
      <w:r w:rsidR="00473AED" w:rsidRPr="0032349D">
        <w:t>.</w:t>
      </w:r>
      <w:r w:rsidR="00912C50">
        <w:t xml:space="preserve"> </w:t>
      </w:r>
    </w:p>
    <w:p w14:paraId="7509EFCD" w14:textId="77777777" w:rsidR="00C56710" w:rsidRDefault="00C56710" w:rsidP="00737297">
      <w:pPr>
        <w:pStyle w:val="NoSpacing"/>
        <w:spacing w:line="360" w:lineRule="auto"/>
      </w:pPr>
    </w:p>
    <w:p w14:paraId="310AC666" w14:textId="20C9B425" w:rsidR="003F5FDF" w:rsidRDefault="00FB0D77" w:rsidP="00737297">
      <w:pPr>
        <w:pStyle w:val="NoSpacing"/>
        <w:spacing w:line="360" w:lineRule="auto"/>
      </w:pPr>
      <w:r>
        <w:t>In a</w:t>
      </w:r>
      <w:r w:rsidRPr="001A44CE">
        <w:t xml:space="preserve"> </w:t>
      </w:r>
      <w:r>
        <w:t xml:space="preserve">Cochrane systematic </w:t>
      </w:r>
      <w:r w:rsidRPr="001A44CE">
        <w:t xml:space="preserve">review of methadone and buprenorphine for pregnant </w:t>
      </w:r>
      <w:r w:rsidR="00AB7760">
        <w:t>mothers</w:t>
      </w:r>
      <w:r w:rsidRPr="001A44CE">
        <w:t xml:space="preserve"> with an opiate (viz. heroin) use disorder, </w:t>
      </w:r>
      <w:r w:rsidRPr="001A44CE">
        <w:fldChar w:fldCharType="begin">
          <w:fldData xml:space="preserve">PEVuZE5vdGU+PENpdGUgQXV0aG9yWWVhcj0iMSI+PEF1dGhvcj5NaW5venppPC9BdXRob3I+PFll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</w:fldData>
        </w:fldChar>
      </w:r>
      <w:r w:rsidR="00B9334F">
        <w:instrText xml:space="preserve"> ADDIN EN.CITE </w:instrText>
      </w:r>
      <w:r w:rsidR="00B9334F">
        <w:fldChar w:fldCharType="begin">
          <w:fldData xml:space="preserve">PEVuZE5vdGU+PENpdGUgQXV0aG9yWWVhcj0iMSI+PEF1dGhvcj5NaW5venppPC9BdXRob3I+PFll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</w:fldData>
        </w:fldChar>
      </w:r>
      <w:r w:rsidR="00B9334F">
        <w:instrText xml:space="preserve"> ADDIN EN.CITE.DATA </w:instrText>
      </w:r>
      <w:r w:rsidR="00B9334F">
        <w:fldChar w:fldCharType="end"/>
      </w:r>
      <w:r w:rsidRPr="001A44CE">
        <w:fldChar w:fldCharType="separate"/>
      </w:r>
      <w:r w:rsidR="00A77498">
        <w:rPr>
          <w:noProof/>
        </w:rPr>
        <w:t>Minozzi et al. (2020)</w:t>
      </w:r>
      <w:r w:rsidRPr="001A44CE">
        <w:fldChar w:fldCharType="end"/>
      </w:r>
      <w:r w:rsidRPr="001A44CE">
        <w:t xml:space="preserve"> </w:t>
      </w:r>
      <w:r>
        <w:t xml:space="preserve">reviewed four studies but could only </w:t>
      </w:r>
      <w:r w:rsidRPr="001A44CE">
        <w:t xml:space="preserve">pool results from two trials </w:t>
      </w:r>
      <w:r w:rsidRPr="001A44CE">
        <w:fldChar w:fldCharType="begin">
          <w:fldData xml:space="preserve">PEVuZE5vdGU+PENpdGU+PEF1dGhvcj5Kb25lczwvQXV0aG9yPjxZZWFyPjIwMDU8L1llYXI+PFJl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</w:fldData>
        </w:fldChar>
      </w:r>
      <w:r w:rsidR="00B9334F">
        <w:instrText xml:space="preserve"> ADDIN EN.CITE </w:instrText>
      </w:r>
      <w:r w:rsidR="00B9334F">
        <w:fldChar w:fldCharType="begin">
          <w:fldData xml:space="preserve">PEVuZE5vdGU+PENpdGU+PEF1dGhvcj5Kb25lczwvQXV0aG9yPjxZZWFyPjIwMDU8L1llYXI+PFJl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</w:fldData>
        </w:fldChar>
      </w:r>
      <w:r w:rsidR="00B9334F">
        <w:instrText xml:space="preserve"> ADDIN EN.CITE.DATA </w:instrText>
      </w:r>
      <w:r w:rsidR="00B9334F">
        <w:fldChar w:fldCharType="end"/>
      </w:r>
      <w:r w:rsidRPr="001A44CE">
        <w:fldChar w:fldCharType="separate"/>
      </w:r>
      <w:r w:rsidR="003C6F70">
        <w:rPr>
          <w:noProof/>
        </w:rPr>
        <w:t>(Jones et al., 2005; Winklbaur-Hausknost et al., 2013)</w:t>
      </w:r>
      <w:r w:rsidRPr="001A44CE">
        <w:fldChar w:fldCharType="end"/>
      </w:r>
      <w:r>
        <w:t xml:space="preserve">, as evidence </w:t>
      </w:r>
      <w:r w:rsidR="00757436">
        <w:t>wa</w:t>
      </w:r>
      <w:r>
        <w:t xml:space="preserve">s lacking. </w:t>
      </w:r>
      <w:r w:rsidR="00634892" w:rsidRPr="001A44CE">
        <w:t>Methadone and buprenorphine are pharmacological maintenance options for pregnant heroin users, releasing a steady dose of opiates to prevent the foetus from experiencing repeated withdrawals.</w:t>
      </w:r>
      <w:r w:rsidR="00634892">
        <w:t xml:space="preserve"> </w:t>
      </w:r>
      <w:r w:rsidR="00634892" w:rsidRPr="001A44CE">
        <w:fldChar w:fldCharType="begin">
          <w:fldData xml:space="preserve">PEVuZE5vdGU+PENpdGUgQXV0aG9yWWVhcj0iMSI+PEF1dGhvcj5NaW5venppPC9BdXRob3I+PFll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</w:fldData>
        </w:fldChar>
      </w:r>
      <w:r w:rsidR="00B9334F">
        <w:instrText xml:space="preserve"> ADDIN EN.CITE </w:instrText>
      </w:r>
      <w:r w:rsidR="00B9334F">
        <w:fldChar w:fldCharType="begin">
          <w:fldData xml:space="preserve">PEVuZE5vdGU+PENpdGUgQXV0aG9yWWVhcj0iMSI+PEF1dGhvcj5NaW5venppPC9BdXRob3I+PFll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</w:fldData>
        </w:fldChar>
      </w:r>
      <w:r w:rsidR="00B9334F">
        <w:instrText xml:space="preserve"> ADDIN EN.CITE.DATA </w:instrText>
      </w:r>
      <w:r w:rsidR="00B9334F">
        <w:fldChar w:fldCharType="end"/>
      </w:r>
      <w:r w:rsidR="00634892" w:rsidRPr="001A44CE">
        <w:fldChar w:fldCharType="separate"/>
      </w:r>
      <w:r w:rsidR="00A77498">
        <w:rPr>
          <w:noProof/>
        </w:rPr>
        <w:t>Minozzi et al. (2020)</w:t>
      </w:r>
      <w:r w:rsidR="00634892" w:rsidRPr="001A44CE">
        <w:fldChar w:fldCharType="end"/>
      </w:r>
      <w:r w:rsidR="00634892" w:rsidRPr="001A44CE">
        <w:t xml:space="preserve"> </w:t>
      </w:r>
      <w:r>
        <w:t xml:space="preserve"> </w:t>
      </w:r>
      <w:r w:rsidRPr="001A44CE">
        <w:t xml:space="preserve">found that while methadone prescribed patients were less likely to drop out of treatment than </w:t>
      </w:r>
      <w:r>
        <w:t xml:space="preserve">those prescribed </w:t>
      </w:r>
      <w:r w:rsidRPr="001A44CE">
        <w:t xml:space="preserve">buprenorphine, they were more likely to be using illicit opiates at 15-18 week follow up. However, the quality of evidence was graded low to moderate because of high attrition and small sample sizes. </w:t>
      </w:r>
      <w:r w:rsidRPr="001A44CE">
        <w:fldChar w:fldCharType="begin"/>
      </w:r>
      <w:r w:rsidR="00B9334F">
        <w:instrText xml:space="preserve"> ADDIN EN.CITE &lt;EndNote&gt;&lt;Cite AuthorYear="1"&gt;&lt;Author&gt;Smith&lt;/Author&gt;&lt;Year&gt;2009&lt;/Year&gt;&lt;RecNum&gt;248&lt;/RecNum&gt;&lt;DisplayText&gt;Smith et al. (2009)&lt;/DisplayText&gt;&lt;record&gt;&lt;rec-number&gt;248&lt;/rec-number&gt;&lt;foreign-keys&gt;&lt;key app="EN" db-id="ffzvr5fstavwxoe9v04xf0wmp5t50as52da0" timestamp="1731671652" guid="c9b93c63-9f64-4653-80ad-680640313e07"&gt;248&lt;/key&gt;&lt;/foreign-keys&gt;&lt;ref-type name="Journal Article"&gt;17&lt;/ref-type&gt;&lt;contributors&gt;&lt;authors&gt;&lt;author&gt;Smith, E. J.&lt;/author&gt;&lt;author&gt;Lui, S.&lt;/author&gt;&lt;author&gt;Terplan, M.&lt;/author&gt;&lt;/authors&gt;&lt;/contributors&gt;&lt;titles&gt;&lt;title&gt;Pharmacologic Interventions for Pregnant Women Enrolled in Alcohol Treatment&lt;/title&gt;&lt;secondary-title&gt;Cochrane Database of Systematic Reviews&lt;/secondary-title&gt;&lt;/titles&gt;&lt;periodical&gt;&lt;full-title&gt;Cochrane Database of Systematic Reviews&lt;/full-title&gt;&lt;/periodical&gt;&lt;number&gt;3&lt;/number&gt;&lt;keywords&gt;&lt;keyword&gt;Alcohol Drinking [*drug therapy]&lt;/keyword&gt;&lt;keyword&gt;Female&lt;/keyword&gt;&lt;keyword&gt;Humans&lt;/keyword&gt;&lt;keyword&gt;Pregnancy&lt;/keyword&gt;&lt;keyword&gt;Pregnancy Complications [*drug therapy]&lt;/keyword&gt;&lt;/keywords&gt;&lt;dates&gt;&lt;year&gt;2009&lt;/year&gt;&lt;/dates&gt;&lt;publisher&gt;John Wiley &amp;amp; Sons, Ltd&lt;/publisher&gt;&lt;isbn&gt;1465-1858&lt;/isbn&gt;&lt;accession-num&gt;CD007361&lt;/accession-num&gt;&lt;urls&gt;&lt;related-urls&gt;&lt;url&gt;https://doi.org//10.1002/14651858.CD007361.pub2&lt;/url&gt;&lt;/related-urls&gt;&lt;/urls&gt;&lt;electronic-resource-num&gt;10.1002/14651858.CD007361.pub2&lt;/electronic-resource-num&gt;&lt;/record&gt;&lt;/Cite&gt;&lt;/EndNote&gt;</w:instrText>
      </w:r>
      <w:r w:rsidRPr="001A44CE">
        <w:fldChar w:fldCharType="separate"/>
      </w:r>
      <w:r w:rsidR="00A77498">
        <w:rPr>
          <w:noProof/>
        </w:rPr>
        <w:t>Smith et al. (2009)</w:t>
      </w:r>
      <w:r w:rsidRPr="001A44CE">
        <w:fldChar w:fldCharType="end"/>
      </w:r>
      <w:r w:rsidRPr="001A44CE">
        <w:t xml:space="preserve"> aimed to evaluate the effectiveness of pharmacological interventions in pregnant </w:t>
      </w:r>
      <w:r w:rsidR="00AB7760">
        <w:t>mothers</w:t>
      </w:r>
      <w:r w:rsidRPr="001A44CE">
        <w:t xml:space="preserve"> receiving treatment for an alcohol use disorder </w:t>
      </w:r>
      <w:r>
        <w:t xml:space="preserve">in their Cochrane systematic review </w:t>
      </w:r>
      <w:r w:rsidRPr="001A44CE">
        <w:t>but w</w:t>
      </w:r>
      <w:r>
        <w:t>ere</w:t>
      </w:r>
      <w:r w:rsidRPr="001A44CE">
        <w:t xml:space="preserve"> unable to find </w:t>
      </w:r>
      <w:r>
        <w:t xml:space="preserve">a </w:t>
      </w:r>
      <w:r w:rsidRPr="001A44CE">
        <w:t xml:space="preserve">study </w:t>
      </w:r>
      <w:r w:rsidR="0088398C">
        <w:t>that would meet their criteria</w:t>
      </w:r>
      <w:r w:rsidR="00CE3059">
        <w:t xml:space="preserve"> to</w:t>
      </w:r>
      <w:r w:rsidRPr="001A44CE">
        <w:t xml:space="preserve"> include, highlighting that </w:t>
      </w:r>
      <w:r w:rsidR="00CE3059">
        <w:t xml:space="preserve">robust </w:t>
      </w:r>
      <w:r w:rsidRPr="001A44CE">
        <w:t xml:space="preserve">research in this area is severely lacking. </w:t>
      </w:r>
    </w:p>
    <w:p w14:paraId="176CE491" w14:textId="77777777" w:rsidR="008A077A" w:rsidRDefault="008A077A" w:rsidP="00737297">
      <w:pPr>
        <w:pStyle w:val="NoSpacing"/>
        <w:spacing w:line="360" w:lineRule="auto"/>
      </w:pPr>
    </w:p>
    <w:p w14:paraId="3413137B" w14:textId="060A5C88" w:rsidR="00E139F0" w:rsidRDefault="00E96A7C" w:rsidP="00737297">
      <w:pPr>
        <w:pStyle w:val="NoSpacing"/>
        <w:spacing w:line="360" w:lineRule="auto"/>
      </w:pPr>
      <w:r w:rsidRPr="001A44CE">
        <w:t xml:space="preserve">While the evidence base for psychosocial interventions for parents with SUD is larger than that for pharmacological ones, it is still limited as psychosocial interventions are wide ranging and very few studies exist for each type. A recent Cochrane </w:t>
      </w:r>
      <w:r>
        <w:t xml:space="preserve">systematic </w:t>
      </w:r>
      <w:r w:rsidRPr="001A44CE">
        <w:t xml:space="preserve">review of psychosocial interventions for parents </w:t>
      </w:r>
      <w:r w:rsidR="008303E8">
        <w:fldChar w:fldCharType="begin">
          <w:fldData xml:space="preserve">PEVuZE5vdGU+PENpdGU+PEF1dGhvcj5NY0dvdmVybjwvQXV0aG9yPjxZZWFyPjIwMjI8L1llYXI+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</w:fldData>
        </w:fldChar>
      </w:r>
      <w:r w:rsidR="00B9334F">
        <w:instrText xml:space="preserve"> ADDIN EN.CITE </w:instrText>
      </w:r>
      <w:r w:rsidR="00B9334F">
        <w:fldChar w:fldCharType="begin">
          <w:fldData xml:space="preserve">PEVuZE5vdGU+PENpdGU+PEF1dGhvcj5NY0dvdmVybjwvQXV0aG9yPjxZZWFyPjIwMjI8L1llYXI+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</w:fldData>
        </w:fldChar>
      </w:r>
      <w:r w:rsidR="00B9334F">
        <w:instrText xml:space="preserve"> ADDIN EN.CITE.DATA </w:instrText>
      </w:r>
      <w:r w:rsidR="00B9334F">
        <w:fldChar w:fldCharType="end"/>
      </w:r>
      <w:r w:rsidR="008303E8">
        <w:fldChar w:fldCharType="separate"/>
      </w:r>
      <w:r w:rsidR="003C6F70">
        <w:rPr>
          <w:noProof/>
        </w:rPr>
        <w:t>(McGovern et al., 2022; McGovern et al., 2021)</w:t>
      </w:r>
      <w:r w:rsidR="008303E8">
        <w:fldChar w:fldCharType="end"/>
      </w:r>
      <w:r>
        <w:t xml:space="preserve"> </w:t>
      </w:r>
      <w:r w:rsidR="00FF179E" w:rsidRPr="008F6FF5">
        <w:t>found moderate</w:t>
      </w:r>
      <w:r w:rsidR="00FF179E" w:rsidRPr="008F6FF5">
        <w:rPr>
          <w:rFonts w:ascii="Cambria Math" w:hAnsi="Cambria Math" w:cs="Cambria Math"/>
        </w:rPr>
        <w:t>‐</w:t>
      </w:r>
      <w:r w:rsidR="00FF179E" w:rsidRPr="008F6FF5">
        <w:t>quality evidence that</w:t>
      </w:r>
      <w:r w:rsidRPr="001A44CE">
        <w:t xml:space="preserve"> psychosocial treatments</w:t>
      </w:r>
      <w:r w:rsidR="003A0618">
        <w:t xml:space="preserve"> tailored to parents</w:t>
      </w:r>
      <w:r w:rsidRPr="001A44CE">
        <w:t xml:space="preserve"> </w:t>
      </w:r>
      <w:r w:rsidR="008F6FF5">
        <w:t>may reduce substance use frequency</w:t>
      </w:r>
      <w:r w:rsidR="003A1700">
        <w:t xml:space="preserve"> compared with usual care or other comparison conditions</w:t>
      </w:r>
      <w:r w:rsidR="008F6FF5">
        <w:t xml:space="preserve">. </w:t>
      </w:r>
    </w:p>
    <w:p w14:paraId="3D7CECE1" w14:textId="77777777" w:rsidR="00E139F0" w:rsidRDefault="00E139F0" w:rsidP="00737297">
      <w:pPr>
        <w:pStyle w:val="NoSpacing"/>
        <w:spacing w:line="360" w:lineRule="auto"/>
      </w:pPr>
    </w:p>
    <w:p w14:paraId="1A5C37D9" w14:textId="32EEEEF3" w:rsidR="00041EAB" w:rsidRDefault="003E7D4C" w:rsidP="00737297">
      <w:pPr>
        <w:pStyle w:val="NoSpacing"/>
        <w:spacing w:line="360" w:lineRule="auto"/>
        <w:rPr>
          <w:rFonts w:ascii="Source Sans Pro" w:hAnsi="Source Sans Pro"/>
          <w:color w:val="000000"/>
          <w:shd w:val="clear" w:color="auto" w:fill="FFFFFF"/>
        </w:rPr>
      </w:pPr>
      <w:r>
        <w:t>W</w:t>
      </w:r>
      <w:r w:rsidR="001A532F">
        <w:t>hile substance use can impact parenting capacity, parents who become abstinent do not necessarily become ‘good’ parents</w:t>
      </w:r>
      <w:r w:rsidR="002057E7">
        <w:t xml:space="preserve">, just as </w:t>
      </w:r>
      <w:r w:rsidR="00582EA7">
        <w:t xml:space="preserve">not </w:t>
      </w:r>
      <w:r w:rsidR="004513ED">
        <w:t>parents who use substances are not necessar</w:t>
      </w:r>
      <w:r w:rsidR="00C168B1">
        <w:t xml:space="preserve">ily </w:t>
      </w:r>
      <w:r w:rsidR="00582EA7">
        <w:t>‘bad</w:t>
      </w:r>
      <w:r w:rsidR="00C168B1">
        <w:t>’</w:t>
      </w:r>
      <w:r w:rsidR="00582EA7">
        <w:t xml:space="preserve"> parent</w:t>
      </w:r>
      <w:r w:rsidR="00C168B1">
        <w:t>s</w:t>
      </w:r>
      <w:r w:rsidR="001A532F">
        <w:t xml:space="preserve">. </w:t>
      </w:r>
      <w:r w:rsidR="00897C81">
        <w:t>P</w:t>
      </w:r>
      <w:r w:rsidR="001A532F">
        <w:t xml:space="preserve">arents with </w:t>
      </w:r>
      <w:r w:rsidR="001A532F" w:rsidRPr="00082181">
        <w:t xml:space="preserve">SUD </w:t>
      </w:r>
      <w:r w:rsidR="001A532F">
        <w:t xml:space="preserve">may themselves have been </w:t>
      </w:r>
      <w:r w:rsidR="001A532F" w:rsidRPr="00082181">
        <w:t>children of parents with SUD</w:t>
      </w:r>
      <w:r w:rsidR="001A532F">
        <w:t xml:space="preserve"> and</w:t>
      </w:r>
      <w:r w:rsidR="00BB2FE4">
        <w:t>/or</w:t>
      </w:r>
      <w:r w:rsidR="001A532F">
        <w:t xml:space="preserve"> may have limited experience of positive </w:t>
      </w:r>
      <w:r w:rsidR="00B3363A">
        <w:lastRenderedPageBreak/>
        <w:t>relationships with their own parents</w:t>
      </w:r>
      <w:r w:rsidR="00C168B1">
        <w:t>, which may have adversely affected their parenting skills</w:t>
      </w:r>
      <w:r w:rsidR="001A532F">
        <w:t>. Parenting</w:t>
      </w:r>
      <w:r w:rsidR="001A532F" w:rsidRPr="004B7549">
        <w:t xml:space="preserve"> interventions </w:t>
      </w:r>
      <w:r w:rsidR="001A532F">
        <w:t xml:space="preserve">in the context of parental SUD not only aim to </w:t>
      </w:r>
      <w:r w:rsidR="001A532F" w:rsidRPr="004B7549">
        <w:t xml:space="preserve">improve parenting capacity and familial relationships, </w:t>
      </w:r>
      <w:r w:rsidR="001A532F">
        <w:t>but they can also</w:t>
      </w:r>
      <w:r w:rsidR="001A532F" w:rsidRPr="004B7549">
        <w:t xml:space="preserve"> help parents become aware of how their substance use affects </w:t>
      </w:r>
      <w:r w:rsidR="001A532F">
        <w:t>their children</w:t>
      </w:r>
      <w:r w:rsidR="001A532F" w:rsidRPr="004B7549">
        <w:t>.</w:t>
      </w:r>
      <w:r w:rsidR="001A532F">
        <w:rPr>
          <w:rFonts w:ascii="Source Sans Pro" w:hAnsi="Source Sans Pro"/>
          <w:color w:val="000000"/>
          <w:shd w:val="clear" w:color="auto" w:fill="FFFFFF"/>
        </w:rPr>
        <w:t xml:space="preserve">  </w:t>
      </w:r>
    </w:p>
    <w:p w14:paraId="04B502E3" w14:textId="77777777" w:rsidR="00041EAB" w:rsidRDefault="00041EAB" w:rsidP="00737297">
      <w:pPr>
        <w:pStyle w:val="NoSpacing"/>
        <w:spacing w:line="360" w:lineRule="auto"/>
        <w:rPr>
          <w:rFonts w:ascii="Source Sans Pro" w:hAnsi="Source Sans Pro"/>
          <w:color w:val="000000"/>
          <w:shd w:val="clear" w:color="auto" w:fill="FFFFFF"/>
        </w:rPr>
      </w:pPr>
    </w:p>
    <w:p w14:paraId="050036AD" w14:textId="06F7FA89" w:rsidR="00561D70" w:rsidRPr="007B2026" w:rsidRDefault="001A532F" w:rsidP="00737297">
      <w:pPr>
        <w:pStyle w:val="NoSpacing"/>
        <w:spacing w:line="360" w:lineRule="auto"/>
        <w:rPr>
          <w:rFonts w:ascii="Source Sans Pro" w:hAnsi="Source Sans Pro"/>
          <w:color w:val="000000"/>
          <w:shd w:val="clear" w:color="auto" w:fill="FFFFFF"/>
        </w:rPr>
      </w:pPr>
      <w:r>
        <w:t>In recent years</w:t>
      </w:r>
      <w:r w:rsidR="009C17F7">
        <w:t>,</w:t>
      </w:r>
      <w:r>
        <w:t xml:space="preserve"> there have been several reviews on parental SUD and parenting interventions. For example, </w:t>
      </w:r>
      <w:r w:rsidRPr="00451CEA">
        <w:fldChar w:fldCharType="begin"/>
      </w:r>
      <w:r w:rsidR="00B9334F">
        <w:instrText xml:space="preserve"> ADDIN EN.CITE &lt;EndNote&gt;&lt;Cite AuthorYear="1"&gt;&lt;Author&gt;Moreland&lt;/Author&gt;&lt;Year&gt;2018&lt;/Year&gt;&lt;RecNum&gt;250&lt;/RecNum&gt;&lt;DisplayText&gt;Moreland and McRae-Clark (2018)&lt;/DisplayText&gt;&lt;record&gt;&lt;rec-number&gt;250&lt;/rec-number&gt;&lt;foreign-keys&gt;&lt;key app="EN" db-id="ffzvr5fstavwxoe9v04xf0wmp5t50as52da0" timestamp="1731671652" guid="29f1689a-9efd-467f-a63d-3f4c50e016e5"&gt;250&lt;/key&gt;&lt;/foreign-keys&gt;&lt;ref-type name="Journal Article"&gt;17&lt;/ref-type&gt;&lt;contributors&gt;&lt;authors&gt;&lt;author&gt;Moreland, Angela D.&lt;/author&gt;&lt;author&gt;McRae-Clark, Aimee&lt;/author&gt;&lt;/authors&gt;&lt;/contributors&gt;&lt;titles&gt;&lt;title&gt;Parenting outcomes of parenting interventions in integrated substance-use treatment programs: A systematic review&lt;/title&gt;&lt;secondary-title&gt;Journal of Substance Abuse Treatment&lt;/secondary-title&gt;&lt;/titles&gt;&lt;periodical&gt;&lt;full-title&gt;Journal of Substance Abuse Treatment&lt;/full-title&gt;&lt;/periodical&gt;&lt;pages&gt;52-59&lt;/pages&gt;&lt;volume&gt;89&lt;/volume&gt;&lt;dates&gt;&lt;year&gt;2018&lt;/year&gt;&lt;/dates&gt;&lt;publisher&gt;Elsevier&lt;/publisher&gt;&lt;isbn&gt;0740-5472&lt;/isbn&gt;&lt;urls&gt;&lt;related-urls&gt;&lt;url&gt;https://doi.org/10.1016/j.jsat.2018.03.005&lt;/url&gt;&lt;/related-urls&gt;&lt;/urls&gt;&lt;electronic-resource-num&gt;10.1016/j.jsat.2018.03.005&lt;/electronic-resource-num&gt;&lt;access-date&gt;2024/04/03&lt;/access-date&gt;&lt;/record&gt;&lt;/Cite&gt;&lt;/EndNote&gt;</w:instrText>
      </w:r>
      <w:r w:rsidRPr="00451CEA">
        <w:fldChar w:fldCharType="separate"/>
      </w:r>
      <w:r w:rsidRPr="00451CEA">
        <w:rPr>
          <w:noProof/>
        </w:rPr>
        <w:t>Moreland and McRae-Clark (2018)</w:t>
      </w:r>
      <w:r w:rsidRPr="00451CEA">
        <w:fldChar w:fldCharType="end"/>
      </w:r>
      <w:r w:rsidRPr="00451CEA">
        <w:t xml:space="preserve"> conducted a review of parental outcomes following treatment that offered a parenting skills component alongside usual care. While interventions and settings varied, the authors found improvement on parenting outcomes following engagement with treatment and a parenting intervention. Subsequently, </w:t>
      </w:r>
      <w:r w:rsidR="00FF13C9">
        <w:t>the</w:t>
      </w:r>
      <w:r w:rsidRPr="00451CEA">
        <w:t xml:space="preserve"> Cochrane review by </w:t>
      </w:r>
      <w:r w:rsidR="00A72418">
        <w:fldChar w:fldCharType="begin"/>
      </w:r>
      <w:r w:rsidR="00B9334F">
        <w:instrText xml:space="preserve"> ADDIN EN.CITE &lt;EndNote&gt;&lt;Cite AuthorYear="1"&gt;&lt;Author&gt;McGovern&lt;/Author&gt;&lt;Year&gt;2021&lt;/Year&gt;&lt;RecNum&gt;15&lt;/RecNum&gt;&lt;DisplayText&gt;McGovern et al. (2021)&lt;/DisplayText&gt;&lt;record&gt;&lt;rec-number&gt;15&lt;/rec-number&gt;&lt;foreign-keys&gt;&lt;key app="EN" db-id="ffzvr5fstavwxoe9v04xf0wmp5t50as52da0" timestamp="1731671636" guid="79fa2121-ce34-475a-a605-378a83372352"&gt;15&lt;/key&gt;&lt;/foreign-keys&gt;&lt;ref-type name="Journal Article"&gt;17&lt;/ref-type&gt;&lt;contributors&gt;&lt;authors&gt;&lt;author&gt;McGovern, R.&lt;/author&gt;&lt;author&gt;Newham, J. J.&lt;/author&gt;&lt;author&gt;Addison, M. T.&lt;/author&gt;&lt;author&gt;Hickman, M.&lt;/author&gt;&lt;author&gt;Kaner, E. F. S.&lt;/author&gt;&lt;/authors&gt;&lt;/contributors&gt;&lt;titles&gt;&lt;title&gt;Effectiveness of psychosocial interventions for reducing parental substance misuse&lt;/title&gt;&lt;secondary-title&gt;Cochrane Database of Systematic Reviews&lt;/secondary-title&gt;&lt;/titles&gt;&lt;periodical&gt;&lt;full-title&gt;Cochrane Database of Systematic Reviews&lt;/full-title&gt;&lt;/periodical&gt;&lt;number&gt;3&lt;/number&gt;&lt;dates&gt;&lt;year&gt;2021&lt;/year&gt;&lt;/dates&gt;&lt;publisher&gt;John Wiley &amp;amp; Sons, Ltd&lt;/publisher&gt;&lt;isbn&gt;1465-1858&lt;/isbn&gt;&lt;accession-num&gt;CD012823&lt;/accession-num&gt;&lt;urls&gt;&lt;related-urls&gt;&lt;url&gt;https://doi.org//10.1002/14651858.CD012823.pub2&lt;/url&gt;&lt;/related-urls&gt;&lt;/urls&gt;&lt;electronic-resource-num&gt;10.1002/14651858.CD012823.pub2&lt;/electronic-resource-num&gt;&lt;/record&gt;&lt;/Cite&gt;&lt;/EndNote&gt;</w:instrText>
      </w:r>
      <w:r w:rsidR="00A72418">
        <w:fldChar w:fldCharType="separate"/>
      </w:r>
      <w:r w:rsidR="00A77498">
        <w:rPr>
          <w:noProof/>
        </w:rPr>
        <w:t>McGovern et al. (2021)</w:t>
      </w:r>
      <w:r w:rsidR="00A72418">
        <w:fldChar w:fldCharType="end"/>
      </w:r>
      <w:r w:rsidR="000F1820">
        <w:t xml:space="preserve"> </w:t>
      </w:r>
      <w:r w:rsidRPr="00451CEA">
        <w:t xml:space="preserve">found that treatment </w:t>
      </w:r>
      <w:r w:rsidR="006820BF">
        <w:t>integrated with</w:t>
      </w:r>
      <w:r w:rsidRPr="00451CEA">
        <w:t xml:space="preserve"> parenting interventions may </w:t>
      </w:r>
      <w:r w:rsidR="00507346">
        <w:t xml:space="preserve">be more effective at </w:t>
      </w:r>
      <w:r w:rsidRPr="00451CEA">
        <w:t>reduc</w:t>
      </w:r>
      <w:r w:rsidR="00507346">
        <w:t>ing</w:t>
      </w:r>
      <w:r w:rsidRPr="00451CEA">
        <w:t xml:space="preserve"> alcohol and drug use among parents compared with treatment alone, </w:t>
      </w:r>
      <w:r w:rsidR="0034361F">
        <w:t xml:space="preserve">and that mothers may need more intensive support </w:t>
      </w:r>
      <w:r w:rsidR="000107AC">
        <w:t>than fathers. The evidence also suggested that</w:t>
      </w:r>
      <w:r w:rsidR="000F1820">
        <w:t xml:space="preserve"> children should not be present during treatment sessions for </w:t>
      </w:r>
      <w:r w:rsidR="006820BF">
        <w:t xml:space="preserve">their </w:t>
      </w:r>
      <w:r w:rsidR="000F1820">
        <w:t xml:space="preserve">parents </w:t>
      </w:r>
      <w:r w:rsidR="000F1820">
        <w:fldChar w:fldCharType="begin">
          <w:fldData xml:space="preserve">PEVuZE5vdGU+PENpdGU+PEF1dGhvcj5NY0dvdmVybjwvQXV0aG9yPjxZZWFyPjIwMjI8L1llYXI+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</w:fldData>
        </w:fldChar>
      </w:r>
      <w:r w:rsidR="00B9334F">
        <w:instrText xml:space="preserve"> ADDIN EN.CITE </w:instrText>
      </w:r>
      <w:r w:rsidR="00B9334F">
        <w:fldChar w:fldCharType="begin">
          <w:fldData xml:space="preserve">PEVuZE5vdGU+PENpdGU+PEF1dGhvcj5NY0dvdmVybjwvQXV0aG9yPjxZZWFyPjIwMjI8L1llYXI+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</w:fldData>
        </w:fldChar>
      </w:r>
      <w:r w:rsidR="00B9334F">
        <w:instrText xml:space="preserve"> ADDIN EN.CITE.DATA </w:instrText>
      </w:r>
      <w:r w:rsidR="00B9334F">
        <w:fldChar w:fldCharType="end"/>
      </w:r>
      <w:r w:rsidR="000F1820">
        <w:fldChar w:fldCharType="separate"/>
      </w:r>
      <w:r w:rsidR="003C6F70">
        <w:rPr>
          <w:noProof/>
        </w:rPr>
        <w:t>(McGovern et al., 2022; McGovern et al., 2021)</w:t>
      </w:r>
      <w:r w:rsidR="000F1820">
        <w:fldChar w:fldCharType="end"/>
      </w:r>
      <w:r w:rsidR="000F1820">
        <w:t xml:space="preserve">. </w:t>
      </w:r>
      <w:r w:rsidR="000107AC">
        <w:t>T</w:t>
      </w:r>
      <w:r w:rsidRPr="00451CEA">
        <w:t xml:space="preserve">he authors </w:t>
      </w:r>
      <w:r w:rsidR="00EB26DC">
        <w:t>noted</w:t>
      </w:r>
      <w:r w:rsidRPr="00451CEA">
        <w:t xml:space="preserve"> that the evidence used to generate these results were of </w:t>
      </w:r>
      <w:r w:rsidR="0041738A" w:rsidRPr="00451CEA">
        <w:t>low-quality</w:t>
      </w:r>
      <w:r w:rsidRPr="00451CEA">
        <w:t xml:space="preserve"> </w:t>
      </w:r>
      <w:r w:rsidR="0007063D">
        <w:t>owing to significant risk of bias identified</w:t>
      </w:r>
      <w:r w:rsidRPr="00451CEA">
        <w:t>.</w:t>
      </w:r>
      <w:r w:rsidR="00EC7FBE">
        <w:t xml:space="preserve"> </w:t>
      </w:r>
      <w:r w:rsidR="00D77900">
        <w:t>Most studies</w:t>
      </w:r>
      <w:r w:rsidR="00F83F87">
        <w:t xml:space="preserve"> </w:t>
      </w:r>
      <w:r w:rsidR="00196537">
        <w:t xml:space="preserve">included in the reviews </w:t>
      </w:r>
      <w:r w:rsidR="002153EC">
        <w:t>focused</w:t>
      </w:r>
      <w:r w:rsidR="00D77900">
        <w:t xml:space="preserve"> on mothers</w:t>
      </w:r>
      <w:r w:rsidR="002153EC">
        <w:t xml:space="preserve"> with SUD</w:t>
      </w:r>
      <w:r w:rsidR="00620427">
        <w:t>, although</w:t>
      </w:r>
      <w:r w:rsidR="00D77900">
        <w:t xml:space="preserve"> </w:t>
      </w:r>
      <w:r w:rsidR="00D77900">
        <w:fldChar w:fldCharType="begin">
          <w:fldData xml:space="preserve">PEVuZE5vdGU+PENpdGUgQXV0aG9yWWVhcj0iMSI+PEF1dGhvcj5MYW08L0F1dGhvcj48WWVhcj4y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=
</w:fldData>
        </w:fldChar>
      </w:r>
      <w:r w:rsidR="00B9334F">
        <w:instrText xml:space="preserve"> ADDIN EN.CITE </w:instrText>
      </w:r>
      <w:r w:rsidR="00B9334F">
        <w:fldChar w:fldCharType="begin">
          <w:fldData xml:space="preserve">PEVuZE5vdGU+PENpdGUgQXV0aG9yWWVhcj0iMSI+PEF1dGhvcj5MYW08L0F1dGhvcj48WWVhcj4y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=
</w:fldData>
        </w:fldChar>
      </w:r>
      <w:r w:rsidR="00B9334F">
        <w:instrText xml:space="preserve"> ADDIN EN.CITE.DATA </w:instrText>
      </w:r>
      <w:r w:rsidR="00B9334F">
        <w:fldChar w:fldCharType="end"/>
      </w:r>
      <w:r w:rsidR="00D77900">
        <w:fldChar w:fldCharType="separate"/>
      </w:r>
      <w:r w:rsidR="00A77498">
        <w:rPr>
          <w:noProof/>
        </w:rPr>
        <w:t>Lam et al. (2009)</w:t>
      </w:r>
      <w:r w:rsidR="00D77900">
        <w:fldChar w:fldCharType="end"/>
      </w:r>
      <w:r w:rsidR="00D77900">
        <w:t xml:space="preserve"> and </w:t>
      </w:r>
      <w:r w:rsidR="00F225EA">
        <w:fldChar w:fldCharType="begin"/>
      </w:r>
      <w:r w:rsidR="0042328C">
        <w:instrText xml:space="preserve"> ADDIN EN.CITE &lt;EndNote&gt;&lt;Cite&gt;&lt;Author&gt;Stover&lt;/Author&gt;&lt;Year&gt;2019&lt;/Year&gt;&lt;RecNum&gt;699&lt;/RecNum&gt;&lt;DisplayText&gt;(Stover et al., 2019a)&lt;/DisplayText&gt;&lt;record&gt;&lt;rec-number&gt;699&lt;/rec-number&gt;&lt;foreign-keys&gt;&lt;key app="EN" db-id="ffzvr5fstavwxoe9v04xf0wmp5t50as52da0" timestamp="1731671738" guid="371935c7-fb91-423c-92e5-da8b03f7a6f5"&gt;699&lt;/key&gt;&lt;/foreign-keys&gt;&lt;ref-type name="Journal Article"&gt;17&lt;/ref-type&gt;&lt;contributors&gt;&lt;authors&gt;&lt;author&gt;Stover, C. S.&lt;/author&gt;&lt;author&gt;McMahon, T. J.&lt;/author&gt;&lt;author&gt;Moore, K.&lt;/author&gt;&lt;/authors&gt;&lt;/contributors&gt;&lt;titles&gt;&lt;title&gt;A randomized pilot trial of two parenting interventions for fathers in residential substance use disorder treatment&lt;/title&gt;&lt;alt-title&gt;J Subst Abuse Treat&lt;/alt-title&gt;&lt;/titles&gt;&lt;alt-periodical&gt;&lt;full-title&gt;J Subst Abuse Treat&lt;/full-title&gt;&lt;/alt-periodical&gt;&lt;pages&gt;116-127&lt;/pages&gt;&lt;volume&gt;104&lt;/volume&gt;&lt;dates&gt;&lt;year&gt;2019&lt;/year&gt;&lt;/dates&gt;&lt;label&gt;39.&lt;/label&gt;&lt;urls&gt;&lt;related-urls&gt;&lt;url&gt;https://doi.org/10.1016/j.jsat.2019.07.003&lt;/url&gt;&lt;/related-urls&gt;&lt;/urls&gt;&lt;/record&gt;&lt;/Cite&gt;&lt;/EndNote&gt;</w:instrText>
      </w:r>
      <w:r w:rsidR="00F225EA">
        <w:fldChar w:fldCharType="separate"/>
      </w:r>
      <w:r w:rsidR="0042328C">
        <w:rPr>
          <w:noProof/>
        </w:rPr>
        <w:t>(Stover et al., 2019a)</w:t>
      </w:r>
      <w:r w:rsidR="00F225EA">
        <w:fldChar w:fldCharType="end"/>
      </w:r>
      <w:r w:rsidR="00F225EA">
        <w:t xml:space="preserve"> </w:t>
      </w:r>
      <w:r w:rsidR="00BC3C0A">
        <w:t xml:space="preserve">both </w:t>
      </w:r>
      <w:r w:rsidR="00D63162">
        <w:t>centred</w:t>
      </w:r>
      <w:r w:rsidR="00BC3C0A">
        <w:t xml:space="preserve"> on fathers</w:t>
      </w:r>
      <w:r w:rsidR="00D77900">
        <w:t xml:space="preserve">, </w:t>
      </w:r>
      <w:r w:rsidR="007B2026">
        <w:t>while</w:t>
      </w:r>
      <w:r w:rsidR="00D77900">
        <w:t xml:space="preserve"> </w:t>
      </w:r>
      <w:r w:rsidR="00D77900">
        <w:fldChar w:fldCharType="begin"/>
      </w:r>
      <w:r w:rsidR="00B9334F">
        <w:instrText xml:space="preserve"> ADDIN EN.CITE &lt;EndNote&gt;&lt;Cite AuthorYear="1"&gt;&lt;Author&gt;Barlow&lt;/Author&gt;&lt;Year&gt;2019&lt;/Year&gt;&lt;RecNum&gt;352&lt;/RecNum&gt;&lt;DisplayText&gt;Barlow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rsidR="00D77900">
        <w:fldChar w:fldCharType="separate"/>
      </w:r>
      <w:r w:rsidR="00A77498">
        <w:rPr>
          <w:noProof/>
        </w:rPr>
        <w:t>Barlow et al. (2019)</w:t>
      </w:r>
      <w:r w:rsidR="00D77900">
        <w:fldChar w:fldCharType="end"/>
      </w:r>
      <w:r w:rsidR="00D77900">
        <w:t xml:space="preserve"> </w:t>
      </w:r>
      <w:r w:rsidR="00D63162">
        <w:t>studied</w:t>
      </w:r>
      <w:r w:rsidR="00BC3C0A">
        <w:t xml:space="preserve"> both</w:t>
      </w:r>
      <w:r w:rsidR="00D77900">
        <w:t xml:space="preserve"> mothers and fathers. </w:t>
      </w:r>
    </w:p>
    <w:p w14:paraId="0E5C0DC5" w14:textId="77777777" w:rsidR="00390101" w:rsidRDefault="00390101" w:rsidP="00737297">
      <w:pPr>
        <w:pStyle w:val="NoSpacing"/>
        <w:spacing w:line="360" w:lineRule="auto"/>
      </w:pPr>
    </w:p>
    <w:p w14:paraId="09A6EBA9" w14:textId="415DE292" w:rsidR="00561D70" w:rsidRDefault="00561D70" w:rsidP="00737297">
      <w:pPr>
        <w:pStyle w:val="NoSpacing"/>
        <w:spacing w:line="360" w:lineRule="auto"/>
      </w:pPr>
      <w:r>
        <w:t xml:space="preserve">Very few </w:t>
      </w:r>
      <w:r w:rsidR="003F5586">
        <w:t>ac</w:t>
      </w:r>
      <w:r w:rsidR="002153EC">
        <w:t>a</w:t>
      </w:r>
      <w:r w:rsidR="003F5586">
        <w:t xml:space="preserve">demic </w:t>
      </w:r>
      <w:r>
        <w:t xml:space="preserve">studies </w:t>
      </w:r>
      <w:r w:rsidR="00D026D6">
        <w:t>of p</w:t>
      </w:r>
      <w:r w:rsidR="002B4C3B">
        <w:t xml:space="preserve">sychosocial interventions </w:t>
      </w:r>
      <w:r w:rsidR="008910F8">
        <w:t>combined with</w:t>
      </w:r>
      <w:r w:rsidR="003F5586">
        <w:t xml:space="preserve"> parenting interventions </w:t>
      </w:r>
      <w:r w:rsidR="00C24C03">
        <w:t xml:space="preserve">from the UK </w:t>
      </w:r>
      <w:r>
        <w:t xml:space="preserve">exist. </w:t>
      </w:r>
      <w:r w:rsidRPr="00A67DF7">
        <w:t xml:space="preserve">The Parents under Pressure (PuP) programme is a 24-week home-visitation intervention for primary caregivers </w:t>
      </w:r>
      <w:r>
        <w:t xml:space="preserve">(male and female) </w:t>
      </w:r>
      <w:r w:rsidRPr="00A67DF7">
        <w:t xml:space="preserve">of children younger than 2.5 years receiving methadone treatment. It comprises 12 modules relating to parenting and coping skills within a care management structure, meaning parents can also receive support outside of these times should they need it. A Brisbane, Australia </w:t>
      </w:r>
      <w:r w:rsidR="000B23BD">
        <w:t xml:space="preserve">PuP </w:t>
      </w:r>
      <w:r w:rsidRPr="00483392">
        <w:t xml:space="preserve">RCT </w:t>
      </w:r>
      <w:r w:rsidR="00921790">
        <w:t xml:space="preserve">originally </w:t>
      </w:r>
      <w:r w:rsidRPr="00483392">
        <w:t>reported that intervention parents demonstrated significant improvements across several areas such as stress and child abuse potential, although a sizable proportion (36%) of the group maintained their high-risk status</w:t>
      </w:r>
      <w:r w:rsidR="0024758D">
        <w:t xml:space="preserve"> </w:t>
      </w:r>
      <w:r w:rsidR="0024758D">
        <w:fldChar w:fldCharType="begin"/>
      </w:r>
      <w:r w:rsidR="00B9334F">
        <w:instrText xml:space="preserve"> ADDIN EN.CITE &lt;EndNote&gt;&lt;Cite&gt;&lt;Author&gt;Dawe&lt;/Author&gt;&lt;Year&gt;2007&lt;/Year&gt;&lt;RecNum&gt;197&lt;/RecNum&gt;&lt;DisplayText&gt;(Dawe &amp;amp; Harnett, 2007)&lt;/DisplayText&gt;&lt;record&gt;&lt;rec-number&gt;197&lt;/rec-number&gt;&lt;foreign-keys&gt;&lt;key app="EN" db-id="ffzvr5fstavwxoe9v04xf0wmp5t50as52da0" timestamp="1731671648" guid="61ef2855-54f6-43e0-b982-b1bde724e7f2"&gt;197&lt;/key&gt;&lt;/foreign-keys&gt;&lt;ref-type name="Journal Article"&gt;17&lt;/ref-type&gt;&lt;contributors&gt;&lt;authors&gt;&lt;author&gt;Dawe, S.&lt;/author&gt;&lt;author&gt;Harnett, P.&lt;/author&gt;&lt;/authors&gt;&lt;/contributors&gt;&lt;titles&gt;&lt;title&gt;Reducing potential for child abuse among methadone-maintained parents: results from a randomized controlled trial&lt;/title&gt;&lt;alt-title&gt;J Subst Abuse Treat&lt;/alt-title&gt;&lt;/titles&gt;&lt;alt-periodical&gt;&lt;full-title&gt;J Subst Abuse Treat&lt;/full-title&gt;&lt;/alt-periodical&gt;&lt;pages&gt;381-390&lt;/pages&gt;&lt;volume&gt;32&lt;/volume&gt;&lt;dates&gt;&lt;year&gt;2007&lt;/year&gt;&lt;/dates&gt;&lt;label&gt;49.&lt;/label&gt;&lt;urls&gt;&lt;related-urls&gt;&lt;url&gt;https://doi.org/10.1016/j.jsat.2006.10.003&lt;/url&gt;&lt;/related-urls&gt;&lt;/urls&gt;&lt;/record&gt;&lt;/Cite&gt;&lt;/EndNote&gt;</w:instrText>
      </w:r>
      <w:r w:rsidR="0024758D">
        <w:fldChar w:fldCharType="separate"/>
      </w:r>
      <w:r w:rsidR="002E6444">
        <w:rPr>
          <w:noProof/>
        </w:rPr>
        <w:t>(Dawe &amp; Harnett, 2007)</w:t>
      </w:r>
      <w:r w:rsidR="0024758D">
        <w:fldChar w:fldCharType="end"/>
      </w:r>
      <w:r w:rsidRPr="00483392">
        <w:t xml:space="preserve">. The promising findings of the programme </w:t>
      </w:r>
      <w:r>
        <w:t>were</w:t>
      </w:r>
      <w:r w:rsidRPr="00483392">
        <w:t xml:space="preserve"> substantiated in the UK RCT</w:t>
      </w:r>
      <w:r>
        <w:t xml:space="preserve"> by</w:t>
      </w:r>
      <w:r w:rsidRPr="00483392">
        <w:t xml:space="preserve"> </w:t>
      </w:r>
      <w:r w:rsidR="00A17140">
        <w:fldChar w:fldCharType="begin"/>
      </w:r>
      <w:r w:rsidR="00B9334F">
        <w:instrText xml:space="preserve"> ADDIN EN.CITE &lt;EndNote&gt;&lt;Cite AuthorYear="1"&gt;&lt;Author&gt;Barlow&lt;/Author&gt;&lt;Year&gt;2019&lt;/Year&gt;&lt;RecNum&gt;352&lt;/RecNum&gt;&lt;DisplayText&gt;Barlow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rsidR="00A17140">
        <w:fldChar w:fldCharType="separate"/>
      </w:r>
      <w:r w:rsidR="00A77498">
        <w:rPr>
          <w:noProof/>
        </w:rPr>
        <w:t>Barlow et al. (2019)</w:t>
      </w:r>
      <w:r w:rsidR="00A17140">
        <w:fldChar w:fldCharType="end"/>
      </w:r>
      <w:r w:rsidR="004B69A3">
        <w:t xml:space="preserve"> </w:t>
      </w:r>
      <w:r>
        <w:t xml:space="preserve">which benefited from </w:t>
      </w:r>
      <w:r w:rsidRPr="00A67DF7">
        <w:t>a better study design</w:t>
      </w:r>
      <w:r>
        <w:t>:</w:t>
      </w:r>
      <w:r w:rsidRPr="00A67DF7">
        <w:t xml:space="preserve"> </w:t>
      </w:r>
      <w:r>
        <w:t>t</w:t>
      </w:r>
      <w:r w:rsidRPr="00A67DF7">
        <w:t xml:space="preserve">he UK RCT was close to real-world conditions </w:t>
      </w:r>
      <w:r w:rsidRPr="00A67DF7">
        <w:lastRenderedPageBreak/>
        <w:t xml:space="preserve">across several sites with a comprehensive cost-effectiveness analysis. The authors reported that the intervention had a 52% probability of cost-effectiveness at a willingness to pay (WTP) </w:t>
      </w:r>
      <w:r w:rsidR="005F693D">
        <w:t>of</w:t>
      </w:r>
      <w:r w:rsidRPr="00A67DF7">
        <w:t xml:space="preserve"> £1,000 per unit of </w:t>
      </w:r>
      <w:r w:rsidR="0080337A">
        <w:t>Brief form of the Child Abuse Potential (</w:t>
      </w:r>
      <w:r w:rsidR="00CB5FE1">
        <w:t>BCAP</w:t>
      </w:r>
      <w:r w:rsidR="0080337A">
        <w:t xml:space="preserve">) </w:t>
      </w:r>
      <w:r>
        <w:t>Inventory</w:t>
      </w:r>
      <w:r w:rsidR="0080337A">
        <w:t xml:space="preserve"> </w:t>
      </w:r>
      <w:r w:rsidR="0080337A">
        <w:fldChar w:fldCharType="begin"/>
      </w:r>
      <w:r w:rsidR="00B9334F">
        <w:instrText xml:space="preserve"> ADDIN EN.CITE &lt;EndNote&gt;&lt;Cite&gt;&lt;Author&gt;Ondersma&lt;/Author&gt;&lt;Year&gt;2005&lt;/Year&gt;&lt;RecNum&gt;480&lt;/RecNum&gt;&lt;DisplayText&gt;(Ondersma et al., 2005)&lt;/DisplayText&gt;&lt;record&gt;&lt;rec-number&gt;480&lt;/rec-number&gt;&lt;foreign-keys&gt;&lt;key app="EN" db-id="ffzvr5fstavwxoe9v04xf0wmp5t50as52da0" timestamp="1731671682" guid="185014df-b873-41fa-8685-e14b719169ae"&gt;480&lt;/key&gt;&lt;/foreign-keys&gt;&lt;ref-type name="Journal Article"&gt;17&lt;/ref-type&gt;&lt;contributors&gt;&lt;authors&gt;&lt;author&gt;Ondersma, S. J.&lt;/author&gt;&lt;author&gt;Chaffin, M. J.&lt;/author&gt;&lt;author&gt;Mullins, S. M.&lt;/author&gt;&lt;author&gt;LeBreton, J. M.&lt;/author&gt;&lt;/authors&gt;&lt;/contributors&gt;&lt;titles&gt;&lt;title&gt;A brief form of the child abuse potential inventory: development and validation&lt;/title&gt;&lt;alt-title&gt;J Clin Child Adolesc Psychol&lt;/alt-title&gt;&lt;/titles&gt;&lt;alt-periodical&gt;&lt;abbr-1&gt;J Clin Child Adolesc Psychol&lt;/abbr-1&gt;&lt;/alt-periodical&gt;&lt;pages&gt;301-311&lt;/pages&gt;&lt;volume&gt;34&lt;/volume&gt;&lt;dates&gt;&lt;year&gt;2005&lt;/year&gt;&lt;/dates&gt;&lt;label&gt;77.&lt;/label&gt;&lt;urls&gt;&lt;related-urls&gt;&lt;url&gt;https://doi.org/10.1207/s15374424jccp3402_9&lt;/url&gt;&lt;/related-urls&gt;&lt;/urls&gt;&lt;/record&gt;&lt;/Cite&gt;&lt;/EndNote&gt;</w:instrText>
      </w:r>
      <w:r w:rsidR="0080337A">
        <w:fldChar w:fldCharType="separate"/>
      </w:r>
      <w:r w:rsidR="00A77498">
        <w:rPr>
          <w:noProof/>
        </w:rPr>
        <w:t>(Ondersma et al., 2005)</w:t>
      </w:r>
      <w:r w:rsidR="0080337A">
        <w:fldChar w:fldCharType="end"/>
      </w:r>
      <w:r>
        <w:t xml:space="preserve"> </w:t>
      </w:r>
      <w:r w:rsidRPr="00A67DF7">
        <w:t xml:space="preserve">score improvement and a 98% probability at WTP of £20,000. As there is no established WTP of a </w:t>
      </w:r>
      <w:r w:rsidR="00CB5FE1">
        <w:t>BCAP</w:t>
      </w:r>
      <w:r w:rsidRPr="00A67DF7">
        <w:t xml:space="preserve"> unit improvement, it is not possible to determine with confidence that the intervention </w:t>
      </w:r>
      <w:r w:rsidR="008B1410">
        <w:t xml:space="preserve">would be considered </w:t>
      </w:r>
      <w:r w:rsidRPr="00A67DF7">
        <w:t>cost-effective</w:t>
      </w:r>
      <w:r w:rsidR="008B1410">
        <w:t xml:space="preserve"> by decision-makers</w:t>
      </w:r>
      <w:r w:rsidRPr="00A67DF7">
        <w:t xml:space="preserve">. </w:t>
      </w:r>
      <w:r w:rsidR="00F8738F">
        <w:t>When</w:t>
      </w:r>
      <w:r w:rsidRPr="00A67DF7">
        <w:t xml:space="preserve"> using Q</w:t>
      </w:r>
      <w:r w:rsidR="0024602C">
        <w:t xml:space="preserve">uality </w:t>
      </w:r>
      <w:r w:rsidRPr="00A67DF7">
        <w:t>A</w:t>
      </w:r>
      <w:r w:rsidR="0024602C">
        <w:t xml:space="preserve">djusted </w:t>
      </w:r>
      <w:r w:rsidRPr="00A67DF7">
        <w:t>L</w:t>
      </w:r>
      <w:r w:rsidR="0024602C">
        <w:t xml:space="preserve">ife </w:t>
      </w:r>
      <w:r w:rsidRPr="00A67DF7">
        <w:t>Y</w:t>
      </w:r>
      <w:r w:rsidR="0024602C">
        <w:t>ear</w:t>
      </w:r>
      <w:r w:rsidRPr="00A67DF7">
        <w:t xml:space="preserve"> </w:t>
      </w:r>
      <w:r w:rsidR="0024602C">
        <w:t xml:space="preserve">(QALY) </w:t>
      </w:r>
      <w:r w:rsidRPr="00A67DF7">
        <w:t>gains to measure cost-effectiveness, the authors found that the intervention was above the N</w:t>
      </w:r>
      <w:r>
        <w:t xml:space="preserve">ational </w:t>
      </w:r>
      <w:r w:rsidRPr="00A67DF7">
        <w:t>I</w:t>
      </w:r>
      <w:r>
        <w:t xml:space="preserve">nstitute for Health and </w:t>
      </w:r>
      <w:r w:rsidRPr="00A67DF7">
        <w:t>C</w:t>
      </w:r>
      <w:r>
        <w:t xml:space="preserve">are </w:t>
      </w:r>
      <w:r w:rsidRPr="00A67DF7">
        <w:t>E</w:t>
      </w:r>
      <w:r>
        <w:t>xcellence</w:t>
      </w:r>
      <w:r w:rsidRPr="00A67DF7">
        <w:t xml:space="preserve"> </w:t>
      </w:r>
      <w:r>
        <w:t xml:space="preserve">(NICE) </w:t>
      </w:r>
      <w:r w:rsidRPr="00A67DF7">
        <w:t>threshold of £20</w:t>
      </w:r>
      <w:r w:rsidR="00C24C03">
        <w:t>,000</w:t>
      </w:r>
      <w:r w:rsidRPr="00A67DF7">
        <w:t xml:space="preserve">-30,000 per QALY gain at about £34,000 and so would not be considered as cost-effective by </w:t>
      </w:r>
      <w:r>
        <w:t>N</w:t>
      </w:r>
      <w:r w:rsidRPr="00A67DF7">
        <w:t>ICE.</w:t>
      </w:r>
    </w:p>
    <w:p w14:paraId="2045831E" w14:textId="77777777" w:rsidR="00605EE9" w:rsidRDefault="00605EE9" w:rsidP="00737297">
      <w:pPr>
        <w:pStyle w:val="NoSpacing"/>
        <w:spacing w:line="360" w:lineRule="auto"/>
      </w:pPr>
    </w:p>
    <w:p w14:paraId="508A9EB2" w14:textId="5109C480" w:rsidR="00B36BCB" w:rsidRDefault="00605EE9" w:rsidP="00737297">
      <w:pPr>
        <w:pStyle w:val="NoSpacing"/>
        <w:spacing w:line="360" w:lineRule="auto"/>
      </w:pPr>
      <w:r>
        <w:t xml:space="preserve">More recently, </w:t>
      </w:r>
      <w:r>
        <w:fldChar w:fldCharType="begin"/>
      </w:r>
      <w:r w:rsidR="00B9334F">
        <w:instrText xml:space="preserve"> ADDIN EN.CITE &lt;EndNote&gt;&lt;Cite AuthorYear="1"&gt;&lt;Author&gt;Whittaker&lt;/Author&gt;&lt;Year&gt;2022&lt;/Year&gt;&lt;RecNum&gt;199&lt;/RecNum&gt;&lt;DisplayText&gt;Whittaker et al. (2022)&lt;/DisplayText&gt;&lt;record&gt;&lt;rec-number&gt;199&lt;/rec-number&gt;&lt;foreign-keys&gt;&lt;key app="EN" db-id="ffzvr5fstavwxoe9v04xf0wmp5t50as52da0" timestamp="1731671648" guid="99de965e-4f33-4e36-be9a-a2b9a2307c41"&gt;199&lt;/key&gt;&lt;/foreign-keys&gt;&lt;ref-type name="Journal Article"&gt;17&lt;/ref-type&gt;&lt;contributors&gt;&lt;authors&gt;&lt;author&gt;Whittaker, Anne&lt;/author&gt;&lt;author&gt;Elliott, Lawrie&lt;/author&gt;&lt;author&gt;Taylor, Julie&lt;/author&gt;&lt;author&gt;Dawe, Sharon&lt;/author&gt;&lt;author&gt;Harnett, Paul&lt;/author&gt;&lt;author&gt;Stoddart, Andrew&lt;/author&gt;&lt;author&gt;Littlewood, Peter&lt;/author&gt;&lt;author&gt;Robertson, Roy&lt;/author&gt;&lt;author&gt;Farquharson, Barbara&lt;/author&gt;&lt;author&gt;Strachan, Heather&lt;/author&gt;&lt;/authors&gt;&lt;/contributors&gt;&lt;titles&gt;&lt;title&gt;The Parents under Pressure parenting programme for families with fathers receiving treatment for opioid dependence: the PuP4Dads feasibility study&lt;/title&gt;&lt;alt-title&gt;Public Health Res&lt;/alt-title&gt;&lt;/titles&gt;&lt;alt-periodical&gt;&lt;abbr-1&gt;Public Health Res&lt;/abbr-1&gt;&lt;/alt-periodical&gt;&lt;pages&gt;3&lt;/pages&gt;&lt;volume&gt;10&lt;/volume&gt;&lt;dates&gt;&lt;year&gt;2022&lt;/year&gt;&lt;/dates&gt;&lt;label&gt;1.&lt;/label&gt;&lt;urls&gt;&lt;related-urls&gt;&lt;url&gt;https://doi.org/10.3310/YOWK7214&lt;/url&gt;&lt;/related-urls&gt;&lt;/urls&gt;&lt;electronic-resource-num&gt;10.3310/YOWK7214&lt;/electronic-resource-num&gt;&lt;/record&gt;&lt;/Cite&gt;&lt;/EndNote&gt;</w:instrText>
      </w:r>
      <w:r>
        <w:fldChar w:fldCharType="separate"/>
      </w:r>
      <w:r w:rsidR="00A77498">
        <w:rPr>
          <w:noProof/>
        </w:rPr>
        <w:t>Whittaker et al. (2022)</w:t>
      </w:r>
      <w:r>
        <w:fldChar w:fldCharType="end"/>
      </w:r>
      <w:r w:rsidR="005C180A">
        <w:t xml:space="preserve"> </w:t>
      </w:r>
      <w:r w:rsidR="00474B35">
        <w:t xml:space="preserve">assessed the </w:t>
      </w:r>
      <w:r w:rsidR="00A205FD">
        <w:t>feasibility</w:t>
      </w:r>
      <w:r w:rsidR="00474B35">
        <w:t xml:space="preserve"> and acceptability of the PuP programme for </w:t>
      </w:r>
      <w:r w:rsidR="00BF5AA5">
        <w:t>fathers with an opioid use disorder (‘PuP4Dads’)</w:t>
      </w:r>
      <w:r w:rsidR="00A205FD">
        <w:t>,</w:t>
      </w:r>
      <w:r w:rsidR="00B85783">
        <w:t xml:space="preserve"> and their families. </w:t>
      </w:r>
      <w:r w:rsidR="0012236B">
        <w:t xml:space="preserve">The </w:t>
      </w:r>
      <w:r w:rsidR="005F64E2">
        <w:t xml:space="preserve">programme was delivered successfully and </w:t>
      </w:r>
      <w:r w:rsidR="0012236B">
        <w:t>authors</w:t>
      </w:r>
      <w:r w:rsidR="006A5FB6">
        <w:t xml:space="preserve"> conclud</w:t>
      </w:r>
      <w:r w:rsidR="005F64E2">
        <w:t>ed</w:t>
      </w:r>
      <w:r w:rsidR="006A5FB6">
        <w:t xml:space="preserve"> that </w:t>
      </w:r>
      <w:r w:rsidR="0012236B">
        <w:t>a full-scale evaluation was feasible</w:t>
      </w:r>
      <w:r w:rsidR="00B85783">
        <w:t xml:space="preserve">. </w:t>
      </w:r>
      <w:r w:rsidR="00616550">
        <w:t xml:space="preserve">The authors </w:t>
      </w:r>
      <w:r w:rsidR="00F722B1">
        <w:t>reported</w:t>
      </w:r>
      <w:r w:rsidR="00616550">
        <w:t xml:space="preserve"> </w:t>
      </w:r>
      <w:r w:rsidR="00504C1C">
        <w:t>promising outcomes in terms of SUD reduction and father-child dyads.</w:t>
      </w:r>
    </w:p>
    <w:p w14:paraId="14B626F5" w14:textId="77777777" w:rsidR="00504C1C" w:rsidRDefault="00504C1C" w:rsidP="00737297">
      <w:pPr>
        <w:pStyle w:val="NoSpacing"/>
        <w:spacing w:line="360" w:lineRule="auto"/>
      </w:pPr>
    </w:p>
    <w:p w14:paraId="33891066" w14:textId="77A4B707" w:rsidR="0098140C" w:rsidRDefault="0098140C" w:rsidP="00737297">
      <w:pPr>
        <w:pStyle w:val="NoSpacing"/>
        <w:spacing w:line="360" w:lineRule="auto"/>
      </w:pPr>
      <w:r w:rsidRPr="00C54EE1">
        <w:fldChar w:fldCharType="begin"/>
      </w:r>
      <w:r w:rsidR="00B9334F">
        <w:instrText xml:space="preserve"> ADDIN EN.CITE &lt;EndNote&gt;&lt;Cite AuthorYear="1"&gt;&lt;Author&gt;Forrester&lt;/Author&gt;&lt;Year&gt;2008&lt;/Year&gt;&lt;RecNum&gt;143&lt;/RecNum&gt;&lt;DisplayText&gt;Forrester et al. (2008)&lt;/DisplayText&gt;&lt;record&gt;&lt;rec-number&gt;143&lt;/rec-number&gt;&lt;foreign-keys&gt;&lt;key app="EN" db-id="ffzvr5fstavwxoe9v04xf0wmp5t50as52da0" timestamp="1731671644" guid="ccc2a12a-25b9-4b50-939c-4e25d2e7589a"&gt;143&lt;/key&gt;&lt;/foreign-keys&gt;&lt;ref-type name="Journal Article"&gt;17&lt;/ref-type&gt;&lt;contributors&gt;&lt;authors&gt;&lt;author&gt;Forrester, D.&lt;/author&gt;&lt;author&gt;Copello, A.&lt;/author&gt;&lt;author&gt;Waissbein, C.&lt;/author&gt;&lt;author&gt;Pokhrel, S.&lt;/author&gt;&lt;/authors&gt;&lt;/contributors&gt;&lt;titles&gt;&lt;title&gt;Evaluation of an intensive family preservation service for families affected by parental substance misuse&lt;/title&gt;&lt;secondary-title&gt;Child Abuse Review&lt;/secondary-title&gt;&lt;/titles&gt;&lt;periodical&gt;&lt;full-title&gt;Child Abuse Review&lt;/full-title&gt;&lt;/periodical&gt;&lt;pages&gt;410-426&lt;/pages&gt;&lt;volume&gt;17&lt;/volume&gt;&lt;number&gt;6&lt;/number&gt;&lt;keywords&gt;&lt;keyword&gt;Parental Drug Misuse&lt;/keyword&gt;&lt;keyword&gt;Parental Alcohol Misuse&lt;/keyword&gt;&lt;keyword&gt;Family Preservation&lt;/keyword&gt;&lt;keyword&gt;Motivational Interviewing&lt;/keyword&gt;&lt;keyword&gt;Public Care&lt;/keyword&gt;&lt;/keywords&gt;&lt;dates&gt;&lt;year&gt;2008&lt;/year&gt;&lt;/dates&gt;&lt;pub-location&gt;Chichester, UK&lt;/pub-location&gt;&lt;isbn&gt;0952-9136&lt;/isbn&gt;&lt;urls&gt;&lt;/urls&gt;&lt;electronic-resource-num&gt;10.1002/car.1048&lt;/electronic-resource-num&gt;&lt;/record&gt;&lt;/Cite&gt;&lt;/EndNote&gt;</w:instrText>
      </w:r>
      <w:r w:rsidRPr="00C54EE1">
        <w:fldChar w:fldCharType="separate"/>
      </w:r>
      <w:r w:rsidR="00A77498">
        <w:rPr>
          <w:noProof/>
        </w:rPr>
        <w:t>Forrester et al. (2008)</w:t>
      </w:r>
      <w:r w:rsidRPr="00C54EE1">
        <w:fldChar w:fldCharType="end"/>
      </w:r>
      <w:r w:rsidRPr="00C54EE1">
        <w:t xml:space="preserve"> and </w:t>
      </w:r>
      <w:r w:rsidRPr="00C54EE1">
        <w:fldChar w:fldCharType="begin"/>
      </w:r>
      <w:r w:rsidR="00B9334F">
        <w:instrText xml:space="preserve"> ADDIN EN.CITE &lt;EndNote&gt;&lt;Cite AuthorYear="1"&gt;&lt;Author&gt;Forrester&lt;/Author&gt;&lt;Year&gt;2014&lt;/Year&gt;&lt;RecNum&gt;144&lt;/RecNum&gt;&lt;DisplayText&gt;Forrester et al. (2014)&lt;/DisplayText&gt;&lt;record&gt;&lt;rec-number&gt;144&lt;/rec-number&gt;&lt;foreign-keys&gt;&lt;key app="EN" db-id="ffzvr5fstavwxoe9v04xf0wmp5t50as52da0" timestamp="1731671644" guid="258d8ac3-6de4-4abb-b6a8-0785490fe181"&gt;144&lt;/key&gt;&lt;/foreign-keys&gt;&lt;ref-type name="Journal Article"&gt;17&lt;/ref-type&gt;&lt;contributors&gt;&lt;authors&gt;&lt;author&gt;Forrester, D&lt;/author&gt;&lt;author&gt;Holland, S&lt;/author&gt;&lt;author&gt;Williams, A&lt;/author&gt;&lt;author&gt;Copello, A&lt;/author&gt;&lt;/authors&gt;&lt;/contributors&gt;&lt;titles&gt;&lt;title&gt;Helping families where parents misuse drugs or alcohol? A mixed methods comparative evaluation of an intensive family preservation service&lt;/title&gt;&lt;secondary-title&gt;Child &amp;amp; Family Social Work&lt;/secondary-title&gt;&lt;/titles&gt;&lt;periodical&gt;&lt;full-title&gt;Child &amp;amp; Family Social Work&lt;/full-title&gt;&lt;/periodical&gt;&lt;pages&gt;65-75&lt;/pages&gt;&lt;volume&gt;21&lt;/volume&gt;&lt;number&gt;1&lt;/number&gt;&lt;dates&gt;&lt;year&gt;2014&lt;/year&gt;&lt;/dates&gt;&lt;urls&gt;&lt;related-urls&gt;&lt;url&gt;https://onlinelibrary.wiley.com/doi/abs/10.1111/cfs.12111&lt;/url&gt;&lt;/related-urls&gt;&lt;/urls&gt;&lt;electronic-resource-num&gt;doi:10.1111/cfs.12111&lt;/electronic-resource-num&gt;&lt;/record&gt;&lt;/Cite&gt;&lt;/EndNote&gt;</w:instrText>
      </w:r>
      <w:r w:rsidRPr="00C54EE1">
        <w:fldChar w:fldCharType="separate"/>
      </w:r>
      <w:r w:rsidR="00A77498">
        <w:rPr>
          <w:noProof/>
        </w:rPr>
        <w:t>Forrester et al. (2014)</w:t>
      </w:r>
      <w:r w:rsidRPr="00C54EE1">
        <w:fldChar w:fldCharType="end"/>
      </w:r>
      <w:r w:rsidRPr="00C54EE1">
        <w:t xml:space="preserve"> analysed</w:t>
      </w:r>
      <w:r w:rsidRPr="00925EA9">
        <w:t xml:space="preserve"> the impact of an Intensive Family Preservation Service (a.k.a. ‘Option 2’) in Wales: an intensive four-week home-based </w:t>
      </w:r>
      <w:r>
        <w:t xml:space="preserve">case management intervention </w:t>
      </w:r>
      <w:r w:rsidRPr="00925EA9">
        <w:t xml:space="preserve">which targeted parental substance users whose children were at risk of being placed into care. Workers were paraprofessionals incorporating motivational interviewing techniques, on call 24/7 and working with one family at a time. The quasi-experimental </w:t>
      </w:r>
      <w:r>
        <w:t>study</w:t>
      </w:r>
      <w:r w:rsidRPr="00925EA9">
        <w:t xml:space="preserve"> found that the likelihood of entering care was the same for both the intervention and comparison groups (about 40%), however children receiving the intervention took longer to enter care and spent significantly fewer days in care. This resulted in a benefit-cost ratio of </w:t>
      </w:r>
      <w:r w:rsidR="009700F1">
        <w:t>1:</w:t>
      </w:r>
      <w:r w:rsidRPr="00925EA9">
        <w:t xml:space="preserve">1.54. At follow-up (up to 5.6 years), intervention children were significantly more likely to be at home than comparison children. </w:t>
      </w:r>
      <w:r>
        <w:t>I</w:t>
      </w:r>
      <w:r w:rsidRPr="00925EA9">
        <w:t xml:space="preserve">t should be noted that costs data related to placement costs only. Other pertinent expenses such as social worker allocation were not included. While this would underestimate the overall costs there is likely to be little difference between the intervention and comparison groups. However, there may well be differences in service usage outside the realm of social work, which may impact cost-benefit findings, namely parental treatment, education, </w:t>
      </w:r>
      <w:r w:rsidRPr="00925EA9">
        <w:lastRenderedPageBreak/>
        <w:t>criminal justice and health. It is not clear whether the intervention would remain cost-beneficial were such outcome costs included in the cost-benefit analysis. Further, the comparison group received a range of services that were not identified, making it difficult to demonstrate either effectiveness or cost-effectiveness of the intervention.</w:t>
      </w:r>
      <w:r>
        <w:t xml:space="preserve"> </w:t>
      </w:r>
      <w:r w:rsidRPr="00925EA9">
        <w:rPr>
          <w:noProof/>
        </w:rPr>
        <w:t>The positive ﬁndings of Option 2 has contributed to an adapted version being rolled out across Wales, as well as in some local authorities in England.</w:t>
      </w:r>
    </w:p>
    <w:p w14:paraId="3361B104" w14:textId="77777777" w:rsidR="008A077A" w:rsidRDefault="008A077A" w:rsidP="00737297">
      <w:pPr>
        <w:pStyle w:val="NoSpacing"/>
        <w:spacing w:line="360" w:lineRule="auto"/>
      </w:pPr>
    </w:p>
    <w:p w14:paraId="3C9401B7" w14:textId="40A5775A" w:rsidR="00E7496A" w:rsidRPr="00CB1E87" w:rsidRDefault="009F1464" w:rsidP="00737297">
      <w:pPr>
        <w:pStyle w:val="NoSpacing"/>
        <w:spacing w:line="360" w:lineRule="auto"/>
      </w:pPr>
      <w:r>
        <w:t xml:space="preserve">Option 2 is an example of </w:t>
      </w:r>
      <w:r w:rsidR="00E7496A" w:rsidRPr="00CB1E87">
        <w:t>treatment integrated with statutory child welfare support, including parenting interventions</w:t>
      </w:r>
      <w:r w:rsidR="00E51D26">
        <w:t>,</w:t>
      </w:r>
      <w:r w:rsidR="00E7496A" w:rsidRPr="00CB1E87">
        <w:t xml:space="preserve"> typically offering a combination of treatment, child social work and legal support to extremely vulnerable families whose children have been removed from their primary caregivers or are at risk of being put into care. </w:t>
      </w:r>
      <w:r w:rsidR="00E160A5">
        <w:t xml:space="preserve">As such, they represent the most extreme cases of familial vulnerability and risk of harm associated with parental SUD. </w:t>
      </w:r>
      <w:r w:rsidR="00E7496A" w:rsidRPr="00CB1E87">
        <w:t xml:space="preserve">Outcomes </w:t>
      </w:r>
      <w:r w:rsidR="00C504D5">
        <w:t xml:space="preserve">for such programmes </w:t>
      </w:r>
      <w:r w:rsidR="00E7496A" w:rsidRPr="00CB1E87">
        <w:t xml:space="preserve">typically centre on familial reunification, no further maltreatment related to parental substance use and/or placement in a safe permanent home (‘permanency’), which may be achieved away from the familial home if it is in the best interest of the child. </w:t>
      </w:r>
    </w:p>
    <w:p w14:paraId="77C17746" w14:textId="77777777" w:rsidR="00E51D26" w:rsidRDefault="00E51D26" w:rsidP="00737297">
      <w:pPr>
        <w:pStyle w:val="NoSpacing"/>
        <w:spacing w:line="360" w:lineRule="auto"/>
      </w:pPr>
    </w:p>
    <w:p w14:paraId="0BEBE2B3" w14:textId="345B1D37" w:rsidR="00E51D26" w:rsidRDefault="00E51D26" w:rsidP="00737297">
      <w:pPr>
        <w:pStyle w:val="NoSpacing"/>
        <w:spacing w:line="360" w:lineRule="auto"/>
      </w:pPr>
      <w:r>
        <w:t xml:space="preserve">A systematic review by </w:t>
      </w:r>
      <w:r>
        <w:fldChar w:fldCharType="begin">
          <w:fldData xml:space="preserve">PEVuZE5vdGU+PENpdGUgQXV0aG9yWWVhcj0iMSI+PEF1dGhvcj5NdXJwaHk8L0F1dGhvcj48WWVh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</w:fldData>
        </w:fldChar>
      </w:r>
      <w:r w:rsidR="00B9334F">
        <w:instrText xml:space="preserve"> ADDIN EN.CITE </w:instrText>
      </w:r>
      <w:r w:rsidR="00B9334F">
        <w:fldChar w:fldCharType="begin">
          <w:fldData xml:space="preserve">PEVuZE5vdGU+PENpdGUgQXV0aG9yWWVhcj0iMSI+PEF1dGhvcj5NdXJwaHk8L0F1dGhvcj48WWVh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</w:fldData>
        </w:fldChar>
      </w:r>
      <w:r w:rsidR="00B9334F">
        <w:instrText xml:space="preserve"> ADDIN EN.CITE.DATA </w:instrText>
      </w:r>
      <w:r w:rsidR="00B9334F">
        <w:fldChar w:fldCharType="end"/>
      </w:r>
      <w:r>
        <w:fldChar w:fldCharType="separate"/>
      </w:r>
      <w:r w:rsidR="00A77498">
        <w:rPr>
          <w:noProof/>
        </w:rPr>
        <w:t>Murphy et al. (2017)</w:t>
      </w:r>
      <w:r>
        <w:fldChar w:fldCharType="end"/>
      </w:r>
      <w:r>
        <w:t xml:space="preserve"> explored the effectiveness of interventions addressing parental substance use for families involved with the statutory child welfare system</w:t>
      </w:r>
      <w:r w:rsidR="005723E1">
        <w:t>, such as Option 2 and FDACs</w:t>
      </w:r>
      <w:r>
        <w:t xml:space="preserve">. </w:t>
      </w:r>
      <w:r w:rsidR="00E1749B">
        <w:t>The authors found that a</w:t>
      </w:r>
      <w:r>
        <w:t xml:space="preserve">ll effective interventions in terms of treatment completion and family reunification, irrespective of the treatment model, provided comprehensive individually tailored support.  Another review for mothers by </w:t>
      </w:r>
      <w:r>
        <w:fldChar w:fldCharType="begin">
          <w:fldData xml:space="preserve">PEVuZE5vdGU+PENpdGUgQXV0aG9yWWVhcj0iMSI+PEF1dGhvcj5OZW88L0F1dGhvcj48WWVhcj4y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</w:fldData>
        </w:fldChar>
      </w:r>
      <w:r w:rsidR="00B9334F">
        <w:instrText xml:space="preserve"> ADDIN EN.CITE </w:instrText>
      </w:r>
      <w:r w:rsidR="00B9334F">
        <w:fldChar w:fldCharType="begin">
          <w:fldData xml:space="preserve">PEVuZE5vdGU+PENpdGUgQXV0aG9yWWVhcj0iMSI+PEF1dGhvcj5OZW88L0F1dGhvcj48WWVhcj4y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</w:fldData>
        </w:fldChar>
      </w:r>
      <w:r w:rsidR="00B9334F">
        <w:instrText xml:space="preserve"> ADDIN EN.CITE.DATA </w:instrText>
      </w:r>
      <w:r w:rsidR="00B9334F">
        <w:fldChar w:fldCharType="end"/>
      </w:r>
      <w:r>
        <w:fldChar w:fldCharType="separate"/>
      </w:r>
      <w:r w:rsidR="00A77498">
        <w:rPr>
          <w:noProof/>
        </w:rPr>
        <w:t>Neo et al. (2021)</w:t>
      </w:r>
      <w:r>
        <w:fldChar w:fldCharType="end"/>
      </w:r>
      <w:r>
        <w:t xml:space="preserve"> found few high-quality studies for inclusion. Results suggested that integrated programmes appear to produce beneficial outcomes, specifically treatment completion, reduction in maternal substance use and/or families staying together. However, more research is needed to support this finding.</w:t>
      </w:r>
    </w:p>
    <w:p w14:paraId="1FA64DC8" w14:textId="77777777" w:rsidR="005723E1" w:rsidRDefault="005723E1" w:rsidP="00737297">
      <w:pPr>
        <w:pStyle w:val="NoSpacing"/>
        <w:spacing w:line="360" w:lineRule="auto"/>
      </w:pPr>
    </w:p>
    <w:p w14:paraId="30FE2F0B" w14:textId="5EE74E2F" w:rsidR="008D596F" w:rsidRDefault="00D2448F" w:rsidP="00737297">
      <w:pPr>
        <w:pStyle w:val="NoSpacing"/>
        <w:spacing w:line="360" w:lineRule="auto"/>
      </w:pPr>
      <w:r>
        <w:t xml:space="preserve">All the available </w:t>
      </w:r>
      <w:r w:rsidR="00466B3B">
        <w:t>evidence suggests that there are several interventions aimed at supporting parents with SUD and their children</w:t>
      </w:r>
      <w:r w:rsidR="0037566B">
        <w:t xml:space="preserve">, </w:t>
      </w:r>
      <w:r w:rsidR="00C52665">
        <w:t xml:space="preserve">which can be grouped into treatment only, treatment </w:t>
      </w:r>
      <w:r w:rsidR="00545D7B">
        <w:t>plus</w:t>
      </w:r>
      <w:r w:rsidR="00B45144">
        <w:t xml:space="preserve"> a</w:t>
      </w:r>
      <w:r w:rsidR="00C52665">
        <w:t xml:space="preserve"> parenting intervention and treatment </w:t>
      </w:r>
      <w:r w:rsidR="00545D7B">
        <w:t>plus</w:t>
      </w:r>
      <w:r w:rsidR="00C52665">
        <w:t xml:space="preserve"> statutory child welfare.</w:t>
      </w:r>
      <w:r w:rsidR="00184961">
        <w:t xml:space="preserve"> </w:t>
      </w:r>
      <w:r w:rsidR="00BC50AD">
        <w:t>While some</w:t>
      </w:r>
      <w:r w:rsidR="00C01F03">
        <w:t xml:space="preserve"> </w:t>
      </w:r>
      <w:r w:rsidR="00A12906">
        <w:t xml:space="preserve">interventions </w:t>
      </w:r>
      <w:r w:rsidR="00BC50AD">
        <w:t>show promise,</w:t>
      </w:r>
      <w:r w:rsidR="00A00AF2">
        <w:t xml:space="preserve"> e.g. the Parents under Pressure</w:t>
      </w:r>
      <w:r w:rsidR="00B45144">
        <w:t>, or PuP,</w:t>
      </w:r>
      <w:r w:rsidR="00A00AF2">
        <w:t xml:space="preserve"> programme,</w:t>
      </w:r>
      <w:r w:rsidR="00BC50AD">
        <w:t xml:space="preserve"> </w:t>
      </w:r>
      <w:r w:rsidR="001E5966">
        <w:t>with</w:t>
      </w:r>
      <w:r w:rsidR="00BC50AD">
        <w:t>out</w:t>
      </w:r>
      <w:r w:rsidR="00C01F03">
        <w:t xml:space="preserve"> </w:t>
      </w:r>
      <w:r w:rsidR="008D596F" w:rsidRPr="00F74BDD">
        <w:t xml:space="preserve">government investment to </w:t>
      </w:r>
      <w:r w:rsidR="004629A0">
        <w:t>support implementation</w:t>
      </w:r>
      <w:r w:rsidR="008D596F" w:rsidRPr="00F74BDD">
        <w:t xml:space="preserve"> </w:t>
      </w:r>
      <w:r w:rsidR="00F74BDD">
        <w:t>on a large</w:t>
      </w:r>
      <w:r w:rsidR="008D596F" w:rsidRPr="00F74BDD">
        <w:t xml:space="preserve"> scale</w:t>
      </w:r>
      <w:r w:rsidR="00FD64F5">
        <w:t>,</w:t>
      </w:r>
      <w:r w:rsidR="00A12906">
        <w:t xml:space="preserve"> </w:t>
      </w:r>
      <w:r w:rsidR="00A00AF2">
        <w:t xml:space="preserve">it is unlikely they will be commissioned by English local authorities. </w:t>
      </w:r>
    </w:p>
    <w:p w14:paraId="3905C72E" w14:textId="77777777" w:rsidR="00F409C5" w:rsidRPr="00D224A1" w:rsidRDefault="00F409C5" w:rsidP="00737297">
      <w:pPr>
        <w:pStyle w:val="NoSpacing"/>
        <w:spacing w:line="360" w:lineRule="auto"/>
      </w:pPr>
    </w:p>
    <w:p w14:paraId="6593CC49" w14:textId="486B548A" w:rsidR="008F4353" w:rsidRDefault="008F4353" w:rsidP="009C3BBC">
      <w:pPr>
        <w:pStyle w:val="Heading2"/>
        <w:numPr>
          <w:ilvl w:val="1"/>
          <w:numId w:val="18"/>
        </w:numPr>
        <w:spacing w:line="360" w:lineRule="auto"/>
      </w:pPr>
      <w:bookmarkStart w:id="29" w:name="_Toc189229658"/>
      <w:r>
        <w:t>Summary</w:t>
      </w:r>
      <w:r w:rsidR="00CF5B22">
        <w:t xml:space="preserve"> of main points </w:t>
      </w:r>
      <w:r w:rsidR="00614E08">
        <w:t xml:space="preserve">raised </w:t>
      </w:r>
      <w:r w:rsidR="00CF5B22">
        <w:t>in the introduction</w:t>
      </w:r>
      <w:bookmarkEnd w:id="29"/>
    </w:p>
    <w:p w14:paraId="3B654627" w14:textId="6AAF5330" w:rsidR="00DA4B6C" w:rsidRDefault="00E01A4A" w:rsidP="00737297">
      <w:pPr>
        <w:pStyle w:val="NoSpacing"/>
        <w:spacing w:line="360" w:lineRule="auto"/>
      </w:pPr>
      <w:r>
        <w:t xml:space="preserve">SUD among parents is associated with many adverse outcomes for both parents and their children which </w:t>
      </w:r>
      <w:r w:rsidR="00B15539">
        <w:t>are</w:t>
      </w:r>
      <w:r w:rsidR="00F51002">
        <w:t xml:space="preserve"> likely to </w:t>
      </w:r>
      <w:r w:rsidR="00B15539">
        <w:t xml:space="preserve">be associated with substantial social and economic </w:t>
      </w:r>
      <w:r w:rsidR="00EF778C">
        <w:t>costs</w:t>
      </w:r>
      <w:r w:rsidR="00B15539">
        <w:t xml:space="preserve">. </w:t>
      </w:r>
      <w:r w:rsidR="00383E58">
        <w:t>P</w:t>
      </w:r>
      <w:r w:rsidR="00470EC1">
        <w:t xml:space="preserve">revalence estimates </w:t>
      </w:r>
      <w:r w:rsidR="00383E58">
        <w:t xml:space="preserve">of parents with SUD and the number of children affected </w:t>
      </w:r>
      <w:r w:rsidR="00322910">
        <w:t xml:space="preserve">in England </w:t>
      </w:r>
      <w:r w:rsidR="00470EC1">
        <w:t>exist but understanding the true scale of the problem is undermined</w:t>
      </w:r>
      <w:r w:rsidR="00383E58">
        <w:t xml:space="preserve"> by </w:t>
      </w:r>
      <w:r w:rsidR="00C92749">
        <w:t xml:space="preserve">the hidden nature of parental SUD, the lack of </w:t>
      </w:r>
      <w:r w:rsidR="0088204A">
        <w:t xml:space="preserve">comprehensive data, </w:t>
      </w:r>
      <w:r w:rsidR="00E26346">
        <w:t>and</w:t>
      </w:r>
      <w:r w:rsidR="0088204A">
        <w:t xml:space="preserve"> the failure of agencies working with children and their parents to collaborate. </w:t>
      </w:r>
      <w:r w:rsidR="00E26346">
        <w:t xml:space="preserve">The lack of </w:t>
      </w:r>
      <w:r w:rsidR="004728A5">
        <w:t xml:space="preserve">understanding of parental support needs and </w:t>
      </w:r>
      <w:r w:rsidR="00430763">
        <w:t xml:space="preserve">universal multiagency </w:t>
      </w:r>
      <w:r w:rsidR="00250048">
        <w:t>collaboration</w:t>
      </w:r>
      <w:r w:rsidR="00430763">
        <w:t xml:space="preserve"> </w:t>
      </w:r>
      <w:r w:rsidR="00250048">
        <w:t>potentially</w:t>
      </w:r>
      <w:r w:rsidR="00430763">
        <w:t xml:space="preserve"> puts children at risk and </w:t>
      </w:r>
      <w:r w:rsidR="00956D9E">
        <w:t xml:space="preserve">impedes the likelihood of parents </w:t>
      </w:r>
      <w:r w:rsidR="00250048">
        <w:t xml:space="preserve">to recover </w:t>
      </w:r>
      <w:r w:rsidR="00F26493">
        <w:t xml:space="preserve">from SUD </w:t>
      </w:r>
      <w:r w:rsidR="00250048">
        <w:t xml:space="preserve">and improve their parenting skills and </w:t>
      </w:r>
      <w:r w:rsidR="00F26493">
        <w:t xml:space="preserve">familial </w:t>
      </w:r>
      <w:r w:rsidR="00250048">
        <w:t xml:space="preserve">relationships. </w:t>
      </w:r>
      <w:r w:rsidR="009A1C35">
        <w:t xml:space="preserve">While there is no agreed international approach to addressing </w:t>
      </w:r>
      <w:r w:rsidR="00F26493">
        <w:t>parental SUD</w:t>
      </w:r>
      <w:r w:rsidR="00C33FE1">
        <w:t>, treatment, targeted prevention</w:t>
      </w:r>
      <w:r w:rsidR="008315CE">
        <w:t xml:space="preserve"> </w:t>
      </w:r>
      <w:r w:rsidR="00C33FE1">
        <w:t xml:space="preserve">and </w:t>
      </w:r>
      <w:r w:rsidR="00405821">
        <w:t xml:space="preserve">statutory </w:t>
      </w:r>
      <w:r w:rsidR="00C33FE1">
        <w:t>child wel</w:t>
      </w:r>
      <w:r w:rsidR="002C2DF3">
        <w:t>f</w:t>
      </w:r>
      <w:r w:rsidR="00C33FE1">
        <w:t xml:space="preserve">are </w:t>
      </w:r>
      <w:r w:rsidR="002C2DF3">
        <w:t xml:space="preserve">are </w:t>
      </w:r>
      <w:r w:rsidR="001A2701">
        <w:t xml:space="preserve">strategies </w:t>
      </w:r>
      <w:r w:rsidR="00CA0938">
        <w:t xml:space="preserve">available </w:t>
      </w:r>
      <w:r w:rsidR="001A2701">
        <w:t xml:space="preserve">to </w:t>
      </w:r>
      <w:r w:rsidR="00541002">
        <w:t>policy and decision-makers</w:t>
      </w:r>
      <w:r w:rsidR="00F26493">
        <w:t xml:space="preserve"> in England</w:t>
      </w:r>
      <w:r w:rsidR="001A2701">
        <w:t>.</w:t>
      </w:r>
      <w:r w:rsidR="00A51C3A">
        <w:t xml:space="preserve"> While there is </w:t>
      </w:r>
      <w:r w:rsidR="00E85864">
        <w:t xml:space="preserve">a vast evidence base supporting treatment as an effective and cost-effective approach to </w:t>
      </w:r>
      <w:r w:rsidR="006D4973">
        <w:t xml:space="preserve">SUD generally, the equivalent for </w:t>
      </w:r>
      <w:r w:rsidR="00B86B40">
        <w:t xml:space="preserve">parental SUD is lacking. </w:t>
      </w:r>
      <w:r w:rsidR="00C67935">
        <w:t xml:space="preserve">Compared with treatment alone, the evidence </w:t>
      </w:r>
      <w:r w:rsidR="003414FF">
        <w:t xml:space="preserve">does however </w:t>
      </w:r>
      <w:r w:rsidR="00C67935">
        <w:t xml:space="preserve">suggest that treatment </w:t>
      </w:r>
      <w:r w:rsidR="00545D7B">
        <w:t>plus</w:t>
      </w:r>
      <w:r w:rsidR="00236A28">
        <w:t xml:space="preserve"> a</w:t>
      </w:r>
      <w:r w:rsidR="00C67935">
        <w:t xml:space="preserve"> parenting intervention may be effective in reducing parental substance use and improving parent-infant dyads. </w:t>
      </w:r>
      <w:r w:rsidR="0044565D">
        <w:t xml:space="preserve">There have been and continue to be some high-profile interventions delivered in England for parents with SUD, backed by </w:t>
      </w:r>
      <w:r w:rsidR="00F722F5">
        <w:t xml:space="preserve">national </w:t>
      </w:r>
      <w:r w:rsidR="0044565D">
        <w:t xml:space="preserve">evaluations and </w:t>
      </w:r>
      <w:r w:rsidR="00F722F5">
        <w:t>G</w:t>
      </w:r>
      <w:r w:rsidR="0044565D">
        <w:t xml:space="preserve">overnment funding. However, the lack of </w:t>
      </w:r>
      <w:r w:rsidR="00E467FD">
        <w:t xml:space="preserve">independent and </w:t>
      </w:r>
      <w:r w:rsidR="0044565D">
        <w:t>high-quality studies is problematic.</w:t>
      </w:r>
      <w:r w:rsidR="00F32D49">
        <w:t xml:space="preserve"> </w:t>
      </w:r>
      <w:r w:rsidR="00224DB6">
        <w:t xml:space="preserve">This chapter makes clear the need for more </w:t>
      </w:r>
      <w:r w:rsidR="00A3109A">
        <w:t xml:space="preserve">evidence on </w:t>
      </w:r>
      <w:r w:rsidR="00933CEB">
        <w:t xml:space="preserve">the </w:t>
      </w:r>
      <w:r w:rsidR="002E6D29">
        <w:t xml:space="preserve">specific </w:t>
      </w:r>
      <w:r w:rsidR="00933CEB">
        <w:t xml:space="preserve">support needs of </w:t>
      </w:r>
      <w:r w:rsidR="002E6D29">
        <w:t xml:space="preserve">parents with SUD in the treatment, </w:t>
      </w:r>
      <w:r w:rsidR="00072898">
        <w:t xml:space="preserve">as well as </w:t>
      </w:r>
      <w:r w:rsidR="00224DB6">
        <w:t>effective</w:t>
      </w:r>
      <w:r w:rsidR="00E467FD">
        <w:t>ness</w:t>
      </w:r>
      <w:r w:rsidR="00224DB6">
        <w:t xml:space="preserve"> and cost-effective</w:t>
      </w:r>
      <w:r w:rsidR="00D7785E">
        <w:t>ness</w:t>
      </w:r>
      <w:r w:rsidR="00224DB6">
        <w:t xml:space="preserve"> research on interventions for parents with SUD, especially in the English context. </w:t>
      </w:r>
    </w:p>
    <w:p w14:paraId="16732E48" w14:textId="77777777" w:rsidR="00E4222B" w:rsidRDefault="00E4222B" w:rsidP="00737297">
      <w:pPr>
        <w:pStyle w:val="NoSpacing"/>
        <w:spacing w:line="360" w:lineRule="auto"/>
      </w:pPr>
    </w:p>
    <w:p w14:paraId="041A8CDE" w14:textId="656B52FB" w:rsidR="00E05A8C" w:rsidRDefault="00E05A8C" w:rsidP="009C3BBC">
      <w:pPr>
        <w:pStyle w:val="Heading2"/>
        <w:numPr>
          <w:ilvl w:val="1"/>
          <w:numId w:val="18"/>
        </w:numPr>
        <w:spacing w:line="360" w:lineRule="auto"/>
      </w:pPr>
      <w:bookmarkStart w:id="30" w:name="_Toc189229659"/>
      <w:r>
        <w:t>Thesis research questions and aims</w:t>
      </w:r>
      <w:bookmarkEnd w:id="30"/>
    </w:p>
    <w:p w14:paraId="4232712F" w14:textId="4C4130AB" w:rsidR="0051179D" w:rsidRDefault="0051179D" w:rsidP="00737297">
      <w:pPr>
        <w:pStyle w:val="NoSpacing"/>
        <w:spacing w:line="360" w:lineRule="auto"/>
      </w:pPr>
      <w:r>
        <w:t>I hypothesised that parental characteristics (e.g. their sex, whether a parent lives with their child or not, the type of substance they used) would affect the type of intervention to which they would be assigned, and that outcomes would differ by parental characteristics and intervention type. Thus, the following research questions using the NDTMS were explored:</w:t>
      </w:r>
    </w:p>
    <w:p w14:paraId="242D00C0" w14:textId="77777777" w:rsidR="0051179D" w:rsidRPr="00D66C51" w:rsidRDefault="0051179D" w:rsidP="009C3BBC">
      <w:pPr>
        <w:pStyle w:val="NoSpacing"/>
        <w:numPr>
          <w:ilvl w:val="0"/>
          <w:numId w:val="22"/>
        </w:numPr>
        <w:spacing w:line="360" w:lineRule="auto"/>
        <w:rPr>
          <w:rFonts w:cstheme="minorBidi"/>
        </w:rPr>
      </w:pPr>
      <w:r>
        <w:t>Do patient characteristics affect the types of interventions parents/ carer with SUD receive and/or their outcomes?</w:t>
      </w:r>
    </w:p>
    <w:p w14:paraId="6D829612" w14:textId="0F9C952E" w:rsidR="0051179D" w:rsidRDefault="0051179D" w:rsidP="009C3BBC">
      <w:pPr>
        <w:pStyle w:val="NoSpacing"/>
        <w:numPr>
          <w:ilvl w:val="0"/>
          <w:numId w:val="22"/>
        </w:numPr>
        <w:spacing w:line="360" w:lineRule="auto"/>
      </w:pPr>
      <w:r>
        <w:lastRenderedPageBreak/>
        <w:t xml:space="preserve">Is treatment </w:t>
      </w:r>
      <w:r w:rsidR="00157044">
        <w:t xml:space="preserve">plus statutory </w:t>
      </w:r>
      <w:r>
        <w:t>child welfare support a more effective</w:t>
      </w:r>
      <w:r w:rsidR="00DB42A6">
        <w:t xml:space="preserve"> </w:t>
      </w:r>
      <w:r>
        <w:t>option than treatment alone for parents/ carers with SUD?</w:t>
      </w:r>
    </w:p>
    <w:p w14:paraId="682AF2C8" w14:textId="5FE8214A" w:rsidR="00DB42A6" w:rsidRDefault="00DB42A6" w:rsidP="009C3BBC">
      <w:pPr>
        <w:pStyle w:val="NoSpacing"/>
        <w:numPr>
          <w:ilvl w:val="0"/>
          <w:numId w:val="22"/>
        </w:numPr>
        <w:spacing w:line="360" w:lineRule="auto"/>
      </w:pPr>
      <w:r>
        <w:t xml:space="preserve">Is treatment </w:t>
      </w:r>
      <w:r w:rsidR="00157044">
        <w:t xml:space="preserve">plus statutory </w:t>
      </w:r>
      <w:r>
        <w:t>child welfare support a more cost-effective option than treatment alone for parents/ carers with SUD</w:t>
      </w:r>
      <w:r w:rsidR="00727D8F">
        <w:t>?</w:t>
      </w:r>
    </w:p>
    <w:p w14:paraId="4158E960" w14:textId="77777777" w:rsidR="00614E08" w:rsidRDefault="00614E08" w:rsidP="00DD12E4">
      <w:pPr>
        <w:pStyle w:val="NoSpacing"/>
        <w:spacing w:line="240" w:lineRule="auto"/>
      </w:pPr>
    </w:p>
    <w:p w14:paraId="0AFDE2C4" w14:textId="77777777" w:rsidR="00614E08" w:rsidRDefault="00614E08" w:rsidP="00737297">
      <w:pPr>
        <w:pStyle w:val="NoSpacing"/>
        <w:spacing w:line="360" w:lineRule="auto"/>
      </w:pPr>
      <w:r>
        <w:t xml:space="preserve">It is hoped that the results and learning from this thesis will: </w:t>
      </w:r>
    </w:p>
    <w:p w14:paraId="48F13957" w14:textId="77777777" w:rsidR="00614E08" w:rsidRDefault="00614E08" w:rsidP="00737297">
      <w:pPr>
        <w:pStyle w:val="NoSpacing"/>
        <w:numPr>
          <w:ilvl w:val="0"/>
          <w:numId w:val="2"/>
        </w:numPr>
        <w:spacing w:line="360" w:lineRule="auto"/>
      </w:pPr>
      <w:r>
        <w:t>add to the limited evidence base and provide researchers with replicable descriptive, effectiveness and cost-effectiveness techniques which could be adopted and adapted in various geographical contexts,</w:t>
      </w:r>
    </w:p>
    <w:p w14:paraId="6931AB06" w14:textId="19D27843" w:rsidR="00614E08" w:rsidRDefault="00614E08" w:rsidP="00737297">
      <w:pPr>
        <w:pStyle w:val="NoSpacing"/>
        <w:numPr>
          <w:ilvl w:val="0"/>
          <w:numId w:val="2"/>
        </w:numPr>
        <w:spacing w:line="360" w:lineRule="auto"/>
      </w:pPr>
      <w:r>
        <w:t>provide policymakers</w:t>
      </w:r>
      <w:r w:rsidR="006B4652">
        <w:t>, decision-makers</w:t>
      </w:r>
      <w:r>
        <w:t xml:space="preserve"> and practitioners with recommendations on how best to support </w:t>
      </w:r>
      <w:r w:rsidR="00D411F2">
        <w:t xml:space="preserve">parents with SUD </w:t>
      </w:r>
      <w:r>
        <w:t>in increasingly financially constrained times,</w:t>
      </w:r>
    </w:p>
    <w:p w14:paraId="317AFF04" w14:textId="77777777" w:rsidR="00614E08" w:rsidRDefault="00614E08" w:rsidP="00737297">
      <w:pPr>
        <w:pStyle w:val="NoSpacing"/>
        <w:numPr>
          <w:ilvl w:val="0"/>
          <w:numId w:val="2"/>
        </w:numPr>
        <w:spacing w:line="360" w:lineRule="auto"/>
      </w:pPr>
      <w:r>
        <w:t>make a positive difference to the lives of the most vulnerable families in society.</w:t>
      </w:r>
    </w:p>
    <w:p w14:paraId="28324F89" w14:textId="77777777" w:rsidR="00614E08" w:rsidRPr="004E1CDE" w:rsidRDefault="00614E08" w:rsidP="00BA1D2C">
      <w:pPr>
        <w:pStyle w:val="NoSpacing"/>
        <w:sectPr w:rsidR="00614E08" w:rsidRPr="004E1CDE" w:rsidSect="00D0792B">
          <w:footerReference w:type="default" r:id="rId16"/>
          <w:pgSz w:w="11906" w:h="16838"/>
          <w:pgMar w:top="1440" w:right="1440" w:bottom="1440" w:left="1440" w:header="709" w:footer="709" w:gutter="0"/>
          <w:cols w:space="708"/>
          <w:docGrid w:linePitch="360"/>
        </w:sectPr>
      </w:pPr>
    </w:p>
    <w:p w14:paraId="1A9B4A3C" w14:textId="7AD27CF9" w:rsidR="009101A0" w:rsidRDefault="00AB0B20" w:rsidP="00836E70">
      <w:pPr>
        <w:pStyle w:val="Heading1"/>
      </w:pPr>
      <w:bookmarkStart w:id="31" w:name="_Toc189229660"/>
      <w:r>
        <w:lastRenderedPageBreak/>
        <w:t>Methods</w:t>
      </w:r>
      <w:bookmarkEnd w:id="31"/>
    </w:p>
    <w:p w14:paraId="124DB61D" w14:textId="77777777" w:rsidR="00F45261" w:rsidRPr="00F45261" w:rsidRDefault="00F45261" w:rsidP="00F45261">
      <w:pPr>
        <w:pStyle w:val="NoSpacing"/>
      </w:pPr>
    </w:p>
    <w:p w14:paraId="6CB784BB" w14:textId="05FC6480" w:rsidR="0001590F" w:rsidRPr="00D06F68" w:rsidRDefault="6D588485" w:rsidP="06CFF086">
      <w:pPr>
        <w:pStyle w:val="NoSpacing"/>
        <w:spacing w:line="360" w:lineRule="auto"/>
      </w:pPr>
      <w:r w:rsidRPr="00D06F68">
        <w:t xml:space="preserve">This Chapter provides context for the genesis of this work, discusses its evolution over </w:t>
      </w:r>
      <w:r w:rsidR="00522171">
        <w:t>seven</w:t>
      </w:r>
      <w:r w:rsidRPr="00D06F68">
        <w:t xml:space="preserve"> years (including before, during and after the COVID-19 pandemic), and summarises the methodology used in the three interconnected quantitative analyses studies submitted for</w:t>
      </w:r>
      <w:r w:rsidR="00750028">
        <w:t>, or due to be submitted for,</w:t>
      </w:r>
      <w:r w:rsidRPr="00D06F68">
        <w:t xml:space="preserve"> publication (chapters 3-5).</w:t>
      </w:r>
    </w:p>
    <w:p w14:paraId="494B3D1D" w14:textId="129F3DA2" w:rsidR="0001590F" w:rsidRPr="0001590F" w:rsidRDefault="0001590F" w:rsidP="0001590F">
      <w:pPr>
        <w:pStyle w:val="NoSpacing"/>
      </w:pPr>
    </w:p>
    <w:p w14:paraId="2007E33B" w14:textId="6325D9D2" w:rsidR="0001590F" w:rsidRDefault="0001590F" w:rsidP="00511E7D">
      <w:pPr>
        <w:pStyle w:val="Heading2"/>
        <w:numPr>
          <w:ilvl w:val="1"/>
          <w:numId w:val="19"/>
        </w:numPr>
        <w:spacing w:after="240"/>
      </w:pPr>
      <w:bookmarkStart w:id="32" w:name="_Toc189229661"/>
      <w:r>
        <w:t>Background and context to the methods chosen for this thesis</w:t>
      </w:r>
      <w:bookmarkEnd w:id="32"/>
    </w:p>
    <w:p w14:paraId="158D5B33" w14:textId="77777777" w:rsidR="00E97752" w:rsidRDefault="00C10103" w:rsidP="000D1346">
      <w:pPr>
        <w:pStyle w:val="NoSpacing"/>
        <w:spacing w:line="360" w:lineRule="auto"/>
      </w:pPr>
      <w:r w:rsidRPr="00C10103">
        <w:t xml:space="preserve">I have worked in the public sector </w:t>
      </w:r>
      <w:r w:rsidR="000B7D21">
        <w:t>for</w:t>
      </w:r>
      <w:r w:rsidRPr="00C10103">
        <w:t xml:space="preserve"> </w:t>
      </w:r>
      <w:r w:rsidR="00042AD4">
        <w:t xml:space="preserve">almost </w:t>
      </w:r>
      <w:r w:rsidR="000B7D21">
        <w:t>20</w:t>
      </w:r>
      <w:r w:rsidRPr="00C10103">
        <w:t xml:space="preserve"> years, specialising </w:t>
      </w:r>
      <w:r w:rsidR="00C9727E">
        <w:t xml:space="preserve">in applying evidence to </w:t>
      </w:r>
      <w:r w:rsidR="005E4A0F">
        <w:t>inform local and national government alcohol and drug treatment decisi</w:t>
      </w:r>
      <w:r w:rsidR="00DB48D7">
        <w:t>ons</w:t>
      </w:r>
      <w:r w:rsidR="71F43F97">
        <w:t xml:space="preserve">.  </w:t>
      </w:r>
      <w:r w:rsidR="6D063AAE">
        <w:t>S</w:t>
      </w:r>
      <w:r w:rsidR="00296E66">
        <w:t>ince</w:t>
      </w:r>
      <w:r w:rsidR="006A4C5A">
        <w:t xml:space="preserve"> January 2020</w:t>
      </w:r>
      <w:r w:rsidR="00E9784B">
        <w:t>,</w:t>
      </w:r>
      <w:r w:rsidR="00296E66">
        <w:t xml:space="preserve"> </w:t>
      </w:r>
      <w:r w:rsidR="5C1C9DBB">
        <w:t xml:space="preserve">my role has focussed on </w:t>
      </w:r>
      <w:r w:rsidR="006A4C5A">
        <w:t>evidence</w:t>
      </w:r>
      <w:r w:rsidR="00E9784B">
        <w:t xml:space="preserve">, treatment </w:t>
      </w:r>
      <w:r w:rsidR="00E9784B" w:rsidRPr="00653FCC">
        <w:t>delivery</w:t>
      </w:r>
      <w:r w:rsidR="006A4C5A" w:rsidRPr="00653FCC">
        <w:t xml:space="preserve"> and policy for </w:t>
      </w:r>
      <w:r w:rsidR="00A06B0F" w:rsidRPr="00653FCC">
        <w:t>parents/</w:t>
      </w:r>
      <w:r w:rsidR="006A4C5A" w:rsidRPr="00653FCC">
        <w:t xml:space="preserve"> children and young people </w:t>
      </w:r>
      <w:r w:rsidR="00A06B0F" w:rsidRPr="00653FCC">
        <w:t>with alcohol and drug problems</w:t>
      </w:r>
      <w:r w:rsidR="00CA2A48">
        <w:t xml:space="preserve"> within the Office for Health Improvement and Disparities (OHID), part of the Department of Health and Social Care</w:t>
      </w:r>
      <w:r w:rsidR="00DB48D7" w:rsidRPr="00653FCC">
        <w:t xml:space="preserve">. </w:t>
      </w:r>
    </w:p>
    <w:p w14:paraId="2597ECEC" w14:textId="77777777" w:rsidR="00E97752" w:rsidRDefault="00E97752" w:rsidP="000D1346">
      <w:pPr>
        <w:pStyle w:val="NoSpacing"/>
        <w:spacing w:line="360" w:lineRule="auto"/>
      </w:pPr>
    </w:p>
    <w:p w14:paraId="5FC6720B" w14:textId="3AF0A9B9" w:rsidR="00C1322D" w:rsidRDefault="00E9784B" w:rsidP="000D1346">
      <w:pPr>
        <w:pStyle w:val="NoSpacing"/>
        <w:spacing w:line="360" w:lineRule="auto"/>
      </w:pPr>
      <w:r w:rsidRPr="00653FCC">
        <w:t xml:space="preserve">While </w:t>
      </w:r>
      <w:r w:rsidR="00AF2C78" w:rsidRPr="00653FCC">
        <w:t xml:space="preserve">working in the Value for Money team for the National Treatment Agency for Substance Misuse </w:t>
      </w:r>
      <w:r w:rsidR="004228AC" w:rsidRPr="00653FCC">
        <w:t xml:space="preserve">in England </w:t>
      </w:r>
      <w:r w:rsidR="00451EE7" w:rsidRPr="00653FCC">
        <w:t xml:space="preserve">between 2010 and 2013, then </w:t>
      </w:r>
      <w:r w:rsidRPr="00653FCC">
        <w:t>leading</w:t>
      </w:r>
      <w:r w:rsidR="00DB48D7" w:rsidRPr="00653FCC">
        <w:t xml:space="preserve"> Public Health England’s </w:t>
      </w:r>
      <w:r w:rsidR="004A589D">
        <w:t xml:space="preserve">(PHE) </w:t>
      </w:r>
      <w:r w:rsidR="00CD4EA9" w:rsidRPr="00653FCC">
        <w:t>Alcohol</w:t>
      </w:r>
      <w:r w:rsidR="00546A09" w:rsidRPr="00653FCC">
        <w:t xml:space="preserve">, </w:t>
      </w:r>
      <w:r w:rsidR="00CD4EA9" w:rsidRPr="00653FCC">
        <w:t xml:space="preserve">Drugs </w:t>
      </w:r>
      <w:r w:rsidR="00546A09" w:rsidRPr="00653FCC">
        <w:t xml:space="preserve">and Tobacco </w:t>
      </w:r>
      <w:r w:rsidR="00CD4EA9" w:rsidRPr="00653FCC">
        <w:t>Directorate</w:t>
      </w:r>
      <w:r w:rsidR="00322BB2" w:rsidRPr="00653FCC">
        <w:t>’s</w:t>
      </w:r>
      <w:r w:rsidR="00546A09" w:rsidRPr="00653FCC">
        <w:t xml:space="preserve"> Value for Money programme</w:t>
      </w:r>
      <w:r w:rsidRPr="00653FCC">
        <w:t xml:space="preserve"> </w:t>
      </w:r>
      <w:r w:rsidR="00451EE7" w:rsidRPr="00653FCC">
        <w:t>until</w:t>
      </w:r>
      <w:r w:rsidRPr="00653FCC">
        <w:t xml:space="preserve"> </w:t>
      </w:r>
      <w:r w:rsidR="00653FCC" w:rsidRPr="00653FCC">
        <w:t>2019</w:t>
      </w:r>
      <w:r w:rsidRPr="00653FCC">
        <w:t>,</w:t>
      </w:r>
      <w:r w:rsidR="00546A09" w:rsidRPr="00653FCC">
        <w:t xml:space="preserve"> </w:t>
      </w:r>
      <w:r w:rsidR="004228AC" w:rsidRPr="00653FCC">
        <w:t xml:space="preserve">I </w:t>
      </w:r>
      <w:r w:rsidR="00AE743E" w:rsidRPr="00653FCC">
        <w:t>develop</w:t>
      </w:r>
      <w:r w:rsidR="004228AC" w:rsidRPr="00653FCC">
        <w:t>ed</w:t>
      </w:r>
      <w:r w:rsidR="00AE743E" w:rsidRPr="00653FCC">
        <w:t xml:space="preserve"> </w:t>
      </w:r>
      <w:r w:rsidR="00506A16" w:rsidRPr="00653FCC">
        <w:t xml:space="preserve">economic </w:t>
      </w:r>
      <w:r w:rsidR="00AE743E" w:rsidRPr="00653FCC">
        <w:t xml:space="preserve">methods </w:t>
      </w:r>
      <w:r w:rsidR="00124B35" w:rsidRPr="00653FCC">
        <w:t xml:space="preserve">to </w:t>
      </w:r>
      <w:r w:rsidR="00D301FB">
        <w:t>estimate the social and economic benefits associated with</w:t>
      </w:r>
      <w:r w:rsidR="00037AE7" w:rsidRPr="00653FCC">
        <w:t xml:space="preserve"> </w:t>
      </w:r>
      <w:r w:rsidR="00124B35" w:rsidRPr="00653FCC">
        <w:t>alcohol and drug treatment</w:t>
      </w:r>
      <w:r w:rsidR="004228AC" w:rsidRPr="00653FCC">
        <w:t>.</w:t>
      </w:r>
      <w:r w:rsidR="00037AE7" w:rsidRPr="00653FCC">
        <w:t xml:space="preserve"> </w:t>
      </w:r>
      <w:r w:rsidR="004228AC" w:rsidRPr="00653FCC">
        <w:t>W</w:t>
      </w:r>
      <w:r w:rsidR="00037AE7" w:rsidRPr="00653FCC">
        <w:t xml:space="preserve">e </w:t>
      </w:r>
      <w:r w:rsidR="00037AE7">
        <w:t xml:space="preserve">were able to </w:t>
      </w:r>
      <w:r w:rsidR="00BF37FE">
        <w:t>match</w:t>
      </w:r>
      <w:r w:rsidR="00A47288">
        <w:t xml:space="preserve"> the National Drug [and alcohol] Treatment </w:t>
      </w:r>
      <w:r w:rsidR="005E6EA6">
        <w:t>Monitoring</w:t>
      </w:r>
      <w:r w:rsidR="00A47288">
        <w:t xml:space="preserve"> System (NDTMS) which we owned</w:t>
      </w:r>
      <w:r w:rsidR="005E6EA6">
        <w:t>,</w:t>
      </w:r>
      <w:r w:rsidR="00BF37FE">
        <w:t xml:space="preserve"> with other national datasets such as </w:t>
      </w:r>
      <w:r w:rsidR="005E6EA6">
        <w:t xml:space="preserve">the Police National Computer and </w:t>
      </w:r>
      <w:r w:rsidR="00BF37FE">
        <w:t xml:space="preserve">Hospital Episode Statistics, as well as </w:t>
      </w:r>
      <w:r w:rsidR="005A10F2">
        <w:t>us</w:t>
      </w:r>
      <w:r w:rsidR="00546EA8">
        <w:t>e</w:t>
      </w:r>
      <w:r w:rsidR="005A10F2">
        <w:t xml:space="preserve"> </w:t>
      </w:r>
      <w:r w:rsidR="00BF37FE">
        <w:t>published</w:t>
      </w:r>
      <w:r w:rsidR="003015D0">
        <w:t xml:space="preserve"> scientific evidence</w:t>
      </w:r>
      <w:r w:rsidR="005A10F2">
        <w:t>,</w:t>
      </w:r>
      <w:r w:rsidR="003015D0">
        <w:t xml:space="preserve"> to </w:t>
      </w:r>
      <w:r w:rsidR="003E2BCC">
        <w:t>demonstrate that</w:t>
      </w:r>
      <w:r w:rsidR="009D6046">
        <w:t xml:space="preserve"> </w:t>
      </w:r>
      <w:r w:rsidR="00033F4E">
        <w:t xml:space="preserve">on average, </w:t>
      </w:r>
      <w:r w:rsidR="009C29ED">
        <w:t xml:space="preserve">treatment provides a social and economic benefit, because </w:t>
      </w:r>
      <w:r w:rsidR="009D6046">
        <w:t xml:space="preserve">once in treatment, people with SUD </w:t>
      </w:r>
      <w:r w:rsidR="005E1738">
        <w:t>commit fewer crimes and improve their health</w:t>
      </w:r>
      <w:r w:rsidR="00CB645E">
        <w:t xml:space="preserve"> </w:t>
      </w:r>
      <w:r w:rsidR="00CB645E">
        <w:fldChar w:fldCharType="begin"/>
      </w:r>
      <w:r w:rsidR="00B9334F">
        <w:instrText xml:space="preserve"> ADDIN EN.CITE &lt;EndNote&gt;&lt;Cite&gt;&lt;Author&gt;Musto Wright&lt;/Author&gt;&lt;Year&gt;2018&lt;/Year&gt;&lt;RecNum&gt;321&lt;/RecNum&gt;&lt;DisplayText&gt;(Musto Wright, 2018)&lt;/DisplayText&gt;&lt;record&gt;&lt;rec-number&gt;321&lt;/rec-number&gt;&lt;foreign-keys&gt;&lt;key app="EN" db-id="ffzvr5fstavwxoe9v04xf0wmp5t50as52da0" timestamp="1731671658" guid="1c9bacc7-65e2-4db4-83f5-d17cf8115bef"&gt;321&lt;/key&gt;&lt;/foreign-keys&gt;&lt;ref-type name="Online Database"&gt;45&lt;/ref-type&gt;&lt;contributors&gt;&lt;authors&gt;&lt;author&gt;Musto Wright, V.&lt;/author&gt;&lt;/authors&gt;&lt;/contributors&gt;&lt;titles&gt;&lt;title&gt;The 2016-17 Social Return on Investment (SROI) of Adult Alcohol and Drug Interventions&lt;/title&gt;&lt;/titles&gt;&lt;dates&gt;&lt;year&gt;2018&lt;/year&gt;&lt;pub-dates&gt;&lt;date&gt;26/08/2024&lt;/date&gt;&lt;/pub-dates&gt;&lt;/dates&gt;&lt;pub-location&gt;www.ndtms.net&lt;/pub-location&gt;&lt;publisher&gt;Public Health England&lt;/publisher&gt;&lt;urls&gt;&lt;related-urls&gt;&lt;url&gt;https://www.ndtms.net/VFM&lt;/url&gt;&lt;/related-urls&gt;&lt;/urls&gt;&lt;/record&gt;&lt;/Cite&gt;&lt;/EndNote&gt;</w:instrText>
      </w:r>
      <w:r w:rsidR="00CB645E">
        <w:fldChar w:fldCharType="separate"/>
      </w:r>
      <w:r w:rsidR="00A77498">
        <w:rPr>
          <w:noProof/>
        </w:rPr>
        <w:t>(Musto Wright, 2018)</w:t>
      </w:r>
      <w:r w:rsidR="00CB645E">
        <w:fldChar w:fldCharType="end"/>
      </w:r>
      <w:r w:rsidR="00D934AB">
        <w:t xml:space="preserve">. </w:t>
      </w:r>
      <w:r w:rsidR="00AF2C78">
        <w:t>This meant that in discussions with H</w:t>
      </w:r>
      <w:r w:rsidR="00E049FA">
        <w:t>M</w:t>
      </w:r>
      <w:r w:rsidR="00AF2C78">
        <w:t xml:space="preserve"> Treasury, we were </w:t>
      </w:r>
      <w:r w:rsidR="00562C55">
        <w:t xml:space="preserve">in a strong position to make the case for </w:t>
      </w:r>
      <w:r w:rsidR="00E049FA">
        <w:t xml:space="preserve">investment in alcohol and drug treatment. </w:t>
      </w:r>
    </w:p>
    <w:p w14:paraId="6B5AF033" w14:textId="77777777" w:rsidR="003652E3" w:rsidRDefault="003652E3" w:rsidP="000D1346">
      <w:pPr>
        <w:pStyle w:val="NoSpacing"/>
        <w:spacing w:line="360" w:lineRule="auto"/>
      </w:pPr>
    </w:p>
    <w:p w14:paraId="47D42B61" w14:textId="521486D9" w:rsidR="00D24F44" w:rsidRPr="006E1843" w:rsidRDefault="0075321F" w:rsidP="00D24F44">
      <w:pPr>
        <w:pStyle w:val="NoSpacing"/>
        <w:spacing w:line="360" w:lineRule="auto"/>
      </w:pPr>
      <w:r>
        <w:t>During this time, t</w:t>
      </w:r>
      <w:r w:rsidR="00C1322D" w:rsidRPr="006E1843">
        <w:t>he implementation of the Health and Social Care Act (2012) in April 2013 led to a complete reorganisation of the N</w:t>
      </w:r>
      <w:r w:rsidR="00AE2F34">
        <w:t xml:space="preserve">ational </w:t>
      </w:r>
      <w:r w:rsidR="00C1322D" w:rsidRPr="006E1843">
        <w:t>H</w:t>
      </w:r>
      <w:r w:rsidR="00AE2F34">
        <w:t xml:space="preserve">ealth </w:t>
      </w:r>
      <w:r w:rsidR="00C1322D" w:rsidRPr="006E1843">
        <w:t>S</w:t>
      </w:r>
      <w:r w:rsidR="00AE2F34">
        <w:t>ervice (NHS)</w:t>
      </w:r>
      <w:r w:rsidR="00C1322D" w:rsidRPr="006E1843">
        <w:t xml:space="preserve"> in </w:t>
      </w:r>
      <w:r w:rsidR="00C1322D" w:rsidRPr="006E1843">
        <w:lastRenderedPageBreak/>
        <w:t xml:space="preserve">England, significantly changing public service delivery and commissioning. The responsibility of commissioning </w:t>
      </w:r>
      <w:r w:rsidR="009C29ED">
        <w:t>alcohol and drug treatment</w:t>
      </w:r>
      <w:r w:rsidR="00C1322D" w:rsidRPr="006E1843">
        <w:t xml:space="preserve">, and other public health services moved from the NHS to local authorities. </w:t>
      </w:r>
      <w:r w:rsidR="00D24F44">
        <w:t>This meant that from April 2013, based on an agreement</w:t>
      </w:r>
      <w:r w:rsidR="00511E7D">
        <w:t xml:space="preserve"> </w:t>
      </w:r>
      <w:r w:rsidR="00D24F44">
        <w:t>with H</w:t>
      </w:r>
      <w:r w:rsidR="00275F6E">
        <w:t xml:space="preserve">er </w:t>
      </w:r>
      <w:r w:rsidR="00D24F44">
        <w:t>M</w:t>
      </w:r>
      <w:r w:rsidR="00275F6E">
        <w:t>ajesty’s (HM)</w:t>
      </w:r>
      <w:r w:rsidR="00D24F44">
        <w:t xml:space="preserve"> Treasury, the money allocated to local authorities to spend on treatment became part of a much wider public health grant. The treatment component was not ring-fenced and thus areas could decide to use the money for other public health interventions, such as those to prevent obesity or diabetes, if these were assessed locally as being more pressing. L</w:t>
      </w:r>
      <w:r w:rsidR="00D24F44" w:rsidRPr="006E1843">
        <w:t xml:space="preserve">ocal authorities </w:t>
      </w:r>
      <w:r w:rsidR="00D24F44">
        <w:t>were</w:t>
      </w:r>
      <w:r w:rsidR="00D24F44" w:rsidRPr="006E1843">
        <w:t xml:space="preserve"> managing competing priorities, political imperatives, increased demands and stakeholder relationships </w:t>
      </w:r>
      <w:r w:rsidR="00D24F44" w:rsidRPr="006E1843">
        <w:fldChar w:fldCharType="begin"/>
      </w:r>
      <w:r w:rsidR="00B9334F">
        <w:instrText xml:space="preserve"> ADDIN EN.CITE &lt;EndNote&gt;&lt;Cite&gt;&lt;Author&gt;Wye&lt;/Author&gt;&lt;Year&gt;2015&lt;/Year&gt;&lt;RecNum&gt;109&lt;/RecNum&gt;&lt;DisplayText&gt;(Wye et al., 2015)&lt;/DisplayText&gt;&lt;record&gt;&lt;rec-number&gt;109&lt;/rec-number&gt;&lt;foreign-keys&gt;&lt;key app="EN" db-id="ffzvr5fstavwxoe9v04xf0wmp5t50as52da0" timestamp="1731671642" guid="9bcf54ee-ee92-4fdf-89bb-0eb3fd27553a"&gt;109&lt;/key&gt;&lt;/foreign-keys&gt;&lt;ref-type name="Journal Article"&gt;17&lt;/ref-type&gt;&lt;contributors&gt;&lt;authors&gt;&lt;author&gt;Wye, Lesley&lt;/author&gt;&lt;author&gt;Brangan, Emer&lt;/author&gt;&lt;author&gt;Cameron, Ailsa&lt;/author&gt;&lt;author&gt;Gabbay, John&lt;/author&gt;&lt;author&gt;Klein, Jonathan H.&lt;/author&gt;&lt;author&gt;Pope, Catherine&lt;/author&gt;&lt;/authors&gt;&lt;/contributors&gt;&lt;titles&gt;&lt;title&gt;Evidence based policy making and the ‘art’ of commissioning – how English healthcare commissioners access and use information and academic research in ‘real life’ decision-making: an empirical qualitative study&lt;/title&gt;&lt;secondary-title&gt;BMC Health Services Research&lt;/secondary-title&gt;&lt;/titles&gt;&lt;periodical&gt;&lt;full-title&gt;BMC Health Services Research&lt;/full-title&gt;&lt;/periodical&gt;&lt;pages&gt;430&lt;/pages&gt;&lt;volume&gt;15&lt;/volume&gt;&lt;number&gt;1&lt;/number&gt;&lt;dates&gt;&lt;year&gt;2015&lt;/year&gt;&lt;pub-dates&gt;&lt;date&gt;September 29&lt;/date&gt;&lt;/pub-dates&gt;&lt;/dates&gt;&lt;isbn&gt;1472-6963&lt;/isbn&gt;&lt;label&gt;Wye2015&lt;/label&gt;&lt;work-type&gt;journal article&lt;/work-type&gt;&lt;urls&gt;&lt;related-urls&gt;&lt;url&gt;https://doi.org/10.1186/s12913-015-1091-x&lt;/url&gt;&lt;/related-urls&gt;&lt;/urls&gt;&lt;electronic-resource-num&gt;10.1186/s12913-015-1091-x&lt;/electronic-resource-num&gt;&lt;/record&gt;&lt;/Cite&gt;&lt;/EndNote&gt;</w:instrText>
      </w:r>
      <w:r w:rsidR="00D24F44" w:rsidRPr="006E1843">
        <w:fldChar w:fldCharType="separate"/>
      </w:r>
      <w:r w:rsidR="00A77498">
        <w:rPr>
          <w:noProof/>
        </w:rPr>
        <w:t>(Wye et al., 2015)</w:t>
      </w:r>
      <w:r w:rsidR="00D24F44" w:rsidRPr="006E1843">
        <w:fldChar w:fldCharType="end"/>
      </w:r>
      <w:r w:rsidR="00D24F44" w:rsidRPr="006E1843">
        <w:t xml:space="preserve"> while facing ever tightening budgets </w:t>
      </w:r>
      <w:r w:rsidR="00D34B5E">
        <w:fldChar w:fldCharType="begin"/>
      </w:r>
      <w:r w:rsidR="00B9334F">
        <w:instrText xml:space="preserve"> ADDIN EN.CITE &lt;EndNote&gt;&lt;Cite&gt;&lt;Author&gt;Black&lt;/Author&gt;&lt;Year&gt;2021&lt;/Year&gt;&lt;RecNum&gt;353&lt;/RecNum&gt;&lt;DisplayText&gt;(Black, 2021)&lt;/DisplayText&gt;&lt;record&gt;&lt;rec-number&gt;353&lt;/rec-number&gt;&lt;foreign-keys&gt;&lt;key app="EN" db-id="ffzvr5fstavwxoe9v04xf0wmp5t50as52da0" timestamp="1731671662" guid="a47f939a-b603-4d74-9173-ed7cd25d7cc4"&gt;353&lt;/key&gt;&lt;/foreign-keys&gt;&lt;ref-type name="Government Document"&gt;46&lt;/ref-type&gt;&lt;contributors&gt;&lt;authors&gt;&lt;author&gt;Carol Black&lt;/author&gt;&lt;/authors&gt;&lt;/contributors&gt;&lt;titles&gt;&lt;title&gt;Review of drugs part two: prevention, treatment, and recovery&lt;/title&gt;&lt;/titles&gt;&lt;dates&gt;&lt;year&gt;2021&lt;/year&gt;&lt;/dates&gt;&lt;publisher&gt;Department of Health and Social Care&lt;/publisher&gt;&lt;urls&gt;&lt;related-urls&gt;&lt;url&gt;https://www.gov.uk/government/publications/review-of-drugs-phase-two-report&lt;/url&gt;&lt;/related-urls&gt;&lt;/urls&gt;&lt;access-date&gt;02/09/2024&lt;/access-date&gt;&lt;/record&gt;&lt;/Cite&gt;&lt;/EndNote&gt;</w:instrText>
      </w:r>
      <w:r w:rsidR="00D34B5E">
        <w:fldChar w:fldCharType="separate"/>
      </w:r>
      <w:r w:rsidR="00A77498">
        <w:rPr>
          <w:noProof/>
        </w:rPr>
        <w:t>(Black, 2021)</w:t>
      </w:r>
      <w:r w:rsidR="00D34B5E">
        <w:fldChar w:fldCharType="end"/>
      </w:r>
      <w:r w:rsidR="00D34B5E">
        <w:t xml:space="preserve"> </w:t>
      </w:r>
      <w:r w:rsidR="00D24F44" w:rsidRPr="006E1843">
        <w:t xml:space="preserve">in a relatively new and challenging commissioning environment. </w:t>
      </w:r>
    </w:p>
    <w:p w14:paraId="29746B21" w14:textId="31910347" w:rsidR="00C1322D" w:rsidRDefault="00C1322D" w:rsidP="000D1346">
      <w:pPr>
        <w:pStyle w:val="NoSpacing"/>
        <w:spacing w:line="360" w:lineRule="auto"/>
      </w:pPr>
    </w:p>
    <w:p w14:paraId="2D080B4C" w14:textId="36B6F847" w:rsidR="004030AD" w:rsidRDefault="004030AD" w:rsidP="004030AD">
      <w:pPr>
        <w:pStyle w:val="NoSpacing"/>
        <w:spacing w:line="360" w:lineRule="auto"/>
      </w:pPr>
      <w:r>
        <w:t xml:space="preserve">By estimating crime and health </w:t>
      </w:r>
      <w:r w:rsidR="00C2102D">
        <w:t>benefits</w:t>
      </w:r>
      <w:r>
        <w:t xml:space="preserve"> in our economic modelling, we were highlighting savings to the criminal justice system and the NHS respectively </w:t>
      </w:r>
      <w:r>
        <w:fldChar w:fldCharType="begin"/>
      </w:r>
      <w:r w:rsidR="00B9334F">
        <w:instrText xml:space="preserve"> ADDIN EN.CITE &lt;EndNote&gt;&lt;Cite&gt;&lt;Author&gt;Musto Wright&lt;/Author&gt;&lt;Year&gt;2018&lt;/Year&gt;&lt;RecNum&gt;321&lt;/RecNum&gt;&lt;DisplayText&gt;(Musto Wright, 2018)&lt;/DisplayText&gt;&lt;record&gt;&lt;rec-number&gt;321&lt;/rec-number&gt;&lt;foreign-keys&gt;&lt;key app="EN" db-id="ffzvr5fstavwxoe9v04xf0wmp5t50as52da0" timestamp="1731671658" guid="1c9bacc7-65e2-4db4-83f5-d17cf8115bef"&gt;321&lt;/key&gt;&lt;/foreign-keys&gt;&lt;ref-type name="Online Database"&gt;45&lt;/ref-type&gt;&lt;contributors&gt;&lt;authors&gt;&lt;author&gt;Musto Wright, V.&lt;/author&gt;&lt;/authors&gt;&lt;/contributors&gt;&lt;titles&gt;&lt;title&gt;The 2016-17 Social Return on Investment (SROI) of Adult Alcohol and Drug Interventions&lt;/title&gt;&lt;/titles&gt;&lt;dates&gt;&lt;year&gt;2018&lt;/year&gt;&lt;pub-dates&gt;&lt;date&gt;26/08/2024&lt;/date&gt;&lt;/pub-dates&gt;&lt;/dates&gt;&lt;pub-location&gt;www.ndtms.net&lt;/pub-location&gt;&lt;publisher&gt;Public Health England&lt;/publisher&gt;&lt;urls&gt;&lt;related-urls&gt;&lt;url&gt;https://www.ndtms.net/VFM&lt;/url&gt;&lt;/related-urls&gt;&lt;/urls&gt;&lt;/record&gt;&lt;/Cite&gt;&lt;/EndNote&gt;</w:instrText>
      </w:r>
      <w:r>
        <w:fldChar w:fldCharType="separate"/>
      </w:r>
      <w:r w:rsidR="00A77498">
        <w:rPr>
          <w:noProof/>
        </w:rPr>
        <w:t>(Musto Wright, 2018)</w:t>
      </w:r>
      <w:r>
        <w:fldChar w:fldCharType="end"/>
      </w:r>
      <w:r>
        <w:t>. Such savings do not go back to local authorities as they do not fund these services. Directors of Public Health, local councillors and other local decision-makers wanted to know</w:t>
      </w:r>
      <w:r w:rsidRPr="009F6049">
        <w:t xml:space="preserve"> </w:t>
      </w:r>
      <w:r>
        <w:t xml:space="preserve">how much local investment in alcohol and drug treatment could potentially save </w:t>
      </w:r>
      <w:r w:rsidRPr="00043890">
        <w:rPr>
          <w:i/>
          <w:iCs/>
        </w:rPr>
        <w:t>them</w:t>
      </w:r>
      <w:r>
        <w:t xml:space="preserve">. It struck me that by looking at families affected by parental SUD, we could start to give our commissioners more locally-relevant evidence. </w:t>
      </w:r>
      <w:r w:rsidR="00205BE7" w:rsidRPr="00205BE7">
        <w:t xml:space="preserve">It is commonly understood by commissioners that families affected </w:t>
      </w:r>
      <w:r>
        <w:t xml:space="preserve">by parental SUD are more likely to be using social care, educational </w:t>
      </w:r>
      <w:r w:rsidR="00FD506D">
        <w:t xml:space="preserve">(e.g. pupil referral units) </w:t>
      </w:r>
      <w:r>
        <w:t xml:space="preserve">and other local authority resources </w:t>
      </w:r>
      <w:r w:rsidR="00FD506D">
        <w:t xml:space="preserve">(e.g. housing) </w:t>
      </w:r>
      <w:r>
        <w:t xml:space="preserve">than families not affected by SUD or other adverse childhood experiences. Therefore, investment in treatment for parents with an SUD could potentially reduce these costs which could translate into direct savings to local authorities. However, robust scientific evidence to estimate the economic benefits of investing in treatment from a local authority perspective did not exist. </w:t>
      </w:r>
    </w:p>
    <w:p w14:paraId="2DB1794F" w14:textId="53821D02" w:rsidR="00CD4EA9" w:rsidRDefault="00CD4EA9" w:rsidP="000D1346">
      <w:pPr>
        <w:pStyle w:val="NoSpacing"/>
        <w:spacing w:line="360" w:lineRule="auto"/>
      </w:pPr>
    </w:p>
    <w:p w14:paraId="77F0CDBE" w14:textId="7A0E8E4F" w:rsidR="004127D6" w:rsidRDefault="004127D6" w:rsidP="004127D6">
      <w:pPr>
        <w:pStyle w:val="NoSpacing"/>
        <w:spacing w:line="360" w:lineRule="auto"/>
      </w:pPr>
      <w:r>
        <w:t>For these reasons, I set about changing the situation and developing the evidence base with a focus on improvements in both parental treatment and child welfare (viz. children’s social care) outcomes.</w:t>
      </w:r>
      <w:r>
        <w:rPr>
          <w:rStyle w:val="FootnoteReference"/>
        </w:rPr>
        <w:footnoteReference w:id="2"/>
      </w:r>
      <w:r>
        <w:t xml:space="preserve"> I would not have had the time to do this analysis </w:t>
      </w:r>
      <w:r>
        <w:lastRenderedPageBreak/>
        <w:t>and evidence generation within my previously defined full-time job roles with PHE/OHID.  It is for that reason that I decided to undertake the part-time PhD. The PhD has given me the opportunity to go some way to addressing the research gaps on the effectiveness and cost-effectiveness of treatment for parents with SUD and thus to provide national and local stakeholders with more evidence to support the</w:t>
      </w:r>
      <w:r w:rsidR="005361E9">
        <w:t>ir de</w:t>
      </w:r>
      <w:r w:rsidR="00B34CC5">
        <w:t>cision-making</w:t>
      </w:r>
      <w:r>
        <w:t>.</w:t>
      </w:r>
    </w:p>
    <w:p w14:paraId="590C32F3" w14:textId="77777777" w:rsidR="00707E34" w:rsidRDefault="00707E34" w:rsidP="00707E34">
      <w:pPr>
        <w:pStyle w:val="NoSpacing"/>
        <w:spacing w:line="360" w:lineRule="auto"/>
      </w:pPr>
    </w:p>
    <w:p w14:paraId="501690C4" w14:textId="09F1D3D6" w:rsidR="009101A0" w:rsidRDefault="001B49DE" w:rsidP="00F204D6">
      <w:pPr>
        <w:pStyle w:val="Heading3"/>
        <w:numPr>
          <w:ilvl w:val="2"/>
          <w:numId w:val="19"/>
        </w:numPr>
        <w:spacing w:line="360" w:lineRule="auto"/>
      </w:pPr>
      <w:bookmarkStart w:id="33" w:name="_Toc189229662"/>
      <w:r>
        <w:t>Initial thesis plan</w:t>
      </w:r>
      <w:r w:rsidR="00473366">
        <w:t xml:space="preserve"> submitted for confirmation review</w:t>
      </w:r>
      <w:bookmarkEnd w:id="33"/>
    </w:p>
    <w:p w14:paraId="066B3F67" w14:textId="6EC4D9DC" w:rsidR="00DC7B6A" w:rsidRDefault="001F0072" w:rsidP="00342178">
      <w:pPr>
        <w:spacing w:line="360" w:lineRule="auto"/>
      </w:pPr>
      <w:r>
        <w:t xml:space="preserve">The </w:t>
      </w:r>
      <w:r w:rsidR="00F55623">
        <w:t>thesis plan submitted as part of my confirmation review</w:t>
      </w:r>
      <w:r w:rsidR="000D1346">
        <w:t xml:space="preserve"> (upgrade from MPhil to PhD</w:t>
      </w:r>
      <w:r w:rsidR="30151CF3">
        <w:t xml:space="preserve"> </w:t>
      </w:r>
      <w:r w:rsidR="00CB4F97">
        <w:t xml:space="preserve">in </w:t>
      </w:r>
      <w:r w:rsidR="00472FF2">
        <w:t>Ju</w:t>
      </w:r>
      <w:r w:rsidR="00CB4F97">
        <w:t>ly</w:t>
      </w:r>
      <w:r w:rsidR="00472FF2">
        <w:t xml:space="preserve"> 2019</w:t>
      </w:r>
      <w:r w:rsidR="000D1346">
        <w:t>)</w:t>
      </w:r>
      <w:r w:rsidR="00763CED">
        <w:t xml:space="preserve"> comprised two parts. </w:t>
      </w:r>
      <w:r w:rsidR="00D5065D">
        <w:t>Part one</w:t>
      </w:r>
      <w:r w:rsidR="00FB2497">
        <w:t>,</w:t>
      </w:r>
      <w:r w:rsidR="00D5065D">
        <w:t xml:space="preserve"> </w:t>
      </w:r>
      <w:r w:rsidR="1CA25219">
        <w:t xml:space="preserve">consisted of </w:t>
      </w:r>
      <w:r w:rsidR="00FB2497">
        <w:t xml:space="preserve">the </w:t>
      </w:r>
      <w:r w:rsidR="1AA58216">
        <w:t xml:space="preserve">rationale for the PhD topic, discussion of issues identified in the literature, and an early </w:t>
      </w:r>
      <w:r w:rsidR="008F29FC">
        <w:t xml:space="preserve">analysis </w:t>
      </w:r>
      <w:r w:rsidR="5CC136A9">
        <w:t xml:space="preserve">at national (England) level </w:t>
      </w:r>
      <w:r w:rsidR="008F29FC">
        <w:t xml:space="preserve">of effectiveness and cost-effectiveness using </w:t>
      </w:r>
      <w:r w:rsidR="64F856AC">
        <w:t xml:space="preserve">only data from </w:t>
      </w:r>
      <w:r w:rsidR="008F29FC">
        <w:t xml:space="preserve">the NDTMS. </w:t>
      </w:r>
      <w:r w:rsidR="00AE6F91">
        <w:t>Part two</w:t>
      </w:r>
      <w:r w:rsidR="402C884B">
        <w:t xml:space="preserve"> discussed the detailed plans for my work</w:t>
      </w:r>
      <w:r w:rsidR="00AE6F91">
        <w:t xml:space="preserve">, </w:t>
      </w:r>
      <w:r w:rsidR="009446EB">
        <w:t xml:space="preserve">informed by methods and findings from the NDTMS study, and </w:t>
      </w:r>
      <w:r w:rsidR="00AE6F91">
        <w:t>recognising that</w:t>
      </w:r>
      <w:r w:rsidR="00556FD1">
        <w:t xml:space="preserve"> </w:t>
      </w:r>
      <w:r w:rsidR="00AE6F91">
        <w:t>t</w:t>
      </w:r>
      <w:r w:rsidR="002B7FEA">
        <w:t>here is no national children’s social care dataset that c</w:t>
      </w:r>
      <w:r w:rsidR="00C37D8A">
        <w:t>ould</w:t>
      </w:r>
      <w:r w:rsidR="002B7FEA">
        <w:t xml:space="preserve"> be matched to the NDTMS</w:t>
      </w:r>
      <w:r w:rsidR="3BFB2CCE">
        <w:t>.  The core plan</w:t>
      </w:r>
      <w:r w:rsidR="00AE6F91">
        <w:t xml:space="preserve"> involved</w:t>
      </w:r>
      <w:r w:rsidR="002B7FEA">
        <w:t xml:space="preserve"> </w:t>
      </w:r>
      <w:r w:rsidR="00BB2F41">
        <w:t xml:space="preserve">obtaining and integrating local data from both alcohol and drug treatment services and children’s social care.  </w:t>
      </w:r>
      <w:r w:rsidR="45D3FF3A">
        <w:t>At</w:t>
      </w:r>
      <w:r w:rsidR="00BB2F41">
        <w:t xml:space="preserve"> the time the confirmation review was </w:t>
      </w:r>
      <w:r w:rsidR="006C74E5">
        <w:t>submitted in July 2019</w:t>
      </w:r>
      <w:r w:rsidR="00BB5B94">
        <w:t xml:space="preserve">, </w:t>
      </w:r>
      <w:r w:rsidR="002B7FEA">
        <w:t xml:space="preserve">I had </w:t>
      </w:r>
      <w:r w:rsidR="00BB5B94">
        <w:t xml:space="preserve">positive and encouraging </w:t>
      </w:r>
      <w:r w:rsidR="002B7FEA">
        <w:t xml:space="preserve">communications with </w:t>
      </w:r>
      <w:r w:rsidR="007272FE">
        <w:t xml:space="preserve">five </w:t>
      </w:r>
      <w:r w:rsidR="002B7FEA">
        <w:t xml:space="preserve">local </w:t>
      </w:r>
      <w:r w:rsidR="007272FE">
        <w:t>authorities</w:t>
      </w:r>
      <w:r w:rsidR="002B7FEA">
        <w:t xml:space="preserve">. Areas who </w:t>
      </w:r>
      <w:r w:rsidR="00342178">
        <w:t>had</w:t>
      </w:r>
      <w:r w:rsidR="002B7FEA">
        <w:t xml:space="preserve"> expressed an interest in working with me </w:t>
      </w:r>
      <w:r w:rsidR="00342178">
        <w:t>at this stage</w:t>
      </w:r>
      <w:r w:rsidR="008766B4">
        <w:t xml:space="preserve"> were</w:t>
      </w:r>
      <w:r w:rsidR="002B7FEA">
        <w:t>: Ealing, Haringey, Essex, Kent and Brighton</w:t>
      </w:r>
      <w:r w:rsidR="009B6387">
        <w:t>.</w:t>
      </w:r>
      <w:r w:rsidR="008766B4">
        <w:t xml:space="preserve"> </w:t>
      </w:r>
    </w:p>
    <w:p w14:paraId="587EA722" w14:textId="77777777" w:rsidR="00DC7B6A" w:rsidRDefault="00DC7B6A" w:rsidP="00342178">
      <w:pPr>
        <w:spacing w:line="360" w:lineRule="auto"/>
      </w:pPr>
    </w:p>
    <w:p w14:paraId="509300FB" w14:textId="0B857E69" w:rsidR="00B11062" w:rsidRDefault="009B6387" w:rsidP="00B11062">
      <w:pPr>
        <w:spacing w:line="360" w:lineRule="auto"/>
      </w:pPr>
      <w:r>
        <w:t xml:space="preserve">I recognised that </w:t>
      </w:r>
      <w:r w:rsidR="002B7FEA">
        <w:t xml:space="preserve">there </w:t>
      </w:r>
      <w:r>
        <w:t>were</w:t>
      </w:r>
      <w:r w:rsidR="002B7FEA">
        <w:t xml:space="preserve"> several scenarios </w:t>
      </w:r>
      <w:r w:rsidR="00391856">
        <w:t>regarding</w:t>
      </w:r>
      <w:r w:rsidR="002B7FEA">
        <w:t xml:space="preserve"> data availability.</w:t>
      </w:r>
      <w:r w:rsidR="00DC7B6A">
        <w:t xml:space="preserve"> </w:t>
      </w:r>
      <w:r w:rsidR="001A5770">
        <w:t>In t</w:t>
      </w:r>
      <w:r w:rsidR="002B7FEA">
        <w:t xml:space="preserve">he best case ‘optimal’ scenario, local areas would allow access to anonymised </w:t>
      </w:r>
      <w:r w:rsidR="080D96B1">
        <w:t xml:space="preserve">individual </w:t>
      </w:r>
      <w:r w:rsidR="6C39D1FC">
        <w:t xml:space="preserve">person specific electronic </w:t>
      </w:r>
      <w:r w:rsidR="002B7FEA">
        <w:t xml:space="preserve">data from children’s social care that could be matched to </w:t>
      </w:r>
      <w:r w:rsidR="4F37203F">
        <w:t>the same individual who received</w:t>
      </w:r>
      <w:r w:rsidR="79C83116">
        <w:t xml:space="preserve"> </w:t>
      </w:r>
      <w:r w:rsidR="4F37203F">
        <w:t>treatment in</w:t>
      </w:r>
      <w:r w:rsidR="002B7FEA">
        <w:t xml:space="preserve"> </w:t>
      </w:r>
      <w:r w:rsidR="5AAC946C">
        <w:t xml:space="preserve">the </w:t>
      </w:r>
      <w:r w:rsidR="002B7FEA">
        <w:t>NDTMS</w:t>
      </w:r>
      <w:r w:rsidR="635C5529">
        <w:t xml:space="preserve"> dat</w:t>
      </w:r>
      <w:r w:rsidR="00B02474">
        <w:t>a</w:t>
      </w:r>
      <w:r w:rsidR="635C5529">
        <w:t>set</w:t>
      </w:r>
      <w:r w:rsidR="002B7FEA">
        <w:t xml:space="preserve">. </w:t>
      </w:r>
      <w:r w:rsidR="00B11062">
        <w:t xml:space="preserve">In the next-best ‘adequate’ scenario, local areas would allow access to written case files/ quantitative data for individuals/families where </w:t>
      </w:r>
      <w:r w:rsidR="008B6ACE">
        <w:t xml:space="preserve">child </w:t>
      </w:r>
      <w:r w:rsidR="00B11062">
        <w:t xml:space="preserve">social workers have identified parental </w:t>
      </w:r>
      <w:r w:rsidR="001A0FF5">
        <w:t>SUD</w:t>
      </w:r>
      <w:r w:rsidR="00B11062">
        <w:t xml:space="preserve"> as a familial issue. This could be translated into a database by myself or local official, and then matched to the NDTMS. </w:t>
      </w:r>
    </w:p>
    <w:p w14:paraId="5E6BF4BF" w14:textId="77777777" w:rsidR="00C74D68" w:rsidRDefault="00C74D68" w:rsidP="001A0FF5">
      <w:pPr>
        <w:spacing w:line="360" w:lineRule="auto"/>
      </w:pPr>
    </w:p>
    <w:p w14:paraId="020C0CCB" w14:textId="3120211A" w:rsidR="00B11062" w:rsidRPr="00B11062" w:rsidRDefault="001A0FF5" w:rsidP="001A0FF5">
      <w:pPr>
        <w:spacing w:line="360" w:lineRule="auto"/>
      </w:pPr>
      <w:r>
        <w:t>In either scenario, p</w:t>
      </w:r>
      <w:r w:rsidR="00645429">
        <w:t>erson i</w:t>
      </w:r>
      <w:r w:rsidR="002B7FEA">
        <w:t xml:space="preserve">dentifiers needed to match the datasets </w:t>
      </w:r>
      <w:r w:rsidR="1B0C6802">
        <w:t>were plan</w:t>
      </w:r>
      <w:r w:rsidR="00B02474">
        <w:t>n</w:t>
      </w:r>
      <w:r w:rsidR="1B0C6802">
        <w:t>ed t</w:t>
      </w:r>
      <w:r w:rsidR="00B02474">
        <w:t>o</w:t>
      </w:r>
      <w:r w:rsidR="1B0C6802">
        <w:t xml:space="preserve"> be the following: </w:t>
      </w:r>
      <w:r w:rsidR="002B7FEA">
        <w:t xml:space="preserve">first and second </w:t>
      </w:r>
      <w:r w:rsidR="006D1359">
        <w:t xml:space="preserve">name </w:t>
      </w:r>
      <w:r w:rsidR="00847D19">
        <w:t>initials,</w:t>
      </w:r>
      <w:r w:rsidR="002B7FEA">
        <w:t xml:space="preserve"> sex, date of birth </w:t>
      </w:r>
      <w:r w:rsidR="00645429">
        <w:t>of parent</w:t>
      </w:r>
      <w:r w:rsidR="002B7FEA">
        <w:t xml:space="preserve">, </w:t>
      </w:r>
      <w:r w:rsidR="008B6ACE">
        <w:t xml:space="preserve">local authority of residence, </w:t>
      </w:r>
      <w:r w:rsidR="002B7FEA">
        <w:t xml:space="preserve">as this is how NDTMS records individual attributable information. </w:t>
      </w:r>
      <w:r w:rsidR="00A35EF4">
        <w:t>The NDTMS data would be used</w:t>
      </w:r>
      <w:r w:rsidR="009616A1">
        <w:t xml:space="preserve"> to </w:t>
      </w:r>
      <w:r w:rsidR="00D759D7">
        <w:t xml:space="preserve">identify parents </w:t>
      </w:r>
      <w:r w:rsidR="00173EAA">
        <w:t>and monitor their treatment outcomes. The sociodemographic</w:t>
      </w:r>
      <w:r w:rsidR="00435864">
        <w:t xml:space="preserve"> and clinical data </w:t>
      </w:r>
      <w:r w:rsidR="009E6FF2">
        <w:t>collected</w:t>
      </w:r>
      <w:r w:rsidR="00435864">
        <w:t xml:space="preserve"> in the NDTMS </w:t>
      </w:r>
      <w:r w:rsidR="004B14AC">
        <w:t>would be used to</w:t>
      </w:r>
      <w:r w:rsidR="00EC2252">
        <w:t xml:space="preserve"> </w:t>
      </w:r>
      <w:r w:rsidR="00516E1B">
        <w:t xml:space="preserve">adjust for potential confounding in the statistical analyses. </w:t>
      </w:r>
      <w:r w:rsidR="00DD61D0">
        <w:t xml:space="preserve">In addition to treatment, the NDTMS data would be used to identify parents receiving recovery support interventions such as </w:t>
      </w:r>
      <w:r w:rsidR="00AB7760">
        <w:t>parenting and/or family</w:t>
      </w:r>
      <w:r w:rsidR="00DD61D0">
        <w:t xml:space="preserve"> recovery support. </w:t>
      </w:r>
      <w:r w:rsidR="00355A27">
        <w:t xml:space="preserve">Children’s social care data would be used to identify families involved with </w:t>
      </w:r>
      <w:r w:rsidR="0096696D">
        <w:t xml:space="preserve">targeted </w:t>
      </w:r>
      <w:r w:rsidR="00355A27">
        <w:t>early help</w:t>
      </w:r>
      <w:r w:rsidR="003239A9">
        <w:t xml:space="preserve"> or who were receiving statutory child welfare interventions such as being on a child in need plan, a child protection plan or a </w:t>
      </w:r>
      <w:r w:rsidR="0096696D">
        <w:t xml:space="preserve">having a </w:t>
      </w:r>
      <w:r w:rsidR="003239A9">
        <w:t>child</w:t>
      </w:r>
      <w:r w:rsidR="002832FB">
        <w:t xml:space="preserve"> </w:t>
      </w:r>
      <w:r w:rsidR="003239A9">
        <w:t xml:space="preserve">being placed into care. Time spent in receipt of these interventions </w:t>
      </w:r>
      <w:r w:rsidR="007740BE">
        <w:t xml:space="preserve">between those with parents </w:t>
      </w:r>
      <w:r w:rsidR="00CC3F79">
        <w:t>in</w:t>
      </w:r>
      <w:r w:rsidR="007740BE">
        <w:t xml:space="preserve"> treatment would be compared with those with parents or carers not in treatment</w:t>
      </w:r>
      <w:r w:rsidR="007D1438">
        <w:t>, to see whether being in treatment is associated with less time spent on a</w:t>
      </w:r>
      <w:r w:rsidR="00423A20">
        <w:t>n early help/ statutory child welfare intervention, and how this translates into differential costs.</w:t>
      </w:r>
    </w:p>
    <w:p w14:paraId="3164FF88" w14:textId="77777777" w:rsidR="00B11062" w:rsidRDefault="00B11062" w:rsidP="00BB57C2">
      <w:pPr>
        <w:spacing w:line="360" w:lineRule="auto"/>
      </w:pPr>
    </w:p>
    <w:p w14:paraId="59742178" w14:textId="38A2AA01" w:rsidR="002B7FEA" w:rsidRDefault="00B426AE" w:rsidP="00986616">
      <w:pPr>
        <w:spacing w:line="360" w:lineRule="auto"/>
      </w:pPr>
      <w:r>
        <w:t>I</w:t>
      </w:r>
      <w:r w:rsidR="002B7FEA">
        <w:t xml:space="preserve">n the </w:t>
      </w:r>
      <w:r w:rsidR="002F5B7A">
        <w:t>worst-case</w:t>
      </w:r>
      <w:r w:rsidR="002B7FEA">
        <w:t xml:space="preserve"> scenario, only NDTMS data would be used</w:t>
      </w:r>
      <w:r w:rsidR="5E26B2E7">
        <w:t xml:space="preserve"> to analyse </w:t>
      </w:r>
      <w:r w:rsidR="001A0FF5">
        <w:t xml:space="preserve">early help/ </w:t>
      </w:r>
      <w:r w:rsidR="009869BA">
        <w:t xml:space="preserve">statutory child welfare </w:t>
      </w:r>
      <w:r w:rsidR="0079455C">
        <w:t>service use</w:t>
      </w:r>
      <w:r w:rsidR="054DEC86">
        <w:t xml:space="preserve">.  </w:t>
      </w:r>
      <w:r w:rsidR="00E157F0">
        <w:t>While the NDTMS does not collect time spent in these interventions, a</w:t>
      </w:r>
      <w:r w:rsidR="0012631C">
        <w:t xml:space="preserve">t this stage </w:t>
      </w:r>
      <w:r w:rsidR="2C8F35AB">
        <w:t xml:space="preserve">I believed </w:t>
      </w:r>
      <w:r w:rsidR="00BB57C2">
        <w:t xml:space="preserve">that I would be able to robustly analyse the changes in </w:t>
      </w:r>
      <w:r w:rsidR="00E157F0">
        <w:t xml:space="preserve">intervention status to estimate outcomes </w:t>
      </w:r>
      <w:r w:rsidR="00554A17">
        <w:t xml:space="preserve">and costs. For example, whether parents with children in care </w:t>
      </w:r>
      <w:r w:rsidR="00905DF7">
        <w:t xml:space="preserve">at the start of treatment were living with their children at the end of their treatment journey, or whether </w:t>
      </w:r>
      <w:r w:rsidR="00DE338D">
        <w:t xml:space="preserve">children on a child in need plan at the start of a parent’s treatment were stepped down to an early help intervention or </w:t>
      </w:r>
      <w:r w:rsidR="008B0EBC">
        <w:t xml:space="preserve">stepped up to a child protection plan. </w:t>
      </w:r>
    </w:p>
    <w:p w14:paraId="10ED1356" w14:textId="1D139B41" w:rsidR="00225788" w:rsidRDefault="00225788" w:rsidP="00BB27DE">
      <w:pPr>
        <w:spacing w:line="360" w:lineRule="auto"/>
      </w:pPr>
    </w:p>
    <w:p w14:paraId="77631274" w14:textId="2B9FC7B9" w:rsidR="00EA1ED1" w:rsidRDefault="00DF1849" w:rsidP="00290A86">
      <w:pPr>
        <w:spacing w:line="360" w:lineRule="auto"/>
      </w:pPr>
      <w:r>
        <w:t xml:space="preserve">Bottom-up costing is generally considered optimal in health economic evaluations, </w:t>
      </w:r>
      <w:r w:rsidR="00B8612E">
        <w:t xml:space="preserve">particularly for </w:t>
      </w:r>
      <w:r w:rsidR="00DD38A6">
        <w:t>new interventions</w:t>
      </w:r>
      <w:r w:rsidR="00471D8A">
        <w:t xml:space="preserve">. Bottom-up costing represented the </w:t>
      </w:r>
      <w:r w:rsidR="00EA1ED1">
        <w:t>best-case</w:t>
      </w:r>
      <w:r w:rsidR="00471D8A">
        <w:t xml:space="preserve"> costing scenario and would require resource data to be collected for each individual in a study and assigning monetary values to the resources data.</w:t>
      </w:r>
      <w:r w:rsidR="00471D8A" w:rsidRPr="00471D8A">
        <w:t xml:space="preserve"> </w:t>
      </w:r>
      <w:r w:rsidR="00EA1ED1">
        <w:t>However,</w:t>
      </w:r>
      <w:r>
        <w:t xml:space="preserve"> like all cost estimations, it may still involve methodological assumptions or decisions that may compromise robustness and practicality </w:t>
      </w:r>
      <w:r>
        <w:fldChar w:fldCharType="begin">
          <w:fldData xml:space="preserve">PEVuZE5vdGU+PENpdGU+PEF1dGhvcj7FoHBhY8Otcm92w6E8L0F1dGhvcj48WWVhcj4yMDIxPC9Z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</w:fldData>
        </w:fldChar>
      </w:r>
      <w:r w:rsidR="00B9334F">
        <w:instrText xml:space="preserve"> ADDIN EN.CITE </w:instrText>
      </w:r>
      <w:r w:rsidR="00B9334F">
        <w:fldChar w:fldCharType="begin">
          <w:fldData xml:space="preserve">PEVuZE5vdGU+PENpdGU+PEF1dGhvcj7FoHBhY8Otcm92w6E8L0F1dGhvcj48WWVhcj4yMDIxPC9Z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</w:fldData>
        </w:fldChar>
      </w:r>
      <w:r w:rsidR="00B9334F">
        <w:instrText xml:space="preserve"> ADDIN EN.CITE.DATA </w:instrText>
      </w:r>
      <w:r w:rsidR="00B9334F">
        <w:fldChar w:fldCharType="end"/>
      </w:r>
      <w:r>
        <w:fldChar w:fldCharType="separate"/>
      </w:r>
      <w:r w:rsidR="00A77498">
        <w:rPr>
          <w:noProof/>
        </w:rPr>
        <w:t>(Špacírová et al., 2020, 2021)</w:t>
      </w:r>
      <w:r>
        <w:fldChar w:fldCharType="end"/>
      </w:r>
      <w:r>
        <w:t>.</w:t>
      </w:r>
      <w:r w:rsidR="0090642B">
        <w:t xml:space="preserve"> </w:t>
      </w:r>
      <w:r w:rsidR="00BB27DE">
        <w:t>The top-down approach to estimating unit costs</w:t>
      </w:r>
      <w:r w:rsidR="00EA1ED1">
        <w:t>, on the other hand,</w:t>
      </w:r>
      <w:r w:rsidR="00BB27DE">
        <w:t xml:space="preserve"> is relatively straightforward: divide total expenditure by total units of activity</w:t>
      </w:r>
      <w:r w:rsidR="0022709B">
        <w:t xml:space="preserve"> over the same </w:t>
      </w:r>
      <w:r w:rsidR="0022709B">
        <w:lastRenderedPageBreak/>
        <w:t>timeframe</w:t>
      </w:r>
      <w:r w:rsidR="00BB27DE">
        <w:t xml:space="preserve">. While this approach is simple, it cannot be used to identify what actually drives costs, other than number of people and time spent in treatment. This could lead to potential cost underestimation or overestimation. </w:t>
      </w:r>
      <w:r w:rsidR="00471D8A">
        <w:t xml:space="preserve">Unit costs data would be taken from the </w:t>
      </w:r>
      <w:r w:rsidR="00471D8A" w:rsidRPr="00696D76">
        <w:rPr>
          <w:i/>
          <w:iCs/>
        </w:rPr>
        <w:t>Unit Costs of Health and Social Care</w:t>
      </w:r>
      <w:r w:rsidR="00471D8A">
        <w:t xml:space="preserve"> updated and published every year </w:t>
      </w:r>
      <w:r w:rsidR="00471D8A">
        <w:fldChar w:fldCharType="begin"/>
      </w:r>
      <w:r w:rsidR="00B9334F">
        <w:instrText xml:space="preserve"> ADDIN EN.CITE &lt;EndNote&gt;&lt;Cite&gt;&lt;Author&gt;Personal Social Services Research Unit&lt;/Author&gt;&lt;Year&gt;2024&lt;/Year&gt;&lt;RecNum&gt;687&lt;/RecNum&gt;&lt;DisplayText&gt;(Personal Social Services Research Unit, 2024)&lt;/DisplayText&gt;&lt;record&gt;&lt;rec-number&gt;687&lt;/rec-number&gt;&lt;foreign-keys&gt;&lt;key app="EN" db-id="ffzvr5fstavwxoe9v04xf0wmp5t50as52da0" timestamp="1731671736" guid="e422aea9-e77d-4716-8072-3edf1980edfa"&gt;687&lt;/key&gt;&lt;/foreign-keys&gt;&lt;ref-type name="Web Page"&gt;12&lt;/ref-type&gt;&lt;contributors&gt;&lt;authors&gt;&lt;author&gt;Personal Social Services Research Unit,&lt;/author&gt;&lt;/authors&gt;&lt;/contributors&gt;&lt;titles&gt;&lt;title&gt;Unit Costs of Health and Social Care programme (2022 – 2027)&lt;/title&gt;&lt;/titles&gt;&lt;volume&gt;2024&lt;/volume&gt;&lt;number&gt;31/08/2024&lt;/number&gt;&lt;dates&gt;&lt;year&gt;2024&lt;/year&gt;&lt;/dates&gt;&lt;publisher&gt;University of Kent&lt;/publisher&gt;&lt;urls&gt;&lt;related-urls&gt;&lt;url&gt;https://www.pssru.ac.uk/unitcostsreport/&lt;/url&gt;&lt;/related-urls&gt;&lt;/urls&gt;&lt;/record&gt;&lt;/Cite&gt;&lt;/EndNote&gt;</w:instrText>
      </w:r>
      <w:r w:rsidR="00471D8A">
        <w:fldChar w:fldCharType="separate"/>
      </w:r>
      <w:r w:rsidR="00A77498">
        <w:rPr>
          <w:noProof/>
        </w:rPr>
        <w:t>(Personal Social Services Research Unit, 2024)</w:t>
      </w:r>
      <w:r w:rsidR="00471D8A">
        <w:fldChar w:fldCharType="end"/>
      </w:r>
      <w:r w:rsidR="00471D8A">
        <w:t xml:space="preserve">. </w:t>
      </w:r>
    </w:p>
    <w:p w14:paraId="7156415E" w14:textId="77777777" w:rsidR="00290A86" w:rsidRPr="00290A86" w:rsidRDefault="00290A86" w:rsidP="00290A86">
      <w:pPr>
        <w:pStyle w:val="NoSpacing"/>
        <w:spacing w:line="360" w:lineRule="auto"/>
      </w:pPr>
    </w:p>
    <w:p w14:paraId="005D467B" w14:textId="781F8A2B" w:rsidR="00E101ED" w:rsidRPr="00E101ED" w:rsidRDefault="00A9799E" w:rsidP="00E101ED">
      <w:pPr>
        <w:spacing w:line="360" w:lineRule="auto"/>
      </w:pPr>
      <w:r w:rsidRPr="00A9799E">
        <w:rPr>
          <w:szCs w:val="24"/>
        </w:rPr>
        <w:fldChar w:fldCharType="begin"/>
      </w:r>
      <w:r w:rsidRPr="00A9799E">
        <w:rPr>
          <w:szCs w:val="24"/>
        </w:rPr>
        <w:instrText xml:space="preserve"> REF _Ref175561145 \h </w:instrText>
      </w:r>
      <w:r>
        <w:rPr>
          <w:szCs w:val="24"/>
        </w:rPr>
        <w:instrText xml:space="preserve"> \* MERGEFORMAT </w:instrText>
      </w:r>
      <w:r w:rsidRPr="00A9799E">
        <w:rPr>
          <w:szCs w:val="24"/>
        </w:rPr>
      </w:r>
      <w:r w:rsidRPr="00A9799E">
        <w:rPr>
          <w:szCs w:val="24"/>
        </w:rPr>
        <w:fldChar w:fldCharType="separate"/>
      </w:r>
      <w:r w:rsidR="00E101ED" w:rsidRPr="00E101ED">
        <w:t>Table 2.1</w:t>
      </w:r>
      <w:r w:rsidR="00E101ED" w:rsidRPr="00E101ED">
        <w:noBreakHyphen/>
        <w:t>1</w:t>
      </w:r>
      <w:r w:rsidRPr="00A9799E">
        <w:rPr>
          <w:szCs w:val="24"/>
        </w:rPr>
        <w:fldChar w:fldCharType="end"/>
      </w:r>
      <w:r>
        <w:rPr>
          <w:szCs w:val="24"/>
        </w:rPr>
        <w:t xml:space="preserve"> </w:t>
      </w:r>
      <w:r w:rsidR="002B7FEA" w:rsidRPr="06CFF086">
        <w:t>below</w:t>
      </w:r>
      <w:r w:rsidR="002B7FEA">
        <w:t xml:space="preserve"> summarises the data </w:t>
      </w:r>
      <w:r w:rsidR="00060894">
        <w:t xml:space="preserve">that would be </w:t>
      </w:r>
      <w:r w:rsidR="002B7FEA">
        <w:t xml:space="preserve">needed </w:t>
      </w:r>
      <w:r w:rsidR="00556D35">
        <w:t xml:space="preserve">under the </w:t>
      </w:r>
      <w:r w:rsidR="579010E6">
        <w:t xml:space="preserve">three </w:t>
      </w:r>
      <w:r w:rsidR="00556D35">
        <w:t>scenarios</w:t>
      </w:r>
      <w:r w:rsidR="0086310D">
        <w:t>, as set out in my confirmation review</w:t>
      </w:r>
      <w:r w:rsidR="002B7FEA">
        <w:t xml:space="preserve">. </w:t>
      </w:r>
    </w:p>
    <w:p w14:paraId="5ABB28A6" w14:textId="77777777" w:rsidR="00860169" w:rsidRDefault="00860169" w:rsidP="002B7FEA">
      <w:pPr>
        <w:rPr>
          <w:b/>
          <w:sz w:val="20"/>
          <w:szCs w:val="20"/>
        </w:rPr>
      </w:pPr>
    </w:p>
    <w:p w14:paraId="57F86A7B" w14:textId="00D285AE" w:rsidR="00DC7B6A" w:rsidRPr="00EA1ED1" w:rsidRDefault="003544A3" w:rsidP="00BB7CBD">
      <w:pPr>
        <w:pStyle w:val="Caption"/>
        <w:rPr>
          <w:b w:val="0"/>
          <w:bCs w:val="0"/>
          <w:i/>
          <w:iCs/>
          <w:color w:val="auto"/>
          <w:sz w:val="24"/>
          <w:szCs w:val="24"/>
        </w:rPr>
      </w:pPr>
      <w:bookmarkStart w:id="34" w:name="_Ref175561145"/>
      <w:bookmarkStart w:id="35" w:name="_Toc185844987"/>
      <w:r>
        <w:rPr>
          <w:b w:val="0"/>
          <w:bCs w:val="0"/>
          <w:i/>
          <w:iCs/>
          <w:color w:val="auto"/>
          <w:sz w:val="24"/>
          <w:szCs w:val="24"/>
        </w:rPr>
        <w:t>Table</w:t>
      </w:r>
      <w:r w:rsidR="00BB7CBD" w:rsidRPr="00EA1ED1">
        <w:rPr>
          <w:b w:val="0"/>
          <w:bCs w:val="0"/>
          <w:i/>
          <w:iCs/>
          <w:color w:val="auto"/>
          <w:sz w:val="24"/>
          <w:szCs w:val="24"/>
        </w:rPr>
        <w:t xml:space="preserv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2.1</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1</w:t>
      </w:r>
      <w:r w:rsidR="00367870">
        <w:rPr>
          <w:b w:val="0"/>
          <w:bCs w:val="0"/>
          <w:i/>
          <w:iCs/>
          <w:color w:val="auto"/>
          <w:sz w:val="24"/>
          <w:szCs w:val="24"/>
        </w:rPr>
        <w:fldChar w:fldCharType="end"/>
      </w:r>
      <w:bookmarkEnd w:id="34"/>
      <w:r w:rsidR="00EA1ED1">
        <w:rPr>
          <w:b w:val="0"/>
          <w:bCs w:val="0"/>
          <w:i/>
          <w:iCs/>
          <w:color w:val="auto"/>
          <w:sz w:val="24"/>
          <w:szCs w:val="24"/>
        </w:rPr>
        <w:tab/>
      </w:r>
      <w:r w:rsidR="00C22033" w:rsidRPr="00EA1ED1">
        <w:rPr>
          <w:b w:val="0"/>
          <w:bCs w:val="0"/>
          <w:i/>
          <w:iCs/>
          <w:color w:val="auto"/>
          <w:sz w:val="24"/>
          <w:szCs w:val="24"/>
        </w:rPr>
        <w:t xml:space="preserve">Data options under </w:t>
      </w:r>
      <w:r w:rsidR="47D2273A" w:rsidRPr="00EA1ED1">
        <w:rPr>
          <w:b w:val="0"/>
          <w:bCs w:val="0"/>
          <w:i/>
          <w:iCs/>
          <w:color w:val="auto"/>
          <w:sz w:val="24"/>
          <w:szCs w:val="24"/>
        </w:rPr>
        <w:t xml:space="preserve">three </w:t>
      </w:r>
      <w:r w:rsidR="00C22033" w:rsidRPr="00EA1ED1">
        <w:rPr>
          <w:b w:val="0"/>
          <w:bCs w:val="0"/>
          <w:i/>
          <w:iCs/>
          <w:color w:val="auto"/>
          <w:sz w:val="24"/>
          <w:szCs w:val="24"/>
        </w:rPr>
        <w:t>scenarios</w:t>
      </w:r>
      <w:bookmarkEnd w:id="35"/>
    </w:p>
    <w:p w14:paraId="240C4725" w14:textId="77777777" w:rsidR="00492EE0" w:rsidRDefault="00492EE0" w:rsidP="00492EE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5"/>
        <w:gridCol w:w="2269"/>
        <w:gridCol w:w="2271"/>
        <w:gridCol w:w="2271"/>
      </w:tblGrid>
      <w:tr w:rsidR="00EB2216" w:rsidRPr="00113BDC" w14:paraId="257FF77B" w14:textId="77777777" w:rsidTr="00113BDC">
        <w:trPr>
          <w:cantSplit/>
          <w:tblHeader/>
        </w:trPr>
        <w:tc>
          <w:tcPr>
            <w:tcW w:w="1227" w:type="pct"/>
            <w:tcBorders>
              <w:bottom w:val="single" w:sz="4" w:space="0" w:color="auto"/>
              <w:right w:val="single" w:sz="4" w:space="0" w:color="auto"/>
            </w:tcBorders>
          </w:tcPr>
          <w:p w14:paraId="6DD9590D" w14:textId="099C79D2" w:rsidR="00EB2216" w:rsidRPr="00113BDC" w:rsidRDefault="00B95519" w:rsidP="000E494A">
            <w:pPr>
              <w:spacing w:line="276" w:lineRule="auto"/>
              <w:rPr>
                <w:bCs/>
                <w:sz w:val="20"/>
                <w:szCs w:val="20"/>
              </w:rPr>
            </w:pPr>
            <w:r w:rsidRPr="00113BDC">
              <w:rPr>
                <w:bCs/>
                <w:sz w:val="20"/>
                <w:szCs w:val="20"/>
              </w:rPr>
              <w:t>Type of data</w:t>
            </w:r>
          </w:p>
        </w:tc>
        <w:tc>
          <w:tcPr>
            <w:tcW w:w="1257" w:type="pct"/>
            <w:tcBorders>
              <w:left w:val="single" w:sz="4" w:space="0" w:color="auto"/>
              <w:bottom w:val="single" w:sz="4" w:space="0" w:color="auto"/>
            </w:tcBorders>
          </w:tcPr>
          <w:p w14:paraId="463A3126" w14:textId="77777777" w:rsidR="00EB2216" w:rsidRPr="00113BDC" w:rsidRDefault="00EB2216" w:rsidP="00113BDC">
            <w:pPr>
              <w:spacing w:line="276" w:lineRule="auto"/>
              <w:jc w:val="center"/>
              <w:rPr>
                <w:bCs/>
                <w:sz w:val="20"/>
                <w:szCs w:val="20"/>
              </w:rPr>
            </w:pPr>
            <w:r w:rsidRPr="00113BDC">
              <w:rPr>
                <w:bCs/>
                <w:sz w:val="20"/>
                <w:szCs w:val="20"/>
              </w:rPr>
              <w:t>Optimal</w:t>
            </w:r>
          </w:p>
        </w:tc>
        <w:tc>
          <w:tcPr>
            <w:tcW w:w="1258" w:type="pct"/>
            <w:tcBorders>
              <w:bottom w:val="single" w:sz="4" w:space="0" w:color="auto"/>
            </w:tcBorders>
          </w:tcPr>
          <w:p w14:paraId="417C4829" w14:textId="77777777" w:rsidR="00EB2216" w:rsidRPr="00113BDC" w:rsidRDefault="00EB2216" w:rsidP="00113BDC">
            <w:pPr>
              <w:spacing w:line="276" w:lineRule="auto"/>
              <w:jc w:val="center"/>
              <w:rPr>
                <w:bCs/>
                <w:sz w:val="20"/>
                <w:szCs w:val="20"/>
              </w:rPr>
            </w:pPr>
            <w:r w:rsidRPr="00113BDC">
              <w:rPr>
                <w:bCs/>
                <w:sz w:val="20"/>
                <w:szCs w:val="20"/>
              </w:rPr>
              <w:t>Adequate</w:t>
            </w:r>
          </w:p>
        </w:tc>
        <w:tc>
          <w:tcPr>
            <w:tcW w:w="1258" w:type="pct"/>
            <w:tcBorders>
              <w:bottom w:val="single" w:sz="4" w:space="0" w:color="auto"/>
            </w:tcBorders>
          </w:tcPr>
          <w:p w14:paraId="57E92010" w14:textId="77777777" w:rsidR="00EB2216" w:rsidRPr="00113BDC" w:rsidRDefault="00EB2216" w:rsidP="00113BDC">
            <w:pPr>
              <w:spacing w:line="276" w:lineRule="auto"/>
              <w:jc w:val="center"/>
              <w:rPr>
                <w:bCs/>
                <w:sz w:val="20"/>
                <w:szCs w:val="20"/>
              </w:rPr>
            </w:pPr>
            <w:r w:rsidRPr="00113BDC">
              <w:rPr>
                <w:bCs/>
                <w:sz w:val="20"/>
                <w:szCs w:val="20"/>
              </w:rPr>
              <w:t>Worst case scenario</w:t>
            </w:r>
          </w:p>
        </w:tc>
      </w:tr>
      <w:tr w:rsidR="00EB2216" w:rsidRPr="00594A61" w14:paraId="5685C2DB" w14:textId="77777777" w:rsidTr="00552ACB">
        <w:trPr>
          <w:cantSplit/>
        </w:trPr>
        <w:tc>
          <w:tcPr>
            <w:tcW w:w="1227" w:type="pct"/>
            <w:tcBorders>
              <w:top w:val="single" w:sz="4" w:space="0" w:color="auto"/>
              <w:right w:val="single" w:sz="4" w:space="0" w:color="auto"/>
            </w:tcBorders>
          </w:tcPr>
          <w:p w14:paraId="3945F237" w14:textId="651B1969" w:rsidR="00EB2216" w:rsidRPr="00594A61" w:rsidRDefault="00F54EB9" w:rsidP="000E494A">
            <w:pPr>
              <w:spacing w:line="276" w:lineRule="auto"/>
              <w:rPr>
                <w:sz w:val="20"/>
                <w:szCs w:val="20"/>
              </w:rPr>
            </w:pPr>
            <w:r>
              <w:rPr>
                <w:sz w:val="20"/>
                <w:szCs w:val="20"/>
              </w:rPr>
              <w:t>Intervention and outcomes data</w:t>
            </w:r>
          </w:p>
        </w:tc>
        <w:tc>
          <w:tcPr>
            <w:tcW w:w="1257" w:type="pct"/>
            <w:tcBorders>
              <w:top w:val="single" w:sz="4" w:space="0" w:color="auto"/>
              <w:left w:val="single" w:sz="4" w:space="0" w:color="auto"/>
            </w:tcBorders>
            <w:shd w:val="clear" w:color="auto" w:fill="auto"/>
          </w:tcPr>
          <w:p w14:paraId="6A410FEF" w14:textId="42BC63BE" w:rsidR="00EB2216" w:rsidRDefault="00500743" w:rsidP="00113BDC">
            <w:pPr>
              <w:spacing w:line="276" w:lineRule="auto"/>
              <w:rPr>
                <w:sz w:val="20"/>
                <w:szCs w:val="20"/>
              </w:rPr>
            </w:pPr>
            <w:r>
              <w:rPr>
                <w:sz w:val="20"/>
                <w:szCs w:val="20"/>
              </w:rPr>
              <w:t>E</w:t>
            </w:r>
            <w:r w:rsidRPr="06CFF086">
              <w:rPr>
                <w:sz w:val="20"/>
                <w:szCs w:val="20"/>
              </w:rPr>
              <w:t xml:space="preserve">lectronic </w:t>
            </w:r>
            <w:r w:rsidR="00480DB5">
              <w:rPr>
                <w:sz w:val="20"/>
                <w:szCs w:val="20"/>
              </w:rPr>
              <w:t>parent/care</w:t>
            </w:r>
            <w:r w:rsidR="00B177E8">
              <w:rPr>
                <w:sz w:val="20"/>
                <w:szCs w:val="20"/>
              </w:rPr>
              <w:t>r</w:t>
            </w:r>
            <w:r w:rsidR="008450AB">
              <w:rPr>
                <w:sz w:val="20"/>
                <w:szCs w:val="20"/>
              </w:rPr>
              <w:t>-</w:t>
            </w:r>
            <w:r w:rsidRPr="06CFF086">
              <w:rPr>
                <w:sz w:val="20"/>
                <w:szCs w:val="20"/>
              </w:rPr>
              <w:t xml:space="preserve">level data from </w:t>
            </w:r>
            <w:r w:rsidR="00552ACB">
              <w:rPr>
                <w:sz w:val="20"/>
                <w:szCs w:val="20"/>
              </w:rPr>
              <w:t xml:space="preserve">local </w:t>
            </w:r>
            <w:r w:rsidR="00B177E8">
              <w:rPr>
                <w:sz w:val="20"/>
                <w:szCs w:val="20"/>
              </w:rPr>
              <w:t xml:space="preserve">children’s social care services </w:t>
            </w:r>
            <w:r w:rsidRPr="06CFF086">
              <w:rPr>
                <w:sz w:val="20"/>
                <w:szCs w:val="20"/>
              </w:rPr>
              <w:t xml:space="preserve">that </w:t>
            </w:r>
            <w:r w:rsidR="00B26DD3">
              <w:rPr>
                <w:sz w:val="20"/>
                <w:szCs w:val="20"/>
              </w:rPr>
              <w:t xml:space="preserve">is already matched or </w:t>
            </w:r>
            <w:r w:rsidRPr="06CFF086">
              <w:rPr>
                <w:sz w:val="20"/>
                <w:szCs w:val="20"/>
              </w:rPr>
              <w:t>c</w:t>
            </w:r>
            <w:r w:rsidR="00F54EB9">
              <w:rPr>
                <w:sz w:val="20"/>
                <w:szCs w:val="20"/>
              </w:rPr>
              <w:t>ould</w:t>
            </w:r>
            <w:r w:rsidRPr="06CFF086">
              <w:rPr>
                <w:sz w:val="20"/>
                <w:szCs w:val="20"/>
              </w:rPr>
              <w:t xml:space="preserve"> be directly matched to the same </w:t>
            </w:r>
            <w:r w:rsidR="00480DB5">
              <w:rPr>
                <w:sz w:val="20"/>
                <w:szCs w:val="20"/>
              </w:rPr>
              <w:t>person-level</w:t>
            </w:r>
            <w:r w:rsidRPr="06CFF086">
              <w:rPr>
                <w:sz w:val="20"/>
                <w:szCs w:val="20"/>
              </w:rPr>
              <w:t xml:space="preserve"> treatment data in </w:t>
            </w:r>
            <w:r w:rsidR="00B95519">
              <w:rPr>
                <w:sz w:val="20"/>
                <w:szCs w:val="20"/>
              </w:rPr>
              <w:t xml:space="preserve">the </w:t>
            </w:r>
            <w:r w:rsidRPr="06CFF086">
              <w:rPr>
                <w:sz w:val="20"/>
                <w:szCs w:val="20"/>
              </w:rPr>
              <w:t>NDTMS.</w:t>
            </w:r>
          </w:p>
          <w:p w14:paraId="4B69FB3A" w14:textId="3175707D" w:rsidR="00552ACB" w:rsidRPr="00552ACB" w:rsidRDefault="00552ACB" w:rsidP="00552ACB">
            <w:pPr>
              <w:pStyle w:val="NoSpacing"/>
            </w:pPr>
          </w:p>
        </w:tc>
        <w:tc>
          <w:tcPr>
            <w:tcW w:w="1258" w:type="pct"/>
            <w:tcBorders>
              <w:top w:val="single" w:sz="4" w:space="0" w:color="auto"/>
            </w:tcBorders>
            <w:shd w:val="clear" w:color="auto" w:fill="auto"/>
          </w:tcPr>
          <w:p w14:paraId="3BD7B258" w14:textId="213D4830" w:rsidR="00EB2216" w:rsidRPr="00594A61" w:rsidRDefault="00884DF5" w:rsidP="00113BDC">
            <w:pPr>
              <w:spacing w:line="276" w:lineRule="auto"/>
              <w:rPr>
                <w:sz w:val="20"/>
                <w:szCs w:val="20"/>
              </w:rPr>
            </w:pPr>
            <w:r>
              <w:rPr>
                <w:sz w:val="20"/>
                <w:szCs w:val="20"/>
              </w:rPr>
              <w:t xml:space="preserve">Person-level data from </w:t>
            </w:r>
            <w:r w:rsidR="00552ACB">
              <w:rPr>
                <w:sz w:val="20"/>
                <w:szCs w:val="20"/>
              </w:rPr>
              <w:t>local authorities</w:t>
            </w:r>
            <w:r>
              <w:rPr>
                <w:sz w:val="20"/>
                <w:szCs w:val="20"/>
              </w:rPr>
              <w:t xml:space="preserve"> that</w:t>
            </w:r>
            <w:r w:rsidR="00F54EB9">
              <w:rPr>
                <w:sz w:val="20"/>
                <w:szCs w:val="20"/>
              </w:rPr>
              <w:t xml:space="preserve"> would</w:t>
            </w:r>
            <w:r>
              <w:rPr>
                <w:sz w:val="20"/>
                <w:szCs w:val="20"/>
              </w:rPr>
              <w:t xml:space="preserve"> need to be</w:t>
            </w:r>
            <w:r w:rsidR="00B95519">
              <w:rPr>
                <w:sz w:val="20"/>
                <w:szCs w:val="20"/>
              </w:rPr>
              <w:t xml:space="preserve"> translated into a database then matched to the NDTMS</w:t>
            </w:r>
            <w:r w:rsidR="00113BDC">
              <w:rPr>
                <w:sz w:val="20"/>
                <w:szCs w:val="20"/>
              </w:rPr>
              <w:t>.</w:t>
            </w:r>
          </w:p>
        </w:tc>
        <w:tc>
          <w:tcPr>
            <w:tcW w:w="1258" w:type="pct"/>
            <w:tcBorders>
              <w:top w:val="single" w:sz="4" w:space="0" w:color="auto"/>
            </w:tcBorders>
            <w:shd w:val="clear" w:color="auto" w:fill="auto"/>
          </w:tcPr>
          <w:p w14:paraId="5CE19E60" w14:textId="01B04499" w:rsidR="00EB2216" w:rsidRPr="00594A61" w:rsidRDefault="00B95519" w:rsidP="00113BDC">
            <w:pPr>
              <w:spacing w:line="276" w:lineRule="auto"/>
              <w:rPr>
                <w:sz w:val="20"/>
                <w:szCs w:val="20"/>
              </w:rPr>
            </w:pPr>
            <w:r>
              <w:rPr>
                <w:sz w:val="20"/>
                <w:szCs w:val="20"/>
              </w:rPr>
              <w:t>NDTMS only.</w:t>
            </w:r>
          </w:p>
        </w:tc>
      </w:tr>
      <w:tr w:rsidR="00B95519" w:rsidRPr="00594A61" w14:paraId="0BF6FA5A" w14:textId="77777777" w:rsidTr="00552ACB">
        <w:trPr>
          <w:cantSplit/>
        </w:trPr>
        <w:tc>
          <w:tcPr>
            <w:tcW w:w="1227" w:type="pct"/>
            <w:tcBorders>
              <w:bottom w:val="single" w:sz="4" w:space="0" w:color="auto"/>
              <w:right w:val="single" w:sz="4" w:space="0" w:color="auto"/>
            </w:tcBorders>
          </w:tcPr>
          <w:p w14:paraId="40718BE5" w14:textId="46EF0506" w:rsidR="00B95519" w:rsidRDefault="00B95519" w:rsidP="000E494A">
            <w:pPr>
              <w:spacing w:line="276" w:lineRule="auto"/>
              <w:rPr>
                <w:sz w:val="20"/>
                <w:szCs w:val="20"/>
              </w:rPr>
            </w:pPr>
            <w:r>
              <w:rPr>
                <w:sz w:val="20"/>
                <w:szCs w:val="20"/>
              </w:rPr>
              <w:t>Costs</w:t>
            </w:r>
          </w:p>
        </w:tc>
        <w:tc>
          <w:tcPr>
            <w:tcW w:w="1257" w:type="pct"/>
            <w:tcBorders>
              <w:left w:val="single" w:sz="4" w:space="0" w:color="auto"/>
              <w:bottom w:val="single" w:sz="4" w:space="0" w:color="auto"/>
            </w:tcBorders>
            <w:shd w:val="clear" w:color="auto" w:fill="auto"/>
          </w:tcPr>
          <w:p w14:paraId="5F10B498" w14:textId="47B6AFD0" w:rsidR="00B95519" w:rsidRDefault="00B95519" w:rsidP="00113BDC">
            <w:pPr>
              <w:spacing w:line="276" w:lineRule="auto"/>
              <w:rPr>
                <w:sz w:val="20"/>
                <w:szCs w:val="20"/>
              </w:rPr>
            </w:pPr>
            <w:r w:rsidRPr="00594A61">
              <w:rPr>
                <w:sz w:val="20"/>
                <w:szCs w:val="20"/>
              </w:rPr>
              <w:t>Bottom-up local costing data</w:t>
            </w:r>
            <w:r>
              <w:rPr>
                <w:sz w:val="20"/>
                <w:szCs w:val="20"/>
              </w:rPr>
              <w:t>.</w:t>
            </w:r>
          </w:p>
        </w:tc>
        <w:tc>
          <w:tcPr>
            <w:tcW w:w="1258" w:type="pct"/>
            <w:tcBorders>
              <w:bottom w:val="single" w:sz="4" w:space="0" w:color="auto"/>
            </w:tcBorders>
            <w:shd w:val="clear" w:color="auto" w:fill="auto"/>
          </w:tcPr>
          <w:p w14:paraId="1EED1458" w14:textId="73631192" w:rsidR="00B95519" w:rsidRDefault="00983C1C" w:rsidP="00113BDC">
            <w:pPr>
              <w:spacing w:line="276" w:lineRule="auto"/>
              <w:rPr>
                <w:sz w:val="20"/>
                <w:szCs w:val="20"/>
              </w:rPr>
            </w:pPr>
            <w:r>
              <w:rPr>
                <w:sz w:val="20"/>
                <w:szCs w:val="20"/>
              </w:rPr>
              <w:t>A mixture of bottom up and top</w:t>
            </w:r>
            <w:r w:rsidR="00B23D48">
              <w:rPr>
                <w:sz w:val="20"/>
                <w:szCs w:val="20"/>
              </w:rPr>
              <w:t>-</w:t>
            </w:r>
            <w:r>
              <w:rPr>
                <w:sz w:val="20"/>
                <w:szCs w:val="20"/>
              </w:rPr>
              <w:t>down estimates based on data availability.</w:t>
            </w:r>
          </w:p>
        </w:tc>
        <w:tc>
          <w:tcPr>
            <w:tcW w:w="1258" w:type="pct"/>
            <w:tcBorders>
              <w:bottom w:val="single" w:sz="4" w:space="0" w:color="auto"/>
            </w:tcBorders>
            <w:shd w:val="clear" w:color="auto" w:fill="auto"/>
          </w:tcPr>
          <w:p w14:paraId="083247BE" w14:textId="470710A9" w:rsidR="00B95519" w:rsidRDefault="00EB1851" w:rsidP="00113BDC">
            <w:pPr>
              <w:spacing w:line="276" w:lineRule="auto"/>
              <w:rPr>
                <w:sz w:val="20"/>
                <w:szCs w:val="20"/>
              </w:rPr>
            </w:pPr>
            <w:r>
              <w:rPr>
                <w:sz w:val="20"/>
                <w:szCs w:val="20"/>
              </w:rPr>
              <w:t>C</w:t>
            </w:r>
            <w:r w:rsidRPr="00594A61">
              <w:rPr>
                <w:sz w:val="20"/>
                <w:szCs w:val="20"/>
              </w:rPr>
              <w:t xml:space="preserve">osts based on top-down estimates of reported </w:t>
            </w:r>
            <w:r>
              <w:rPr>
                <w:sz w:val="20"/>
                <w:szCs w:val="20"/>
              </w:rPr>
              <w:t>local authority spend</w:t>
            </w:r>
            <w:r w:rsidRPr="00594A61">
              <w:rPr>
                <w:sz w:val="20"/>
                <w:szCs w:val="20"/>
              </w:rPr>
              <w:t xml:space="preserve"> and NDTMS activity data</w:t>
            </w:r>
            <w:r w:rsidR="00113BDC">
              <w:rPr>
                <w:sz w:val="20"/>
                <w:szCs w:val="20"/>
              </w:rPr>
              <w:t>.</w:t>
            </w:r>
          </w:p>
        </w:tc>
      </w:tr>
    </w:tbl>
    <w:p w14:paraId="45095E77" w14:textId="41F1E659" w:rsidR="003E075F" w:rsidRPr="003E075F" w:rsidRDefault="003E075F" w:rsidP="003E075F">
      <w:pPr>
        <w:pStyle w:val="NoSpacing"/>
      </w:pPr>
    </w:p>
    <w:p w14:paraId="0612183B" w14:textId="5AC05629" w:rsidR="00492EE0" w:rsidRDefault="00DA4D03" w:rsidP="00DA4D03">
      <w:pPr>
        <w:spacing w:line="360" w:lineRule="auto"/>
      </w:pPr>
      <w:r>
        <w:t>It was anticipated that using local authority data,</w:t>
      </w:r>
      <w:r w:rsidR="00492EE0">
        <w:t xml:space="preserve"> three </w:t>
      </w:r>
      <w:r w:rsidR="009A08C9">
        <w:t>treatment strategies</w:t>
      </w:r>
      <w:r w:rsidR="00492EE0">
        <w:t xml:space="preserve"> </w:t>
      </w:r>
      <w:r>
        <w:t>could</w:t>
      </w:r>
      <w:r w:rsidR="00492EE0">
        <w:t xml:space="preserve"> be analysed and compared</w:t>
      </w:r>
      <w:r>
        <w:t xml:space="preserve"> (</w:t>
      </w:r>
      <w:r w:rsidRPr="000D5991">
        <w:t xml:space="preserve">see </w:t>
      </w:r>
      <w:r w:rsidR="002B1FB9" w:rsidRPr="000D5991">
        <w:t>Figure 2.1-1</w:t>
      </w:r>
      <w:r w:rsidR="002B1FB9">
        <w:t xml:space="preserve"> </w:t>
      </w:r>
      <w:r>
        <w:t>for a schematic)</w:t>
      </w:r>
      <w:r w:rsidR="00492EE0">
        <w:t xml:space="preserve">: </w:t>
      </w:r>
    </w:p>
    <w:p w14:paraId="5D2AA0A8" w14:textId="2E800846" w:rsidR="007D544E" w:rsidRDefault="007D544E" w:rsidP="007E1B3B">
      <w:pPr>
        <w:pStyle w:val="ListParagraph"/>
        <w:numPr>
          <w:ilvl w:val="0"/>
          <w:numId w:val="27"/>
        </w:numPr>
        <w:spacing w:line="360" w:lineRule="auto"/>
        <w:ind w:left="357" w:hanging="357"/>
      </w:pPr>
      <w:r>
        <w:t xml:space="preserve">parents with SUD are </w:t>
      </w:r>
      <w:r w:rsidR="00870A26">
        <w:t>assigned to</w:t>
      </w:r>
      <w:r w:rsidR="00D6271C">
        <w:t xml:space="preserve"> both treatment and </w:t>
      </w:r>
      <w:r w:rsidR="007B59EB">
        <w:t xml:space="preserve">early help/ </w:t>
      </w:r>
      <w:r w:rsidR="00D6271C">
        <w:t>statutory child welfare services</w:t>
      </w:r>
    </w:p>
    <w:p w14:paraId="0B4EF39C" w14:textId="087BF275" w:rsidR="00D6271C" w:rsidRDefault="00D6271C" w:rsidP="007E1B3B">
      <w:pPr>
        <w:pStyle w:val="ListParagraph"/>
        <w:numPr>
          <w:ilvl w:val="0"/>
          <w:numId w:val="27"/>
        </w:numPr>
        <w:spacing w:line="360" w:lineRule="auto"/>
      </w:pPr>
      <w:r>
        <w:t xml:space="preserve">parents with SUD </w:t>
      </w:r>
      <w:r w:rsidR="00870A26">
        <w:t>are assigned to</w:t>
      </w:r>
      <w:r>
        <w:t xml:space="preserve"> treatment but not </w:t>
      </w:r>
      <w:r w:rsidR="007B59EB">
        <w:t xml:space="preserve">early help/ </w:t>
      </w:r>
      <w:r>
        <w:t>statutory child welfare services</w:t>
      </w:r>
    </w:p>
    <w:p w14:paraId="6F195DE7" w14:textId="4FB24616" w:rsidR="002F09EB" w:rsidRDefault="00D6271C" w:rsidP="007E1B3B">
      <w:pPr>
        <w:pStyle w:val="ListParagraph"/>
        <w:numPr>
          <w:ilvl w:val="0"/>
          <w:numId w:val="27"/>
        </w:numPr>
        <w:spacing w:line="360" w:lineRule="auto"/>
      </w:pPr>
      <w:r>
        <w:t xml:space="preserve">parents with SUD </w:t>
      </w:r>
      <w:r w:rsidR="00CD7240">
        <w:t>not</w:t>
      </w:r>
      <w:r>
        <w:t xml:space="preserve"> engaging </w:t>
      </w:r>
      <w:r w:rsidR="00CD7240">
        <w:t xml:space="preserve">in </w:t>
      </w:r>
      <w:r>
        <w:t xml:space="preserve">treatment but are receiving support from </w:t>
      </w:r>
      <w:r w:rsidR="007B59EB">
        <w:t xml:space="preserve">early help/ </w:t>
      </w:r>
      <w:r>
        <w:t>statutory child welfare services</w:t>
      </w:r>
    </w:p>
    <w:p w14:paraId="39CF0531" w14:textId="77777777" w:rsidR="00D6271C" w:rsidRDefault="00D6271C" w:rsidP="00D6271C">
      <w:pPr>
        <w:pStyle w:val="ListParagraph"/>
        <w:spacing w:line="240" w:lineRule="auto"/>
        <w:ind w:left="360"/>
      </w:pPr>
    </w:p>
    <w:p w14:paraId="47FE476F" w14:textId="0789E764" w:rsidR="0062473D" w:rsidRDefault="002832FB" w:rsidP="0062473D">
      <w:pPr>
        <w:spacing w:line="360" w:lineRule="auto"/>
      </w:pPr>
      <w:r>
        <w:t xml:space="preserve">There was of course, a fourth </w:t>
      </w:r>
      <w:r w:rsidR="00D6271C">
        <w:t>alternative</w:t>
      </w:r>
      <w:r>
        <w:t xml:space="preserve">: parents with SUD </w:t>
      </w:r>
      <w:r w:rsidR="00D6271C">
        <w:t>not engaging with either service</w:t>
      </w:r>
      <w:r>
        <w:t xml:space="preserve">. However, as people on this pathway would neither be on the treatment nor </w:t>
      </w:r>
      <w:r>
        <w:lastRenderedPageBreak/>
        <w:t xml:space="preserve">the children’s social care dataset, the costs and outcomes of this group would not be </w:t>
      </w:r>
      <w:r w:rsidR="00D6271C">
        <w:t>possible</w:t>
      </w:r>
      <w:r>
        <w:t xml:space="preserve"> to estimate and so the focus of the proposed research was on </w:t>
      </w:r>
      <w:r w:rsidR="009A08C9">
        <w:t>strategies</w:t>
      </w:r>
      <w:r>
        <w:t xml:space="preserve"> 1, 2 and 3. In the worst-case scenario, only </w:t>
      </w:r>
      <w:r w:rsidR="0062473D">
        <w:t>strategies</w:t>
      </w:r>
      <w:r>
        <w:t xml:space="preserve"> 1 and 2 could be explored.</w:t>
      </w:r>
    </w:p>
    <w:p w14:paraId="249B1BC9" w14:textId="77777777" w:rsidR="0062473D" w:rsidRPr="0062473D" w:rsidRDefault="0062473D" w:rsidP="0062473D">
      <w:pPr>
        <w:pStyle w:val="NoSpacing"/>
        <w:spacing w:line="240" w:lineRule="auto"/>
      </w:pPr>
    </w:p>
    <w:p w14:paraId="285DA2B2" w14:textId="4DA9F055" w:rsidR="00492EE0" w:rsidRPr="0062473D" w:rsidRDefault="002B1FB9" w:rsidP="002B1FB9">
      <w:pPr>
        <w:pStyle w:val="Caption"/>
        <w:rPr>
          <w:b w:val="0"/>
          <w:bCs w:val="0"/>
          <w:i/>
          <w:iCs/>
          <w:color w:val="auto"/>
          <w:sz w:val="24"/>
          <w:szCs w:val="24"/>
        </w:rPr>
      </w:pPr>
      <w:bookmarkStart w:id="36" w:name="_Ref175570253"/>
      <w:bookmarkStart w:id="37" w:name="_Toc185845005"/>
      <w:r w:rsidRPr="00367870">
        <w:rPr>
          <w:b w:val="0"/>
          <w:bCs w:val="0"/>
          <w:i/>
          <w:iCs/>
          <w:color w:val="auto"/>
          <w:sz w:val="24"/>
          <w:szCs w:val="24"/>
        </w:rPr>
        <w:t xml:space="preserve">Figure </w:t>
      </w:r>
      <w:r w:rsidRPr="00367870">
        <w:rPr>
          <w:b w:val="0"/>
          <w:bCs w:val="0"/>
          <w:i/>
          <w:iCs/>
          <w:color w:val="auto"/>
          <w:sz w:val="24"/>
          <w:szCs w:val="24"/>
        </w:rPr>
        <w:fldChar w:fldCharType="begin"/>
      </w:r>
      <w:r w:rsidRPr="00367870">
        <w:rPr>
          <w:b w:val="0"/>
          <w:bCs w:val="0"/>
          <w:i/>
          <w:iCs/>
          <w:color w:val="auto"/>
          <w:sz w:val="24"/>
          <w:szCs w:val="24"/>
        </w:rPr>
        <w:instrText xml:space="preserve"> STYLEREF 2 \s </w:instrText>
      </w:r>
      <w:r w:rsidRPr="00367870">
        <w:rPr>
          <w:b w:val="0"/>
          <w:bCs w:val="0"/>
          <w:i/>
          <w:iCs/>
          <w:color w:val="auto"/>
          <w:sz w:val="24"/>
          <w:szCs w:val="24"/>
        </w:rPr>
        <w:fldChar w:fldCharType="separate"/>
      </w:r>
      <w:r w:rsidRPr="00367870">
        <w:rPr>
          <w:b w:val="0"/>
          <w:bCs w:val="0"/>
          <w:i/>
          <w:iCs/>
          <w:color w:val="auto"/>
          <w:sz w:val="24"/>
          <w:szCs w:val="24"/>
        </w:rPr>
        <w:t>2.1</w:t>
      </w:r>
      <w:r w:rsidRPr="00367870">
        <w:rPr>
          <w:b w:val="0"/>
          <w:bCs w:val="0"/>
          <w:i/>
          <w:iCs/>
          <w:color w:val="auto"/>
          <w:sz w:val="24"/>
          <w:szCs w:val="24"/>
        </w:rPr>
        <w:fldChar w:fldCharType="end"/>
      </w:r>
      <w:r w:rsidRPr="00367870">
        <w:rPr>
          <w:b w:val="0"/>
          <w:bCs w:val="0"/>
          <w:i/>
          <w:iCs/>
          <w:color w:val="auto"/>
          <w:sz w:val="24"/>
          <w:szCs w:val="24"/>
        </w:rPr>
        <w:noBreakHyphen/>
      </w:r>
      <w:r w:rsidRPr="00367870">
        <w:rPr>
          <w:b w:val="0"/>
          <w:bCs w:val="0"/>
          <w:i/>
          <w:iCs/>
          <w:color w:val="auto"/>
          <w:sz w:val="24"/>
          <w:szCs w:val="24"/>
        </w:rPr>
        <w:fldChar w:fldCharType="begin"/>
      </w:r>
      <w:r w:rsidRPr="00367870">
        <w:rPr>
          <w:b w:val="0"/>
          <w:bCs w:val="0"/>
          <w:i/>
          <w:iCs/>
          <w:color w:val="auto"/>
          <w:sz w:val="24"/>
          <w:szCs w:val="24"/>
        </w:rPr>
        <w:instrText xml:space="preserve"> SEQ Figure \* ARABIC \s 2 </w:instrText>
      </w:r>
      <w:r w:rsidRPr="00367870">
        <w:rPr>
          <w:b w:val="0"/>
          <w:bCs w:val="0"/>
          <w:i/>
          <w:iCs/>
          <w:color w:val="auto"/>
          <w:sz w:val="24"/>
          <w:szCs w:val="24"/>
        </w:rPr>
        <w:fldChar w:fldCharType="separate"/>
      </w:r>
      <w:r w:rsidRPr="00367870">
        <w:rPr>
          <w:b w:val="0"/>
          <w:bCs w:val="0"/>
          <w:i/>
          <w:iCs/>
          <w:color w:val="auto"/>
          <w:sz w:val="24"/>
          <w:szCs w:val="24"/>
        </w:rPr>
        <w:t>1</w:t>
      </w:r>
      <w:r w:rsidRPr="00367870">
        <w:rPr>
          <w:b w:val="0"/>
          <w:bCs w:val="0"/>
          <w:i/>
          <w:iCs/>
          <w:color w:val="auto"/>
          <w:sz w:val="24"/>
          <w:szCs w:val="24"/>
        </w:rPr>
        <w:fldChar w:fldCharType="end"/>
      </w:r>
      <w:r w:rsidR="0062473D">
        <w:rPr>
          <w:b w:val="0"/>
          <w:bCs w:val="0"/>
          <w:i/>
          <w:iCs/>
          <w:color w:val="auto"/>
          <w:sz w:val="24"/>
          <w:szCs w:val="24"/>
        </w:rPr>
        <w:tab/>
      </w:r>
      <w:r w:rsidR="004B6B33">
        <w:rPr>
          <w:b w:val="0"/>
          <w:bCs w:val="0"/>
          <w:i/>
          <w:iCs/>
          <w:color w:val="auto"/>
          <w:sz w:val="24"/>
          <w:szCs w:val="24"/>
        </w:rPr>
        <w:t xml:space="preserve">Treatment strategies </w:t>
      </w:r>
      <w:r w:rsidR="00492EE0" w:rsidRPr="0062473D">
        <w:rPr>
          <w:b w:val="0"/>
          <w:bCs w:val="0"/>
          <w:i/>
          <w:iCs/>
          <w:color w:val="auto"/>
          <w:sz w:val="24"/>
          <w:szCs w:val="24"/>
        </w:rPr>
        <w:t>schematic</w:t>
      </w:r>
      <w:bookmarkEnd w:id="36"/>
      <w:bookmarkEnd w:id="37"/>
      <w:r w:rsidR="00492EE0" w:rsidRPr="0062473D">
        <w:rPr>
          <w:b w:val="0"/>
          <w:bCs w:val="0"/>
          <w:i/>
          <w:iCs/>
          <w:color w:val="auto"/>
          <w:sz w:val="24"/>
          <w:szCs w:val="24"/>
        </w:rPr>
        <w:t xml:space="preserve"> </w:t>
      </w:r>
    </w:p>
    <w:p w14:paraId="51195776" w14:textId="77777777" w:rsidR="00DA4D03" w:rsidRPr="00DA4D03" w:rsidRDefault="00DA4D03" w:rsidP="00DA4D03"/>
    <w:p w14:paraId="03AC8700" w14:textId="3F64CBAA" w:rsidR="00492EE0" w:rsidRDefault="00492EE0" w:rsidP="00F6202E">
      <w:pPr>
        <w:spacing w:line="276" w:lineRule="auto"/>
      </w:pPr>
      <w:r>
        <w:rPr>
          <w:noProof/>
          <w:lang w:eastAsia="en-GB"/>
        </w:rPr>
        <mc:AlternateContent>
          <mc:Choice Requires="wps">
            <w:drawing>
              <wp:anchor distT="0" distB="0" distL="114300" distR="114300" simplePos="0" relativeHeight="251675648" behindDoc="0" locked="0" layoutInCell="1" allowOverlap="1" wp14:anchorId="194AD566" wp14:editId="72014A34">
                <wp:simplePos x="0" y="0"/>
                <wp:positionH relativeFrom="column">
                  <wp:posOffset>2367280</wp:posOffset>
                </wp:positionH>
                <wp:positionV relativeFrom="paragraph">
                  <wp:posOffset>680058</wp:posOffset>
                </wp:positionV>
                <wp:extent cx="795020" cy="1453648"/>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795020" cy="1453648"/>
                        </a:xfrm>
                        <a:prstGeom prst="rect">
                          <a:avLst/>
                        </a:prstGeom>
                        <a:noFill/>
                        <a:ln w="6350">
                          <a:noFill/>
                        </a:ln>
                      </wps:spPr>
                      <wps:txbx>
                        <w:txbxContent>
                          <w:p w14:paraId="4AD5FE61" w14:textId="77777777" w:rsidR="00492EE0" w:rsidRDefault="00492EE0" w:rsidP="00492EE0">
                            <w:pPr>
                              <w:rPr>
                                <w:sz w:val="36"/>
                                <w:szCs w:val="36"/>
                              </w:rPr>
                            </w:pPr>
                          </w:p>
                          <w:p w14:paraId="0E8CB8F7" w14:textId="6CEA80CD" w:rsidR="00492EE0" w:rsidRPr="0068671F" w:rsidRDefault="00492EE0" w:rsidP="00492EE0">
                            <w:pPr>
                              <w:jc w:val="center"/>
                              <w:rPr>
                                <w:szCs w:val="24"/>
                              </w:rPr>
                            </w:pPr>
                            <w:r w:rsidRPr="0068671F">
                              <w:rPr>
                                <w:szCs w:val="24"/>
                              </w:rPr>
                              <w:t>1</w:t>
                            </w:r>
                            <w:r>
                              <w:rPr>
                                <w:szCs w:val="24"/>
                              </w:rPr>
                              <w:t xml:space="preserve">: </w:t>
                            </w:r>
                            <w:r w:rsidR="004B6B33">
                              <w:rPr>
                                <w:szCs w:val="24"/>
                              </w:rPr>
                              <w:t xml:space="preserve">Families receive </w:t>
                            </w:r>
                            <w:r w:rsidR="00870A26">
                              <w:rPr>
                                <w:szCs w:val="24"/>
                              </w:rPr>
                              <w:t>b</w:t>
                            </w:r>
                            <w:r>
                              <w:rPr>
                                <w:szCs w:val="24"/>
                              </w:rPr>
                              <w:t>oth</w:t>
                            </w:r>
                            <w:r w:rsidR="00870A26">
                              <w:rPr>
                                <w:szCs w:val="24"/>
                              </w:rPr>
                              <w:t xml:space="preserve"> kinds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AD566" id="_x0000_t202" coordsize="21600,21600" o:spt="202" path="m,l,21600r21600,l21600,xe">
                <v:stroke joinstyle="miter"/>
                <v:path gradientshapeok="t" o:connecttype="rect"/>
              </v:shapetype>
              <v:shape id="Text Box 216" o:spid="_x0000_s1026" type="#_x0000_t202" style="position:absolute;margin-left:186.4pt;margin-top:53.55pt;width:62.6pt;height:11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" filled="f" stroked="f" strokeweight=".5pt">
                <v:textbox>
                  <w:txbxContent>
                    <w:p w14:paraId="4AD5FE61" w14:textId="77777777" w:rsidR="00492EE0" w:rsidRDefault="00492EE0" w:rsidP="00492EE0">
                      <w:pPr>
                        <w:rPr>
                          <w:sz w:val="36"/>
                          <w:szCs w:val="36"/>
                        </w:rPr>
                      </w:pPr>
                    </w:p>
                    <w:p w14:paraId="0E8CB8F7" w14:textId="6CEA80CD" w:rsidR="00492EE0" w:rsidRPr="0068671F" w:rsidRDefault="00492EE0" w:rsidP="00492EE0">
                      <w:pPr>
                        <w:jc w:val="center"/>
                        <w:rPr>
                          <w:szCs w:val="24"/>
                        </w:rPr>
                      </w:pPr>
                      <w:r w:rsidRPr="0068671F">
                        <w:rPr>
                          <w:szCs w:val="24"/>
                        </w:rPr>
                        <w:t>1</w:t>
                      </w:r>
                      <w:r>
                        <w:rPr>
                          <w:szCs w:val="24"/>
                        </w:rPr>
                        <w:t xml:space="preserve">: </w:t>
                      </w:r>
                      <w:r w:rsidR="004B6B33">
                        <w:rPr>
                          <w:szCs w:val="24"/>
                        </w:rPr>
                        <w:t xml:space="preserve">Families receive </w:t>
                      </w:r>
                      <w:r w:rsidR="00870A26">
                        <w:rPr>
                          <w:szCs w:val="24"/>
                        </w:rPr>
                        <w:t>b</w:t>
                      </w:r>
                      <w:r>
                        <w:rPr>
                          <w:szCs w:val="24"/>
                        </w:rPr>
                        <w:t>oth</w:t>
                      </w:r>
                      <w:r w:rsidR="00870A26">
                        <w:rPr>
                          <w:szCs w:val="24"/>
                        </w:rPr>
                        <w:t xml:space="preserve"> kinds of support</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1E0EFE4D" wp14:editId="02B6E171">
                <wp:simplePos x="0" y="0"/>
                <wp:positionH relativeFrom="column">
                  <wp:posOffset>958850</wp:posOffset>
                </wp:positionH>
                <wp:positionV relativeFrom="paragraph">
                  <wp:posOffset>86360</wp:posOffset>
                </wp:positionV>
                <wp:extent cx="3568700" cy="393700"/>
                <wp:effectExtent l="0" t="0" r="0" b="6350"/>
                <wp:wrapNone/>
                <wp:docPr id="220" name="Text Box 220"/>
                <wp:cNvGraphicFramePr/>
                <a:graphic xmlns:a="http://schemas.openxmlformats.org/drawingml/2006/main">
                  <a:graphicData uri="http://schemas.microsoft.com/office/word/2010/wordprocessingShape">
                    <wps:wsp>
                      <wps:cNvSpPr txBox="1"/>
                      <wps:spPr>
                        <a:xfrm>
                          <a:off x="0" y="0"/>
                          <a:ext cx="3568700" cy="393700"/>
                        </a:xfrm>
                        <a:prstGeom prst="rect">
                          <a:avLst/>
                        </a:prstGeom>
                        <a:noFill/>
                        <a:ln w="6350">
                          <a:noFill/>
                        </a:ln>
                      </wps:spPr>
                      <wps:txbx>
                        <w:txbxContent>
                          <w:p w14:paraId="160694B0" w14:textId="12AE5BB1" w:rsidR="00492EE0" w:rsidRPr="0068671F" w:rsidRDefault="00492EE0" w:rsidP="00492EE0">
                            <w:pPr>
                              <w:jc w:val="center"/>
                              <w:rPr>
                                <w:szCs w:val="24"/>
                              </w:rPr>
                            </w:pPr>
                            <w:r w:rsidRPr="0068671F">
                              <w:rPr>
                                <w:szCs w:val="24"/>
                              </w:rPr>
                              <w:t xml:space="preserve">4: </w:t>
                            </w:r>
                            <w:r>
                              <w:rPr>
                                <w:szCs w:val="24"/>
                              </w:rPr>
                              <w:t>No support (u</w:t>
                            </w:r>
                            <w:r w:rsidRPr="0068671F">
                              <w:rPr>
                                <w:szCs w:val="24"/>
                              </w:rPr>
                              <w:t>nmet need</w:t>
                            </w:r>
                            <w:r>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EFE4D" id="Text Box 220" o:spid="_x0000_s1027" type="#_x0000_t202" style="position:absolute;margin-left:75.5pt;margin-top:6.8pt;width:281pt;height: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8iRFwIAAD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" filled="f" stroked="f" strokeweight=".5pt">
                <v:textbox>
                  <w:txbxContent>
                    <w:p w14:paraId="160694B0" w14:textId="12AE5BB1" w:rsidR="00492EE0" w:rsidRPr="0068671F" w:rsidRDefault="00492EE0" w:rsidP="00492EE0">
                      <w:pPr>
                        <w:jc w:val="center"/>
                        <w:rPr>
                          <w:szCs w:val="24"/>
                        </w:rPr>
                      </w:pPr>
                      <w:r w:rsidRPr="0068671F">
                        <w:rPr>
                          <w:szCs w:val="24"/>
                        </w:rPr>
                        <w:t xml:space="preserve">4: </w:t>
                      </w:r>
                      <w:r>
                        <w:rPr>
                          <w:szCs w:val="24"/>
                        </w:rPr>
                        <w:t>No support (u</w:t>
                      </w:r>
                      <w:r w:rsidRPr="0068671F">
                        <w:rPr>
                          <w:szCs w:val="24"/>
                        </w:rPr>
                        <w:t>nmet need</w:t>
                      </w:r>
                      <w:r>
                        <w:rPr>
                          <w:szCs w:val="24"/>
                        </w:rPr>
                        <w:t>)</w:t>
                      </w:r>
                    </w:p>
                  </w:txbxContent>
                </v:textbox>
              </v:shape>
            </w:pict>
          </mc:Fallback>
        </mc:AlternateContent>
      </w:r>
      <w:r>
        <w:rPr>
          <w:noProof/>
          <w:lang w:eastAsia="en-GB"/>
        </w:rPr>
        <w:drawing>
          <wp:inline distT="0" distB="0" distL="0" distR="0" wp14:anchorId="3B340E35" wp14:editId="454AE682">
            <wp:extent cx="5486400" cy="3200400"/>
            <wp:effectExtent l="0" t="0" r="0" b="0"/>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E363407" w14:textId="74851D0A" w:rsidR="007104F4" w:rsidRDefault="007104F4" w:rsidP="00F204D6">
      <w:pPr>
        <w:pStyle w:val="Heading3"/>
        <w:numPr>
          <w:ilvl w:val="2"/>
          <w:numId w:val="19"/>
        </w:numPr>
        <w:spacing w:line="360" w:lineRule="auto"/>
      </w:pPr>
      <w:bookmarkStart w:id="38" w:name="_Toc189229663"/>
      <w:r>
        <w:t>The COVID-19 pandemic</w:t>
      </w:r>
      <w:r w:rsidR="00B3301B">
        <w:t xml:space="preserve"> and its impact on the initial thesis plan</w:t>
      </w:r>
      <w:bookmarkEnd w:id="38"/>
    </w:p>
    <w:p w14:paraId="17347D44" w14:textId="070569C3" w:rsidR="006B699C" w:rsidRDefault="00C338BC" w:rsidP="00F60403">
      <w:pPr>
        <w:pStyle w:val="NoSpacing"/>
        <w:spacing w:line="360" w:lineRule="auto"/>
      </w:pPr>
      <w:r w:rsidRPr="00C338BC">
        <w:t xml:space="preserve">In early </w:t>
      </w:r>
      <w:r>
        <w:t xml:space="preserve">2020, the COVID-19 virus </w:t>
      </w:r>
      <w:r w:rsidR="001D161C">
        <w:t xml:space="preserve">began spreading in the UK. </w:t>
      </w:r>
      <w:r w:rsidR="006210F6">
        <w:t>On 11</w:t>
      </w:r>
      <w:r w:rsidR="00947EE4">
        <w:t xml:space="preserve"> March 2020, the World Health </w:t>
      </w:r>
      <w:r w:rsidR="00924CDF">
        <w:t xml:space="preserve">Organisation </w:t>
      </w:r>
      <w:r w:rsidR="00350218">
        <w:t xml:space="preserve">characterised </w:t>
      </w:r>
      <w:r w:rsidR="009D15B7">
        <w:t>the virus as a</w:t>
      </w:r>
      <w:r w:rsidR="00924CDF">
        <w:t xml:space="preserve"> global pandemic</w:t>
      </w:r>
      <w:r w:rsidR="004B4898">
        <w:t xml:space="preserve"> </w:t>
      </w:r>
      <w:r w:rsidR="00E711B7">
        <w:fldChar w:fldCharType="begin"/>
      </w:r>
      <w:r w:rsidR="00B9334F">
        <w:instrText xml:space="preserve"> ADDIN EN.CITE &lt;EndNote&gt;&lt;Cite&gt;&lt;Author&gt;WHO&lt;/Author&gt;&lt;Year&gt;2020&lt;/Year&gt;&lt;RecNum&gt;313&lt;/RecNum&gt;&lt;DisplayText&gt;(WHO, 2020)&lt;/DisplayText&gt;&lt;record&gt;&lt;rec-number&gt;313&lt;/rec-number&gt;&lt;foreign-keys&gt;&lt;key app="EN" db-id="ffzvr5fstavwxoe9v04xf0wmp5t50as52da0" timestamp="1731671658" guid="6bb60908-d673-4e25-896f-7def6f807507"&gt;313&lt;/key&gt;&lt;/foreign-keys&gt;&lt;ref-type name="Web Page"&gt;12&lt;/ref-type&gt;&lt;contributors&gt;&lt;authors&gt;&lt;author&gt;WHO&lt;/author&gt;&lt;/authors&gt;&lt;/contributors&gt;&lt;titles&gt;&lt;title&gt;Archived: WHO Timeline - COVID-19&lt;/title&gt;&lt;/titles&gt;&lt;volume&gt;2024&lt;/volume&gt;&lt;number&gt;26/08/2024&lt;/number&gt;&lt;dates&gt;&lt;year&gt;2020&lt;/year&gt;&lt;/dates&gt;&lt;publisher&gt;World Health Organization&lt;/publisher&gt;&lt;urls&gt;&lt;related-urls&gt;&lt;url&gt;https://www.who.int/news/item/27-04-2020-who-timeline---covid-19&lt;/url&gt;&lt;/related-urls&gt;&lt;/urls&gt;&lt;/record&gt;&lt;/Cite&gt;&lt;/EndNote&gt;</w:instrText>
      </w:r>
      <w:r w:rsidR="00E711B7">
        <w:fldChar w:fldCharType="separate"/>
      </w:r>
      <w:r w:rsidR="00A77498">
        <w:rPr>
          <w:noProof/>
        </w:rPr>
        <w:t>(WHO, 2020)</w:t>
      </w:r>
      <w:r w:rsidR="00E711B7">
        <w:fldChar w:fldCharType="end"/>
      </w:r>
      <w:r w:rsidR="00924CDF">
        <w:t>. Shortly after</w:t>
      </w:r>
      <w:r w:rsidR="0067726B">
        <w:t>,</w:t>
      </w:r>
      <w:r w:rsidR="00924CDF">
        <w:t xml:space="preserve"> the UK went into </w:t>
      </w:r>
      <w:r w:rsidR="006210F6">
        <w:t xml:space="preserve">its first national lockdown. What followed </w:t>
      </w:r>
      <w:r w:rsidR="00516BC6">
        <w:t xml:space="preserve">were almost </w:t>
      </w:r>
      <w:r w:rsidR="00BB066D">
        <w:t>a year of lockdowns</w:t>
      </w:r>
      <w:r w:rsidR="00FE59DB">
        <w:t>, legislation/ emergency powers</w:t>
      </w:r>
      <w:r w:rsidR="00BB066D">
        <w:t xml:space="preserve"> and restr</w:t>
      </w:r>
      <w:r w:rsidR="00A97817">
        <w:t>ictions being introduced</w:t>
      </w:r>
      <w:r w:rsidR="00480C20">
        <w:t xml:space="preserve">, followed by another year of restrictions </w:t>
      </w:r>
      <w:r w:rsidR="006B466A">
        <w:t>slowly easing</w:t>
      </w:r>
      <w:r w:rsidR="003B54F8">
        <w:t xml:space="preserve"> </w:t>
      </w:r>
      <w:r w:rsidR="003B54F8">
        <w:fldChar w:fldCharType="begin"/>
      </w:r>
      <w:r w:rsidR="00B9334F">
        <w:instrText xml:space="preserve"> ADDIN EN.CITE &lt;EndNote&gt;&lt;Cite&gt;&lt;Author&gt;Institute for Government&lt;/Author&gt;&lt;Year&gt;2022&lt;/Year&gt;&lt;RecNum&gt;314&lt;/RecNum&gt;&lt;DisplayText&gt;(Institute for Government, 2022)&lt;/DisplayText&gt;&lt;record&gt;&lt;rec-number&gt;314&lt;/rec-number&gt;&lt;foreign-keys&gt;&lt;key app="EN" db-id="ffzvr5fstavwxoe9v04xf0wmp5t50as52da0" timestamp="1731671658" guid="f170e7ae-8cea-48b9-9a3e-a882f28c8c94"&gt;314&lt;/key&gt;&lt;/foreign-keys&gt;&lt;ref-type name="Web Page"&gt;12&lt;/ref-type&gt;&lt;contributors&gt;&lt;authors&gt;&lt;author&gt;Institute for Government,&lt;/author&gt;&lt;/authors&gt;&lt;/contributors&gt;&lt;titles&gt;&lt;title&gt;Timeline of UK government coronavirus lockdowns and restrictions&lt;/title&gt;&lt;/titles&gt;&lt;volume&gt;2024&lt;/volume&gt;&lt;number&gt;26/08/2024&lt;/number&gt;&lt;dates&gt;&lt;year&gt;2022&lt;/year&gt;&lt;/dates&gt;&lt;publisher&gt;Institute for Government,&lt;/publisher&gt;&lt;urls&gt;&lt;related-urls&gt;&lt;url&gt;https://www.instituteforgovernment.org.uk/sites/default/files/2022-12/timeline-coronavirus-lockdown-december-2021.pdf&lt;/url&gt;&lt;/related-urls&gt;&lt;/urls&gt;&lt;/record&gt;&lt;/Cite&gt;&lt;/EndNote&gt;</w:instrText>
      </w:r>
      <w:r w:rsidR="003B54F8">
        <w:fldChar w:fldCharType="separate"/>
      </w:r>
      <w:r w:rsidR="00A77498">
        <w:rPr>
          <w:noProof/>
        </w:rPr>
        <w:t>(Institute for Government, 2022)</w:t>
      </w:r>
      <w:r w:rsidR="003B54F8">
        <w:fldChar w:fldCharType="end"/>
      </w:r>
      <w:r w:rsidR="006B466A">
        <w:t xml:space="preserve">. </w:t>
      </w:r>
    </w:p>
    <w:p w14:paraId="149BE54C" w14:textId="77777777" w:rsidR="006B699C" w:rsidRDefault="006B699C" w:rsidP="00F60403">
      <w:pPr>
        <w:pStyle w:val="NoSpacing"/>
        <w:spacing w:line="360" w:lineRule="auto"/>
      </w:pPr>
    </w:p>
    <w:p w14:paraId="72F2D44D" w14:textId="604263DC" w:rsidR="003A4E8D" w:rsidRDefault="006B466A" w:rsidP="00F60403">
      <w:pPr>
        <w:pStyle w:val="NoSpacing"/>
        <w:spacing w:line="360" w:lineRule="auto"/>
        <w:rPr>
          <w:rFonts w:eastAsia="Calibri"/>
        </w:rPr>
      </w:pPr>
      <w:r>
        <w:t xml:space="preserve">During this time, </w:t>
      </w:r>
      <w:r w:rsidR="00E05D2B">
        <w:rPr>
          <w:rFonts w:eastAsia="Calibri"/>
        </w:rPr>
        <w:t xml:space="preserve">there </w:t>
      </w:r>
      <w:r w:rsidR="007F33FA">
        <w:rPr>
          <w:rFonts w:eastAsia="Calibri"/>
        </w:rPr>
        <w:t xml:space="preserve">were </w:t>
      </w:r>
      <w:r w:rsidR="00E05D2B">
        <w:rPr>
          <w:rFonts w:eastAsia="Calibri"/>
        </w:rPr>
        <w:t>increasing reports of parents drinking or using drugs more to cope with isolation</w:t>
      </w:r>
      <w:r w:rsidR="00D723A1">
        <w:rPr>
          <w:rFonts w:eastAsia="Calibri"/>
        </w:rPr>
        <w:t xml:space="preserve">, </w:t>
      </w:r>
      <w:r w:rsidR="00E05D2B">
        <w:rPr>
          <w:rFonts w:eastAsia="Calibri"/>
        </w:rPr>
        <w:t>stress</w:t>
      </w:r>
      <w:r w:rsidR="00553BD2">
        <w:rPr>
          <w:rFonts w:cs="Times New Roman"/>
          <w:lang w:eastAsia="en-GB"/>
        </w:rPr>
        <w:t xml:space="preserve"> </w:t>
      </w:r>
      <w:r w:rsidR="00E05D2B">
        <w:rPr>
          <w:rFonts w:eastAsia="Calibri"/>
        </w:rPr>
        <w:t xml:space="preserve">and domestic </w:t>
      </w:r>
      <w:r w:rsidR="008C4D7F">
        <w:rPr>
          <w:rFonts w:eastAsia="Calibri"/>
        </w:rPr>
        <w:t>ab</w:t>
      </w:r>
      <w:r w:rsidR="00E05D2B">
        <w:rPr>
          <w:rFonts w:eastAsia="Calibri"/>
        </w:rPr>
        <w:t>use</w:t>
      </w:r>
      <w:r w:rsidR="006F1437">
        <w:rPr>
          <w:rFonts w:eastAsia="Calibri"/>
        </w:rPr>
        <w:t xml:space="preserve"> </w:t>
      </w:r>
      <w:r w:rsidR="00724258">
        <w:rPr>
          <w:rFonts w:eastAsia="Calibri"/>
        </w:rPr>
        <w:fldChar w:fldCharType="begin">
          <w:fldData xml:space="preserve">PEVuZE5vdGU+PENpdGU+PEF1dGhvcj5UYXZpc3RvY2sgSW5zdGl0dXRlIG9mIEh1bWFuIFJlbGF0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</w:fldData>
        </w:fldChar>
      </w:r>
      <w:r w:rsidR="00B9334F">
        <w:rPr>
          <w:rFonts w:eastAsia="Calibri"/>
        </w:rPr>
        <w:instrText xml:space="preserve"> ADDIN EN.CITE </w:instrText>
      </w:r>
      <w:r w:rsidR="00B9334F">
        <w:rPr>
          <w:rFonts w:eastAsia="Calibri"/>
        </w:rPr>
        <w:fldChar w:fldCharType="begin">
          <w:fldData xml:space="preserve">PEVuZE5vdGU+PENpdGU+PEF1dGhvcj5UYXZpc3RvY2sgSW5zdGl0dXRlIG9mIEh1bWFuIFJlbGF0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</w:fldData>
        </w:fldChar>
      </w:r>
      <w:r w:rsidR="00B9334F">
        <w:rPr>
          <w:rFonts w:eastAsia="Calibri"/>
        </w:rPr>
        <w:instrText xml:space="preserve"> ADDIN EN.CITE.DATA </w:instrText>
      </w:r>
      <w:r w:rsidR="00B9334F">
        <w:rPr>
          <w:rFonts w:eastAsia="Calibri"/>
        </w:rPr>
      </w:r>
      <w:r w:rsidR="00B9334F">
        <w:rPr>
          <w:rFonts w:eastAsia="Calibri"/>
        </w:rPr>
        <w:fldChar w:fldCharType="end"/>
      </w:r>
      <w:r w:rsidR="00724258">
        <w:rPr>
          <w:rFonts w:eastAsia="Calibri"/>
        </w:rPr>
      </w:r>
      <w:r w:rsidR="00724258">
        <w:rPr>
          <w:rFonts w:eastAsia="Calibri"/>
        </w:rPr>
        <w:fldChar w:fldCharType="separate"/>
      </w:r>
      <w:r w:rsidR="003C6F70">
        <w:rPr>
          <w:rFonts w:eastAsia="Calibri"/>
          <w:noProof/>
        </w:rPr>
        <w:t>(Moore &amp; Churchill, 2020; NSPCC, 2020; Tavistock Institute of Human Relations, 2022)</w:t>
      </w:r>
      <w:r w:rsidR="00724258">
        <w:rPr>
          <w:rFonts w:eastAsia="Calibri"/>
        </w:rPr>
        <w:fldChar w:fldCharType="end"/>
      </w:r>
      <w:r w:rsidR="00E05D2B">
        <w:rPr>
          <w:rFonts w:eastAsia="Calibri"/>
        </w:rPr>
        <w:t xml:space="preserve">. </w:t>
      </w:r>
      <w:r w:rsidR="00407F33" w:rsidRPr="00407F33">
        <w:t xml:space="preserve">In a typical week, the NSPCC helpline receives around 200 reports related </w:t>
      </w:r>
      <w:r w:rsidR="00407F33">
        <w:t xml:space="preserve">to </w:t>
      </w:r>
      <w:r w:rsidR="00407F33" w:rsidRPr="00407F33">
        <w:t>parental alcohol and drug use concerns</w:t>
      </w:r>
      <w:r w:rsidR="00007AA2">
        <w:t xml:space="preserve">, </w:t>
      </w:r>
      <w:r w:rsidR="1D469572">
        <w:t>but</w:t>
      </w:r>
      <w:r w:rsidR="00007AA2">
        <w:t xml:space="preserve"> </w:t>
      </w:r>
      <w:r w:rsidR="00407F33" w:rsidRPr="00407F33">
        <w:t>between April 2020 and January 2021, this had increased by 66%</w:t>
      </w:r>
      <w:r w:rsidR="007F1828">
        <w:t xml:space="preserve"> </w:t>
      </w:r>
      <w:r w:rsidR="007F1828">
        <w:fldChar w:fldCharType="begin"/>
      </w:r>
      <w:r w:rsidR="00B9334F">
        <w:instrText xml:space="preserve"> ADDIN EN.CITE &lt;EndNote&gt;&lt;Cite&gt;&lt;Author&gt;NSPCC&lt;/Author&gt;&lt;Year&gt;2022&lt;/Year&gt;&lt;RecNum&gt;315&lt;/RecNum&gt;&lt;DisplayText&gt;(NSPCC, 2022)&lt;/DisplayText&gt;&lt;record&gt;&lt;rec-number&gt;315&lt;/rec-number&gt;&lt;foreign-keys&gt;&lt;key app="EN" db-id="ffzvr5fstavwxoe9v04xf0wmp5t50as52da0" timestamp="1731671658" guid="1924516a-4bcf-4e9f-9215-7c0309ed57ad"&gt;315&lt;/key&gt;&lt;/foreign-keys&gt;&lt;ref-type name="Web Page"&gt;12&lt;/ref-type&gt;&lt;contributors&gt;&lt;authors&gt;&lt;author&gt;NSPCC&lt;/author&gt;&lt;/authors&gt;&lt;/contributors&gt;&lt;titles&gt;&lt;title&gt;Contacts to the NSPCC about drug and alcohol misuse among parents soar during the pandemic&lt;/title&gt;&lt;/titles&gt;&lt;volume&gt;2024&lt;/volume&gt;&lt;number&gt;26/08/2024&lt;/number&gt;&lt;dates&gt;&lt;year&gt;2022&lt;/year&gt;&lt;/dates&gt;&lt;publisher&gt;NSPCC&lt;/publisher&gt;&lt;urls&gt;&lt;related-urls&gt;&lt;url&gt;https://www.nspcc.org.uk/about-us/news-opinion/2021/parents-drug-and-alcohol-misuse-raises-concerns-as-reports-to-nspcc--soars-during-the-pandemic/?utm_source=Adestra&amp;amp;utm_medium=email&amp;amp;utm_content=Contacts%20to%20the%20NSPCC%20about%20drug%20and%20alcohol%20misuse%20among%20parents%20soar%20during%20the%20pandemic&amp;amp;utm_campaign=20210222_KIS_CASPAR_February22&lt;/url&gt;&lt;/related-urls&gt;&lt;/urls&gt;&lt;/record&gt;&lt;/Cite&gt;&lt;/EndNote&gt;</w:instrText>
      </w:r>
      <w:r w:rsidR="007F1828">
        <w:fldChar w:fldCharType="separate"/>
      </w:r>
      <w:r w:rsidR="00A77498">
        <w:rPr>
          <w:noProof/>
        </w:rPr>
        <w:t>(NSPCC, 2022)</w:t>
      </w:r>
      <w:r w:rsidR="007F1828">
        <w:fldChar w:fldCharType="end"/>
      </w:r>
      <w:r w:rsidR="00007AA2">
        <w:t>.</w:t>
      </w:r>
      <w:r w:rsidR="006B699C">
        <w:rPr>
          <w:rFonts w:eastAsia="Calibri"/>
        </w:rPr>
        <w:t xml:space="preserve"> </w:t>
      </w:r>
      <w:r w:rsidR="00E05D2B">
        <w:rPr>
          <w:rFonts w:eastAsia="Calibri"/>
        </w:rPr>
        <w:t xml:space="preserve">Some vulnerable children lost their usual protective factors during </w:t>
      </w:r>
      <w:r w:rsidR="00E05D2B" w:rsidRPr="00B36649">
        <w:rPr>
          <w:rStyle w:val="normaltextrun"/>
        </w:rPr>
        <w:t>social isolation and lockdown</w:t>
      </w:r>
      <w:r w:rsidR="00407F33">
        <w:rPr>
          <w:rStyle w:val="normaltextrun"/>
        </w:rPr>
        <w:t>s</w:t>
      </w:r>
      <w:r w:rsidR="00E05D2B">
        <w:rPr>
          <w:rFonts w:eastAsia="Calibri"/>
        </w:rPr>
        <w:t>, such as regularly attending school or visiting grandparents. Concerns were also raised about the detrimental effect</w:t>
      </w:r>
      <w:r w:rsidR="00E05D2B">
        <w:rPr>
          <w:rStyle w:val="normaltextrun"/>
        </w:rPr>
        <w:t xml:space="preserve"> on mothers in </w:t>
      </w:r>
      <w:r w:rsidR="00E05D2B">
        <w:rPr>
          <w:rStyle w:val="normaltextrun"/>
        </w:rPr>
        <w:lastRenderedPageBreak/>
        <w:t xml:space="preserve">recovery who recently gave birth, as they </w:t>
      </w:r>
      <w:r w:rsidR="00FF409D">
        <w:rPr>
          <w:rStyle w:val="normaltextrun"/>
        </w:rPr>
        <w:t>were</w:t>
      </w:r>
      <w:r w:rsidR="00E05D2B">
        <w:rPr>
          <w:rStyle w:val="normaltextrun"/>
        </w:rPr>
        <w:t xml:space="preserve"> at</w:t>
      </w:r>
      <w:r w:rsidR="00E05D2B">
        <w:t xml:space="preserve"> an increased risk of fatal overdose, </w:t>
      </w:r>
      <w:r w:rsidR="103A90FD">
        <w:t xml:space="preserve">because they had lower levels of available </w:t>
      </w:r>
      <w:r w:rsidR="00E05D2B">
        <w:rPr>
          <w:rStyle w:val="normaltextrun"/>
        </w:rPr>
        <w:t>s</w:t>
      </w:r>
      <w:r w:rsidR="00E05D2B" w:rsidRPr="00B36649">
        <w:rPr>
          <w:rStyle w:val="normaltextrun"/>
        </w:rPr>
        <w:t>ocial support</w:t>
      </w:r>
      <w:r w:rsidR="6A377802" w:rsidRPr="00B36649">
        <w:rPr>
          <w:rStyle w:val="normaltextrun"/>
        </w:rPr>
        <w:t>, which</w:t>
      </w:r>
      <w:r w:rsidR="00E05D2B" w:rsidRPr="00B36649">
        <w:rPr>
          <w:rStyle w:val="normaltextrun"/>
        </w:rPr>
        <w:t xml:space="preserve"> </w:t>
      </w:r>
      <w:r w:rsidR="00E05D2B">
        <w:rPr>
          <w:rStyle w:val="normaltextrun"/>
        </w:rPr>
        <w:t>is</w:t>
      </w:r>
      <w:r w:rsidR="00E05D2B" w:rsidRPr="00B36649">
        <w:rPr>
          <w:rStyle w:val="normaltextrun"/>
        </w:rPr>
        <w:t xml:space="preserve"> highly protective against postnatal mood disorders and</w:t>
      </w:r>
      <w:r w:rsidR="00E05D2B">
        <w:rPr>
          <w:rStyle w:val="normaltextrun"/>
        </w:rPr>
        <w:t xml:space="preserve"> critical for</w:t>
      </w:r>
      <w:r w:rsidR="00E05D2B" w:rsidRPr="00B36649">
        <w:rPr>
          <w:rStyle w:val="normaltextrun"/>
        </w:rPr>
        <w:t xml:space="preserve"> healthy </w:t>
      </w:r>
      <w:r w:rsidR="00E05D2B">
        <w:rPr>
          <w:rStyle w:val="normaltextrun"/>
        </w:rPr>
        <w:t xml:space="preserve">early </w:t>
      </w:r>
      <w:r w:rsidR="00E05D2B" w:rsidRPr="00B36649">
        <w:rPr>
          <w:rStyle w:val="normaltextrun"/>
        </w:rPr>
        <w:t>parent-infant bonding</w:t>
      </w:r>
      <w:r w:rsidR="00041BE0">
        <w:rPr>
          <w:rStyle w:val="normaltextrun"/>
        </w:rPr>
        <w:t xml:space="preserve"> </w:t>
      </w:r>
      <w:r w:rsidR="00041BE0">
        <w:rPr>
          <w:rStyle w:val="normaltextrun"/>
        </w:rPr>
        <w:fldChar w:fldCharType="begin"/>
      </w:r>
      <w:r w:rsidR="00B9334F">
        <w:rPr>
          <w:rStyle w:val="normaltextrun"/>
        </w:rPr>
        <w:instrText xml:space="preserve"> ADDIN EN.CITE &lt;EndNote&gt;&lt;Cite&gt;&lt;Author&gt;Clark&lt;/Author&gt;&lt;Year&gt;2021&lt;/Year&gt;&lt;RecNum&gt;318&lt;/RecNum&gt;&lt;DisplayText&gt;(Clark et al., 2021)&lt;/DisplayText&gt;&lt;record&gt;&lt;rec-number&gt;318&lt;/rec-number&gt;&lt;foreign-keys&gt;&lt;key app="EN" db-id="ffzvr5fstavwxoe9v04xf0wmp5t50as52da0" timestamp="1731671658" guid="92c570ee-6c43-4e25-bb38-d3f4cb1aea8e"&gt;318&lt;/key&gt;&lt;/foreign-keys&gt;&lt;ref-type name="Journal Article"&gt;17&lt;/ref-type&gt;&lt;contributors&gt;&lt;authors&gt;&lt;author&gt;Clark, Maria Carolina&lt;/author&gt;&lt;author&gt;Buswell, Jessica&lt;/author&gt;&lt;author&gt;Gold, Claudia&lt;/author&gt;&lt;author&gt;Peacock-Chambers, Elizabeth&lt;/author&gt;&lt;/authors&gt;&lt;/contributors&gt;&lt;titles&gt;&lt;title&gt;A Triple Threat: Parents in Recovery During COVID-19&lt;/title&gt;&lt;secondary-title&gt;Journal of Addiction Medicine&lt;/secondary-title&gt;&lt;/titles&gt;&lt;periodical&gt;&lt;full-title&gt;Journal of Addiction Medicine&lt;/full-title&gt;&lt;/periodical&gt;&lt;pages&gt;446-447&lt;/pages&gt;&lt;volume&gt;15&lt;/volume&gt;&lt;number&gt;6&lt;/number&gt;&lt;keywords&gt;&lt;keyword&gt;coronavirus&lt;/keyword&gt;&lt;keyword&gt;COVID-19&lt;/keyword&gt;&lt;keyword&gt;parenting&lt;/keyword&gt;&lt;keyword&gt;social support&lt;/keyword&gt;&lt;keyword&gt;substance use disorder&lt;/keyword&gt;&lt;/keywords&gt;&lt;dates&gt;&lt;year&gt;2021&lt;/year&gt;&lt;/dates&gt;&lt;isbn&gt;1932-0620&lt;/isbn&gt;&lt;accession-num&gt;01271255-202112000-00003&lt;/accession-num&gt;&lt;urls&gt;&lt;related-urls&gt;&lt;url&gt;https://journals.lww.com/journaladdictionmedicine/fulltext/2021/12000/a_triple_threat__parents_in_recovery_during.3.aspx&lt;/url&gt;&lt;/related-urls&gt;&lt;/urls&gt;&lt;electronic-resource-num&gt;10.1097/adm.0000000000000790&lt;/electronic-resource-num&gt;&lt;/record&gt;&lt;/Cite&gt;&lt;/EndNote&gt;</w:instrText>
      </w:r>
      <w:r w:rsidR="00041BE0">
        <w:rPr>
          <w:rStyle w:val="normaltextrun"/>
        </w:rPr>
        <w:fldChar w:fldCharType="separate"/>
      </w:r>
      <w:r w:rsidR="00A77498">
        <w:rPr>
          <w:rStyle w:val="normaltextrun"/>
          <w:noProof/>
        </w:rPr>
        <w:t>(Clark et al., 2021)</w:t>
      </w:r>
      <w:r w:rsidR="00041BE0">
        <w:rPr>
          <w:rStyle w:val="normaltextrun"/>
        </w:rPr>
        <w:fldChar w:fldCharType="end"/>
      </w:r>
      <w:r w:rsidR="00E05D2B" w:rsidRPr="00B36649">
        <w:rPr>
          <w:rStyle w:val="normaltextrun"/>
        </w:rPr>
        <w:t>.</w:t>
      </w:r>
      <w:r w:rsidR="003A4E8D">
        <w:rPr>
          <w:rStyle w:val="normaltextrun"/>
          <w:rFonts w:eastAsia="Calibri"/>
        </w:rPr>
        <w:t xml:space="preserve"> </w:t>
      </w:r>
      <w:r w:rsidR="00FF409D" w:rsidRPr="06CFF086">
        <w:rPr>
          <w:rFonts w:eastAsia="Times New Roman"/>
        </w:rPr>
        <w:t>C</w:t>
      </w:r>
      <w:r w:rsidR="00E05D2B" w:rsidRPr="06CFF086">
        <w:rPr>
          <w:rFonts w:eastAsia="Times New Roman"/>
        </w:rPr>
        <w:t>hild social workers described an increase in the complexity of their cases, including a rise of alcohol-related parenting issues and an increase in demand of alcohol and drug treatment services</w:t>
      </w:r>
      <w:r w:rsidR="003A2BC2" w:rsidRPr="06CFF086">
        <w:rPr>
          <w:rFonts w:eastAsia="Times New Roman"/>
        </w:rPr>
        <w:t xml:space="preserve"> </w:t>
      </w:r>
      <w:r w:rsidR="003A2BC2" w:rsidRPr="06CFF086">
        <w:rPr>
          <w:rFonts w:eastAsia="Times New Roman"/>
        </w:rPr>
        <w:fldChar w:fldCharType="begin"/>
      </w:r>
      <w:r w:rsidR="00B9334F">
        <w:rPr>
          <w:rFonts w:eastAsia="Times New Roman"/>
        </w:rPr>
        <w:instrText xml:space="preserve"> ADDIN EN.CITE &lt;EndNote&gt;&lt;Cite&gt;&lt;Author&gt;DfE&lt;/Author&gt;&lt;Year&gt;2021&lt;/Year&gt;&lt;RecNum&gt;319&lt;/RecNum&gt;&lt;DisplayText&gt;(DfE, 2021)&lt;/DisplayText&gt;&lt;record&gt;&lt;rec-number&gt;319&lt;/rec-number&gt;&lt;foreign-keys&gt;&lt;key app="EN" db-id="ffzvr5fstavwxoe9v04xf0wmp5t50as52da0" timestamp="1731671658" guid="cda791d3-fb64-4faa-842d-2da2ea244e68"&gt;319&lt;/key&gt;&lt;/foreign-keys&gt;&lt;ref-type name="Government Document"&gt;46&lt;/ref-type&gt;&lt;contributors&gt;&lt;authors&gt;&lt;author&gt;DfE&lt;/author&gt;&lt;/authors&gt;&lt;secondary-authors&gt;&lt;author&gt;Department for Education,&lt;/author&gt;&lt;/secondary-authors&gt;&lt;/contributors&gt;&lt;titles&gt;&lt;title&gt;Vulnerable Children and Young People  Survey: Summary of returns Waves 1 to 17&lt;/title&gt;&lt;/titles&gt;&lt;dates&gt;&lt;year&gt;2021&lt;/year&gt;&lt;/dates&gt;&lt;publisher&gt;Department for Education&lt;/publisher&gt;&lt;urls&gt;&lt;related-urls&gt;&lt;url&gt;https://assets.publishing.service.gov.uk/government/uploads/system/uploads/attachment_data/file/957499/Vulnerable_children_and_young_people_survey_-_waves_1_to_17_-_Feb_2021.pdf&lt;/url&gt;&lt;/related-urls&gt;&lt;/urls&gt;&lt;access-date&gt;26/08/2024&lt;/access-date&gt;&lt;/record&gt;&lt;/Cite&gt;&lt;/EndNote&gt;</w:instrText>
      </w:r>
      <w:r w:rsidR="003A2BC2" w:rsidRPr="06CFF086">
        <w:rPr>
          <w:rFonts w:eastAsia="Times New Roman"/>
        </w:rPr>
        <w:fldChar w:fldCharType="separate"/>
      </w:r>
      <w:r w:rsidR="00A77498">
        <w:rPr>
          <w:rFonts w:eastAsia="Times New Roman"/>
          <w:noProof/>
        </w:rPr>
        <w:t>(DfE, 2021)</w:t>
      </w:r>
      <w:r w:rsidR="003A2BC2" w:rsidRPr="06CFF086">
        <w:rPr>
          <w:rFonts w:eastAsia="Times New Roman"/>
        </w:rPr>
        <w:fldChar w:fldCharType="end"/>
      </w:r>
      <w:r w:rsidR="003A2BC2" w:rsidRPr="06CFF086">
        <w:rPr>
          <w:rFonts w:eastAsia="Times New Roman"/>
        </w:rPr>
        <w:t>.</w:t>
      </w:r>
      <w:r w:rsidR="003A2BC2">
        <w:rPr>
          <w:rFonts w:eastAsia="Calibri"/>
        </w:rPr>
        <w:t xml:space="preserve"> </w:t>
      </w:r>
    </w:p>
    <w:p w14:paraId="47282E3D" w14:textId="77777777" w:rsidR="003A4E8D" w:rsidRDefault="003A4E8D" w:rsidP="00F60403">
      <w:pPr>
        <w:pStyle w:val="NoSpacing"/>
        <w:spacing w:line="360" w:lineRule="auto"/>
        <w:rPr>
          <w:rFonts w:eastAsia="Calibri"/>
        </w:rPr>
      </w:pPr>
    </w:p>
    <w:p w14:paraId="7F912D85" w14:textId="4E17C880" w:rsidR="00486C67" w:rsidRPr="003A4E8D" w:rsidRDefault="00E05D2B" w:rsidP="00F60403">
      <w:pPr>
        <w:pStyle w:val="NoSpacing"/>
        <w:spacing w:line="360" w:lineRule="auto"/>
        <w:rPr>
          <w:rFonts w:eastAsia="Calibri"/>
        </w:rPr>
      </w:pPr>
      <w:r>
        <w:rPr>
          <w:rFonts w:eastAsia="Calibri"/>
        </w:rPr>
        <w:t>Alcohol and drug services ha</w:t>
      </w:r>
      <w:r w:rsidR="00FF409D">
        <w:rPr>
          <w:rFonts w:eastAsia="Calibri"/>
        </w:rPr>
        <w:t>d to</w:t>
      </w:r>
      <w:r>
        <w:rPr>
          <w:rFonts w:eastAsia="Calibri"/>
        </w:rPr>
        <w:t xml:space="preserve"> adapt their support to families</w:t>
      </w:r>
      <w:r w:rsidR="00B60669">
        <w:rPr>
          <w:rFonts w:eastAsia="Calibri"/>
        </w:rPr>
        <w:t xml:space="preserve">. </w:t>
      </w:r>
      <w:r w:rsidR="00B60669">
        <w:t xml:space="preserve">Face-to-face meetings and visits were mostly replaced with online video platforms and/ or calls.  Many older children and parents engaging with treatment and/or </w:t>
      </w:r>
      <w:r w:rsidR="00695827">
        <w:t>statutory child welfare</w:t>
      </w:r>
      <w:r w:rsidR="00B60669">
        <w:t xml:space="preserve"> </w:t>
      </w:r>
      <w:r w:rsidR="00B60669" w:rsidRPr="009B2E08">
        <w:t>responded well to online/ video chats – they are platforms many children are comfortable with and to access support</w:t>
      </w:r>
      <w:r w:rsidR="008D48DA">
        <w:t xml:space="preserve"> and </w:t>
      </w:r>
      <w:r w:rsidR="00B60669" w:rsidRPr="009B2E08">
        <w:t>parents do not need to worry about childcare arrangements.</w:t>
      </w:r>
      <w:r w:rsidR="008D48DA">
        <w:t xml:space="preserve"> </w:t>
      </w:r>
      <w:r w:rsidR="00CF7836">
        <w:t>The</w:t>
      </w:r>
      <w:r w:rsidR="00486C67" w:rsidRPr="009B2E08">
        <w:t xml:space="preserve"> Tavistock Institut</w:t>
      </w:r>
      <w:r w:rsidR="003A2BC2">
        <w:t>e of Human Relations</w:t>
      </w:r>
      <w:r w:rsidR="00486C67" w:rsidRPr="007D33D2">
        <w:t xml:space="preserve">, who </w:t>
      </w:r>
      <w:r w:rsidR="00486C67">
        <w:t xml:space="preserve">surveyed </w:t>
      </w:r>
      <w:r w:rsidR="5C289151">
        <w:t>the local</w:t>
      </w:r>
      <w:r w:rsidR="00486C67" w:rsidRPr="007D33D2">
        <w:t xml:space="preserve"> </w:t>
      </w:r>
      <w:r w:rsidR="00486C67">
        <w:t xml:space="preserve">areas </w:t>
      </w:r>
      <w:r w:rsidR="00486C67" w:rsidRPr="009B2E08">
        <w:t>involved in the Children</w:t>
      </w:r>
      <w:r w:rsidR="00486C67">
        <w:t xml:space="preserve"> of Alcohol Dependents Programme</w:t>
      </w:r>
      <w:r w:rsidR="002F013D">
        <w:t xml:space="preserve"> discussed in chapter 1</w:t>
      </w:r>
      <w:r w:rsidR="003A2BC2">
        <w:t>,</w:t>
      </w:r>
      <w:r w:rsidR="00486C67">
        <w:t xml:space="preserve"> </w:t>
      </w:r>
      <w:r w:rsidR="008D48DA">
        <w:t xml:space="preserve">also </w:t>
      </w:r>
      <w:r w:rsidR="00486C67">
        <w:t xml:space="preserve">found significant challenges to effective support being offered </w:t>
      </w:r>
      <w:r w:rsidR="00CF7836">
        <w:t xml:space="preserve">to </w:t>
      </w:r>
      <w:r w:rsidR="00486C67">
        <w:t>children and families</w:t>
      </w:r>
      <w:r w:rsidR="003A2BC2">
        <w:t xml:space="preserve"> </w:t>
      </w:r>
      <w:r w:rsidR="003A2BC2">
        <w:fldChar w:fldCharType="begin"/>
      </w:r>
      <w:r w:rsidR="00B9334F">
        <w:instrText xml:space="preserve"> ADDIN EN.CITE &lt;EndNote&gt;&lt;Cite&gt;&lt;Author&gt;Tavistock Institute of Human Relations&lt;/Author&gt;&lt;Year&gt;2022&lt;/Year&gt;&lt;RecNum&gt;316&lt;/RecNum&gt;&lt;DisplayText&gt;(Tavistock Institute of Human Relations, 2022)&lt;/DisplayText&gt;&lt;record&gt;&lt;rec-number&gt;316&lt;/rec-number&gt;&lt;foreign-keys&gt;&lt;key app="EN" db-id="ffzvr5fstavwxoe9v04xf0wmp5t50as52da0" timestamp="1731671658" guid="04346c94-6385-4ef6-9977-18e1921a92e8"&gt;316&lt;/key&gt;&lt;/foreign-keys&gt;&lt;ref-type name="Blog"&gt;56&lt;/ref-type&gt;&lt;contributors&gt;&lt;authors&gt;&lt;author&gt;Tavistock Institute of Human Relations,&lt;/author&gt;&lt;/authors&gt;&lt;/contributors&gt;&lt;titles&gt;&lt;title&gt;Life during COVID Times&lt;/title&gt;&lt;/titles&gt;&lt;volume&gt;2024&lt;/volume&gt;&lt;number&gt;26/08/2024&lt;/number&gt;&lt;dates&gt;&lt;year&gt;2022&lt;/year&gt;&lt;/dates&gt;&lt;publisher&gt;Tavistock Institute of Human Relations&lt;/publisher&gt;&lt;urls&gt;&lt;related-urls&gt;&lt;url&gt;https://www.tavinstitute.org/news/life-during-covid-times/&lt;/url&gt;&lt;/related-urls&gt;&lt;/urls&gt;&lt;/record&gt;&lt;/Cite&gt;&lt;/EndNote&gt;</w:instrText>
      </w:r>
      <w:r w:rsidR="003A2BC2">
        <w:fldChar w:fldCharType="separate"/>
      </w:r>
      <w:r w:rsidR="00A77498">
        <w:rPr>
          <w:noProof/>
        </w:rPr>
        <w:t>(Tavistock Institute of Human Relations, 2022)</w:t>
      </w:r>
      <w:r w:rsidR="003A2BC2">
        <w:fldChar w:fldCharType="end"/>
      </w:r>
      <w:r w:rsidR="00486C67">
        <w:t xml:space="preserve">. For example, areas reported digital poverty among some families, which prevented therapeutic care. Internet access was also </w:t>
      </w:r>
      <w:r w:rsidR="00486C67" w:rsidRPr="00481EED">
        <w:t xml:space="preserve">an issue for younger children who do not own a smartphone or </w:t>
      </w:r>
      <w:r w:rsidR="00486C67">
        <w:t xml:space="preserve">have </w:t>
      </w:r>
      <w:r w:rsidR="00486C67" w:rsidRPr="00481EED">
        <w:t>unsupervised access to the internet.</w:t>
      </w:r>
      <w:r w:rsidR="00CF7836">
        <w:t xml:space="preserve"> </w:t>
      </w:r>
      <w:r w:rsidR="00486C67">
        <w:t xml:space="preserve">Therapists spoke of both children and parents not being able to access a safe space in the home from which they could talk openly or engage meaningfully in therapeutic activity. This was particularly true of young people who found it </w:t>
      </w:r>
      <w:r w:rsidR="00486C67" w:rsidRPr="00C86614">
        <w:t xml:space="preserve">difficult to explore thoughts and feelings about </w:t>
      </w:r>
      <w:r w:rsidR="00486C67">
        <w:t xml:space="preserve">their </w:t>
      </w:r>
      <w:r w:rsidR="00486C67" w:rsidRPr="00C86614">
        <w:t>parent</w:t>
      </w:r>
      <w:r w:rsidR="00486C67">
        <w:t>’s</w:t>
      </w:r>
      <w:r w:rsidR="00486C67" w:rsidRPr="00C86614">
        <w:t xml:space="preserve"> </w:t>
      </w:r>
      <w:r w:rsidR="00486C67">
        <w:t>drinking</w:t>
      </w:r>
      <w:r w:rsidR="00486C67" w:rsidRPr="00C86614">
        <w:t xml:space="preserve"> within earshot of their parents. </w:t>
      </w:r>
      <w:r w:rsidR="00486C67">
        <w:t xml:space="preserve">Furthermore, therapists feared </w:t>
      </w:r>
      <w:r w:rsidR="00486C67" w:rsidRPr="00151E5C">
        <w:t xml:space="preserve">that some parents </w:t>
      </w:r>
      <w:r w:rsidR="00CF7836">
        <w:t>were</w:t>
      </w:r>
      <w:r w:rsidR="00486C67" w:rsidRPr="00151E5C">
        <w:t xml:space="preserve"> hiding </w:t>
      </w:r>
      <w:r w:rsidR="00486C67">
        <w:t>problems</w:t>
      </w:r>
      <w:r w:rsidR="00486C67" w:rsidRPr="00151E5C">
        <w:t xml:space="preserve"> </w:t>
      </w:r>
      <w:r w:rsidR="00486C67">
        <w:t xml:space="preserve">which </w:t>
      </w:r>
      <w:r w:rsidR="00CF7836">
        <w:t>would</w:t>
      </w:r>
      <w:r w:rsidR="00486C67">
        <w:t xml:space="preserve"> not be revealed until they reach crisis point</w:t>
      </w:r>
      <w:r w:rsidR="00486C67" w:rsidRPr="00151E5C">
        <w:t xml:space="preserve">. </w:t>
      </w:r>
    </w:p>
    <w:p w14:paraId="51E2FBEC" w14:textId="7F8C4A4A" w:rsidR="00E05D2B" w:rsidRDefault="00E05D2B" w:rsidP="00607A8A">
      <w:pPr>
        <w:pStyle w:val="NoSpacing"/>
        <w:spacing w:line="360" w:lineRule="auto"/>
      </w:pPr>
    </w:p>
    <w:p w14:paraId="42C7DD33" w14:textId="73DAC2A2" w:rsidR="006F4AB3" w:rsidRDefault="00607A8A" w:rsidP="00607A8A">
      <w:pPr>
        <w:pStyle w:val="NoSpacing"/>
        <w:spacing w:line="360" w:lineRule="auto"/>
      </w:pPr>
      <w:r w:rsidRPr="06CFF086">
        <w:t xml:space="preserve">In this context, and not surprisingly, the local authorities who had initially agreed to participate in my thesis were not able or willing to take on the additional work required to help me acquire data (to further complicate matters, some areas did not have the appropriate data sharing agreements in place to share between treatment and social care services), nor did they want a government employee such as myself scrutinising local practice. </w:t>
      </w:r>
      <w:r>
        <w:t xml:space="preserve">I held out for the local authorities for as long as I could in the hope that eventually as </w:t>
      </w:r>
      <w:r w:rsidRPr="06CFF086">
        <w:rPr>
          <w:rFonts w:eastAsia="Calibri"/>
        </w:rPr>
        <w:t>restrictions lift</w:t>
      </w:r>
      <w:r>
        <w:rPr>
          <w:rFonts w:eastAsia="Calibri"/>
        </w:rPr>
        <w:t>ed,</w:t>
      </w:r>
      <w:r w:rsidRPr="06CFF086">
        <w:rPr>
          <w:rFonts w:eastAsia="Calibri"/>
        </w:rPr>
        <w:t xml:space="preserve"> </w:t>
      </w:r>
      <w:r>
        <w:rPr>
          <w:rFonts w:eastAsia="Calibri"/>
        </w:rPr>
        <w:t xml:space="preserve">I could gain access to local data, even if it was just in one local authority. However, </w:t>
      </w:r>
      <w:r w:rsidRPr="06CFF086">
        <w:t xml:space="preserve">with the exacerbating strain on local </w:t>
      </w:r>
      <w:r w:rsidRPr="06CFF086">
        <w:lastRenderedPageBreak/>
        <w:t xml:space="preserve">resources and the proficiency to collate data varying among LAs, continuing to work with each area on their different consent and information sharing arrangements and applying for ethics approval for each LA separately was no longer feasible. </w:t>
      </w:r>
      <w:r>
        <w:rPr>
          <w:rFonts w:eastAsia="Calibri"/>
        </w:rPr>
        <w:t>During December 2021-July 2022, I took a period of study leave so I could concentrate on a secondment leading on stakeholder engagement and cross-government policy for establishing the</w:t>
      </w:r>
      <w:r w:rsidRPr="06CFF086">
        <w:rPr>
          <w:rFonts w:eastAsia="Calibri"/>
        </w:rPr>
        <w:t xml:space="preserve"> Family Hubs and Start for Life programme in 75 local authorities</w:t>
      </w:r>
      <w:r w:rsidRPr="00D171B5">
        <w:rPr>
          <w:vertAlign w:val="superscript"/>
        </w:rPr>
        <w:footnoteReference w:id="3"/>
      </w:r>
      <w:r>
        <w:rPr>
          <w:rFonts w:eastAsia="Calibri"/>
        </w:rPr>
        <w:t>.</w:t>
      </w:r>
      <w:r w:rsidRPr="06CFF086">
        <w:rPr>
          <w:rFonts w:eastAsia="Calibri"/>
        </w:rPr>
        <w:t xml:space="preserve"> On my retu</w:t>
      </w:r>
      <w:r>
        <w:rPr>
          <w:rFonts w:eastAsia="Calibri"/>
        </w:rPr>
        <w:t xml:space="preserve">rn to study, my supervisors and I </w:t>
      </w:r>
      <w:r w:rsidRPr="06CFF086">
        <w:rPr>
          <w:rFonts w:eastAsia="Calibri"/>
        </w:rPr>
        <w:t>fe</w:t>
      </w:r>
      <w:r>
        <w:rPr>
          <w:rFonts w:eastAsia="Calibri"/>
        </w:rPr>
        <w:t xml:space="preserve">lt we had to abandon the idea of getting hold of local data so that I could progress with my thesis, particularly as I was due to take another period of leave – maternity leave – from October 2022. </w:t>
      </w:r>
      <w:r>
        <w:t>As such, we decided to adopt the ‘worst-case’ scenario, i.e. relying on NDTMS data only.</w:t>
      </w:r>
    </w:p>
    <w:p w14:paraId="3631470F" w14:textId="77777777" w:rsidR="00607A8A" w:rsidRPr="00FF409D" w:rsidRDefault="00607A8A" w:rsidP="00FF409D">
      <w:pPr>
        <w:pStyle w:val="NoSpacing"/>
      </w:pPr>
    </w:p>
    <w:p w14:paraId="6289FB90" w14:textId="06E8D1DA" w:rsidR="00300C2A" w:rsidRDefault="00300C2A" w:rsidP="00290A86">
      <w:pPr>
        <w:pStyle w:val="Heading3"/>
        <w:numPr>
          <w:ilvl w:val="2"/>
          <w:numId w:val="19"/>
        </w:numPr>
        <w:spacing w:after="240" w:line="240" w:lineRule="auto"/>
      </w:pPr>
      <w:bookmarkStart w:id="39" w:name="_Toc189229664"/>
      <w:r>
        <w:t xml:space="preserve">The </w:t>
      </w:r>
      <w:r w:rsidR="3ED415F7">
        <w:t>‘</w:t>
      </w:r>
      <w:r>
        <w:t>worst-case</w:t>
      </w:r>
      <w:r w:rsidR="1929C79F">
        <w:t>’</w:t>
      </w:r>
      <w:r>
        <w:t xml:space="preserve"> scenario</w:t>
      </w:r>
      <w:r w:rsidR="00E85253">
        <w:t xml:space="preserve"> </w:t>
      </w:r>
      <w:r w:rsidR="68EC2498">
        <w:t xml:space="preserve">for data: </w:t>
      </w:r>
      <w:r w:rsidR="00CF04B6">
        <w:t>The NDTMS</w:t>
      </w:r>
      <w:r w:rsidR="386A8F66">
        <w:t xml:space="preserve"> (‘it’s really pretty good!’)</w:t>
      </w:r>
      <w:bookmarkEnd w:id="39"/>
    </w:p>
    <w:p w14:paraId="2DFC7911" w14:textId="792EE395" w:rsidR="002659D9" w:rsidRDefault="002659D9" w:rsidP="002659D9">
      <w:pPr>
        <w:pStyle w:val="NoSpacing"/>
        <w:spacing w:line="360" w:lineRule="auto"/>
        <w:rPr>
          <w:rFonts w:eastAsia="Calibri"/>
        </w:rPr>
      </w:pPr>
      <w:r w:rsidRPr="06CFF086">
        <w:rPr>
          <w:rFonts w:eastAsia="Calibri"/>
        </w:rPr>
        <w:t>The potential</w:t>
      </w:r>
      <w:r>
        <w:rPr>
          <w:rFonts w:eastAsia="Calibri"/>
        </w:rPr>
        <w:t xml:space="preserve"> of</w:t>
      </w:r>
      <w:r w:rsidRPr="06CFF086">
        <w:rPr>
          <w:rFonts w:eastAsia="Calibri"/>
        </w:rPr>
        <w:t xml:space="preserve"> linkable datasets </w:t>
      </w:r>
      <w:r>
        <w:rPr>
          <w:rFonts w:eastAsia="Calibri"/>
        </w:rPr>
        <w:t>that would incorporate</w:t>
      </w:r>
      <w:r w:rsidRPr="06CFF086">
        <w:rPr>
          <w:rFonts w:eastAsia="Calibri"/>
        </w:rPr>
        <w:t xml:space="preserve"> matched</w:t>
      </w:r>
      <w:r>
        <w:rPr>
          <w:rFonts w:eastAsia="Calibri"/>
        </w:rPr>
        <w:t xml:space="preserve"> local treatment data with children’s social care data was regarded as </w:t>
      </w:r>
      <w:r w:rsidRPr="06CFF086">
        <w:rPr>
          <w:rFonts w:eastAsia="Calibri"/>
        </w:rPr>
        <w:t xml:space="preserve">a </w:t>
      </w:r>
      <w:r>
        <w:t xml:space="preserve">‘gold mine’ piece of the thesis by the supervisory team.  Nevertheless, the NDTMS on its own is a large administrative dataset which provides a wealth of data that hitherto had not been comprehensively analysed in the context of parents with SUD. </w:t>
      </w:r>
    </w:p>
    <w:p w14:paraId="49BD4536" w14:textId="77777777" w:rsidR="002659D9" w:rsidRDefault="002659D9" w:rsidP="002659D9">
      <w:pPr>
        <w:pStyle w:val="NoSpacing"/>
        <w:spacing w:line="360" w:lineRule="auto"/>
        <w:rPr>
          <w:rFonts w:eastAsia="Calibri"/>
        </w:rPr>
      </w:pPr>
    </w:p>
    <w:p w14:paraId="7D14FFC1" w14:textId="0B441F44" w:rsidR="002659D9" w:rsidRPr="001B281A" w:rsidRDefault="002659D9" w:rsidP="002659D9">
      <w:pPr>
        <w:pStyle w:val="NoSpacing"/>
        <w:spacing w:line="360" w:lineRule="auto"/>
      </w:pPr>
      <w:r>
        <w:t xml:space="preserve">The NDTMS collects data from every publicly funded alcohol </w:t>
      </w:r>
      <w:r w:rsidR="00F26E44">
        <w:t xml:space="preserve">and drug </w:t>
      </w:r>
      <w:r>
        <w:t>treatment provider in England. This includes specialist NHS and third-sector agencies providing pharmacological, psychosocial and recovery support services in community outpatient, hospital inpatient or residential settings. This amounts to a</w:t>
      </w:r>
      <w:r w:rsidRPr="00392850">
        <w:t>round 1,000 treatment services across the country report</w:t>
      </w:r>
      <w:r>
        <w:t>ing</w:t>
      </w:r>
      <w:r w:rsidRPr="00392850">
        <w:t xml:space="preserve"> monthly to the NDTMS</w:t>
      </w:r>
      <w:r w:rsidR="00DC0E1B">
        <w:t xml:space="preserve"> </w:t>
      </w:r>
      <w:r w:rsidR="00CA43F8">
        <w:fldChar w:fldCharType="begin"/>
      </w:r>
      <w:r w:rsidR="00B9334F">
        <w:instrText xml:space="preserve"> ADDIN EN.CITE &lt;EndNote&gt;&lt;Cite&gt;&lt;Author&gt;Burkinshaw&lt;/Author&gt;&lt;Year&gt;2017&lt;/Year&gt;&lt;RecNum&gt;154&lt;/RecNum&gt;&lt;DisplayText&gt;(Burkinshaw et al., 2017)&lt;/DisplayText&gt;&lt;record&gt;&lt;rec-number&gt;154&lt;/rec-number&gt;&lt;foreign-keys&gt;&lt;key app="EN" db-id="ffzvr5fstavwxoe9v04xf0wmp5t50as52da0" timestamp="1731671646" guid="fd2e0b7c-9a44-460e-9195-06eaf4630455"&gt;154&lt;/key&gt;&lt;/foreign-keys&gt;&lt;ref-type name="Electronic Article"&gt;43&lt;/ref-type&gt;&lt;contributors&gt;&lt;authors&gt;&lt;author&gt;Peter Burkinshaw&lt;/author&gt;&lt;author&gt;Jonathan Knight&lt;/author&gt;&lt;author&gt;Paul Anders&lt;/author&gt;&lt;author&gt;Brian Eastwood&lt;/author&gt;&lt;author&gt;Virginia Musto&lt;/author&gt;&lt;author&gt;Martin White&lt;/author&gt;&lt;author&gt;John Marsden&lt;/author&gt;&lt;/authors&gt;&lt;/contributors&gt;&lt;titles&gt;&lt;title&gt;An Evidence Review of the Outcomes that can be Expected of Drug Misuse Treatment in England&lt;/title&gt;&lt;/titles&gt;&lt;dates&gt;&lt;year&gt;2017&lt;/year&gt;&lt;pub-dates&gt;&lt;date&gt;04/02/17&lt;/date&gt;&lt;/pub-dates&gt;&lt;/dates&gt;&lt;pub-location&gt;London&lt;/pub-location&gt;&lt;publisher&gt;Public Health England&lt;/publisher&gt;&lt;urls&gt;&lt;related-urls&gt;&lt;url&gt;&lt;style face="underline" font="default" size="100%"&gt;https://www.gov.uk/government/uploads/system/uploads/attachment_data/file/586111/PHE_Evidence_review_of_drug_treatment_outcomes.pdf&lt;/style&gt;&lt;/url&gt;&lt;/related-urls&gt;&lt;/urls&gt;&lt;/record&gt;&lt;/Cite&gt;&lt;/EndNote&gt;</w:instrText>
      </w:r>
      <w:r w:rsidR="00CA43F8">
        <w:fldChar w:fldCharType="separate"/>
      </w:r>
      <w:r w:rsidR="00CA43F8">
        <w:rPr>
          <w:noProof/>
        </w:rPr>
        <w:t>(Burkinshaw et al., 2017)</w:t>
      </w:r>
      <w:r w:rsidR="00CA43F8">
        <w:fldChar w:fldCharType="end"/>
      </w:r>
      <w:r>
        <w:t xml:space="preserve"> Thesis-relevant variables included within the dataset include individual attributes: age, sex, local authority of residence; clinical information, e.g. substances used, whether the patient is a current or former injector, whether or not the patient has a comorbid mental health problem, and treatment and recovery support interventions accessed; social information, e.g. employment and housing status; outcomes information, e.g. treatment exit reasons (successful completion treatment, drop out, transfer into another treatment provider or prison, death) and reductions in substance use. The NDTMS system was developed in 2001 </w:t>
      </w:r>
      <w:r>
        <w:lastRenderedPageBreak/>
        <w:t>and became fully operational in 2005 under the National Treatment Agency for Substance Misuse, and robust data is available from April 2005. From 2013 to 2021, it was managed by PHE after which, it became the responsibility of OHID.</w:t>
      </w:r>
      <w:r>
        <w:rPr>
          <w:rFonts w:eastAsia="Calibri"/>
        </w:rPr>
        <w:t xml:space="preserve"> </w:t>
      </w:r>
      <w:r>
        <w:t xml:space="preserve">Explicit patient consent is required for data to be submitted. The consent forms and privacy notices explain to patients how their data may be used, including a process to anonymise individual records for the purposes of research. Over 98% of patients provide this consent </w:t>
      </w:r>
      <w:r>
        <w:fldChar w:fldCharType="begin">
          <w:fldData xml:space="preserve">PEVuZE5vdGU+PENpdGU+PEF1dGhvcj5NYXJzZGVuPC9BdXRob3I+PFllYXI+MjAwOTwvWWVhcj48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</w:fldData>
        </w:fldChar>
      </w:r>
      <w:r w:rsidR="00B9334F">
        <w:instrText xml:space="preserve"> ADDIN EN.CITE </w:instrText>
      </w:r>
      <w:r w:rsidR="00B9334F">
        <w:fldChar w:fldCharType="begin">
          <w:fldData xml:space="preserve">PEVuZE5vdGU+PENpdGU+PEF1dGhvcj5NYXJzZGVuPC9BdXRob3I+PFllYXI+MjAwOTwvWWVhcj48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</w:fldData>
        </w:fldChar>
      </w:r>
      <w:r w:rsidR="00B9334F">
        <w:instrText xml:space="preserve"> ADDIN EN.CITE.DATA </w:instrText>
      </w:r>
      <w:r w:rsidR="00B9334F">
        <w:fldChar w:fldCharType="end"/>
      </w:r>
      <w:r>
        <w:fldChar w:fldCharType="separate"/>
      </w:r>
      <w:r w:rsidR="00A77498">
        <w:rPr>
          <w:noProof/>
        </w:rPr>
        <w:t>(Marsden et al., 2009)</w:t>
      </w:r>
      <w:r>
        <w:fldChar w:fldCharType="end"/>
      </w:r>
      <w:r>
        <w:t xml:space="preserve">. </w:t>
      </w:r>
      <w:r w:rsidRPr="009A58CD">
        <w:t xml:space="preserve"> </w:t>
      </w:r>
    </w:p>
    <w:p w14:paraId="7CF152D1" w14:textId="77777777" w:rsidR="002659D9" w:rsidRDefault="002659D9" w:rsidP="002659D9">
      <w:pPr>
        <w:pStyle w:val="NoSpacing"/>
        <w:spacing w:line="360" w:lineRule="auto"/>
      </w:pPr>
    </w:p>
    <w:p w14:paraId="29A498D5" w14:textId="4F701B6A" w:rsidR="002659D9" w:rsidRDefault="002659D9" w:rsidP="002659D9">
      <w:pPr>
        <w:pStyle w:val="NoSpacing"/>
        <w:spacing w:line="360" w:lineRule="auto"/>
      </w:pPr>
      <w:r>
        <w:t xml:space="preserve">Data on the type of early help or any statutory child welfare </w:t>
      </w:r>
      <w:r w:rsidR="0079455C">
        <w:t>services</w:t>
      </w:r>
      <w:r>
        <w:t xml:space="preserve"> a child of a parent or carer in treatment may be receiving is a relatively new addition to the database, with the first report using data from 1 April 2017.</w:t>
      </w:r>
    </w:p>
    <w:p w14:paraId="1B035444" w14:textId="77777777" w:rsidR="009A58CD" w:rsidRDefault="009A58CD" w:rsidP="00CE65F2">
      <w:pPr>
        <w:pStyle w:val="NoSpacing"/>
        <w:spacing w:line="360" w:lineRule="auto"/>
      </w:pPr>
    </w:p>
    <w:p w14:paraId="3964252A" w14:textId="0BA960D2" w:rsidR="00C268EF" w:rsidRDefault="00232CC9" w:rsidP="006F7929">
      <w:pPr>
        <w:pStyle w:val="Heading3"/>
        <w:numPr>
          <w:ilvl w:val="2"/>
          <w:numId w:val="19"/>
        </w:numPr>
        <w:spacing w:line="360" w:lineRule="auto"/>
      </w:pPr>
      <w:bookmarkStart w:id="40" w:name="_Toc189229665"/>
      <w:r>
        <w:t>Positionality linked to informing study design</w:t>
      </w:r>
      <w:bookmarkEnd w:id="40"/>
      <w:r>
        <w:t xml:space="preserve"> </w:t>
      </w:r>
    </w:p>
    <w:p w14:paraId="33ACBC3D" w14:textId="70F354D4" w:rsidR="00C268EF" w:rsidRDefault="004B24E5" w:rsidP="00CE65F2">
      <w:pPr>
        <w:pStyle w:val="NoSpacing"/>
        <w:spacing w:line="360" w:lineRule="auto"/>
      </w:pPr>
      <w:r>
        <w:t>I</w:t>
      </w:r>
      <w:r w:rsidR="00275652">
        <w:t xml:space="preserve">n my current and previous roles, I have been able to take advantage </w:t>
      </w:r>
      <w:r w:rsidR="008700B3">
        <w:t>of ongoing and informal engagement with stakeholders/ experts which have</w:t>
      </w:r>
      <w:r w:rsidR="00DA1097">
        <w:t xml:space="preserve"> informed my study design. For example, </w:t>
      </w:r>
      <w:r w:rsidR="009D34FE">
        <w:t xml:space="preserve">through talking to stakeholders, </w:t>
      </w:r>
      <w:r w:rsidR="00DA1097">
        <w:t xml:space="preserve">I have been signposted to relevant </w:t>
      </w:r>
      <w:r w:rsidR="00A25194">
        <w:t xml:space="preserve">and useful </w:t>
      </w:r>
      <w:r w:rsidR="00C604DA">
        <w:t xml:space="preserve">studies, </w:t>
      </w:r>
      <w:r w:rsidR="00395C75">
        <w:t xml:space="preserve">been able to </w:t>
      </w:r>
      <w:r w:rsidR="00444F25">
        <w:t xml:space="preserve">talk through previous approaches to NDTMS analysis with colleagues, </w:t>
      </w:r>
      <w:r w:rsidR="00C604DA">
        <w:t xml:space="preserve">I have been able to sense check </w:t>
      </w:r>
      <w:r w:rsidR="00A25194">
        <w:t>findings</w:t>
      </w:r>
      <w:r w:rsidR="00444F25">
        <w:t xml:space="preserve"> and I have </w:t>
      </w:r>
      <w:r w:rsidR="00395C75">
        <w:t xml:space="preserve">been able to </w:t>
      </w:r>
      <w:r w:rsidR="00850AD5">
        <w:t xml:space="preserve">get a sense of what would be useful to inform policy and decision-making in national and local government. </w:t>
      </w:r>
    </w:p>
    <w:p w14:paraId="5EEC8B58" w14:textId="77777777" w:rsidR="00993552" w:rsidRDefault="00993552" w:rsidP="00CE65F2">
      <w:pPr>
        <w:pStyle w:val="NoSpacing"/>
        <w:spacing w:line="360" w:lineRule="auto"/>
      </w:pPr>
    </w:p>
    <w:p w14:paraId="03A0050A" w14:textId="77777777" w:rsidR="00993552" w:rsidRDefault="00993552" w:rsidP="00CE65F2">
      <w:pPr>
        <w:pStyle w:val="NoSpacing"/>
        <w:spacing w:line="360" w:lineRule="auto"/>
      </w:pPr>
    </w:p>
    <w:p w14:paraId="0B87D122" w14:textId="4AFB39D9" w:rsidR="009125B7" w:rsidRDefault="009B1780" w:rsidP="006F7929">
      <w:pPr>
        <w:pStyle w:val="Heading2"/>
        <w:numPr>
          <w:ilvl w:val="1"/>
          <w:numId w:val="19"/>
        </w:numPr>
        <w:spacing w:line="360" w:lineRule="auto"/>
      </w:pPr>
      <w:bookmarkStart w:id="41" w:name="_Toc189229666"/>
      <w:r>
        <w:t>The revised thesis plan</w:t>
      </w:r>
      <w:bookmarkEnd w:id="41"/>
    </w:p>
    <w:p w14:paraId="3EA1B051" w14:textId="77777777" w:rsidR="0048440E" w:rsidRDefault="0048440E" w:rsidP="0048440E">
      <w:pPr>
        <w:pStyle w:val="NoSpacing"/>
        <w:spacing w:line="360" w:lineRule="auto"/>
      </w:pPr>
      <w:r>
        <w:t>The above contexts and considerations led me to decide that there would be three distinct but related studies in my thesis, each using data from the NDTMS, to estimate the effectiveness and cost-effectiveness of treatment delivered to parents with SUD in England. Each study builds on the findings from the previous study. Chapters 3-5 of the thesis present the studies in journal article form.</w:t>
      </w:r>
    </w:p>
    <w:p w14:paraId="5BF5E9F7" w14:textId="77777777" w:rsidR="0048440E" w:rsidRDefault="0048440E" w:rsidP="0048440E">
      <w:pPr>
        <w:pStyle w:val="NoSpacing"/>
        <w:spacing w:line="360" w:lineRule="auto"/>
      </w:pPr>
    </w:p>
    <w:p w14:paraId="71463501" w14:textId="01F35529" w:rsidR="0048440E" w:rsidRPr="004A0441" w:rsidRDefault="0048440E" w:rsidP="0048440E">
      <w:pPr>
        <w:pStyle w:val="NoSpacing"/>
        <w:spacing w:line="360" w:lineRule="auto"/>
        <w:rPr>
          <w:rStyle w:val="normaltextrun"/>
        </w:rPr>
      </w:pPr>
      <w:r>
        <w:t xml:space="preserve">Study 1 recognised that the NDTMS data had not been comprehensively analysed for parents in the scientific literature.  Thus, </w:t>
      </w:r>
      <w:r w:rsidRPr="00F62DAB">
        <w:rPr>
          <w:b/>
          <w:bCs/>
        </w:rPr>
        <w:t>a descriptive and exploratory first study</w:t>
      </w:r>
      <w:r>
        <w:t>, the findings of which would inform the subsequent two studies, was deemed appropriate. This first study is a</w:t>
      </w:r>
      <w:r>
        <w:rPr>
          <w:lang w:eastAsia="en-GB"/>
        </w:rPr>
        <w:t xml:space="preserve"> national longitudinal observational cohort study to </w:t>
      </w:r>
      <w:r>
        <w:rPr>
          <w:lang w:eastAsia="en-GB"/>
        </w:rPr>
        <w:lastRenderedPageBreak/>
        <w:t>estimate the associations between parental status (</w:t>
      </w:r>
      <w:r w:rsidR="00800285">
        <w:rPr>
          <w:lang w:eastAsia="en-GB"/>
        </w:rPr>
        <w:t>parent</w:t>
      </w:r>
      <w:r>
        <w:rPr>
          <w:lang w:eastAsia="en-GB"/>
        </w:rPr>
        <w:t xml:space="preserve"> living with child, parent not living with child), interventions (treatment </w:t>
      </w:r>
      <w:r w:rsidR="00CA3D55">
        <w:rPr>
          <w:lang w:eastAsia="en-GB"/>
        </w:rPr>
        <w:t>only</w:t>
      </w:r>
      <w:r>
        <w:rPr>
          <w:lang w:eastAsia="en-GB"/>
        </w:rPr>
        <w:t xml:space="preserve"> vs treatment </w:t>
      </w:r>
      <w:r w:rsidR="00545D7B">
        <w:rPr>
          <w:lang w:eastAsia="en-GB"/>
        </w:rPr>
        <w:t>plus</w:t>
      </w:r>
      <w:r>
        <w:rPr>
          <w:lang w:eastAsia="en-GB"/>
        </w:rPr>
        <w:t xml:space="preserve"> different </w:t>
      </w:r>
      <w:r w:rsidR="00CA3D55">
        <w:rPr>
          <w:lang w:eastAsia="en-GB"/>
        </w:rPr>
        <w:t xml:space="preserve">intervention that promote and safeguard </w:t>
      </w:r>
      <w:r>
        <w:rPr>
          <w:lang w:eastAsia="en-GB"/>
        </w:rPr>
        <w:t>child welfare) and successful treatment completion</w:t>
      </w:r>
      <w:r>
        <w:t xml:space="preserve">. ‘Child welfare’ included </w:t>
      </w:r>
      <w:r w:rsidRPr="00056E69">
        <w:t xml:space="preserve">non-statutory </w:t>
      </w:r>
      <w:r>
        <w:t>(</w:t>
      </w:r>
      <w:r w:rsidR="00AB7760">
        <w:t>parenting and/or family</w:t>
      </w:r>
      <w:r>
        <w:t xml:space="preserve"> recovery support, ‘early help’) and statutory </w:t>
      </w:r>
      <w:r w:rsidR="007C0067">
        <w:t>children’s social care</w:t>
      </w:r>
      <w:r w:rsidR="00924CB0">
        <w:t xml:space="preserve">services </w:t>
      </w:r>
      <w:r>
        <w:t xml:space="preserve">(child on a child in need plan, child protection plan or </w:t>
      </w:r>
      <w:r w:rsidR="00F03C50">
        <w:t xml:space="preserve">child </w:t>
      </w:r>
      <w:r>
        <w:t xml:space="preserve">in care). </w:t>
      </w:r>
      <w:r w:rsidR="00F03C50">
        <w:t>I</w:t>
      </w:r>
      <w:r w:rsidRPr="006B7282">
        <w:t>n this first study</w:t>
      </w:r>
      <w:r>
        <w:t>,</w:t>
      </w:r>
      <w:r w:rsidRPr="006B7282">
        <w:t xml:space="preserve"> I generated </w:t>
      </w:r>
      <w:r>
        <w:t>a multiple imputation dataset to fill in gaps on some missing variables for some participants</w:t>
      </w:r>
      <w:r w:rsidR="003945B7">
        <w:t xml:space="preserve"> (see chapter 3 for more detail)</w:t>
      </w:r>
      <w:r>
        <w:t xml:space="preserve">. </w:t>
      </w:r>
    </w:p>
    <w:p w14:paraId="5B5B3C0E" w14:textId="0A37F073" w:rsidR="00675001" w:rsidRPr="004A0441" w:rsidRDefault="00675001" w:rsidP="0019757C">
      <w:pPr>
        <w:pStyle w:val="NoSpacing"/>
        <w:spacing w:line="360" w:lineRule="auto"/>
      </w:pPr>
    </w:p>
    <w:p w14:paraId="52001A08" w14:textId="6F16BFA9" w:rsidR="00E24140" w:rsidRDefault="006544BD" w:rsidP="00E149F7">
      <w:pPr>
        <w:pStyle w:val="NoSpacing"/>
        <w:spacing w:line="360" w:lineRule="auto"/>
        <w:rPr>
          <w:rStyle w:val="normaltextrun"/>
          <w:shd w:val="clear" w:color="auto" w:fill="FFFFFF"/>
        </w:rPr>
      </w:pPr>
      <w:r>
        <w:t xml:space="preserve">The aim of the second study was </w:t>
      </w:r>
      <w:r w:rsidRPr="00C955AC">
        <w:rPr>
          <w:rStyle w:val="normaltextrun"/>
          <w:shd w:val="clear" w:color="auto" w:fill="FFFFFF"/>
        </w:rPr>
        <w:t>to test whether parents</w:t>
      </w:r>
      <w:r>
        <w:rPr>
          <w:rStyle w:val="normaltextrun"/>
          <w:shd w:val="clear" w:color="auto" w:fill="FFFFFF"/>
        </w:rPr>
        <w:t xml:space="preserve"> </w:t>
      </w:r>
      <w:r w:rsidRPr="00C955AC">
        <w:rPr>
          <w:rStyle w:val="normaltextrun"/>
          <w:shd w:val="clear" w:color="auto" w:fill="FFFFFF"/>
        </w:rPr>
        <w:t xml:space="preserve">were more likely to complete </w:t>
      </w:r>
      <w:r>
        <w:rPr>
          <w:rStyle w:val="normaltextrun"/>
          <w:shd w:val="clear" w:color="auto" w:fill="FFFFFF"/>
        </w:rPr>
        <w:t xml:space="preserve">treatment </w:t>
      </w:r>
      <w:r w:rsidRPr="00C955AC">
        <w:rPr>
          <w:rStyle w:val="normaltextrun"/>
          <w:shd w:val="clear" w:color="auto" w:fill="FFFFFF"/>
        </w:rPr>
        <w:t>successfully if they received</w:t>
      </w:r>
      <w:r>
        <w:rPr>
          <w:rStyle w:val="normaltextrun"/>
          <w:shd w:val="clear" w:color="auto" w:fill="FFFFFF"/>
        </w:rPr>
        <w:t xml:space="preserve"> </w:t>
      </w:r>
      <w:r w:rsidRPr="007E05A8">
        <w:rPr>
          <w:rStyle w:val="normaltextrun"/>
          <w:shd w:val="clear" w:color="auto" w:fill="FFFFFF"/>
        </w:rPr>
        <w:t xml:space="preserve">treatment </w:t>
      </w:r>
      <w:r w:rsidR="00545D7B">
        <w:rPr>
          <w:rStyle w:val="normaltextrun"/>
          <w:shd w:val="clear" w:color="auto" w:fill="FFFFFF"/>
        </w:rPr>
        <w:t>plus</w:t>
      </w:r>
      <w:r>
        <w:rPr>
          <w:rStyle w:val="normaltextrun"/>
          <w:shd w:val="clear" w:color="auto" w:fill="FFFFFF"/>
        </w:rPr>
        <w:t xml:space="preserve"> </w:t>
      </w:r>
      <w:r w:rsidR="003A7C38">
        <w:rPr>
          <w:rStyle w:val="normaltextrun"/>
          <w:shd w:val="clear" w:color="auto" w:fill="FFFFFF"/>
        </w:rPr>
        <w:t xml:space="preserve">a targeted prevention, namely </w:t>
      </w:r>
      <w:r w:rsidR="00AB7760">
        <w:rPr>
          <w:rStyle w:val="normaltextrun"/>
          <w:shd w:val="clear" w:color="auto" w:fill="FFFFFF"/>
        </w:rPr>
        <w:t>parenting and/or family</w:t>
      </w:r>
      <w:r>
        <w:rPr>
          <w:rStyle w:val="normaltextrun"/>
          <w:shd w:val="clear" w:color="auto" w:fill="FFFFFF"/>
        </w:rPr>
        <w:t xml:space="preserve"> recovery support</w:t>
      </w:r>
      <w:r w:rsidR="006769D4">
        <w:rPr>
          <w:rStyle w:val="normaltextrun"/>
          <w:shd w:val="clear" w:color="auto" w:fill="FFFFFF"/>
        </w:rPr>
        <w:t xml:space="preserve"> or</w:t>
      </w:r>
      <w:r>
        <w:rPr>
          <w:rStyle w:val="normaltextrun"/>
          <w:shd w:val="clear" w:color="auto" w:fill="FFFFFF"/>
        </w:rPr>
        <w:t xml:space="preserve"> early help</w:t>
      </w:r>
      <w:r w:rsidR="00540A8E">
        <w:rPr>
          <w:rStyle w:val="normaltextrun"/>
          <w:shd w:val="clear" w:color="auto" w:fill="FFFFFF"/>
        </w:rPr>
        <w:t>,</w:t>
      </w:r>
      <w:r w:rsidR="00733C21" w:rsidRPr="00733C21">
        <w:rPr>
          <w:rStyle w:val="normaltextrun"/>
          <w:shd w:val="clear" w:color="auto" w:fill="FFFFFF"/>
        </w:rPr>
        <w:t xml:space="preserve"> </w:t>
      </w:r>
      <w:r w:rsidR="00733C21" w:rsidRPr="007E05A8">
        <w:rPr>
          <w:rStyle w:val="normaltextrun"/>
          <w:shd w:val="clear" w:color="auto" w:fill="FFFFFF"/>
        </w:rPr>
        <w:t xml:space="preserve">compared with treatment </w:t>
      </w:r>
      <w:r w:rsidR="00733C21">
        <w:rPr>
          <w:rStyle w:val="normaltextrun"/>
          <w:shd w:val="clear" w:color="auto" w:fill="FFFFFF"/>
        </w:rPr>
        <w:t>only</w:t>
      </w:r>
      <w:r w:rsidR="006769D4">
        <w:rPr>
          <w:rStyle w:val="normaltextrun"/>
          <w:shd w:val="clear" w:color="auto" w:fill="FFFFFF"/>
        </w:rPr>
        <w:t>.</w:t>
      </w:r>
      <w:r w:rsidRPr="007E05A8">
        <w:rPr>
          <w:rStyle w:val="normaltextrun"/>
          <w:shd w:val="clear" w:color="auto" w:fill="FFFFFF"/>
        </w:rPr>
        <w:t xml:space="preserve"> </w:t>
      </w:r>
    </w:p>
    <w:p w14:paraId="629F7C8C" w14:textId="77777777" w:rsidR="00E24140" w:rsidRDefault="00E24140" w:rsidP="00E149F7">
      <w:pPr>
        <w:pStyle w:val="NoSpacing"/>
        <w:spacing w:line="360" w:lineRule="auto"/>
        <w:rPr>
          <w:rStyle w:val="normaltextrun"/>
          <w:shd w:val="clear" w:color="auto" w:fill="FFFFFF"/>
        </w:rPr>
      </w:pPr>
    </w:p>
    <w:p w14:paraId="700DCAA2" w14:textId="77777777" w:rsidR="001900B1" w:rsidRDefault="0048298D" w:rsidP="00E149F7">
      <w:pPr>
        <w:pStyle w:val="NoSpacing"/>
        <w:spacing w:line="360" w:lineRule="auto"/>
        <w:rPr>
          <w:rStyle w:val="normaltextrun"/>
          <w:shd w:val="clear" w:color="auto" w:fill="FFFFFF"/>
        </w:rPr>
      </w:pPr>
      <w:r>
        <w:t>I</w:t>
      </w:r>
      <w:r w:rsidRPr="00F704BE">
        <w:t>t is probable that parents</w:t>
      </w:r>
      <w:r>
        <w:t xml:space="preserve"> </w:t>
      </w:r>
      <w:r w:rsidR="00D93F9E">
        <w:t xml:space="preserve">of different sex, </w:t>
      </w:r>
      <w:r>
        <w:t>different child living arrangements</w:t>
      </w:r>
      <w:r w:rsidRPr="00F704BE">
        <w:t xml:space="preserve"> using different types of substance</w:t>
      </w:r>
      <w:r w:rsidR="00D93F9E">
        <w:t xml:space="preserve"> use</w:t>
      </w:r>
      <w:r w:rsidRPr="00F704BE">
        <w:t xml:space="preserve"> will have different risk factors</w:t>
      </w:r>
      <w:r>
        <w:t xml:space="preserve">. </w:t>
      </w:r>
      <w:r w:rsidR="006544BD">
        <w:t xml:space="preserve">For example, heroin users in treatment are more likely to be committing crimes at the start of treatment than non-heroin users </w:t>
      </w:r>
      <w:r w:rsidR="006544BD">
        <w:fldChar w:fldCharType="begin"/>
      </w:r>
      <w:r w:rsidR="00B9334F">
        <w:instrText xml:space="preserve"> ADDIN EN.CITE &lt;EndNote&gt;&lt;Cite&gt;&lt;Author&gt;Gossop&lt;/Author&gt;&lt;Year&gt;2005&lt;/Year&gt;&lt;RecNum&gt;326&lt;/RecNum&gt;&lt;DisplayText&gt;(Gossop et al., 2005)&lt;/DisplayText&gt;&lt;record&gt;&lt;rec-number&gt;326&lt;/rec-number&gt;&lt;foreign-keys&gt;&lt;key app="EN" db-id="ffzvr5fstavwxoe9v04xf0wmp5t50as52da0" timestamp="1731671658" guid="5826dd79-b1d6-4b58-9b37-6b170fac41ce"&gt;326&lt;/key&gt;&lt;/foreign-keys&gt;&lt;ref-type name="Journal Article"&gt;17&lt;/ref-type&gt;&lt;contributors&gt;&lt;authors&gt;&lt;author&gt;Gossop, Michael&lt;/author&gt;&lt;author&gt;Trakada, Katia&lt;/author&gt;&lt;author&gt;Stewart, Duncan&lt;/author&gt;&lt;author&gt;Witton, John&lt;/author&gt;&lt;/authors&gt;&lt;/contributors&gt;&lt;titles&gt;&lt;title&gt;Reductions in criminal convictions after addiction treatment: 5-year follow-up&lt;/title&gt;&lt;secondary-title&gt;Drug and Alcohol Dependence&lt;/secondary-title&gt;&lt;/titles&gt;&lt;periodical&gt;&lt;full-title&gt;Drug Alcohol Depend&lt;/full-title&gt;&lt;abbr-1&gt;Drug and alcohol dependence&lt;/abbr-1&gt;&lt;/periodical&gt;&lt;pages&gt;295-302&lt;/pages&gt;&lt;volume&gt;79&lt;/volume&gt;&lt;number&gt;3&lt;/number&gt;&lt;keywords&gt;&lt;keyword&gt;Crime reduction&lt;/keyword&gt;&lt;keyword&gt;Convictions&lt;/keyword&gt;&lt;keyword&gt;Heroin&lt;/keyword&gt;&lt;keyword&gt;Treatment outcome&lt;/keyword&gt;&lt;/keywords&gt;&lt;dates&gt;&lt;year&gt;2005&lt;/year&gt;&lt;pub-dates&gt;&lt;date&gt;2005/09/01/&lt;/date&gt;&lt;/pub-dates&gt;&lt;/dates&gt;&lt;isbn&gt;0376-8716&lt;/isbn&gt;&lt;urls&gt;&lt;related-urls&gt;&lt;url&gt;https://www.sciencedirect.com/science/article/pii/S0376871605000803&lt;/url&gt;&lt;/related-urls&gt;&lt;/urls&gt;&lt;electronic-resource-num&gt;https://doi.org/10.1016/j.drugalcdep.2005.01.023&lt;/electronic-resource-num&gt;&lt;/record&gt;&lt;/Cite&gt;&lt;/EndNote&gt;</w:instrText>
      </w:r>
      <w:r w:rsidR="006544BD">
        <w:fldChar w:fldCharType="separate"/>
      </w:r>
      <w:r w:rsidR="00A77498">
        <w:rPr>
          <w:noProof/>
        </w:rPr>
        <w:t>(Gossop et al., 2005)</w:t>
      </w:r>
      <w:r w:rsidR="006544BD">
        <w:fldChar w:fldCharType="end"/>
      </w:r>
      <w:r w:rsidR="006544BD">
        <w:t xml:space="preserve">, they are at risk of injecting-related wounds </w:t>
      </w:r>
      <w:r w:rsidR="006544BD">
        <w:fldChar w:fldCharType="begin"/>
      </w:r>
      <w:r w:rsidR="00B9334F">
        <w:instrText xml:space="preserve"> ADDIN EN.CITE &lt;EndNote&gt;&lt;Cite&gt;&lt;Author&gt;Fink&lt;/Author&gt;&lt;Year&gt;2011&lt;/Year&gt;&lt;RecNum&gt;325&lt;/RecNum&gt;&lt;DisplayText&gt;(Fink et al., 2011)&lt;/DisplayText&gt;&lt;record&gt;&lt;rec-number&gt;325&lt;/rec-number&gt;&lt;foreign-keys&gt;&lt;key app="EN" db-id="ffzvr5fstavwxoe9v04xf0wmp5t50as52da0" timestamp="1731671658" guid="02ef1415-a268-4dc9-84b8-cad52ed9a9de"&gt;325&lt;/key&gt;&lt;/foreign-keys&gt;&lt;ref-type name="Journal Article"&gt;17&lt;/ref-type&gt;&lt;contributors&gt;&lt;authors&gt;&lt;author&gt;Fink, Bianca&lt;/author&gt;&lt;author&gt;Landthaler, Michael&lt;/author&gt;&lt;author&gt;Hafner, Christian&lt;/author&gt;&lt;/authors&gt;&lt;/contributors&gt;&lt;titles&gt;&lt;title&gt;Skin alterations due to illegal drug abuse&lt;/title&gt;&lt;secondary-title&gt;JDDG: Journal der Deutschen Dermatologischen Gesellschaft&lt;/secondary-title&gt;&lt;/titles&gt;&lt;periodical&gt;&lt;full-title&gt;JDDG: Journal der Deutschen Dermatologischen Gesellschaft&lt;/full-title&gt;&lt;/periodical&gt;&lt;pages&gt;633-639&lt;/pages&gt;&lt;volume&gt;9&lt;/volume&gt;&lt;number&gt;8&lt;/number&gt;&lt;dates&gt;&lt;year&gt;2011&lt;/year&gt;&lt;/dates&gt;&lt;isbn&gt;1610-0379&lt;/isbn&gt;&lt;urls&gt;&lt;related-urls&gt;&lt;url&gt;https://onlinelibrary.wiley.com/doi/abs/10.1111/j.1610-0387.2011.07699.x&lt;/url&gt;&lt;/related-urls&gt;&lt;/urls&gt;&lt;electronic-resource-num&gt;https://doi.org/10.1111/j.1610-0387.2011.07699.x&lt;/electronic-resource-num&gt;&lt;/record&gt;&lt;/Cite&gt;&lt;/EndNote&gt;</w:instrText>
      </w:r>
      <w:r w:rsidR="006544BD">
        <w:fldChar w:fldCharType="separate"/>
      </w:r>
      <w:r w:rsidR="00A77498">
        <w:rPr>
          <w:noProof/>
        </w:rPr>
        <w:t>(Fink et al., 2011)</w:t>
      </w:r>
      <w:r w:rsidR="006544BD">
        <w:fldChar w:fldCharType="end"/>
      </w:r>
      <w:r w:rsidR="006544BD">
        <w:t xml:space="preserve">, hepatitis B, hepatitis C and HIV </w:t>
      </w:r>
      <w:r w:rsidR="006544BD">
        <w:fldChar w:fldCharType="begin"/>
      </w:r>
      <w:r w:rsidR="00B9334F">
        <w:instrText xml:space="preserve"> ADDIN EN.CITE &lt;EndNote&gt;&lt;Cite&gt;&lt;Author&gt;Rashti&lt;/Author&gt;&lt;Year&gt;2020&lt;/Year&gt;&lt;RecNum&gt;324&lt;/RecNum&gt;&lt;DisplayText&gt;(Rashti et al., 2020)&lt;/DisplayText&gt;&lt;record&gt;&lt;rec-number&gt;324&lt;/rec-number&gt;&lt;foreign-keys&gt;&lt;key app="EN" db-id="ffzvr5fstavwxoe9v04xf0wmp5t50as52da0" timestamp="1731671658" guid="d11151d1-2460-4a28-8e3f-6fb0f43a3527"&gt;324&lt;/key&gt;&lt;/foreign-keys&gt;&lt;ref-type name="Journal Article"&gt;17&lt;/ref-type&gt;&lt;contributors&gt;&lt;authors&gt;&lt;author&gt;Rashti, Roya&lt;/author&gt;&lt;author&gt;Sharafi, Heidar&lt;/author&gt;&lt;author&gt;Alavian, Seyed Moayed&lt;/author&gt;&lt;author&gt;Moradi, Yousef&lt;/author&gt;&lt;author&gt;Mohamadi Bolbanabad, Amjad&lt;/author&gt;&lt;author&gt;Moradi, Ghobad&lt;/author&gt;&lt;/authors&gt;&lt;/contributors&gt;&lt;titles&gt;&lt;title&gt;Systematic Review and Meta-Analysis of Global Prevalence of HBsAg and HIV and HCV Antibodies among People Who Inject Drugs and Female Sex Workers&lt;/title&gt;&lt;secondary-title&gt;Pathogens&lt;/secondary-title&gt;&lt;/titles&gt;&lt;periodical&gt;&lt;full-title&gt;Pathogens&lt;/full-title&gt;&lt;/periodical&gt;&lt;pages&gt;432&lt;/pages&gt;&lt;volume&gt;9&lt;/volume&gt;&lt;number&gt;6&lt;/number&gt;&lt;dates&gt;&lt;year&gt;2020&lt;/year&gt;&lt;/dates&gt;&lt;isbn&gt;2076-0817&lt;/isbn&gt;&lt;accession-num&gt;doi:10.3390/pathogens9060432&lt;/accession-num&gt;&lt;urls&gt;&lt;related-urls&gt;&lt;url&gt;https://www.mdpi.com/2076-0817/9/6/432&lt;/url&gt;&lt;/related-urls&gt;&lt;/urls&gt;&lt;/record&gt;&lt;/Cite&gt;&lt;/EndNote&gt;</w:instrText>
      </w:r>
      <w:r w:rsidR="006544BD">
        <w:fldChar w:fldCharType="separate"/>
      </w:r>
      <w:r w:rsidR="00A77498">
        <w:rPr>
          <w:noProof/>
        </w:rPr>
        <w:t>(Rashti et al., 2020)</w:t>
      </w:r>
      <w:r w:rsidR="006544BD">
        <w:fldChar w:fldCharType="end"/>
      </w:r>
      <w:r w:rsidR="006544BD">
        <w:t xml:space="preserve"> and many are likely to experience at least one overdose, with many more having witnessed an overdose </w:t>
      </w:r>
      <w:r w:rsidR="006544BD">
        <w:fldChar w:fldCharType="begin"/>
      </w:r>
      <w:r w:rsidR="00B9334F">
        <w:instrText xml:space="preserve"> ADDIN EN.CITE &lt;EndNote&gt;&lt;Cite&gt;&lt;Author&gt;Strang&lt;/Author&gt;&lt;Year&gt;2015&lt;/Year&gt;&lt;RecNum&gt;327&lt;/RecNum&gt;&lt;DisplayText&gt;(Strang, 2015)&lt;/DisplayText&gt;&lt;record&gt;&lt;rec-number&gt;327&lt;/rec-number&gt;&lt;foreign-keys&gt;&lt;key app="EN" db-id="ffzvr5fstavwxoe9v04xf0wmp5t50as52da0" timestamp="1731671658" guid="0eb28718-d64b-40b9-bd4b-25d5799bfdf7"&gt;327&lt;/key&gt;&lt;/foreign-keys&gt;&lt;ref-type name="Journal Article"&gt;17&lt;/ref-type&gt;&lt;contributors&gt;&lt;authors&gt;&lt;author&gt;Strang, John&lt;/author&gt;&lt;/authors&gt;&lt;/contributors&gt;&lt;titles&gt;&lt;title&gt;Death matters: understanding heroin/opiate overdose risk and testing potential to prevent deaths&lt;/title&gt;&lt;secondary-title&gt;Addiction&lt;/secondary-title&gt;&lt;/titles&gt;&lt;periodical&gt;&lt;full-title&gt;Addiction&lt;/full-title&gt;&lt;/periodical&gt;&lt;pages&gt;27-35&lt;/pages&gt;&lt;volume&gt;110&lt;/volume&gt;&lt;number&gt;S2&lt;/number&gt;&lt;dates&gt;&lt;year&gt;2015&lt;/year&gt;&lt;/dates&gt;&lt;isbn&gt;0965-2140&lt;/isbn&gt;&lt;urls&gt;&lt;related-urls&gt;&lt;url&gt;https://onlinelibrary.wiley.com/doi/abs/10.1111/add.12904&lt;/url&gt;&lt;/related-urls&gt;&lt;/urls&gt;&lt;electronic-resource-num&gt;https://doi.org/10.1111/add.12904&lt;/electronic-resource-num&gt;&lt;/record&gt;&lt;/Cite&gt;&lt;/EndNote&gt;</w:instrText>
      </w:r>
      <w:r w:rsidR="006544BD">
        <w:fldChar w:fldCharType="separate"/>
      </w:r>
      <w:r w:rsidR="00A77498">
        <w:rPr>
          <w:noProof/>
        </w:rPr>
        <w:t>(Strang, 2015)</w:t>
      </w:r>
      <w:r w:rsidR="006544BD">
        <w:fldChar w:fldCharType="end"/>
      </w:r>
      <w:r w:rsidR="006544BD">
        <w:t>.</w:t>
      </w:r>
      <w:r w:rsidR="00786EF8">
        <w:t xml:space="preserve"> </w:t>
      </w:r>
      <w:r w:rsidR="5C177F19" w:rsidRPr="00F704BE">
        <w:t xml:space="preserve">In </w:t>
      </w:r>
      <w:r w:rsidR="3377102E" w:rsidRPr="00F704BE">
        <w:t>principle</w:t>
      </w:r>
      <w:r w:rsidR="5C177F19" w:rsidRPr="00F704BE">
        <w:t xml:space="preserve">, </w:t>
      </w:r>
      <w:r w:rsidR="44C24A09" w:rsidRPr="0011746E">
        <w:t>a</w:t>
      </w:r>
      <w:r w:rsidR="000D04F7" w:rsidRPr="0011746E">
        <w:t xml:space="preserve"> R</w:t>
      </w:r>
      <w:r w:rsidR="000D04F7">
        <w:t xml:space="preserve">andomised </w:t>
      </w:r>
      <w:r w:rsidR="000D04F7" w:rsidRPr="0011746E">
        <w:t>C</w:t>
      </w:r>
      <w:r w:rsidR="000D04F7">
        <w:t xml:space="preserve">ontrol </w:t>
      </w:r>
      <w:r w:rsidR="000D04F7" w:rsidRPr="0011746E">
        <w:t>T</w:t>
      </w:r>
      <w:r w:rsidR="000D04F7">
        <w:t>rial</w:t>
      </w:r>
      <w:r w:rsidR="000D04F7" w:rsidRPr="0011746E">
        <w:t xml:space="preserve"> design </w:t>
      </w:r>
      <w:r w:rsidR="000D04F7">
        <w:t xml:space="preserve">would be the best way to </w:t>
      </w:r>
      <w:r w:rsidR="00EA63B5">
        <w:t>balance the characteristics of parents</w:t>
      </w:r>
      <w:r w:rsidR="00D75A17">
        <w:t xml:space="preserve"> </w:t>
      </w:r>
      <w:r w:rsidR="00EA63B5">
        <w:t xml:space="preserve">among intervention groups to allow </w:t>
      </w:r>
      <w:r w:rsidR="00292505">
        <w:t>any</w:t>
      </w:r>
      <w:r w:rsidR="00D75A17">
        <w:t xml:space="preserve"> differences in measured outcomes </w:t>
      </w:r>
      <w:r w:rsidR="0063723C">
        <w:t xml:space="preserve">to be </w:t>
      </w:r>
      <w:r w:rsidR="00292505">
        <w:t xml:space="preserve">fairly </w:t>
      </w:r>
      <w:r w:rsidR="0063723C">
        <w:t xml:space="preserve">attributed. </w:t>
      </w:r>
      <w:r w:rsidR="00292505">
        <w:t xml:space="preserve">However, </w:t>
      </w:r>
      <w:r w:rsidR="00D9056C">
        <w:t xml:space="preserve">not only would </w:t>
      </w:r>
      <w:r w:rsidR="00C92484">
        <w:t>a trial be</w:t>
      </w:r>
      <w:r w:rsidR="00D9056C">
        <w:t xml:space="preserve"> resource intensive, </w:t>
      </w:r>
      <w:r w:rsidR="00AA4C8A">
        <w:t>but it</w:t>
      </w:r>
      <w:r w:rsidR="00D9056C">
        <w:t xml:space="preserve"> </w:t>
      </w:r>
      <w:r w:rsidR="0062115F">
        <w:t xml:space="preserve">would </w:t>
      </w:r>
      <w:r w:rsidR="00C92484">
        <w:t xml:space="preserve">also </w:t>
      </w:r>
      <w:r w:rsidR="0062115F">
        <w:t>be unethical and potentially dangerous</w:t>
      </w:r>
      <w:r w:rsidR="00C92484">
        <w:t xml:space="preserve"> </w:t>
      </w:r>
      <w:r w:rsidR="0062115F">
        <w:t xml:space="preserve">to </w:t>
      </w:r>
      <w:r w:rsidR="00045BA2" w:rsidRPr="0011746E">
        <w:t>randomly allocate</w:t>
      </w:r>
      <w:r w:rsidR="000D162B">
        <w:t xml:space="preserve"> parents</w:t>
      </w:r>
      <w:r w:rsidR="00045BA2" w:rsidRPr="0011746E">
        <w:t xml:space="preserve"> into </w:t>
      </w:r>
      <w:r w:rsidR="00045BA2">
        <w:t>an intervention option</w:t>
      </w:r>
      <w:r w:rsidR="000D162B">
        <w:t>,</w:t>
      </w:r>
      <w:r w:rsidR="00045BA2">
        <w:t xml:space="preserve"> </w:t>
      </w:r>
      <w:r w:rsidR="00B02265">
        <w:t xml:space="preserve">as this could </w:t>
      </w:r>
      <w:r w:rsidR="0062115F">
        <w:t>deny</w:t>
      </w:r>
      <w:r w:rsidR="000D04F7" w:rsidRPr="0011746E">
        <w:t xml:space="preserve"> </w:t>
      </w:r>
      <w:r w:rsidR="000D162B">
        <w:t>patients</w:t>
      </w:r>
      <w:r w:rsidR="000D04F7" w:rsidRPr="0011746E">
        <w:t xml:space="preserve"> </w:t>
      </w:r>
      <w:r w:rsidR="000D04F7">
        <w:t>with a</w:t>
      </w:r>
      <w:r w:rsidR="00B02265">
        <w:t xml:space="preserve"> specific</w:t>
      </w:r>
      <w:r w:rsidR="000D04F7">
        <w:t xml:space="preserve"> treatment need and/or families </w:t>
      </w:r>
      <w:r w:rsidR="0062115F">
        <w:t>requiring targeted or statutory interventions</w:t>
      </w:r>
      <w:r w:rsidR="00D9056C">
        <w:t xml:space="preserve"> </w:t>
      </w:r>
      <w:r w:rsidR="00B02265">
        <w:t xml:space="preserve">the </w:t>
      </w:r>
      <w:r w:rsidR="000D04F7">
        <w:t>appropriate support</w:t>
      </w:r>
      <w:r w:rsidR="000D04F7" w:rsidRPr="0011746E">
        <w:t>.</w:t>
      </w:r>
      <w:r w:rsidR="000D162B">
        <w:t xml:space="preserve"> </w:t>
      </w:r>
      <w:r w:rsidR="00D02309">
        <w:rPr>
          <w:rStyle w:val="normaltextrun"/>
          <w:shd w:val="clear" w:color="auto" w:fill="FFFFFF"/>
        </w:rPr>
        <w:t>In lieu of a randomised control trial</w:t>
      </w:r>
      <w:r w:rsidR="000D162B">
        <w:rPr>
          <w:rStyle w:val="normaltextrun"/>
          <w:shd w:val="clear" w:color="auto" w:fill="FFFFFF"/>
        </w:rPr>
        <w:t xml:space="preserve">, </w:t>
      </w:r>
      <w:r w:rsidR="000D162B" w:rsidRPr="000D162B">
        <w:rPr>
          <w:rStyle w:val="normaltextrun"/>
          <w:b/>
          <w:bCs/>
          <w:shd w:val="clear" w:color="auto" w:fill="FFFFFF"/>
        </w:rPr>
        <w:t>th</w:t>
      </w:r>
      <w:r w:rsidR="0019757C" w:rsidRPr="000D162B">
        <w:rPr>
          <w:b/>
          <w:bCs/>
        </w:rPr>
        <w:t>e</w:t>
      </w:r>
      <w:r w:rsidR="0019757C" w:rsidRPr="00180597">
        <w:rPr>
          <w:b/>
          <w:bCs/>
        </w:rPr>
        <w:t xml:space="preserve"> second </w:t>
      </w:r>
      <w:r w:rsidR="009F1FA1">
        <w:rPr>
          <w:b/>
          <w:bCs/>
        </w:rPr>
        <w:t xml:space="preserve">study </w:t>
      </w:r>
      <w:r w:rsidR="0019757C" w:rsidRPr="00180597">
        <w:rPr>
          <w:rStyle w:val="normaltextrun"/>
          <w:b/>
          <w:bCs/>
          <w:shd w:val="clear" w:color="auto" w:fill="FFFFFF"/>
        </w:rPr>
        <w:t>used a quasi-experimental approach</w:t>
      </w:r>
      <w:r w:rsidR="0019757C">
        <w:rPr>
          <w:rStyle w:val="normaltextrun"/>
          <w:shd w:val="clear" w:color="auto" w:fill="FFFFFF"/>
        </w:rPr>
        <w:t xml:space="preserve">. </w:t>
      </w:r>
    </w:p>
    <w:p w14:paraId="6E665300" w14:textId="77777777" w:rsidR="001900B1" w:rsidRDefault="001900B1" w:rsidP="00E149F7">
      <w:pPr>
        <w:pStyle w:val="NoSpacing"/>
        <w:spacing w:line="360" w:lineRule="auto"/>
        <w:rPr>
          <w:rStyle w:val="normaltextrun"/>
          <w:shd w:val="clear" w:color="auto" w:fill="FFFFFF"/>
        </w:rPr>
      </w:pPr>
    </w:p>
    <w:p w14:paraId="6462C283" w14:textId="740766FB" w:rsidR="00D45C0B" w:rsidRPr="00D823DC" w:rsidRDefault="00C937D1" w:rsidP="00E149F7">
      <w:pPr>
        <w:pStyle w:val="NoSpacing"/>
        <w:spacing w:line="360" w:lineRule="auto"/>
        <w:rPr>
          <w:rStyle w:val="normaltextrun"/>
        </w:rPr>
      </w:pPr>
      <w:r>
        <w:t>M</w:t>
      </w:r>
      <w:r w:rsidR="000D0D7D">
        <w:t>ost</w:t>
      </w:r>
      <w:r>
        <w:t xml:space="preserve"> propensity score approaches </w:t>
      </w:r>
      <w:r w:rsidR="000D0D7D">
        <w:t>compare one intervention to another, typically</w:t>
      </w:r>
      <w:r w:rsidR="00615255">
        <w:t>, a control</w:t>
      </w:r>
      <w:r w:rsidR="000D0D7D">
        <w:t>. Comparison of multiple interventions are more complicated</w:t>
      </w:r>
      <w:r w:rsidR="006A43AD">
        <w:t xml:space="preserve">, but </w:t>
      </w:r>
      <w:r w:rsidR="0079145F">
        <w:t xml:space="preserve">there is emerging </w:t>
      </w:r>
      <w:r w:rsidR="002C2A77">
        <w:t>research to show how t</w:t>
      </w:r>
      <w:r w:rsidR="00615255">
        <w:t>hese</w:t>
      </w:r>
      <w:r w:rsidR="002C2A77">
        <w:t xml:space="preserve"> could be performed</w:t>
      </w:r>
      <w:r w:rsidR="000D0D7D">
        <w:t xml:space="preserve">. </w:t>
      </w:r>
      <w:r w:rsidR="001900B1">
        <w:fldChar w:fldCharType="begin">
          <w:fldData xml:space="preserve">PEVuZE5vdGU+PENpdGUgQXV0aG9yWWVhcj0iMSI+PEF1dGhvcj5NY0NhZmZyZXk8L0F1dGhvcj48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</w:fldData>
        </w:fldChar>
      </w:r>
      <w:r w:rsidR="001900B1">
        <w:instrText xml:space="preserve"> ADDIN EN.CITE </w:instrText>
      </w:r>
      <w:r w:rsidR="001900B1">
        <w:fldChar w:fldCharType="begin">
          <w:fldData xml:space="preserve">PEVuZE5vdGU+PENpdGUgQXV0aG9yWWVhcj0iMSI+PEF1dGhvcj5NY0NhZmZyZXk8L0F1dGhvcj48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</w:fldData>
        </w:fldChar>
      </w:r>
      <w:r w:rsidR="001900B1">
        <w:instrText xml:space="preserve"> ADDIN EN.CITE.DATA </w:instrText>
      </w:r>
      <w:r w:rsidR="001900B1">
        <w:fldChar w:fldCharType="end"/>
      </w:r>
      <w:r w:rsidR="001900B1">
        <w:fldChar w:fldCharType="separate"/>
      </w:r>
      <w:r w:rsidR="001900B1">
        <w:rPr>
          <w:noProof/>
        </w:rPr>
        <w:t>McCaffrey et al. (2013)</w:t>
      </w:r>
      <w:r w:rsidR="001900B1">
        <w:fldChar w:fldCharType="end"/>
      </w:r>
      <w:r w:rsidR="001900B1">
        <w:t xml:space="preserve"> found that when using propensity score estimation of multiple treatments, such as in our model, Generalized Boosted Models (GBM) outperformed simple logistic </w:t>
      </w:r>
      <w:r w:rsidR="001900B1">
        <w:lastRenderedPageBreak/>
        <w:t xml:space="preserve">regression models with iterative variable section. </w:t>
      </w:r>
      <w:r w:rsidR="00AC2BC2">
        <w:t>Their</w:t>
      </w:r>
      <w:r w:rsidR="00291DF6">
        <w:t xml:space="preserve"> GBM approach led to the </w:t>
      </w:r>
      <w:r w:rsidR="00D45C0B">
        <w:t xml:space="preserve">extension of the Toolkit for Weighting and Analysis of Nonequivalent Groups, or ‘twang’, </w:t>
      </w:r>
      <w:r w:rsidR="00D823DC">
        <w:t>originally</w:t>
      </w:r>
      <w:r w:rsidR="00D45C0B">
        <w:t xml:space="preserve"> designed to make causal estimates in the binary treatment setting</w:t>
      </w:r>
      <w:r w:rsidR="00D823DC">
        <w:t xml:space="preserve"> in R</w:t>
      </w:r>
      <w:r w:rsidR="00D45C0B">
        <w:t xml:space="preserve"> to handle multinomial propensity scores</w:t>
      </w:r>
      <w:r w:rsidR="004B5687">
        <w:t xml:space="preserve"> </w:t>
      </w:r>
      <w:r w:rsidR="004B5687">
        <w:fldChar w:fldCharType="begin"/>
      </w:r>
      <w:r w:rsidR="004B5687">
        <w:instrText xml:space="preserve"> ADDIN EN.CITE &lt;EndNote&gt;&lt;Cite&gt;&lt;Author&gt;Burgette&lt;/Author&gt;&lt;Year&gt;2021&lt;/Year&gt;&lt;RecNum&gt;354&lt;/RecNum&gt;&lt;DisplayText&gt;(Burgette et al., 2021)&lt;/DisplayText&gt;&lt;record&gt;&lt;rec-number&gt;354&lt;/rec-number&gt;&lt;foreign-keys&gt;&lt;key app="EN" db-id="ffzvr5fstavwxoe9v04xf0wmp5t50as52da0" timestamp="1731671662" guid="bafe36dc-0b7f-44d1-b970-317fd73a4281"&gt;354&lt;/key&gt;&lt;/foreign-keys&gt;&lt;ref-type name="Electronic Article"&gt;43&lt;/ref-type&gt;&lt;contributors&gt;&lt;authors&gt;&lt;author&gt;Lane Burgette&lt;/author&gt;&lt;author&gt;Beth Ann Griffin&lt;/author&gt;&lt;author&gt;Dan McCaffrey&lt;/author&gt;&lt;/authors&gt;&lt;/contributors&gt;&lt;titles&gt;&lt;title&gt;Propensity scores for multiple treatments: A tutorial for the mnps function in the twang package&lt;/title&gt;&lt;/titles&gt;&lt;dates&gt;&lt;year&gt;2021&lt;/year&gt;&lt;/dates&gt;&lt;urls&gt;&lt;related-urls&gt;&lt;url&gt;https://cran.r-project.org/web/packages/twang/vignettes/mnps.pdf&lt;/url&gt;&lt;/related-urls&gt;&lt;/urls&gt;&lt;/record&gt;&lt;/Cite&gt;&lt;/EndNote&gt;</w:instrText>
      </w:r>
      <w:r w:rsidR="004B5687">
        <w:fldChar w:fldCharType="separate"/>
      </w:r>
      <w:r w:rsidR="004B5687">
        <w:rPr>
          <w:noProof/>
        </w:rPr>
        <w:t>(Burgette et al., 2021)</w:t>
      </w:r>
      <w:r w:rsidR="004B5687">
        <w:fldChar w:fldCharType="end"/>
      </w:r>
      <w:r w:rsidR="00D45C0B">
        <w:t xml:space="preserve">. </w:t>
      </w:r>
      <w:r w:rsidR="00615255">
        <w:t xml:space="preserve">Thus, I used </w:t>
      </w:r>
      <w:r w:rsidR="007A0C97">
        <w:t>the multinomial propensity score extension of twang to adopt a GBM approach.</w:t>
      </w:r>
    </w:p>
    <w:p w14:paraId="2AD8672E" w14:textId="77777777" w:rsidR="00D45C0B" w:rsidRDefault="00D45C0B" w:rsidP="00E149F7">
      <w:pPr>
        <w:pStyle w:val="NoSpacing"/>
        <w:spacing w:line="360" w:lineRule="auto"/>
        <w:rPr>
          <w:rStyle w:val="normaltextrun"/>
          <w:shd w:val="clear" w:color="auto" w:fill="FFFFFF"/>
        </w:rPr>
      </w:pPr>
    </w:p>
    <w:p w14:paraId="69B42A9C" w14:textId="3C77C88C" w:rsidR="002019F0" w:rsidRDefault="004C7D5D" w:rsidP="00E149F7">
      <w:pPr>
        <w:pStyle w:val="NoSpacing"/>
        <w:spacing w:line="360" w:lineRule="auto"/>
        <w:rPr>
          <w:rStyle w:val="normaltextrun"/>
        </w:rPr>
      </w:pPr>
      <w:r>
        <w:t>C</w:t>
      </w:r>
      <w:r w:rsidR="00675001">
        <w:t>omparison group</w:t>
      </w:r>
      <w:r>
        <w:t>s</w:t>
      </w:r>
      <w:r w:rsidR="00675001">
        <w:t xml:space="preserve"> </w:t>
      </w:r>
      <w:r>
        <w:t>were</w:t>
      </w:r>
      <w:r w:rsidR="00675001">
        <w:t xml:space="preserve"> created to randomly allocate parents into intervention option</w:t>
      </w:r>
      <w:r w:rsidR="00341F06">
        <w:t>s</w:t>
      </w:r>
      <w:r w:rsidR="00675001">
        <w:t xml:space="preserve"> </w:t>
      </w:r>
      <w:r w:rsidR="0030331D">
        <w:t xml:space="preserve">using </w:t>
      </w:r>
      <w:r w:rsidR="00ED7CBE">
        <w:t>GBM</w:t>
      </w:r>
      <w:r w:rsidR="00CB6B10">
        <w:t xml:space="preserve"> for multiple interventi</w:t>
      </w:r>
      <w:r w:rsidR="00CB39AE">
        <w:t xml:space="preserve">ons </w:t>
      </w:r>
      <w:r w:rsidR="00252285">
        <w:fldChar w:fldCharType="begin">
          <w:fldData xml:space="preserve">PEVuZE5vdGU+PENpdGU+PEF1dGhvcj5CdXJnZXR0ZTwvQXV0aG9yPjxZZWFyPjIwMjE8L1llYXI+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</w:fldData>
        </w:fldChar>
      </w:r>
      <w:r w:rsidR="00B9334F">
        <w:instrText xml:space="preserve"> ADDIN EN.CITE </w:instrText>
      </w:r>
      <w:r w:rsidR="00B9334F">
        <w:fldChar w:fldCharType="begin">
          <w:fldData xml:space="preserve">PEVuZE5vdGU+PENpdGU+PEF1dGhvcj5CdXJnZXR0ZTwvQXV0aG9yPjxZZWFyPjIwMjE8L1llYXI+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</w:fldData>
        </w:fldChar>
      </w:r>
      <w:r w:rsidR="00B9334F">
        <w:instrText xml:space="preserve"> ADDIN EN.CITE.DATA </w:instrText>
      </w:r>
      <w:r w:rsidR="00B9334F">
        <w:fldChar w:fldCharType="end"/>
      </w:r>
      <w:r w:rsidR="00252285">
        <w:fldChar w:fldCharType="separate"/>
      </w:r>
      <w:r w:rsidR="003C6F70">
        <w:rPr>
          <w:noProof/>
        </w:rPr>
        <w:t>(Burgette et al., 2021; McCaffrey et al., 2013)</w:t>
      </w:r>
      <w:r w:rsidR="00252285">
        <w:fldChar w:fldCharType="end"/>
      </w:r>
      <w:r w:rsidR="000F0B6A">
        <w:t>.</w:t>
      </w:r>
      <w:r w:rsidR="00480AA4">
        <w:t xml:space="preserve"> </w:t>
      </w:r>
      <w:r w:rsidR="00480AA4" w:rsidRPr="000D5A17">
        <w:rPr>
          <w:rStyle w:val="normaltextrun"/>
        </w:rPr>
        <w:t>GBM estimates propensity scores and their weights using a</w:t>
      </w:r>
      <w:r w:rsidR="006A2B09">
        <w:rPr>
          <w:rStyle w:val="normaltextrun"/>
        </w:rPr>
        <w:t xml:space="preserve"> </w:t>
      </w:r>
      <w:r w:rsidR="00480AA4" w:rsidRPr="000D5A17">
        <w:rPr>
          <w:rStyle w:val="normaltextrun"/>
        </w:rPr>
        <w:t xml:space="preserve">nonparametric machine learning technique </w:t>
      </w:r>
      <w:r w:rsidR="006A2B09">
        <w:rPr>
          <w:rStyle w:val="normaltextrun"/>
        </w:rPr>
        <w:t>which commands</w:t>
      </w:r>
      <w:r w:rsidR="0037799A" w:rsidRPr="000D5A17">
        <w:rPr>
          <w:rStyle w:val="normaltextrun"/>
        </w:rPr>
        <w:t xml:space="preserve"> </w:t>
      </w:r>
      <w:r w:rsidR="000D5A17" w:rsidRPr="000D5A17">
        <w:rPr>
          <w:rStyle w:val="normaltextrun"/>
        </w:rPr>
        <w:t>the research</w:t>
      </w:r>
      <w:r w:rsidR="006A2B09">
        <w:rPr>
          <w:rStyle w:val="normaltextrun"/>
        </w:rPr>
        <w:t>er</w:t>
      </w:r>
      <w:r w:rsidR="00480AA4" w:rsidRPr="000D5A17">
        <w:rPr>
          <w:rStyle w:val="normaltextrun"/>
        </w:rPr>
        <w:t xml:space="preserve"> to specify </w:t>
      </w:r>
      <w:r w:rsidR="006A2B09">
        <w:rPr>
          <w:rStyle w:val="normaltextrun"/>
        </w:rPr>
        <w:t>the</w:t>
      </w:r>
      <w:r w:rsidR="00480AA4" w:rsidRPr="000D5A17">
        <w:rPr>
          <w:rStyle w:val="normaltextrun"/>
        </w:rPr>
        <w:t xml:space="preserve"> </w:t>
      </w:r>
      <w:r w:rsidR="006A2B09">
        <w:rPr>
          <w:rStyle w:val="normaltextrun"/>
        </w:rPr>
        <w:t xml:space="preserve">baseline </w:t>
      </w:r>
      <w:r w:rsidR="00480AA4" w:rsidRPr="000D5A17">
        <w:rPr>
          <w:rStyle w:val="normaltextrun"/>
        </w:rPr>
        <w:t xml:space="preserve">covariates to balance between </w:t>
      </w:r>
      <w:r w:rsidR="000D5A17" w:rsidRPr="000D5A17">
        <w:rPr>
          <w:rStyle w:val="normaltextrun"/>
        </w:rPr>
        <w:t>comparison groups</w:t>
      </w:r>
      <w:r w:rsidR="00480AA4" w:rsidRPr="000D5A17">
        <w:rPr>
          <w:rStyle w:val="normaltextrun"/>
        </w:rPr>
        <w:t xml:space="preserve">. The </w:t>
      </w:r>
      <w:r w:rsidR="000D5A17" w:rsidRPr="000D5A17">
        <w:rPr>
          <w:rStyle w:val="normaltextrun"/>
        </w:rPr>
        <w:t xml:space="preserve">GBM </w:t>
      </w:r>
      <w:r w:rsidR="00480AA4" w:rsidRPr="000D5A17">
        <w:rPr>
          <w:rStyle w:val="normaltextrun"/>
        </w:rPr>
        <w:t xml:space="preserve">algorithm </w:t>
      </w:r>
      <w:r w:rsidR="00F65327" w:rsidRPr="000D5A17">
        <w:rPr>
          <w:rStyle w:val="normaltextrun"/>
        </w:rPr>
        <w:t>establishes</w:t>
      </w:r>
      <w:r w:rsidR="00480AA4" w:rsidRPr="000D5A17">
        <w:rPr>
          <w:rStyle w:val="normaltextrun"/>
        </w:rPr>
        <w:t xml:space="preserve"> </w:t>
      </w:r>
      <w:r w:rsidR="006A2B09">
        <w:rPr>
          <w:rStyle w:val="normaltextrun"/>
        </w:rPr>
        <w:t>which</w:t>
      </w:r>
      <w:r w:rsidR="00480AA4" w:rsidRPr="000D5A17">
        <w:rPr>
          <w:rStyle w:val="normaltextrun"/>
        </w:rPr>
        <w:t xml:space="preserve"> model for the propensity score</w:t>
      </w:r>
      <w:r w:rsidR="006A2B09">
        <w:rPr>
          <w:rStyle w:val="normaltextrun"/>
        </w:rPr>
        <w:t xml:space="preserve"> is the most appropriate</w:t>
      </w:r>
      <w:r w:rsidR="00547F51">
        <w:rPr>
          <w:rStyle w:val="normaltextrun"/>
        </w:rPr>
        <w:t xml:space="preserve"> and estimate</w:t>
      </w:r>
      <w:r w:rsidR="002471FA">
        <w:rPr>
          <w:rStyle w:val="normaltextrun"/>
        </w:rPr>
        <w:t>s</w:t>
      </w:r>
      <w:r w:rsidR="00547F51">
        <w:rPr>
          <w:rStyle w:val="normaltextrun"/>
        </w:rPr>
        <w:t xml:space="preserve"> propensity weights to </w:t>
      </w:r>
      <w:r w:rsidR="00433C96">
        <w:rPr>
          <w:rStyle w:val="normaltextrun"/>
        </w:rPr>
        <w:t>calculated causal estimated for</w:t>
      </w:r>
      <w:r w:rsidR="002471FA">
        <w:rPr>
          <w:rStyle w:val="normaltextrun"/>
        </w:rPr>
        <w:t xml:space="preserve"> different intervention options</w:t>
      </w:r>
      <w:r w:rsidR="00480AA4" w:rsidRPr="000D5A17">
        <w:rPr>
          <w:rStyle w:val="normaltextrun"/>
        </w:rPr>
        <w:t>.</w:t>
      </w:r>
      <w:r w:rsidR="00853731">
        <w:rPr>
          <w:rStyle w:val="normaltextrun"/>
        </w:rPr>
        <w:t xml:space="preserve"> </w:t>
      </w:r>
    </w:p>
    <w:p w14:paraId="11386F1B" w14:textId="77777777" w:rsidR="00F62396" w:rsidRDefault="00F62396" w:rsidP="00E149F7">
      <w:pPr>
        <w:pStyle w:val="NoSpacing"/>
        <w:spacing w:line="360" w:lineRule="auto"/>
        <w:rPr>
          <w:rStyle w:val="normaltextrun"/>
        </w:rPr>
      </w:pPr>
    </w:p>
    <w:p w14:paraId="52EFAA47" w14:textId="77777777" w:rsidR="00904AA2" w:rsidRDefault="005A1440" w:rsidP="00904AA2">
      <w:pPr>
        <w:pStyle w:val="NoSpacing"/>
        <w:spacing w:line="360" w:lineRule="auto"/>
      </w:pPr>
      <w:r>
        <w:rPr>
          <w:rStyle w:val="normaltextrun"/>
          <w:shd w:val="clear" w:color="auto" w:fill="FFFFFF"/>
        </w:rPr>
        <w:t xml:space="preserve">There is not enough information in the NDTMS to account for differences in child safeguarding risk, </w:t>
      </w:r>
      <w:r w:rsidR="00355D51">
        <w:rPr>
          <w:rStyle w:val="normaltextrun"/>
          <w:shd w:val="clear" w:color="auto" w:fill="FFFFFF"/>
        </w:rPr>
        <w:t>but being on a statutory child welfare intervention is</w:t>
      </w:r>
      <w:r>
        <w:rPr>
          <w:rStyle w:val="normaltextrun"/>
          <w:shd w:val="clear" w:color="auto" w:fill="FFFFFF"/>
        </w:rPr>
        <w:t xml:space="preserve"> likely to have an effect on outcomes</w:t>
      </w:r>
      <w:r w:rsidR="00355D51">
        <w:rPr>
          <w:rStyle w:val="normaltextrun"/>
          <w:shd w:val="clear" w:color="auto" w:fill="FFFFFF"/>
        </w:rPr>
        <w:t xml:space="preserve"> for parents in treatment</w:t>
      </w:r>
      <w:r>
        <w:rPr>
          <w:rStyle w:val="normaltextrun"/>
          <w:shd w:val="clear" w:color="auto" w:fill="FFFFFF"/>
        </w:rPr>
        <w:t xml:space="preserve">. </w:t>
      </w:r>
      <w:r w:rsidR="00904AA2">
        <w:t xml:space="preserve">For example, parents engaging with statutory child welfare may need additional support to cope with their child either being in care or at risk of being placed in care. Similarly, they may need support to help ensure no further child safeguarding risk if a child is returning to their care. </w:t>
      </w:r>
    </w:p>
    <w:p w14:paraId="129A04C5" w14:textId="5A557D26" w:rsidR="00A41BD8" w:rsidRDefault="00B30507" w:rsidP="00E149F7">
      <w:pPr>
        <w:pStyle w:val="NoSpacing"/>
        <w:spacing w:line="360" w:lineRule="auto"/>
        <w:rPr>
          <w:rStyle w:val="normaltextrun"/>
        </w:rPr>
      </w:pPr>
      <w:r>
        <w:rPr>
          <w:rStyle w:val="normaltextrun"/>
          <w:shd w:val="clear" w:color="auto" w:fill="FFFFFF"/>
        </w:rPr>
        <w:t>Thus, s</w:t>
      </w:r>
      <w:r w:rsidR="00995909">
        <w:rPr>
          <w:rStyle w:val="normaltextrun"/>
          <w:shd w:val="clear" w:color="auto" w:fill="FFFFFF"/>
        </w:rPr>
        <w:t xml:space="preserve">tatutory child welfare interventions </w:t>
      </w:r>
      <w:r w:rsidR="00235ECF">
        <w:rPr>
          <w:rStyle w:val="normaltextrun"/>
          <w:shd w:val="clear" w:color="auto" w:fill="FFFFFF"/>
        </w:rPr>
        <w:t xml:space="preserve">(child on a child in need/ child protection plan or child in care) </w:t>
      </w:r>
      <w:r w:rsidR="00995909">
        <w:rPr>
          <w:rStyle w:val="normaltextrun"/>
          <w:shd w:val="clear" w:color="auto" w:fill="FFFFFF"/>
        </w:rPr>
        <w:t xml:space="preserve">were included in the model to account </w:t>
      </w:r>
      <w:r w:rsidR="0031054E">
        <w:rPr>
          <w:rStyle w:val="normaltextrun"/>
          <w:shd w:val="clear" w:color="auto" w:fill="FFFFFF"/>
        </w:rPr>
        <w:t xml:space="preserve">for the differences in risk, </w:t>
      </w:r>
      <w:r w:rsidR="00B320C8">
        <w:rPr>
          <w:rStyle w:val="normaltextrun"/>
          <w:shd w:val="clear" w:color="auto" w:fill="FFFFFF"/>
        </w:rPr>
        <w:t xml:space="preserve">rather than to measure the average treatment effect </w:t>
      </w:r>
      <w:r w:rsidR="000C605E">
        <w:rPr>
          <w:rStyle w:val="normaltextrun"/>
          <w:shd w:val="clear" w:color="auto" w:fill="FFFFFF"/>
        </w:rPr>
        <w:t xml:space="preserve">(ATE) </w:t>
      </w:r>
      <w:r w:rsidR="00B320C8">
        <w:rPr>
          <w:rStyle w:val="normaltextrun"/>
          <w:shd w:val="clear" w:color="auto" w:fill="FFFFFF"/>
        </w:rPr>
        <w:t xml:space="preserve">of </w:t>
      </w:r>
      <w:r w:rsidR="002019F0">
        <w:rPr>
          <w:rStyle w:val="normaltextrun"/>
          <w:shd w:val="clear" w:color="auto" w:fill="FFFFFF"/>
        </w:rPr>
        <w:t xml:space="preserve">treatment </w:t>
      </w:r>
      <w:r w:rsidR="00545D7B">
        <w:rPr>
          <w:rStyle w:val="normaltextrun"/>
          <w:shd w:val="clear" w:color="auto" w:fill="FFFFFF"/>
        </w:rPr>
        <w:t>plus</w:t>
      </w:r>
      <w:r w:rsidR="002019F0">
        <w:rPr>
          <w:rStyle w:val="normaltextrun"/>
          <w:shd w:val="clear" w:color="auto" w:fill="FFFFFF"/>
        </w:rPr>
        <w:t xml:space="preserve"> </w:t>
      </w:r>
      <w:r w:rsidR="00E1781D">
        <w:rPr>
          <w:rStyle w:val="normaltextrun"/>
          <w:shd w:val="clear" w:color="auto" w:fill="FFFFFF"/>
        </w:rPr>
        <w:t xml:space="preserve">different </w:t>
      </w:r>
      <w:r w:rsidR="002019F0">
        <w:rPr>
          <w:rStyle w:val="normaltextrun"/>
          <w:shd w:val="clear" w:color="auto" w:fill="FFFFFF"/>
        </w:rPr>
        <w:t xml:space="preserve">statutory </w:t>
      </w:r>
      <w:r w:rsidR="002019F0" w:rsidRPr="007E05A8">
        <w:rPr>
          <w:rStyle w:val="normaltextrun"/>
          <w:shd w:val="clear" w:color="auto" w:fill="FFFFFF"/>
        </w:rPr>
        <w:t>child welfare interventions</w:t>
      </w:r>
      <w:r w:rsidR="00DE5A82">
        <w:rPr>
          <w:rStyle w:val="normaltextrun"/>
          <w:shd w:val="clear" w:color="auto" w:fill="FFFFFF"/>
        </w:rPr>
        <w:t xml:space="preserve"> compared with treatment only for a treatment population</w:t>
      </w:r>
      <w:r w:rsidR="005A1440">
        <w:rPr>
          <w:rStyle w:val="normaltextrun"/>
          <w:shd w:val="clear" w:color="auto" w:fill="FFFFFF"/>
        </w:rPr>
        <w:t xml:space="preserve">. </w:t>
      </w:r>
    </w:p>
    <w:p w14:paraId="0994127B" w14:textId="77777777" w:rsidR="00A41BD8" w:rsidRDefault="00A41BD8" w:rsidP="00E149F7">
      <w:pPr>
        <w:pStyle w:val="NoSpacing"/>
        <w:spacing w:line="360" w:lineRule="auto"/>
        <w:rPr>
          <w:rStyle w:val="normaltextrun"/>
        </w:rPr>
      </w:pPr>
    </w:p>
    <w:p w14:paraId="442AC308" w14:textId="059A17FA" w:rsidR="00E149F7" w:rsidRDefault="00A80B6A" w:rsidP="00E149F7">
      <w:pPr>
        <w:pStyle w:val="NoSpacing"/>
        <w:spacing w:line="360" w:lineRule="auto"/>
      </w:pPr>
      <w:r>
        <w:t>O</w:t>
      </w:r>
      <w:r w:rsidR="00853731">
        <w:t xml:space="preserve">utcomes used </w:t>
      </w:r>
      <w:r w:rsidR="000C605E">
        <w:t xml:space="preserve">were </w:t>
      </w:r>
      <w:r w:rsidR="00853731" w:rsidRPr="001D63CB">
        <w:t>ATEs</w:t>
      </w:r>
      <w:r w:rsidR="00853731">
        <w:t xml:space="preserve">, rather than Average Treatment Effect on Treated (ATT), </w:t>
      </w:r>
      <w:r w:rsidR="000A2899">
        <w:t>to</w:t>
      </w:r>
      <w:r w:rsidR="00853731">
        <w:t xml:space="preserve"> take into account the effect of a</w:t>
      </w:r>
      <w:r w:rsidR="000C605E">
        <w:t xml:space="preserve"> targeted prevention </w:t>
      </w:r>
      <w:r w:rsidR="00853731">
        <w:t xml:space="preserve">intervention on the </w:t>
      </w:r>
      <w:r w:rsidR="006F2582">
        <w:t>entire cohort, similar to randomisation</w:t>
      </w:r>
      <w:r w:rsidR="00853731">
        <w:t xml:space="preserve">, as opposed to just those who </w:t>
      </w:r>
      <w:r>
        <w:t>received the intervention</w:t>
      </w:r>
      <w:r w:rsidR="00853731">
        <w:t xml:space="preserve">. </w:t>
      </w:r>
      <w:r w:rsidR="00E149F7">
        <w:t xml:space="preserve">ATE is useful </w:t>
      </w:r>
      <w:r w:rsidR="00505566">
        <w:t xml:space="preserve">when an intervention can be recommended </w:t>
      </w:r>
      <w:r w:rsidR="00773FE7">
        <w:t>universally across a population. However</w:t>
      </w:r>
      <w:r w:rsidR="00A63453">
        <w:t>,</w:t>
      </w:r>
      <w:r w:rsidR="00773FE7">
        <w:t xml:space="preserve"> we assumed </w:t>
      </w:r>
      <w:r w:rsidR="00E149F7">
        <w:t xml:space="preserve">that the </w:t>
      </w:r>
      <w:r w:rsidR="00891EDB">
        <w:t xml:space="preserve">patient sex, </w:t>
      </w:r>
      <w:r w:rsidR="00E149F7">
        <w:t xml:space="preserve">type of substance used and child living arrangements were important factors in a practitioner assigning a </w:t>
      </w:r>
      <w:r w:rsidR="00A265DE">
        <w:t>parent to an intervention strategy</w:t>
      </w:r>
      <w:r w:rsidR="00891EDB">
        <w:t xml:space="preserve"> and as such stratified our sample accordingly</w:t>
      </w:r>
      <w:r w:rsidR="00A265DE">
        <w:t xml:space="preserve">. </w:t>
      </w:r>
    </w:p>
    <w:p w14:paraId="2A8F1FD8" w14:textId="77777777" w:rsidR="005007AD" w:rsidRDefault="005007AD" w:rsidP="0019757C">
      <w:pPr>
        <w:pStyle w:val="NoSpacing"/>
        <w:spacing w:line="360" w:lineRule="auto"/>
        <w:rPr>
          <w:rStyle w:val="normaltextrun"/>
          <w:shd w:val="clear" w:color="auto" w:fill="FFFFFF"/>
        </w:rPr>
      </w:pPr>
    </w:p>
    <w:p w14:paraId="5A242BD2" w14:textId="22976451" w:rsidR="005830F0" w:rsidRDefault="00A20F0B" w:rsidP="00CE65F2">
      <w:pPr>
        <w:pStyle w:val="NoSpacing"/>
        <w:spacing w:line="360" w:lineRule="auto"/>
        <w:rPr>
          <w:rStyle w:val="normaltextrun"/>
          <w:color w:val="000000"/>
          <w:shd w:val="clear" w:color="auto" w:fill="FFFFFF"/>
        </w:rPr>
      </w:pPr>
      <w:r>
        <w:rPr>
          <w:rStyle w:val="normaltextrun"/>
          <w:shd w:val="clear" w:color="auto" w:fill="FFFFFF"/>
        </w:rPr>
        <w:lastRenderedPageBreak/>
        <w:t xml:space="preserve">The </w:t>
      </w:r>
      <w:r w:rsidRPr="009115F1">
        <w:rPr>
          <w:rStyle w:val="normaltextrun"/>
          <w:b/>
          <w:bCs/>
          <w:shd w:val="clear" w:color="auto" w:fill="FFFFFF"/>
        </w:rPr>
        <w:t xml:space="preserve">third study </w:t>
      </w:r>
      <w:r>
        <w:rPr>
          <w:b/>
          <w:bCs/>
        </w:rPr>
        <w:t>uses a</w:t>
      </w:r>
      <w:r w:rsidRPr="009115F1">
        <w:rPr>
          <w:b/>
          <w:bCs/>
        </w:rPr>
        <w:t xml:space="preserve"> cost-effectiveness approach</w:t>
      </w:r>
      <w:r>
        <w:t xml:space="preserve">. The treatment effects observed in the second study were applied in this study. The second study showed consistent effectiveness results for the subgroup of alcohol only users when comparing treatment </w:t>
      </w:r>
      <w:r w:rsidR="00545D7B">
        <w:t>plus</w:t>
      </w:r>
      <w:r>
        <w:t xml:space="preserve"> </w:t>
      </w:r>
      <w:r w:rsidR="00AB7760">
        <w:t>parenting and/or family</w:t>
      </w:r>
      <w:r>
        <w:t xml:space="preserve"> recovery support versus treatment alone. In light of these findings, I decided to focus my third study on analysing the cost-effectiveness of treatment only compared with treatment </w:t>
      </w:r>
      <w:r w:rsidR="00545D7B">
        <w:t>plus</w:t>
      </w:r>
      <w:r>
        <w:t xml:space="preserve"> </w:t>
      </w:r>
      <w:r w:rsidR="00AB7760">
        <w:t>parenting and/or family</w:t>
      </w:r>
      <w:r>
        <w:t xml:space="preserve"> recovery support in people treated for alcohol only. The second study also showed statistically significant effectiveness results for non-opiate users (again for treatment </w:t>
      </w:r>
      <w:r w:rsidR="00545D7B">
        <w:t>plus</w:t>
      </w:r>
      <w:r>
        <w:t xml:space="preserve"> </w:t>
      </w:r>
      <w:r w:rsidR="00AB7760">
        <w:t>parenting and/or family</w:t>
      </w:r>
      <w:r>
        <w:t xml:space="preserve"> recovery support versus treatment alone), and so I </w:t>
      </w:r>
      <w:r w:rsidR="00387E42">
        <w:t>did</w:t>
      </w:r>
      <w:r>
        <w:t xml:space="preserve"> consider a fourth study: a cost-effectiveness study of non-opiate users but decided against this for the following reasons.  First, because ‘non-opiate use’ is a broad category comprising many diverse substances, such as powder cocaine, crack cocaine, MDMA, methamphetamine and cannabis, it would be very difficult and resource intensive to find the needed health economic data in the </w:t>
      </w:r>
      <w:r w:rsidRPr="00E502C2">
        <w:t xml:space="preserve">published scientific literature which could be used in </w:t>
      </w:r>
      <w:r w:rsidR="005D55A9">
        <w:t>the</w:t>
      </w:r>
      <w:r w:rsidRPr="00E502C2">
        <w:t xml:space="preserve"> decision modelling for each non-opiate substance type.</w:t>
      </w:r>
      <w:r>
        <w:rPr>
          <w:rStyle w:val="normaltextrun"/>
          <w:color w:val="000000"/>
          <w:shd w:val="clear" w:color="auto" w:fill="FFFFFF"/>
        </w:rPr>
        <w:t xml:space="preserve"> </w:t>
      </w:r>
      <w:r w:rsidRPr="00C125D0">
        <w:rPr>
          <w:rStyle w:val="normaltextrun"/>
          <w:color w:val="000000"/>
          <w:shd w:val="clear" w:color="auto" w:fill="FFFFFF"/>
        </w:rPr>
        <w:t>Second, a brief scoping exercise indicated that the literature is much less well developed for some non</w:t>
      </w:r>
      <w:r>
        <w:rPr>
          <w:rStyle w:val="normaltextrun"/>
          <w:color w:val="000000"/>
          <w:shd w:val="clear" w:color="auto" w:fill="FFFFFF"/>
        </w:rPr>
        <w:t xml:space="preserve">-opiate users than others, for example there was limited evidence on health state utilities and lifetime SUD trajectories for dependent ketamine users compared with cannabis users. </w:t>
      </w:r>
    </w:p>
    <w:p w14:paraId="56E46405" w14:textId="77777777" w:rsidR="007A0C97" w:rsidRDefault="007A0C97" w:rsidP="00CE65F2">
      <w:pPr>
        <w:pStyle w:val="NoSpacing"/>
        <w:spacing w:line="360" w:lineRule="auto"/>
      </w:pPr>
    </w:p>
    <w:p w14:paraId="0D2220B2" w14:textId="2A4793E4" w:rsidR="00EB419D" w:rsidRDefault="00EB419D" w:rsidP="00CF5D02">
      <w:pPr>
        <w:pStyle w:val="Heading2"/>
        <w:numPr>
          <w:ilvl w:val="1"/>
          <w:numId w:val="19"/>
        </w:numPr>
        <w:spacing w:after="240"/>
      </w:pPr>
      <w:bookmarkStart w:id="42" w:name="_Toc189229667"/>
      <w:r>
        <w:t>Overarching method</w:t>
      </w:r>
      <w:r w:rsidR="00543076">
        <w:t>s common to all three studies</w:t>
      </w:r>
      <w:bookmarkEnd w:id="42"/>
    </w:p>
    <w:p w14:paraId="2CF49A7C" w14:textId="77777777" w:rsidR="00FF2C51" w:rsidRDefault="00FF2C51" w:rsidP="00FF2C51">
      <w:pPr>
        <w:pStyle w:val="NoSpacing"/>
        <w:spacing w:line="360" w:lineRule="auto"/>
      </w:pPr>
      <w:r>
        <w:t xml:space="preserve">As this thesis is presented in journal paper form, the methods for each three studies are presented in the individual study chapters (3-5). Below are the methods common to all three which were not included in great detail in the study chapters. </w:t>
      </w:r>
    </w:p>
    <w:p w14:paraId="1B65B432" w14:textId="77777777" w:rsidR="00430CDF" w:rsidRDefault="00430CDF" w:rsidP="00CE65F2">
      <w:pPr>
        <w:pStyle w:val="NoSpacing"/>
        <w:spacing w:line="360" w:lineRule="auto"/>
      </w:pPr>
    </w:p>
    <w:p w14:paraId="23B1269B" w14:textId="063BF445" w:rsidR="00430CDF" w:rsidRDefault="00430CDF" w:rsidP="009C3BBC">
      <w:pPr>
        <w:pStyle w:val="Heading3"/>
        <w:numPr>
          <w:ilvl w:val="2"/>
          <w:numId w:val="19"/>
        </w:numPr>
      </w:pPr>
      <w:bookmarkStart w:id="43" w:name="_Toc189229668"/>
      <w:r>
        <w:t>Population</w:t>
      </w:r>
      <w:bookmarkEnd w:id="43"/>
    </w:p>
    <w:p w14:paraId="1ED7B3F3" w14:textId="68EE0CFF" w:rsidR="00CB4E0D" w:rsidRDefault="00430CDF" w:rsidP="000719B6">
      <w:pPr>
        <w:pStyle w:val="NoSpacing"/>
        <w:spacing w:line="360" w:lineRule="auto"/>
      </w:pPr>
      <w:r>
        <w:t>Only adults (</w:t>
      </w:r>
      <w:r w:rsidRPr="00056E69">
        <w:t>≥ 18 years</w:t>
      </w:r>
      <w:r>
        <w:t>) parents were included. All patients</w:t>
      </w:r>
      <w:r w:rsidRPr="006F3F62">
        <w:t xml:space="preserve"> </w:t>
      </w:r>
      <w:r>
        <w:t xml:space="preserve">accessing specialist treatment </w:t>
      </w:r>
      <w:r w:rsidRPr="006F3F62">
        <w:t>should be asked about their parental status</w:t>
      </w:r>
      <w:r>
        <w:t xml:space="preserve"> and this information should be reported on the NDTMS</w:t>
      </w:r>
      <w:r w:rsidRPr="006F3F62">
        <w:t xml:space="preserve">. Under the reporting rules, a parent </w:t>
      </w:r>
      <w:r>
        <w:t xml:space="preserve">can be a: biological parent, step-parent, foster parent, adoptive parent, guardian or a de facto parent (where a patient has taken on partial or full parenting responsibilities). Parents should be asked whether all, some or none of their children are living with them </w:t>
      </w:r>
      <w:r w:rsidRPr="00392850">
        <w:lastRenderedPageBreak/>
        <w:fldChar w:fldCharType="begin"/>
      </w:r>
      <w:r w:rsidR="00A77498">
        <w:instrText xml:space="preserve"> ADDIN EN.CITE &lt;EndNote&gt;&lt;Cite&gt;&lt;Author&gt;Public Health England&lt;/Author&gt;&lt;Year&gt;2019&lt;/Year&gt;&lt;RecNum&gt;131&lt;/RecNum&gt;&lt;DisplayText&gt;(Public Health England, 2019)&lt;/DisplayText&gt;&lt;record&gt;&lt;rec-number&gt;131&lt;/rec-number&gt;&lt;foreign-keys&gt;&lt;key app="EN" db-id="2wdfddaawxaseae9fd6xrrs3xdxpavsp5dff" timestamp="1692196130" guid="f47dd6fb-9794-4a79-859c-d2216a81d819"&gt;131&lt;/key&gt;&lt;/foreign-keys&gt;&lt;ref-type name="Electronic Article"&gt;43&lt;/ref-type&gt;&lt;contributors&gt;&lt;authors&gt;&lt;author&gt;Public Health England,&lt;/author&gt;&lt;/authors&gt;&lt;/contributors&gt;&lt;titles&gt;&lt;title&gt;National Drug Treatment Monitoring System (NDTMS). Adult drug and alcohol treatment business definitions. Core dataset O&lt;/title&gt;&lt;/titles&gt;&lt;dates&gt;&lt;year&gt;2019&lt;/year&gt;&lt;pub-dates&gt;&lt;date&gt;14/06/2019&lt;/date&gt;&lt;/pub-dates&gt;&lt;/dates&gt;&lt;urls&gt;&lt;related-urls&gt;&lt;url&gt;https://assets.publishing.service.gov.uk/government/uploads/system/uploads/attachment_data/file/785198/NDTMS_adult_drug_and_alcohol_treatment_business_definitions_CDS-O.pdf&lt;/url&gt;&lt;/related-urls&gt;&lt;/urls&gt;&lt;/record&gt;&lt;/Cite&gt;&lt;/EndNote&gt;</w:instrText>
      </w:r>
      <w:r w:rsidRPr="00392850">
        <w:fldChar w:fldCharType="separate"/>
      </w:r>
      <w:r w:rsidR="00A77498">
        <w:rPr>
          <w:noProof/>
        </w:rPr>
        <w:t>(Public Health England, 2019)</w:t>
      </w:r>
      <w:r w:rsidRPr="00392850">
        <w:fldChar w:fldCharType="end"/>
      </w:r>
      <w:r>
        <w:t>, and this information should be updated following each care plan review, which happens at least once a year.</w:t>
      </w:r>
      <w:r w:rsidR="000429D7">
        <w:t xml:space="preserve"> </w:t>
      </w:r>
    </w:p>
    <w:p w14:paraId="49B51314" w14:textId="77777777" w:rsidR="00CB4E0D" w:rsidRDefault="00CB4E0D" w:rsidP="000719B6">
      <w:pPr>
        <w:pStyle w:val="NoSpacing"/>
        <w:spacing w:line="360" w:lineRule="auto"/>
      </w:pPr>
    </w:p>
    <w:p w14:paraId="1F251D6E" w14:textId="0C13B1C8" w:rsidR="006519B5" w:rsidRDefault="00430CDF" w:rsidP="00EB6E45">
      <w:pPr>
        <w:pStyle w:val="NoSpacing"/>
        <w:spacing w:line="360" w:lineRule="auto"/>
      </w:pPr>
      <w:r w:rsidRPr="00EB6E45">
        <w:fldChar w:fldCharType="begin"/>
      </w:r>
      <w:r w:rsidRPr="00EB6E45">
        <w:instrText xml:space="preserve"> REF _Ref173680106 \h  \* MERGEFORMAT </w:instrText>
      </w:r>
      <w:r w:rsidRPr="00EB6E45">
        <w:fldChar w:fldCharType="separate"/>
      </w:r>
      <w:r w:rsidR="00367870" w:rsidRPr="00EB6E45">
        <w:t xml:space="preserve">Figure </w:t>
      </w:r>
      <w:r w:rsidR="00367870" w:rsidRPr="00EB6E45">
        <w:rPr>
          <w:noProof/>
        </w:rPr>
        <w:t>2.3</w:t>
      </w:r>
      <w:r w:rsidR="00367870" w:rsidRPr="00EB6E45">
        <w:rPr>
          <w:noProof/>
        </w:rPr>
        <w:noBreakHyphen/>
        <w:t>1</w:t>
      </w:r>
      <w:r w:rsidRPr="00EB6E45">
        <w:fldChar w:fldCharType="end"/>
      </w:r>
      <w:r w:rsidRPr="00367870">
        <w:rPr>
          <w:i/>
          <w:iCs/>
        </w:rPr>
        <w:t xml:space="preserve"> </w:t>
      </w:r>
      <w:r>
        <w:t xml:space="preserve">shows the flow diagram of the patients from the data extract. A total of </w:t>
      </w:r>
      <w:r w:rsidRPr="00135461">
        <w:t>128,840</w:t>
      </w:r>
      <w:r>
        <w:t xml:space="preserve"> patients were extracted from the dataset. </w:t>
      </w:r>
      <w:r w:rsidRPr="0092663C">
        <w:t xml:space="preserve">Patients who were </w:t>
      </w:r>
      <w:r>
        <w:t>assessed by a</w:t>
      </w:r>
      <w:r w:rsidRPr="0092663C">
        <w:t xml:space="preserve"> practitioner as </w:t>
      </w:r>
      <w:r>
        <w:t>needing</w:t>
      </w:r>
      <w:r w:rsidRPr="0092663C">
        <w:t xml:space="preserve"> treatment</w:t>
      </w:r>
      <w:r>
        <w:t xml:space="preserve"> but had not yet started (n=1,295), and patients </w:t>
      </w:r>
      <w:r w:rsidRPr="00056E69">
        <w:t xml:space="preserve">with no parental status recorded </w:t>
      </w:r>
      <w:r w:rsidRPr="009426BF">
        <w:t>(n=</w:t>
      </w:r>
      <w:r>
        <w:t>2</w:t>
      </w:r>
      <w:r w:rsidRPr="009426BF">
        <w:t>,</w:t>
      </w:r>
      <w:r>
        <w:t>531</w:t>
      </w:r>
      <w:r w:rsidRPr="009426BF">
        <w:t>)</w:t>
      </w:r>
      <w:r>
        <w:t xml:space="preserve"> </w:t>
      </w:r>
      <w:r w:rsidRPr="009426BF">
        <w:t xml:space="preserve">were </w:t>
      </w:r>
      <w:r>
        <w:t>excluded from the analyses</w:t>
      </w:r>
      <w:r w:rsidRPr="009426BF">
        <w:t>.</w:t>
      </w:r>
      <w:r w:rsidRPr="00056E69">
        <w:t xml:space="preserve"> </w:t>
      </w:r>
      <w:r w:rsidRPr="00056E69">
        <w:rPr>
          <w:rStyle w:val="normaltextrun"/>
          <w:shd w:val="clear" w:color="auto" w:fill="FFFFFF"/>
        </w:rPr>
        <w:t>While there are many quality checks on NDTMS data </w:t>
      </w:r>
      <w:r w:rsidRPr="00056E69">
        <w:rPr>
          <w:rStyle w:val="normaltextrun"/>
          <w:shd w:val="clear" w:color="auto" w:fill="FFFFFF"/>
        </w:rPr>
        <w:fldChar w:fldCharType="begin"/>
      </w:r>
      <w:r w:rsidR="00B9334F">
        <w:rPr>
          <w:rStyle w:val="normaltextrun"/>
          <w:shd w:val="clear" w:color="auto" w:fill="FFFFFF"/>
        </w:rPr>
        <w:instrText xml:space="preserve"> ADDIN EN.CITE &lt;EndNote&gt;&lt;Cite&gt;&lt;Author&gt;PHE&lt;/Author&gt;&lt;Year&gt;2019&lt;/Year&gt;&lt;RecNum&gt;292&lt;/RecNum&gt;&lt;DisplayText&gt;(PHE, 2019b)&lt;/DisplayText&gt;&lt;record&gt;&lt;rec-number&gt;292&lt;/rec-number&gt;&lt;foreign-keys&gt;&lt;key app="EN" db-id="ffzvr5fstavwxoe9v04xf0wmp5t50as52da0" timestamp="1731671655" guid="91371620-690d-4ef4-afe2-17dfff596417"&gt;292&lt;/key&gt;&lt;/foreign-keys&gt;&lt;ref-type name="Web Page"&gt;12&lt;/ref-type&gt;&lt;contributors&gt;&lt;authors&gt;&lt;author&gt;PHE&lt;/author&gt;&lt;/authors&gt;&lt;/contributors&gt;&lt;titles&gt;&lt;title&gt;Substance misuse treatment statistics. National Drug Treatment Monitoring System: Quality and methodology information paper&lt;/title&gt;&lt;/titles&gt;&lt;number&gt;11 Dec 2020&lt;/number&gt;&lt;dates&gt;&lt;year&gt;2019&lt;/year&gt;&lt;/dates&gt;&lt;publisher&gt;Public Health England&lt;/publisher&gt;&lt;urls&gt;&lt;related-urls&gt;&lt;url&gt;https://www.ndtms.net/resources/public/NDTMS_annual_report-Quality_methodology.pdf&lt;/url&gt;&lt;/related-urls&gt;&lt;/urls&gt;&lt;/record&gt;&lt;/Cite&gt;&lt;/EndNote&gt;</w:instrText>
      </w:r>
      <w:r w:rsidRPr="00056E69">
        <w:rPr>
          <w:rStyle w:val="normaltextrun"/>
          <w:shd w:val="clear" w:color="auto" w:fill="FFFFFF"/>
        </w:rPr>
        <w:fldChar w:fldCharType="separate"/>
      </w:r>
      <w:r w:rsidR="00A77498">
        <w:rPr>
          <w:rStyle w:val="normaltextrun"/>
          <w:noProof/>
          <w:shd w:val="clear" w:color="auto" w:fill="FFFFFF"/>
        </w:rPr>
        <w:t>(PHE, 2019b)</w:t>
      </w:r>
      <w:r w:rsidRPr="00056E69">
        <w:rPr>
          <w:rStyle w:val="normaltextrun"/>
          <w:shd w:val="clear" w:color="auto" w:fill="FFFFFF"/>
        </w:rPr>
        <w:fldChar w:fldCharType="end"/>
      </w:r>
      <w:r w:rsidRPr="00056E69">
        <w:rPr>
          <w:rStyle w:val="normaltextrun"/>
          <w:shd w:val="clear" w:color="auto" w:fill="FFFFFF"/>
        </w:rPr>
        <w:t>, there is no rule to prevent inconsistent </w:t>
      </w:r>
      <w:r w:rsidRPr="00056E69">
        <w:rPr>
          <w:rStyle w:val="normaltextrun"/>
          <w:color w:val="000000"/>
          <w:shd w:val="clear" w:color="auto" w:fill="FFFFFF"/>
        </w:rPr>
        <w:t>data on families being recorded. For example, an individual can be recorded as a parent living with children in one field</w:t>
      </w:r>
      <w:r>
        <w:rPr>
          <w:rStyle w:val="normaltextrun"/>
          <w:color w:val="000000"/>
          <w:shd w:val="clear" w:color="auto" w:fill="FFFFFF"/>
        </w:rPr>
        <w:t xml:space="preserve"> </w:t>
      </w:r>
      <w:r w:rsidRPr="00056E69">
        <w:rPr>
          <w:rStyle w:val="normaltextrun"/>
          <w:color w:val="000000"/>
          <w:shd w:val="clear" w:color="auto" w:fill="FFFFFF"/>
        </w:rPr>
        <w:t xml:space="preserve">and living with 0 children in </w:t>
      </w:r>
      <w:r>
        <w:rPr>
          <w:rStyle w:val="normaltextrun"/>
          <w:color w:val="000000"/>
          <w:shd w:val="clear" w:color="auto" w:fill="FFFFFF"/>
        </w:rPr>
        <w:t>another during the same timeframe</w:t>
      </w:r>
      <w:r w:rsidRPr="00BE3C1E">
        <w:rPr>
          <w:rStyle w:val="normaltextrun"/>
          <w:color w:val="000000"/>
          <w:shd w:val="clear" w:color="auto" w:fill="FFFFFF"/>
        </w:rPr>
        <w:t>. Such contradictory cases were excluded (n=5,853).</w:t>
      </w:r>
      <w:r w:rsidRPr="00056E69">
        <w:rPr>
          <w:rStyle w:val="eop"/>
          <w:color w:val="000000"/>
          <w:shd w:val="clear" w:color="auto" w:fill="FFFFFF"/>
        </w:rPr>
        <w:t> </w:t>
      </w:r>
      <w:r>
        <w:rPr>
          <w:rStyle w:val="eop"/>
        </w:rPr>
        <w:t xml:space="preserve"> </w:t>
      </w:r>
      <w:r>
        <w:t xml:space="preserve">Of the cases included, there were 57,529 parents or carers (48.2%) who were categorised into </w:t>
      </w:r>
      <w:r w:rsidRPr="00056E69">
        <w:t>‘</w:t>
      </w:r>
      <w:r w:rsidR="00800285">
        <w:t>Parent</w:t>
      </w:r>
      <w:r>
        <w:t xml:space="preserve"> </w:t>
      </w:r>
      <w:r w:rsidRPr="00056E69">
        <w:t>living with children’ (n=18,161</w:t>
      </w:r>
      <w:r>
        <w:t>, 31.6%</w:t>
      </w:r>
      <w:r w:rsidRPr="00056E69">
        <w:t xml:space="preserve">) and ‘Parent not living with </w:t>
      </w:r>
      <w:r>
        <w:t xml:space="preserve">[any of their] </w:t>
      </w:r>
      <w:r w:rsidRPr="00056E69">
        <w:t>children’</w:t>
      </w:r>
      <w:r>
        <w:t xml:space="preserve"> </w:t>
      </w:r>
      <w:r w:rsidRPr="00056E69">
        <w:t>(n=39,368</w:t>
      </w:r>
      <w:r>
        <w:t>, 68.4%</w:t>
      </w:r>
      <w:r w:rsidRPr="00056E69">
        <w:t>)</w:t>
      </w:r>
      <w:r w:rsidR="000719B6">
        <w:rPr>
          <w:rStyle w:val="normaltextrun"/>
          <w:color w:val="000000"/>
          <w:shd w:val="clear" w:color="auto" w:fill="FFFFFF"/>
        </w:rPr>
        <w:t xml:space="preserve">. </w:t>
      </w:r>
      <w:r w:rsidR="00115383" w:rsidRPr="0042328C">
        <w:t>A par</w:t>
      </w:r>
      <w:r w:rsidR="00115383">
        <w:t>ent may not be living with their children b</w:t>
      </w:r>
      <w:r w:rsidR="00EF2D10">
        <w:t xml:space="preserve">ecause they are separated, but may still be in contact, or their child may be in care. </w:t>
      </w:r>
      <w:bookmarkStart w:id="44" w:name="_Ref173680106"/>
      <w:bookmarkStart w:id="45" w:name="_Toc185845006"/>
    </w:p>
    <w:p w14:paraId="4915DD26" w14:textId="77777777" w:rsidR="006519B5" w:rsidRDefault="006519B5" w:rsidP="005C70D0">
      <w:pPr>
        <w:pStyle w:val="Caption"/>
      </w:pPr>
    </w:p>
    <w:p w14:paraId="4500722F" w14:textId="6DE6C4B9" w:rsidR="001B0711" w:rsidRPr="008D6E1F" w:rsidRDefault="008760B1" w:rsidP="005C70D0">
      <w:pPr>
        <w:pStyle w:val="Caption"/>
        <w:rPr>
          <w:b w:val="0"/>
          <w:bCs w:val="0"/>
          <w:i/>
          <w:iCs/>
          <w:color w:val="auto"/>
          <w:sz w:val="24"/>
          <w:szCs w:val="24"/>
        </w:rPr>
      </w:pPr>
      <w:r w:rsidRPr="008D6E1F">
        <w:rPr>
          <w:b w:val="0"/>
          <w:bCs w:val="0"/>
          <w:i/>
          <w:iCs/>
          <w:color w:val="auto"/>
          <w:sz w:val="24"/>
          <w:szCs w:val="24"/>
        </w:rPr>
        <w:t xml:space="preserve">Figure </w:t>
      </w:r>
      <w:r w:rsidR="002B1FB9">
        <w:rPr>
          <w:b w:val="0"/>
          <w:bCs w:val="0"/>
          <w:i/>
          <w:iCs/>
          <w:color w:val="auto"/>
          <w:sz w:val="24"/>
          <w:szCs w:val="24"/>
        </w:rPr>
        <w:fldChar w:fldCharType="begin"/>
      </w:r>
      <w:r w:rsidR="002B1FB9">
        <w:rPr>
          <w:b w:val="0"/>
          <w:bCs w:val="0"/>
          <w:i/>
          <w:iCs/>
          <w:color w:val="auto"/>
          <w:sz w:val="24"/>
          <w:szCs w:val="24"/>
        </w:rPr>
        <w:instrText xml:space="preserve"> STYLEREF 2 \s </w:instrText>
      </w:r>
      <w:r w:rsidR="002B1FB9">
        <w:rPr>
          <w:b w:val="0"/>
          <w:bCs w:val="0"/>
          <w:i/>
          <w:iCs/>
          <w:color w:val="auto"/>
          <w:sz w:val="24"/>
          <w:szCs w:val="24"/>
        </w:rPr>
        <w:fldChar w:fldCharType="separate"/>
      </w:r>
      <w:r w:rsidR="00367870">
        <w:rPr>
          <w:b w:val="0"/>
          <w:bCs w:val="0"/>
          <w:i/>
          <w:iCs/>
          <w:noProof/>
          <w:color w:val="auto"/>
          <w:sz w:val="24"/>
          <w:szCs w:val="24"/>
        </w:rPr>
        <w:t>2.3</w:t>
      </w:r>
      <w:r w:rsidR="002B1FB9">
        <w:rPr>
          <w:b w:val="0"/>
          <w:bCs w:val="0"/>
          <w:i/>
          <w:iCs/>
          <w:color w:val="auto"/>
          <w:sz w:val="24"/>
          <w:szCs w:val="24"/>
        </w:rPr>
        <w:fldChar w:fldCharType="end"/>
      </w:r>
      <w:r w:rsidR="002B1FB9">
        <w:rPr>
          <w:b w:val="0"/>
          <w:bCs w:val="0"/>
          <w:i/>
          <w:iCs/>
          <w:color w:val="auto"/>
          <w:sz w:val="24"/>
          <w:szCs w:val="24"/>
        </w:rPr>
        <w:noBreakHyphen/>
      </w:r>
      <w:r w:rsidR="002B1FB9">
        <w:rPr>
          <w:b w:val="0"/>
          <w:bCs w:val="0"/>
          <w:i/>
          <w:iCs/>
          <w:color w:val="auto"/>
          <w:sz w:val="24"/>
          <w:szCs w:val="24"/>
        </w:rPr>
        <w:fldChar w:fldCharType="begin"/>
      </w:r>
      <w:r w:rsidR="002B1FB9">
        <w:rPr>
          <w:b w:val="0"/>
          <w:bCs w:val="0"/>
          <w:i/>
          <w:iCs/>
          <w:color w:val="auto"/>
          <w:sz w:val="24"/>
          <w:szCs w:val="24"/>
        </w:rPr>
        <w:instrText xml:space="preserve"> SEQ Figure \* ARABIC \s 2 </w:instrText>
      </w:r>
      <w:r w:rsidR="002B1FB9">
        <w:rPr>
          <w:b w:val="0"/>
          <w:bCs w:val="0"/>
          <w:i/>
          <w:iCs/>
          <w:color w:val="auto"/>
          <w:sz w:val="24"/>
          <w:szCs w:val="24"/>
        </w:rPr>
        <w:fldChar w:fldCharType="separate"/>
      </w:r>
      <w:r w:rsidR="002B1FB9">
        <w:rPr>
          <w:b w:val="0"/>
          <w:bCs w:val="0"/>
          <w:i/>
          <w:iCs/>
          <w:noProof/>
          <w:color w:val="auto"/>
          <w:sz w:val="24"/>
          <w:szCs w:val="24"/>
        </w:rPr>
        <w:t>1</w:t>
      </w:r>
      <w:r w:rsidR="002B1FB9">
        <w:rPr>
          <w:b w:val="0"/>
          <w:bCs w:val="0"/>
          <w:i/>
          <w:iCs/>
          <w:color w:val="auto"/>
          <w:sz w:val="24"/>
          <w:szCs w:val="24"/>
        </w:rPr>
        <w:fldChar w:fldCharType="end"/>
      </w:r>
      <w:bookmarkEnd w:id="44"/>
      <w:r w:rsidR="008D6E1F">
        <w:rPr>
          <w:b w:val="0"/>
          <w:bCs w:val="0"/>
          <w:i/>
          <w:iCs/>
          <w:color w:val="auto"/>
          <w:sz w:val="24"/>
          <w:szCs w:val="24"/>
        </w:rPr>
        <w:tab/>
      </w:r>
      <w:r w:rsidRPr="008D6E1F">
        <w:rPr>
          <w:b w:val="0"/>
          <w:bCs w:val="0"/>
          <w:i/>
          <w:iCs/>
          <w:color w:val="auto"/>
          <w:sz w:val="24"/>
          <w:szCs w:val="24"/>
        </w:rPr>
        <w:t>Flow diagram of patients</w:t>
      </w:r>
      <w:bookmarkEnd w:id="45"/>
    </w:p>
    <w:p w14:paraId="23B2B75C" w14:textId="32DB7F4F" w:rsidR="06CFF086" w:rsidRDefault="06CFF086" w:rsidP="00A43ABA"/>
    <w:p w14:paraId="7263D418" w14:textId="61FF166B" w:rsidR="001B0711" w:rsidRDefault="005C70D0" w:rsidP="00300758">
      <w:pPr>
        <w:pStyle w:val="NoSpacing"/>
        <w:jc w:val="center"/>
        <w:rPr>
          <w:highlight w:val="yellow"/>
        </w:rPr>
      </w:pPr>
      <w:r w:rsidRPr="005C70D0">
        <w:rPr>
          <w:noProof/>
          <w:sz w:val="20"/>
          <w:szCs w:val="20"/>
          <w:lang w:eastAsia="en-GB"/>
        </w:rPr>
        <mc:AlternateContent>
          <mc:Choice Requires="wpg">
            <w:drawing>
              <wp:anchor distT="0" distB="0" distL="114300" distR="114300" simplePos="0" relativeHeight="251668480" behindDoc="0" locked="0" layoutInCell="1" allowOverlap="1" wp14:anchorId="41721682" wp14:editId="6B9D7575">
                <wp:simplePos x="0" y="0"/>
                <wp:positionH relativeFrom="column">
                  <wp:posOffset>44867</wp:posOffset>
                </wp:positionH>
                <wp:positionV relativeFrom="paragraph">
                  <wp:posOffset>165302</wp:posOffset>
                </wp:positionV>
                <wp:extent cx="5177236" cy="3539661"/>
                <wp:effectExtent l="0" t="0" r="23495" b="22860"/>
                <wp:wrapNone/>
                <wp:docPr id="192" name="Group 192"/>
                <wp:cNvGraphicFramePr/>
                <a:graphic xmlns:a="http://schemas.openxmlformats.org/drawingml/2006/main">
                  <a:graphicData uri="http://schemas.microsoft.com/office/word/2010/wordprocessingGroup">
                    <wpg:wgp>
                      <wpg:cNvGrpSpPr/>
                      <wpg:grpSpPr>
                        <a:xfrm>
                          <a:off x="0" y="0"/>
                          <a:ext cx="5177236" cy="3539661"/>
                          <a:chOff x="0" y="0"/>
                          <a:chExt cx="7652278" cy="4312903"/>
                        </a:xfrm>
                      </wpg:grpSpPr>
                      <wps:wsp>
                        <wps:cNvPr id="197" name="Text Box 197"/>
                        <wps:cNvSpPr txBox="1"/>
                        <wps:spPr>
                          <a:xfrm>
                            <a:off x="993914" y="0"/>
                            <a:ext cx="3973795" cy="470018"/>
                          </a:xfrm>
                          <a:prstGeom prst="rect">
                            <a:avLst/>
                          </a:prstGeom>
                          <a:solidFill>
                            <a:schemeClr val="lt1"/>
                          </a:solidFill>
                          <a:ln w="6350">
                            <a:solidFill>
                              <a:prstClr val="black"/>
                            </a:solidFill>
                          </a:ln>
                        </wps:spPr>
                        <wps:txbx>
                          <w:txbxContent>
                            <w:p w14:paraId="270D0F53" w14:textId="77777777" w:rsidR="00C5048F" w:rsidRPr="005C70D0" w:rsidRDefault="00C5048F" w:rsidP="00C5048F">
                              <w:pPr>
                                <w:jc w:val="center"/>
                                <w:rPr>
                                  <w:sz w:val="20"/>
                                  <w:szCs w:val="20"/>
                                </w:rPr>
                              </w:pPr>
                              <w:r w:rsidRPr="005C70D0">
                                <w:rPr>
                                  <w:sz w:val="20"/>
                                  <w:szCs w:val="20"/>
                                </w:rPr>
                                <w:t>All triaged patients 1 April 2017 to 31 January 2020 (n=128,840)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993914" y="779227"/>
                            <a:ext cx="3973795" cy="470018"/>
                          </a:xfrm>
                          <a:prstGeom prst="rect">
                            <a:avLst/>
                          </a:prstGeom>
                          <a:solidFill>
                            <a:schemeClr val="lt1"/>
                          </a:solidFill>
                          <a:ln w="6350">
                            <a:solidFill>
                              <a:prstClr val="black"/>
                            </a:solidFill>
                          </a:ln>
                        </wps:spPr>
                        <wps:txbx>
                          <w:txbxContent>
                            <w:p w14:paraId="30C60261" w14:textId="77777777" w:rsidR="00C5048F" w:rsidRPr="005C70D0" w:rsidRDefault="00C5048F" w:rsidP="00C5048F">
                              <w:pPr>
                                <w:jc w:val="center"/>
                                <w:rPr>
                                  <w:sz w:val="20"/>
                                  <w:szCs w:val="20"/>
                                </w:rPr>
                              </w:pPr>
                              <w:r w:rsidRPr="005C70D0">
                                <w:rPr>
                                  <w:sz w:val="20"/>
                                  <w:szCs w:val="20"/>
                                </w:rPr>
                                <w:t>Patients who started a treatment intervention (n=127,545)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993914" y="1558455"/>
                            <a:ext cx="3973795" cy="470018"/>
                          </a:xfrm>
                          <a:prstGeom prst="rect">
                            <a:avLst/>
                          </a:prstGeom>
                          <a:solidFill>
                            <a:schemeClr val="lt1"/>
                          </a:solidFill>
                          <a:ln w="6350">
                            <a:solidFill>
                              <a:prstClr val="black"/>
                            </a:solidFill>
                          </a:ln>
                        </wps:spPr>
                        <wps:txbx>
                          <w:txbxContent>
                            <w:p w14:paraId="7D6CDC85" w14:textId="77777777" w:rsidR="00C5048F" w:rsidRPr="005C70D0" w:rsidRDefault="00C5048F" w:rsidP="00C5048F">
                              <w:pPr>
                                <w:jc w:val="center"/>
                                <w:rPr>
                                  <w:sz w:val="20"/>
                                  <w:szCs w:val="20"/>
                                </w:rPr>
                              </w:pPr>
                              <w:r w:rsidRPr="005C70D0">
                                <w:rPr>
                                  <w:sz w:val="20"/>
                                  <w:szCs w:val="20"/>
                                </w:rPr>
                                <w:t>Patients with parental status recorded (n=125,114)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696500" y="2289642"/>
                            <a:ext cx="4726161" cy="470017"/>
                          </a:xfrm>
                          <a:prstGeom prst="rect">
                            <a:avLst/>
                          </a:prstGeom>
                          <a:solidFill>
                            <a:schemeClr val="lt1"/>
                          </a:solidFill>
                          <a:ln w="6350">
                            <a:solidFill>
                              <a:prstClr val="black"/>
                            </a:solidFill>
                          </a:ln>
                        </wps:spPr>
                        <wps:txbx>
                          <w:txbxContent>
                            <w:p w14:paraId="57192902" w14:textId="77777777" w:rsidR="00C5048F" w:rsidRPr="005C70D0" w:rsidRDefault="00C5048F" w:rsidP="00C5048F">
                              <w:pPr>
                                <w:jc w:val="center"/>
                                <w:rPr>
                                  <w:sz w:val="20"/>
                                  <w:szCs w:val="20"/>
                                </w:rPr>
                              </w:pPr>
                              <w:r w:rsidRPr="005C70D0">
                                <w:rPr>
                                  <w:sz w:val="20"/>
                                  <w:szCs w:val="20"/>
                                </w:rPr>
                                <w:t>Patients with no inconsistencies in parental status/ number of children recorded (n=119,261)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0" y="3140765"/>
                            <a:ext cx="2691766" cy="304800"/>
                          </a:xfrm>
                          <a:prstGeom prst="rect">
                            <a:avLst/>
                          </a:prstGeom>
                          <a:solidFill>
                            <a:schemeClr val="lt1"/>
                          </a:solidFill>
                          <a:ln w="6350">
                            <a:solidFill>
                              <a:prstClr val="black"/>
                            </a:solidFill>
                          </a:ln>
                        </wps:spPr>
                        <wps:txbx>
                          <w:txbxContent>
                            <w:p w14:paraId="7350C048" w14:textId="77777777" w:rsidR="00C5048F" w:rsidRPr="005C70D0" w:rsidRDefault="00C5048F" w:rsidP="00C5048F">
                              <w:pPr>
                                <w:jc w:val="center"/>
                                <w:rPr>
                                  <w:sz w:val="20"/>
                                  <w:szCs w:val="20"/>
                                </w:rPr>
                              </w:pPr>
                              <w:r w:rsidRPr="005C70D0">
                                <w:rPr>
                                  <w:sz w:val="20"/>
                                  <w:szCs w:val="20"/>
                                </w:rPr>
                                <w:t>Non-parents (n=61,732)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3275936" y="3132813"/>
                            <a:ext cx="2691925" cy="314325"/>
                          </a:xfrm>
                          <a:prstGeom prst="rect">
                            <a:avLst/>
                          </a:prstGeom>
                          <a:solidFill>
                            <a:schemeClr val="lt1"/>
                          </a:solidFill>
                          <a:ln w="6350">
                            <a:solidFill>
                              <a:prstClr val="black"/>
                            </a:solidFill>
                          </a:ln>
                        </wps:spPr>
                        <wps:txbx>
                          <w:txbxContent>
                            <w:p w14:paraId="5E63F0E6" w14:textId="0663E398" w:rsidR="00C5048F" w:rsidRPr="005C70D0" w:rsidRDefault="00C5048F" w:rsidP="00C5048F">
                              <w:pPr>
                                <w:jc w:val="center"/>
                                <w:rPr>
                                  <w:sz w:val="20"/>
                                  <w:szCs w:val="20"/>
                                </w:rPr>
                              </w:pPr>
                              <w:r w:rsidRPr="005C70D0">
                                <w:rPr>
                                  <w:sz w:val="20"/>
                                  <w:szCs w:val="20"/>
                                </w:rPr>
                                <w:t>Parents (n=57,529)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1971752" y="3816508"/>
                            <a:ext cx="2691766" cy="446606"/>
                          </a:xfrm>
                          <a:prstGeom prst="rect">
                            <a:avLst/>
                          </a:prstGeom>
                          <a:solidFill>
                            <a:schemeClr val="lt1"/>
                          </a:solidFill>
                          <a:ln w="6350">
                            <a:solidFill>
                              <a:prstClr val="black"/>
                            </a:solidFill>
                          </a:ln>
                        </wps:spPr>
                        <wps:txbx>
                          <w:txbxContent>
                            <w:p w14:paraId="76C8C80C" w14:textId="0E43C1C6" w:rsidR="00C5048F" w:rsidRPr="005C70D0" w:rsidRDefault="00B812F9" w:rsidP="00C5048F">
                              <w:pPr>
                                <w:jc w:val="center"/>
                                <w:rPr>
                                  <w:sz w:val="20"/>
                                  <w:szCs w:val="20"/>
                                </w:rPr>
                              </w:pPr>
                              <w:r>
                                <w:rPr>
                                  <w:sz w:val="20"/>
                                  <w:szCs w:val="20"/>
                                </w:rPr>
                                <w:t>Parents living</w:t>
                              </w:r>
                              <w:r w:rsidR="00C5048F" w:rsidRPr="005C70D0">
                                <w:rPr>
                                  <w:sz w:val="20"/>
                                  <w:szCs w:val="20"/>
                                </w:rPr>
                                <w:t xml:space="preserve"> with children (n=18,161)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4882618" y="3823734"/>
                            <a:ext cx="2769660" cy="489169"/>
                          </a:xfrm>
                          <a:prstGeom prst="rect">
                            <a:avLst/>
                          </a:prstGeom>
                          <a:solidFill>
                            <a:schemeClr val="lt1"/>
                          </a:solidFill>
                          <a:ln w="6350">
                            <a:solidFill>
                              <a:prstClr val="black"/>
                            </a:solidFill>
                          </a:ln>
                        </wps:spPr>
                        <wps:txbx>
                          <w:txbxContent>
                            <w:p w14:paraId="5A8D393F" w14:textId="77777777" w:rsidR="00C5048F" w:rsidRPr="005C70D0" w:rsidRDefault="00C5048F" w:rsidP="00C5048F">
                              <w:pPr>
                                <w:jc w:val="center"/>
                                <w:rPr>
                                  <w:sz w:val="20"/>
                                  <w:szCs w:val="20"/>
                                </w:rPr>
                              </w:pPr>
                              <w:r w:rsidRPr="005C70D0">
                                <w:rPr>
                                  <w:sz w:val="20"/>
                                  <w:szCs w:val="20"/>
                                </w:rPr>
                                <w:t>Parents not living with children (n=39,368)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Arrow Connector 205"/>
                        <wps:cNvCnPr/>
                        <wps:spPr>
                          <a:xfrm>
                            <a:off x="3026134" y="469127"/>
                            <a:ext cx="0" cy="307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Straight Arrow Connector 206"/>
                        <wps:cNvCnPr/>
                        <wps:spPr>
                          <a:xfrm>
                            <a:off x="3026134" y="1232452"/>
                            <a:ext cx="0" cy="307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 name="Straight Arrow Connector 207"/>
                        <wps:cNvCnPr/>
                        <wps:spPr>
                          <a:xfrm>
                            <a:off x="3026134" y="2019631"/>
                            <a:ext cx="0" cy="265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a:off x="3021496" y="2759102"/>
                            <a:ext cx="0" cy="188126"/>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a:off x="1463040" y="2949933"/>
                            <a:ext cx="3204513" cy="0"/>
                          </a:xfrm>
                          <a:prstGeom prst="line">
                            <a:avLst/>
                          </a:prstGeom>
                        </wps:spPr>
                        <wps:style>
                          <a:lnRef idx="1">
                            <a:schemeClr val="dk1"/>
                          </a:lnRef>
                          <a:fillRef idx="0">
                            <a:schemeClr val="dk1"/>
                          </a:fillRef>
                          <a:effectRef idx="0">
                            <a:schemeClr val="dk1"/>
                          </a:effectRef>
                          <a:fontRef idx="minor">
                            <a:schemeClr val="tx1"/>
                          </a:fontRef>
                        </wps:style>
                        <wps:bodyPr/>
                      </wps:wsp>
                      <wps:wsp>
                        <wps:cNvPr id="210" name="Straight Arrow Connector 210"/>
                        <wps:cNvCnPr/>
                        <wps:spPr>
                          <a:xfrm>
                            <a:off x="1463040" y="2949933"/>
                            <a:ext cx="0" cy="188009"/>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11" name="Straight Arrow Connector 211"/>
                        <wps:cNvCnPr/>
                        <wps:spPr>
                          <a:xfrm>
                            <a:off x="4667415" y="2949933"/>
                            <a:ext cx="0" cy="179462"/>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12" name="Straight Connector 212"/>
                        <wps:cNvCnPr/>
                        <wps:spPr>
                          <a:xfrm>
                            <a:off x="4707171" y="3442914"/>
                            <a:ext cx="0" cy="213762"/>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Straight Connector 213"/>
                        <wps:cNvCnPr/>
                        <wps:spPr>
                          <a:xfrm>
                            <a:off x="3275936" y="3657600"/>
                            <a:ext cx="2999574" cy="0"/>
                          </a:xfrm>
                          <a:prstGeom prst="line">
                            <a:avLst/>
                          </a:prstGeom>
                        </wps:spPr>
                        <wps:style>
                          <a:lnRef idx="1">
                            <a:schemeClr val="dk1"/>
                          </a:lnRef>
                          <a:fillRef idx="0">
                            <a:schemeClr val="dk1"/>
                          </a:fillRef>
                          <a:effectRef idx="0">
                            <a:schemeClr val="dk1"/>
                          </a:effectRef>
                          <a:fontRef idx="minor">
                            <a:schemeClr val="tx1"/>
                          </a:fontRef>
                        </wps:style>
                        <wps:bodyPr/>
                      </wps:wsp>
                      <wps:wsp>
                        <wps:cNvPr id="214" name="Straight Arrow Connector 214"/>
                        <wps:cNvCnPr/>
                        <wps:spPr>
                          <a:xfrm>
                            <a:off x="3275936" y="3665551"/>
                            <a:ext cx="0" cy="15367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15" name="Straight Arrow Connector 215"/>
                        <wps:cNvCnPr/>
                        <wps:spPr>
                          <a:xfrm>
                            <a:off x="6273579" y="3665551"/>
                            <a:ext cx="0" cy="15382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721682" id="Group 192" o:spid="_x0000_s1028" style="position:absolute;left:0;text-align:left;margin-left:3.55pt;margin-top:13pt;width:407.65pt;height:278.7pt;z-index:251668480;mso-width-relative:margin;mso-height-relative:margin" coordsize="76522,4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">
                <v:shape id="Text Box 197" o:spid="_x0000_s1029" type="#_x0000_t202" style="position:absolute;left:9939;width:39738;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" fillcolor="white [3201]" strokeweight=".5pt">
                  <v:textbox>
                    <w:txbxContent>
                      <w:p w14:paraId="270D0F53" w14:textId="77777777" w:rsidR="00C5048F" w:rsidRPr="005C70D0" w:rsidRDefault="00C5048F" w:rsidP="00C5048F">
                        <w:pPr>
                          <w:jc w:val="center"/>
                          <w:rPr>
                            <w:sz w:val="20"/>
                            <w:szCs w:val="20"/>
                          </w:rPr>
                        </w:pPr>
                        <w:r w:rsidRPr="005C70D0">
                          <w:rPr>
                            <w:sz w:val="20"/>
                            <w:szCs w:val="20"/>
                          </w:rPr>
                          <w:t>All triaged patients 1 April 2017 to 31 January 2020 (n=128,840)</w:t>
                        </w:r>
                      </w:p>
                    </w:txbxContent>
                  </v:textbox>
                </v:shape>
                <v:shape id="Text Box 198" o:spid="_x0000_s1030" type="#_x0000_t202" style="position:absolute;left:9939;top:7792;width:39738;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" fillcolor="white [3201]" strokeweight=".5pt">
                  <v:textbox>
                    <w:txbxContent>
                      <w:p w14:paraId="30C60261" w14:textId="77777777" w:rsidR="00C5048F" w:rsidRPr="005C70D0" w:rsidRDefault="00C5048F" w:rsidP="00C5048F">
                        <w:pPr>
                          <w:jc w:val="center"/>
                          <w:rPr>
                            <w:sz w:val="20"/>
                            <w:szCs w:val="20"/>
                          </w:rPr>
                        </w:pPr>
                        <w:r w:rsidRPr="005C70D0">
                          <w:rPr>
                            <w:sz w:val="20"/>
                            <w:szCs w:val="20"/>
                          </w:rPr>
                          <w:t>Patients who started a treatment intervention (n=127,545)</w:t>
                        </w:r>
                      </w:p>
                    </w:txbxContent>
                  </v:textbox>
                </v:shape>
                <v:shape id="Text Box 199" o:spid="_x0000_s1031" type="#_x0000_t202" style="position:absolute;left:9939;top:15584;width:39738;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" fillcolor="white [3201]" strokeweight=".5pt">
                  <v:textbox>
                    <w:txbxContent>
                      <w:p w14:paraId="7D6CDC85" w14:textId="77777777" w:rsidR="00C5048F" w:rsidRPr="005C70D0" w:rsidRDefault="00C5048F" w:rsidP="00C5048F">
                        <w:pPr>
                          <w:jc w:val="center"/>
                          <w:rPr>
                            <w:sz w:val="20"/>
                            <w:szCs w:val="20"/>
                          </w:rPr>
                        </w:pPr>
                        <w:r w:rsidRPr="005C70D0">
                          <w:rPr>
                            <w:sz w:val="20"/>
                            <w:szCs w:val="20"/>
                          </w:rPr>
                          <w:t>Patients with parental status recorded (n=125,114)</w:t>
                        </w:r>
                      </w:p>
                    </w:txbxContent>
                  </v:textbox>
                </v:shape>
                <v:shape id="Text Box 200" o:spid="_x0000_s1032" type="#_x0000_t202" style="position:absolute;left:6965;top:22896;width:47261;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" fillcolor="white [3201]" strokeweight=".5pt">
                  <v:textbox>
                    <w:txbxContent>
                      <w:p w14:paraId="57192902" w14:textId="77777777" w:rsidR="00C5048F" w:rsidRPr="005C70D0" w:rsidRDefault="00C5048F" w:rsidP="00C5048F">
                        <w:pPr>
                          <w:jc w:val="center"/>
                          <w:rPr>
                            <w:sz w:val="20"/>
                            <w:szCs w:val="20"/>
                          </w:rPr>
                        </w:pPr>
                        <w:r w:rsidRPr="005C70D0">
                          <w:rPr>
                            <w:sz w:val="20"/>
                            <w:szCs w:val="20"/>
                          </w:rPr>
                          <w:t>Patients with no inconsistencies in parental status/ number of children recorded (n=119,261)</w:t>
                        </w:r>
                      </w:p>
                    </w:txbxContent>
                  </v:textbox>
                </v:shape>
                <v:shape id="Text Box 201" o:spid="_x0000_s1033" type="#_x0000_t202" style="position:absolute;top:31407;width:269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" fillcolor="white [3201]" strokeweight=".5pt">
                  <v:textbox>
                    <w:txbxContent>
                      <w:p w14:paraId="7350C048" w14:textId="77777777" w:rsidR="00C5048F" w:rsidRPr="005C70D0" w:rsidRDefault="00C5048F" w:rsidP="00C5048F">
                        <w:pPr>
                          <w:jc w:val="center"/>
                          <w:rPr>
                            <w:sz w:val="20"/>
                            <w:szCs w:val="20"/>
                          </w:rPr>
                        </w:pPr>
                        <w:r w:rsidRPr="005C70D0">
                          <w:rPr>
                            <w:sz w:val="20"/>
                            <w:szCs w:val="20"/>
                          </w:rPr>
                          <w:t>Non-parents (n=61,732)</w:t>
                        </w:r>
                      </w:p>
                    </w:txbxContent>
                  </v:textbox>
                </v:shape>
                <v:shape id="Text Box 202" o:spid="_x0000_s1034" type="#_x0000_t202" style="position:absolute;left:32759;top:31328;width:269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" fillcolor="white [3201]" strokeweight=".5pt">
                  <v:textbox>
                    <w:txbxContent>
                      <w:p w14:paraId="5E63F0E6" w14:textId="0663E398" w:rsidR="00C5048F" w:rsidRPr="005C70D0" w:rsidRDefault="00C5048F" w:rsidP="00C5048F">
                        <w:pPr>
                          <w:jc w:val="center"/>
                          <w:rPr>
                            <w:sz w:val="20"/>
                            <w:szCs w:val="20"/>
                          </w:rPr>
                        </w:pPr>
                        <w:r w:rsidRPr="005C70D0">
                          <w:rPr>
                            <w:sz w:val="20"/>
                            <w:szCs w:val="20"/>
                          </w:rPr>
                          <w:t>Parents (n=57,529)</w:t>
                        </w:r>
                      </w:p>
                    </w:txbxContent>
                  </v:textbox>
                </v:shape>
                <v:shape id="Text Box 203" o:spid="_x0000_s1035" type="#_x0000_t202" style="position:absolute;left:19717;top:38165;width:26918;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" fillcolor="white [3201]" strokeweight=".5pt">
                  <v:textbox>
                    <w:txbxContent>
                      <w:p w14:paraId="76C8C80C" w14:textId="0E43C1C6" w:rsidR="00C5048F" w:rsidRPr="005C70D0" w:rsidRDefault="00B812F9" w:rsidP="00C5048F">
                        <w:pPr>
                          <w:jc w:val="center"/>
                          <w:rPr>
                            <w:sz w:val="20"/>
                            <w:szCs w:val="20"/>
                          </w:rPr>
                        </w:pPr>
                        <w:r>
                          <w:rPr>
                            <w:sz w:val="20"/>
                            <w:szCs w:val="20"/>
                          </w:rPr>
                          <w:t>Parents living</w:t>
                        </w:r>
                        <w:r w:rsidR="00C5048F" w:rsidRPr="005C70D0">
                          <w:rPr>
                            <w:sz w:val="20"/>
                            <w:szCs w:val="20"/>
                          </w:rPr>
                          <w:t xml:space="preserve"> with children (n=18,161)</w:t>
                        </w:r>
                      </w:p>
                    </w:txbxContent>
                  </v:textbox>
                </v:shape>
                <v:shape id="Text Box 204" o:spid="_x0000_s1036" type="#_x0000_t202" style="position:absolute;left:48826;top:38237;width:27696;height: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" fillcolor="white [3201]" strokeweight=".5pt">
                  <v:textbox>
                    <w:txbxContent>
                      <w:p w14:paraId="5A8D393F" w14:textId="77777777" w:rsidR="00C5048F" w:rsidRPr="005C70D0" w:rsidRDefault="00C5048F" w:rsidP="00C5048F">
                        <w:pPr>
                          <w:jc w:val="center"/>
                          <w:rPr>
                            <w:sz w:val="20"/>
                            <w:szCs w:val="20"/>
                          </w:rPr>
                        </w:pPr>
                        <w:r w:rsidRPr="005C70D0">
                          <w:rPr>
                            <w:sz w:val="20"/>
                            <w:szCs w:val="20"/>
                          </w:rPr>
                          <w:t>Parents not living with children (n=39,368)</w:t>
                        </w:r>
                      </w:p>
                    </w:txbxContent>
                  </v:textbox>
                </v:shape>
                <v:shapetype id="_x0000_t32" coordsize="21600,21600" o:spt="32" o:oned="t" path="m,l21600,21600e" filled="f">
                  <v:path arrowok="t" fillok="f" o:connecttype="none"/>
                  <o:lock v:ext="edit" shapetype="t"/>
                </v:shapetype>
                <v:shape id="Straight Arrow Connector 205" o:spid="_x0000_s1037" type="#_x0000_t32" style="position:absolute;left:30261;top:4691;width:0;height:3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" strokecolor="black [3040]">
                  <v:stroke endarrow="block"/>
                </v:shape>
                <v:shape id="Straight Arrow Connector 206" o:spid="_x0000_s1038" type="#_x0000_t32" style="position:absolute;left:30261;top:12324;width:0;height:30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" strokecolor="black [3040]">
                  <v:stroke endarrow="block"/>
                </v:shape>
                <v:shape id="Straight Arrow Connector 207" o:spid="_x0000_s1039" type="#_x0000_t32" style="position:absolute;left:30261;top:20196;width:0;height:2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" strokecolor="black [3040]">
                  <v:stroke endarrow="block"/>
                </v:shape>
                <v:line id="Straight Connector 208" o:spid="_x0000_s1040" style="position:absolute;visibility:visible;mso-wrap-style:square" from="30214,27591" to="30214,2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" strokecolor="black [3040]"/>
                <v:line id="Straight Connector 209" o:spid="_x0000_s1041" style="position:absolute;visibility:visible;mso-wrap-style:square" from="14630,29499" to="46675,2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" strokecolor="black [3040]"/>
                <v:shape id="Straight Arrow Connector 210" o:spid="_x0000_s1042" type="#_x0000_t32" style="position:absolute;left:14630;top:29499;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" strokecolor="black [3040]"/>
                <v:shape id="Straight Arrow Connector 211" o:spid="_x0000_s1043" type="#_x0000_t32" style="position:absolute;left:46674;top:29499;width:0;height:1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" strokecolor="black [3040]"/>
                <v:line id="Straight Connector 212" o:spid="_x0000_s1044" style="position:absolute;visibility:visible;mso-wrap-style:square" from="47071,34429" to="47071,3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" strokecolor="black [3040]"/>
                <v:line id="Straight Connector 213" o:spid="_x0000_s1045" style="position:absolute;visibility:visible;mso-wrap-style:square" from="32759,36576" to="62755,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" strokecolor="black [3040]"/>
                <v:shape id="Straight Arrow Connector 214" o:spid="_x0000_s1046" type="#_x0000_t32" style="position:absolute;left:32759;top:36655;width:0;height:1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" strokecolor="black [3040]"/>
                <v:shape id="Straight Arrow Connector 215" o:spid="_x0000_s1047" type="#_x0000_t32" style="position:absolute;left:62735;top:36655;width:0;height:1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" strokecolor="black [3040]"/>
              </v:group>
            </w:pict>
          </mc:Fallback>
        </mc:AlternateContent>
      </w:r>
    </w:p>
    <w:p w14:paraId="154E2B43" w14:textId="77777777" w:rsidR="001B0711" w:rsidRDefault="001B0711" w:rsidP="00300758">
      <w:pPr>
        <w:pStyle w:val="NoSpacing"/>
        <w:jc w:val="center"/>
        <w:rPr>
          <w:highlight w:val="yellow"/>
        </w:rPr>
      </w:pPr>
    </w:p>
    <w:p w14:paraId="5933BD3B" w14:textId="77777777" w:rsidR="001B0711" w:rsidRDefault="001B0711" w:rsidP="00300758">
      <w:pPr>
        <w:pStyle w:val="NoSpacing"/>
        <w:jc w:val="center"/>
        <w:rPr>
          <w:highlight w:val="yellow"/>
        </w:rPr>
      </w:pPr>
    </w:p>
    <w:p w14:paraId="58F3B925" w14:textId="77777777" w:rsidR="00CB4E0D" w:rsidRDefault="00CB4E0D" w:rsidP="00CB4E0D">
      <w:pPr>
        <w:pStyle w:val="NoSpacing"/>
        <w:spacing w:line="360" w:lineRule="auto"/>
      </w:pPr>
    </w:p>
    <w:p w14:paraId="7E027C4B" w14:textId="77777777" w:rsidR="00CB4E0D" w:rsidRDefault="00CB4E0D" w:rsidP="00CB4E0D">
      <w:pPr>
        <w:pStyle w:val="NoSpacing"/>
        <w:spacing w:line="360" w:lineRule="auto"/>
      </w:pPr>
    </w:p>
    <w:p w14:paraId="54967CAA" w14:textId="77777777" w:rsidR="00CB4E0D" w:rsidRDefault="00CB4E0D" w:rsidP="00CB4E0D">
      <w:pPr>
        <w:pStyle w:val="NoSpacing"/>
        <w:spacing w:line="360" w:lineRule="auto"/>
      </w:pPr>
    </w:p>
    <w:p w14:paraId="32CFC2D4" w14:textId="77777777" w:rsidR="00CB4E0D" w:rsidRDefault="00CB4E0D" w:rsidP="00CB4E0D">
      <w:pPr>
        <w:pStyle w:val="NoSpacing"/>
        <w:spacing w:line="360" w:lineRule="auto"/>
      </w:pPr>
    </w:p>
    <w:p w14:paraId="1E86C2DD" w14:textId="77777777" w:rsidR="00CB4E0D" w:rsidRDefault="00CB4E0D" w:rsidP="00CB4E0D">
      <w:pPr>
        <w:pStyle w:val="NoSpacing"/>
        <w:spacing w:line="360" w:lineRule="auto"/>
      </w:pPr>
    </w:p>
    <w:p w14:paraId="7CBD53E9" w14:textId="77777777" w:rsidR="00CB4E0D" w:rsidRDefault="00CB4E0D" w:rsidP="00CB4E0D">
      <w:pPr>
        <w:pStyle w:val="NoSpacing"/>
        <w:spacing w:line="360" w:lineRule="auto"/>
      </w:pPr>
    </w:p>
    <w:p w14:paraId="3C866045" w14:textId="77777777" w:rsidR="00CB4E0D" w:rsidRDefault="00CB4E0D" w:rsidP="00CB4E0D">
      <w:pPr>
        <w:pStyle w:val="NoSpacing"/>
        <w:spacing w:line="360" w:lineRule="auto"/>
      </w:pPr>
    </w:p>
    <w:p w14:paraId="3FDAF1E8" w14:textId="77777777" w:rsidR="00CB4E0D" w:rsidRDefault="00CB4E0D" w:rsidP="00CB4E0D">
      <w:pPr>
        <w:pStyle w:val="NoSpacing"/>
        <w:spacing w:line="360" w:lineRule="auto"/>
      </w:pPr>
    </w:p>
    <w:p w14:paraId="24975F90" w14:textId="77777777" w:rsidR="00CB4E0D" w:rsidRDefault="00CB4E0D" w:rsidP="00CB4E0D">
      <w:pPr>
        <w:pStyle w:val="NoSpacing"/>
        <w:spacing w:line="360" w:lineRule="auto"/>
      </w:pPr>
    </w:p>
    <w:p w14:paraId="6C787E48" w14:textId="77777777" w:rsidR="00CB4E0D" w:rsidRDefault="00CB4E0D" w:rsidP="00CB4E0D">
      <w:pPr>
        <w:pStyle w:val="NoSpacing"/>
        <w:spacing w:line="360" w:lineRule="auto"/>
      </w:pPr>
    </w:p>
    <w:p w14:paraId="1AEEDB85" w14:textId="77777777" w:rsidR="00CB4E0D" w:rsidRDefault="00CB4E0D" w:rsidP="00CB4E0D">
      <w:pPr>
        <w:pStyle w:val="NoSpacing"/>
        <w:spacing w:line="360" w:lineRule="auto"/>
      </w:pPr>
    </w:p>
    <w:p w14:paraId="33C523A6" w14:textId="77777777" w:rsidR="00CB4E0D" w:rsidRDefault="00CB4E0D" w:rsidP="00CB4E0D">
      <w:pPr>
        <w:pStyle w:val="NoSpacing"/>
        <w:spacing w:line="360" w:lineRule="auto"/>
      </w:pPr>
    </w:p>
    <w:p w14:paraId="1AA7B9B3" w14:textId="6B49577D" w:rsidR="00A43ABA" w:rsidRDefault="00CB4E0D" w:rsidP="00A33D7C">
      <w:pPr>
        <w:pStyle w:val="NoSpacing"/>
        <w:spacing w:line="360" w:lineRule="auto"/>
      </w:pPr>
      <w:r>
        <w:lastRenderedPageBreak/>
        <w:t>Data was further segmented by sex and SUD. Reporting of SUD using the NDTMS typically uses four categories: opiate users, non-opiate only</w:t>
      </w:r>
      <w:r w:rsidR="00D16C7A">
        <w:t>,</w:t>
      </w:r>
      <w:r>
        <w:t xml:space="preserve"> non-opiate and alcohol users, and alcohol only users. </w:t>
      </w:r>
      <w:r w:rsidRPr="00F73660">
        <w:rPr>
          <w:rStyle w:val="normaltextrun"/>
          <w:color w:val="000000"/>
          <w:shd w:val="clear" w:color="auto" w:fill="FFFFFF"/>
        </w:rPr>
        <w:t xml:space="preserve">Irrespective of other substances used, an opiate user </w:t>
      </w:r>
      <w:r>
        <w:rPr>
          <w:rStyle w:val="normaltextrun"/>
          <w:color w:val="000000"/>
          <w:shd w:val="clear" w:color="auto" w:fill="FFFFFF"/>
        </w:rPr>
        <w:t>is</w:t>
      </w:r>
      <w:r w:rsidRPr="00F73660">
        <w:rPr>
          <w:rStyle w:val="normaltextrun"/>
          <w:color w:val="000000"/>
          <w:shd w:val="clear" w:color="auto" w:fill="FFFFFF"/>
        </w:rPr>
        <w:t xml:space="preserve"> simply</w:t>
      </w:r>
      <w:r>
        <w:rPr>
          <w:rStyle w:val="normaltextrun"/>
          <w:color w:val="000000"/>
          <w:shd w:val="clear" w:color="auto" w:fill="FFFFFF"/>
        </w:rPr>
        <w:t xml:space="preserve"> classified as such. In addition, alcohol may be cited as a problem substance in any grouping but is only separated out in ‘alcohol only’. </w:t>
      </w:r>
      <w:r>
        <w:t>The rationale for the hierarchical strata by PHE and then OHID, is to reflect different individual and social risks, harms and outcomes associated with different substances, as well national strategic priorities. Neither PHE nor OHID reference any evidence to justify the hierarchy but there is some rationale for using the strata for this thesis. First, it is common in</w:t>
      </w:r>
      <w:r w:rsidRPr="00056E69">
        <w:t xml:space="preserve"> </w:t>
      </w:r>
      <w:r>
        <w:t>national reporting of NDTMS data</w:t>
      </w:r>
      <w:r w:rsidR="00CA43F8">
        <w:t xml:space="preserve"> </w:t>
      </w:r>
      <w:r w:rsidR="00CA43F8">
        <w:fldChar w:fldCharType="begin">
          <w:fldData xml:space="preserve">PEVuZE5vdGU+PENpdGU+PEF1dGhvcj5CdXJraW5zaGF3PC9BdXRob3I+PFllYXI+MjAxNzwvWWVh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</w:fldData>
        </w:fldChar>
      </w:r>
      <w:r w:rsidR="00B75C45">
        <w:instrText xml:space="preserve"> ADDIN EN.CITE </w:instrText>
      </w:r>
      <w:r w:rsidR="00B75C45">
        <w:fldChar w:fldCharType="begin">
          <w:fldData xml:space="preserve">PEVuZE5vdGU+PENpdGU+PEF1dGhvcj5CdXJraW5zaGF3PC9BdXRob3I+PFllYXI+MjAxNzwvWWVh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</w:fldData>
        </w:fldChar>
      </w:r>
      <w:r w:rsidR="00B75C45">
        <w:instrText xml:space="preserve"> ADDIN EN.CITE.DATA </w:instrText>
      </w:r>
      <w:r w:rsidR="00B75C45">
        <w:fldChar w:fldCharType="end"/>
      </w:r>
      <w:r w:rsidR="00CA43F8">
        <w:fldChar w:fldCharType="separate"/>
      </w:r>
      <w:r w:rsidR="00B75C45">
        <w:rPr>
          <w:noProof/>
        </w:rPr>
        <w:t>(e.g. Burkinshaw et al., 2017; Knight et al., 2018; Knight et al., 2017; OHID, 2023d)</w:t>
      </w:r>
      <w:r w:rsidR="00CA43F8">
        <w:fldChar w:fldCharType="end"/>
      </w:r>
      <w:r w:rsidR="00CA43F8">
        <w:t xml:space="preserve"> </w:t>
      </w:r>
      <w:r>
        <w:rPr>
          <w:rStyle w:val="normaltextrun"/>
          <w:color w:val="000000"/>
          <w:shd w:val="clear" w:color="auto" w:fill="FFFFFF"/>
        </w:rPr>
        <w:t>and so familiar to national policy and decision-makers</w:t>
      </w:r>
      <w:r>
        <w:t>. Second</w:t>
      </w:r>
      <w:r w:rsidR="00A83A94">
        <w:t>,</w:t>
      </w:r>
      <w:r>
        <w:t xml:space="preserve"> </w:t>
      </w:r>
      <w:r w:rsidR="00545AD6">
        <w:t>there are</w:t>
      </w:r>
      <w:r>
        <w:t xml:space="preserve"> different individual and social risks, harms and outcomes associated with different substances</w:t>
      </w:r>
      <w:r w:rsidR="00545AD6">
        <w:t>.</w:t>
      </w:r>
      <w:r>
        <w:t xml:space="preserve"> </w:t>
      </w:r>
      <w:r w:rsidR="00545AD6">
        <w:t>O</w:t>
      </w:r>
      <w:r>
        <w:t>piate users, for example are more likely to commit crime, have a blood-borne virus and die prematurely than other drug users. Opiate using parents are less likely to be living with their children and, as opiate users are more likely to inject than non-opioid users</w:t>
      </w:r>
      <w:r w:rsidR="00CA43F8">
        <w:t xml:space="preserve"> </w:t>
      </w:r>
      <w:r w:rsidR="00CA43F8">
        <w:fldChar w:fldCharType="begin"/>
      </w:r>
      <w:r w:rsidR="00B75C45">
        <w:instrText xml:space="preserve"> ADDIN EN.CITE &lt;EndNote&gt;&lt;Cite&gt;&lt;Author&gt;OHID&lt;/Author&gt;&lt;Year&gt;2023&lt;/Year&gt;&lt;RecNum&gt;220&lt;/RecNum&gt;&lt;DisplayText&gt;(OHID, 2023d)&lt;/DisplayText&gt;&lt;record&gt;&lt;rec-number&gt;220&lt;/rec-number&gt;&lt;foreign-keys&gt;&lt;key app="EN" db-id="ffzvr5fstavwxoe9v04xf0wmp5t50as52da0" timestamp="1731671650" guid="bb2d034f-4f24-4342-a831-6a231cc2efb3"&gt;220&lt;/key&gt;&lt;/foreign-keys&gt;&lt;ref-type name="Generic"&gt;13&lt;/ref-type&gt;&lt;contributors&gt;&lt;authors&gt;&lt;author&gt;OHID&lt;/author&gt;&lt;/authors&gt;&lt;/contributors&gt;&lt;titles&gt;&lt;title&gt;National statistics. Adult substance misuse treatment statistics 2022 to 2023: report. Updated 21 December 2023&lt;/title&gt;&lt;/titles&gt;&lt;dates&gt;&lt;year&gt;2023&lt;/year&gt;&lt;/dates&gt;&lt;publisher&gt;Office for Health Improvement and Disparities&lt;/publisher&gt;&lt;urls&gt;&lt;related-urls&gt;&lt;url&gt;https://www.gov.uk/government/statistics/substance-misuse-treatment-for-adults-statistics-2022-to-2023/adult-substance-misuse-treatment-statistics-2022-to-2023-report&lt;/url&gt;&lt;/related-urls&gt;&lt;/urls&gt;&lt;access-date&gt;25/03/2024&lt;/access-date&gt;&lt;/record&gt;&lt;/Cite&gt;&lt;/EndNote&gt;</w:instrText>
      </w:r>
      <w:r w:rsidR="00CA43F8">
        <w:fldChar w:fldCharType="separate"/>
      </w:r>
      <w:r w:rsidR="00B75C45">
        <w:rPr>
          <w:noProof/>
        </w:rPr>
        <w:t>(OHID, 2023d)</w:t>
      </w:r>
      <w:r w:rsidR="00CA43F8">
        <w:fldChar w:fldCharType="end"/>
      </w:r>
      <w:r>
        <w:t>,</w:t>
      </w:r>
      <w:r w:rsidRPr="009B5DDF">
        <w:t xml:space="preserve"> their children are more likely to be exposed to potentially harmful drug paraphernalia. </w:t>
      </w:r>
    </w:p>
    <w:p w14:paraId="4DC6AF82" w14:textId="77777777" w:rsidR="00A33D7C" w:rsidRDefault="00A33D7C" w:rsidP="00A33D7C">
      <w:pPr>
        <w:pStyle w:val="Caption"/>
        <w:keepNext/>
      </w:pPr>
    </w:p>
    <w:p w14:paraId="0D479EDC" w14:textId="3E7076FC" w:rsidR="008736E5" w:rsidRDefault="00A33D7C" w:rsidP="00BD13E8">
      <w:pPr>
        <w:pStyle w:val="NoSpacing"/>
      </w:pPr>
      <w:bookmarkStart w:id="46" w:name="_Toc185845007"/>
      <w:r w:rsidRPr="0FA0702E">
        <w:rPr>
          <w:i/>
        </w:rPr>
        <w:t xml:space="preserve">Figure </w:t>
      </w:r>
      <w:r w:rsidR="002B1FB9">
        <w:rPr>
          <w:i/>
        </w:rPr>
        <w:fldChar w:fldCharType="begin"/>
      </w:r>
      <w:r w:rsidR="002B1FB9">
        <w:rPr>
          <w:i/>
        </w:rPr>
        <w:instrText xml:space="preserve"> STYLEREF 2 \s </w:instrText>
      </w:r>
      <w:r w:rsidR="002B1FB9">
        <w:rPr>
          <w:i/>
        </w:rPr>
        <w:fldChar w:fldCharType="separate"/>
      </w:r>
      <w:r w:rsidR="002B1FB9">
        <w:rPr>
          <w:i/>
          <w:noProof/>
        </w:rPr>
        <w:t>2.3</w:t>
      </w:r>
      <w:r w:rsidR="002B1FB9">
        <w:rPr>
          <w:i/>
        </w:rPr>
        <w:fldChar w:fldCharType="end"/>
      </w:r>
      <w:r w:rsidR="002B1FB9">
        <w:rPr>
          <w:i/>
        </w:rPr>
        <w:noBreakHyphen/>
      </w:r>
      <w:r w:rsidR="002B1FB9">
        <w:rPr>
          <w:i/>
        </w:rPr>
        <w:fldChar w:fldCharType="begin"/>
      </w:r>
      <w:r w:rsidR="002B1FB9">
        <w:rPr>
          <w:i/>
        </w:rPr>
        <w:instrText xml:space="preserve"> SEQ Figure \* ARABIC \s 2 </w:instrText>
      </w:r>
      <w:r w:rsidR="002B1FB9">
        <w:rPr>
          <w:i/>
        </w:rPr>
        <w:fldChar w:fldCharType="separate"/>
      </w:r>
      <w:r w:rsidR="002B1FB9">
        <w:rPr>
          <w:i/>
          <w:noProof/>
        </w:rPr>
        <w:t>2</w:t>
      </w:r>
      <w:r w:rsidR="002B1FB9">
        <w:rPr>
          <w:i/>
        </w:rPr>
        <w:fldChar w:fldCharType="end"/>
      </w:r>
      <w:r w:rsidR="007532C8">
        <w:rPr>
          <w:i/>
          <w:iCs/>
        </w:rPr>
        <w:tab/>
      </w:r>
      <w:r w:rsidRPr="0FA0702E">
        <w:rPr>
          <w:i/>
        </w:rPr>
        <w:t xml:space="preserve">Classification of SUD method schematic, taken from </w:t>
      </w:r>
      <w:r w:rsidR="003A7913" w:rsidRPr="0FA0702E">
        <w:rPr>
          <w:i/>
        </w:rPr>
        <w:fldChar w:fldCharType="begin"/>
      </w:r>
      <w:r w:rsidR="00B75C45">
        <w:rPr>
          <w:i/>
        </w:rPr>
        <w:instrText xml:space="preserve"> ADDIN EN.CITE &lt;EndNote&gt;&lt;Cite&gt;&lt;Author&gt;OHID&lt;/Author&gt;&lt;Year&gt;2023&lt;/Year&gt;&lt;RecNum&gt;220&lt;/RecNum&gt;&lt;DisplayText&gt;(OHID, 2023d)&lt;/DisplayText&gt;&lt;record&gt;&lt;rec-number&gt;220&lt;/rec-number&gt;&lt;foreign-keys&gt;&lt;key app="EN" db-id="ffzvr5fstavwxoe9v04xf0wmp5t50as52da0" timestamp="1731671650" guid="bb2d034f-4f24-4342-a831-6a231cc2efb3"&gt;220&lt;/key&gt;&lt;/foreign-keys&gt;&lt;ref-type name="Generic"&gt;13&lt;/ref-type&gt;&lt;contributors&gt;&lt;authors&gt;&lt;author&gt;OHID&lt;/author&gt;&lt;/authors&gt;&lt;/contributors&gt;&lt;titles&gt;&lt;title&gt;National statistics. Adult substance misuse treatment statistics 2022 to 2023: report. Updated 21 December 2023&lt;/title&gt;&lt;/titles&gt;&lt;dates&gt;&lt;year&gt;2023&lt;/year&gt;&lt;/dates&gt;&lt;publisher&gt;Office for Health Improvement and Disparities&lt;/publisher&gt;&lt;urls&gt;&lt;related-urls&gt;&lt;url&gt;https://www.gov.uk/government/statistics/substance-misuse-treatment-for-adults-statistics-2022-to-2023/adult-substance-misuse-treatment-statistics-2022-to-2023-report&lt;/url&gt;&lt;/related-urls&gt;&lt;/urls&gt;&lt;access-date&gt;25/03/2024&lt;/access-date&gt;&lt;/record&gt;&lt;/Cite&gt;&lt;/EndNote&gt;</w:instrText>
      </w:r>
      <w:r w:rsidR="003A7913" w:rsidRPr="0FA0702E">
        <w:rPr>
          <w:i/>
        </w:rPr>
        <w:fldChar w:fldCharType="separate"/>
      </w:r>
      <w:r w:rsidR="00B75C45">
        <w:rPr>
          <w:i/>
          <w:noProof/>
        </w:rPr>
        <w:t>(OHID, 2023d)</w:t>
      </w:r>
      <w:bookmarkEnd w:id="46"/>
      <w:r w:rsidR="003A7913" w:rsidRPr="0FA0702E">
        <w:rPr>
          <w:i/>
        </w:rPr>
        <w:fldChar w:fldCharType="end"/>
      </w:r>
    </w:p>
    <w:p w14:paraId="1A1E3533" w14:textId="64D3E199" w:rsidR="00DE42C2" w:rsidRPr="00DE42C2" w:rsidRDefault="008736E5" w:rsidP="008736E5">
      <w:pPr>
        <w:pStyle w:val="NoSpacing"/>
        <w:rPr>
          <w:lang w:eastAsia="en-GB"/>
        </w:rPr>
      </w:pPr>
      <w:r>
        <w:rPr>
          <w:noProof/>
        </w:rPr>
        <w:drawing>
          <wp:inline distT="0" distB="0" distL="0" distR="0" wp14:anchorId="06A3751B" wp14:editId="47D03D70">
            <wp:extent cx="5446643" cy="3603259"/>
            <wp:effectExtent l="0" t="0" r="0" b="0"/>
            <wp:docPr id="85773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37403" name=""/>
                    <pic:cNvPicPr/>
                  </pic:nvPicPr>
                  <pic:blipFill rotWithShape="1">
                    <a:blip r:embed="rId22"/>
                    <a:srcRect l="35515" t="34538" r="25908" b="20089"/>
                    <a:stretch/>
                  </pic:blipFill>
                  <pic:spPr bwMode="auto">
                    <a:xfrm>
                      <a:off x="0" y="0"/>
                      <a:ext cx="5469919" cy="3618657"/>
                    </a:xfrm>
                    <a:prstGeom prst="rect">
                      <a:avLst/>
                    </a:prstGeom>
                    <a:ln>
                      <a:noFill/>
                    </a:ln>
                    <a:extLst>
                      <a:ext uri="{53640926-AAD7-44D8-BBD7-CCE9431645EC}">
                        <a14:shadowObscured xmlns:a14="http://schemas.microsoft.com/office/drawing/2010/main"/>
                      </a:ext>
                    </a:extLst>
                  </pic:spPr>
                </pic:pic>
              </a:graphicData>
            </a:graphic>
          </wp:inline>
        </w:drawing>
      </w:r>
    </w:p>
    <w:p w14:paraId="0DAAED25" w14:textId="7E4650CC" w:rsidR="005D3DD4" w:rsidRDefault="003F1790" w:rsidP="005D3DD4">
      <w:pPr>
        <w:pStyle w:val="NoSpacing"/>
        <w:spacing w:line="360" w:lineRule="auto"/>
      </w:pPr>
      <w:r>
        <w:lastRenderedPageBreak/>
        <w:t xml:space="preserve">For the quasi-experimental study, the decision was made to group ‘non-opiate only’ and ‘non-opiate and alcohol’ patients together. This was consistent with previous economic modelling provided to local commissioners using the NDTMS </w:t>
      </w:r>
      <w:r>
        <w:fldChar w:fldCharType="begin"/>
      </w:r>
      <w:r w:rsidR="00B9334F">
        <w:instrText xml:space="preserve"> ADDIN EN.CITE &lt;EndNote&gt;&lt;Cite&gt;&lt;Author&gt;Musto Wright&lt;/Author&gt;&lt;Year&gt;2018&lt;/Year&gt;&lt;RecNum&gt;321&lt;/RecNum&gt;&lt;DisplayText&gt;(Musto Wright, 2018)&lt;/DisplayText&gt;&lt;record&gt;&lt;rec-number&gt;321&lt;/rec-number&gt;&lt;foreign-keys&gt;&lt;key app="EN" db-id="ffzvr5fstavwxoe9v04xf0wmp5t50as52da0" timestamp="1731671658" guid="1c9bacc7-65e2-4db4-83f5-d17cf8115bef"&gt;321&lt;/key&gt;&lt;/foreign-keys&gt;&lt;ref-type name="Online Database"&gt;45&lt;/ref-type&gt;&lt;contributors&gt;&lt;authors&gt;&lt;author&gt;Musto Wright, V.&lt;/author&gt;&lt;/authors&gt;&lt;/contributors&gt;&lt;titles&gt;&lt;title&gt;The 2016-17 Social Return on Investment (SROI) of Adult Alcohol and Drug Interventions&lt;/title&gt;&lt;/titles&gt;&lt;dates&gt;&lt;year&gt;2018&lt;/year&gt;&lt;pub-dates&gt;&lt;date&gt;26/08/2024&lt;/date&gt;&lt;/pub-dates&gt;&lt;/dates&gt;&lt;pub-location&gt;www.ndtms.net&lt;/pub-location&gt;&lt;publisher&gt;Public Health England&lt;/publisher&gt;&lt;urls&gt;&lt;related-urls&gt;&lt;url&gt;https://www.ndtms.net/VFM&lt;/url&gt;&lt;/related-urls&gt;&lt;/urls&gt;&lt;/record&gt;&lt;/Cite&gt;&lt;/EndNote&gt;</w:instrText>
      </w:r>
      <w:r>
        <w:fldChar w:fldCharType="separate"/>
      </w:r>
      <w:r w:rsidR="00A77498">
        <w:rPr>
          <w:noProof/>
        </w:rPr>
        <w:t>(Musto Wright, 2018)</w:t>
      </w:r>
      <w:r>
        <w:fldChar w:fldCharType="end"/>
      </w:r>
      <w:r>
        <w:t xml:space="preserve"> which would inform the subsequent third (cost-effectiveness) study, which depended on the results from study 2. Doing so, also reduced the number of models with 20,000 iterations each that would be needed from 16 to 12, thereby substantially lowering the computational power required to generate results. </w:t>
      </w:r>
      <w:r w:rsidR="00396EAE">
        <w:t xml:space="preserve">As </w:t>
      </w:r>
      <w:r w:rsidR="00396EAE" w:rsidRPr="00F73660">
        <w:rPr>
          <w:rStyle w:val="normaltextrun"/>
          <w:color w:val="000000"/>
          <w:shd w:val="clear" w:color="auto" w:fill="FFFFFF"/>
        </w:rPr>
        <w:fldChar w:fldCharType="begin"/>
      </w:r>
      <w:r w:rsidR="00396EAE" w:rsidRPr="00F73660">
        <w:rPr>
          <w:rStyle w:val="normaltextrun"/>
          <w:color w:val="000000"/>
          <w:shd w:val="clear" w:color="auto" w:fill="FFFFFF"/>
        </w:rPr>
        <w:instrText xml:space="preserve"> REF _Ref173680241 \h </w:instrText>
      </w:r>
      <w:r w:rsidR="00396EAE">
        <w:rPr>
          <w:rStyle w:val="normaltextrun"/>
          <w:color w:val="000000"/>
          <w:shd w:val="clear" w:color="auto" w:fill="FFFFFF"/>
        </w:rPr>
        <w:instrText xml:space="preserve"> \* MERGEFORMAT </w:instrText>
      </w:r>
      <w:r w:rsidR="00396EAE" w:rsidRPr="00F73660">
        <w:rPr>
          <w:rStyle w:val="normaltextrun"/>
          <w:color w:val="000000"/>
          <w:shd w:val="clear" w:color="auto" w:fill="FFFFFF"/>
        </w:rPr>
      </w:r>
      <w:r w:rsidR="00396EAE" w:rsidRPr="00F73660">
        <w:rPr>
          <w:rStyle w:val="normaltextrun"/>
          <w:color w:val="000000"/>
          <w:shd w:val="clear" w:color="auto" w:fill="FFFFFF"/>
        </w:rPr>
        <w:fldChar w:fldCharType="separate"/>
      </w:r>
      <w:r w:rsidR="00367870" w:rsidRPr="00367870">
        <w:t xml:space="preserve">Figure </w:t>
      </w:r>
      <w:r w:rsidR="00367870" w:rsidRPr="00367870">
        <w:rPr>
          <w:noProof/>
        </w:rPr>
        <w:t>2.3</w:t>
      </w:r>
      <w:r w:rsidR="00367870" w:rsidRPr="00367870">
        <w:rPr>
          <w:noProof/>
        </w:rPr>
        <w:noBreakHyphen/>
        <w:t>3</w:t>
      </w:r>
      <w:r w:rsidR="00396EAE" w:rsidRPr="00F73660">
        <w:rPr>
          <w:rStyle w:val="normaltextrun"/>
          <w:color w:val="000000"/>
          <w:shd w:val="clear" w:color="auto" w:fill="FFFFFF"/>
        </w:rPr>
        <w:fldChar w:fldCharType="end"/>
      </w:r>
      <w:r w:rsidR="00396EAE">
        <w:rPr>
          <w:rStyle w:val="normaltextrun"/>
          <w:color w:val="000000"/>
          <w:shd w:val="clear" w:color="auto" w:fill="FFFFFF"/>
        </w:rPr>
        <w:t xml:space="preserve"> shows, </w:t>
      </w:r>
      <w:r w:rsidR="00AB7760">
        <w:t>mothers</w:t>
      </w:r>
      <w:r w:rsidR="00396EAE">
        <w:t xml:space="preserve"> represented half of </w:t>
      </w:r>
      <w:r w:rsidR="00411E9B">
        <w:t>parents living</w:t>
      </w:r>
      <w:r w:rsidR="00396EAE">
        <w:t xml:space="preserve"> with children (n=9,124, 50.2%) and under a third of parents not living with children (n=11,473, 29.1%). </w:t>
      </w:r>
      <w:r w:rsidR="005D3DD4">
        <w:t xml:space="preserve">The </w:t>
      </w:r>
      <w:r w:rsidR="004B7952">
        <w:t>data was then</w:t>
      </w:r>
      <w:r w:rsidR="005D3DD4">
        <w:t xml:space="preserve"> further segment</w:t>
      </w:r>
      <w:r w:rsidR="004B7952">
        <w:t>ed</w:t>
      </w:r>
      <w:r w:rsidR="005D3DD4">
        <w:t xml:space="preserve"> by </w:t>
      </w:r>
      <w:r w:rsidR="004B7952">
        <w:t xml:space="preserve">the </w:t>
      </w:r>
      <w:r w:rsidR="005D3DD4">
        <w:t>three substance groupings</w:t>
      </w:r>
      <w:r w:rsidR="005D3DD4" w:rsidRPr="00056E69">
        <w:t xml:space="preserve">: </w:t>
      </w:r>
      <w:r w:rsidR="005D3DD4">
        <w:t>‘</w:t>
      </w:r>
      <w:r w:rsidR="005D3DD4" w:rsidRPr="00056E69">
        <w:t>opiate users</w:t>
      </w:r>
      <w:r w:rsidR="005D3DD4">
        <w:t>’ (OUs, n=20,043)</w:t>
      </w:r>
      <w:r w:rsidR="005D3DD4" w:rsidRPr="00056E69">
        <w:t xml:space="preserve">; </w:t>
      </w:r>
      <w:r w:rsidR="005D3DD4">
        <w:t>‘</w:t>
      </w:r>
      <w:r w:rsidR="005D3DD4" w:rsidRPr="00056E69">
        <w:t>non-opiate users</w:t>
      </w:r>
      <w:r w:rsidR="005D3DD4">
        <w:t xml:space="preserve">’ (non-OUs, n=15,585) </w:t>
      </w:r>
      <w:r w:rsidR="005D3DD4" w:rsidRPr="00056E69">
        <w:t xml:space="preserve">and </w:t>
      </w:r>
      <w:r w:rsidR="005D3DD4">
        <w:t>‘</w:t>
      </w:r>
      <w:r w:rsidR="005D3DD4" w:rsidRPr="00056E69">
        <w:t>alcohol only</w:t>
      </w:r>
      <w:r w:rsidR="005D3DD4">
        <w:t>’ (n=21,900)</w:t>
      </w:r>
      <w:r w:rsidR="004B7952">
        <w:t>.</w:t>
      </w:r>
    </w:p>
    <w:p w14:paraId="5D87F7DA" w14:textId="77777777" w:rsidR="00367870" w:rsidRDefault="00367870" w:rsidP="00F93D63">
      <w:pPr>
        <w:pStyle w:val="Caption"/>
        <w:rPr>
          <w:b w:val="0"/>
          <w:bCs w:val="0"/>
          <w:i/>
          <w:iCs/>
          <w:color w:val="auto"/>
          <w:sz w:val="24"/>
          <w:szCs w:val="24"/>
        </w:rPr>
      </w:pPr>
      <w:bookmarkStart w:id="47" w:name="_Ref173680241"/>
    </w:p>
    <w:p w14:paraId="7A887579" w14:textId="4AB5ACC2" w:rsidR="007532C8" w:rsidRDefault="00513390" w:rsidP="00D91E1A">
      <w:pPr>
        <w:pStyle w:val="Caption"/>
        <w:rPr>
          <w:b w:val="0"/>
          <w:bCs w:val="0"/>
          <w:i/>
          <w:iCs/>
          <w:color w:val="auto"/>
          <w:sz w:val="24"/>
          <w:szCs w:val="24"/>
        </w:rPr>
      </w:pPr>
      <w:bookmarkStart w:id="48" w:name="_Toc185845008"/>
      <w:r w:rsidRPr="007532C8">
        <w:rPr>
          <w:b w:val="0"/>
          <w:bCs w:val="0"/>
          <w:i/>
          <w:iCs/>
          <w:color w:val="auto"/>
          <w:sz w:val="24"/>
          <w:szCs w:val="24"/>
        </w:rPr>
        <w:t xml:space="preserve">Figure </w:t>
      </w:r>
      <w:r w:rsidR="002B1FB9">
        <w:rPr>
          <w:b w:val="0"/>
          <w:bCs w:val="0"/>
          <w:i/>
          <w:iCs/>
          <w:color w:val="auto"/>
          <w:sz w:val="24"/>
          <w:szCs w:val="24"/>
        </w:rPr>
        <w:fldChar w:fldCharType="begin"/>
      </w:r>
      <w:r w:rsidR="002B1FB9">
        <w:rPr>
          <w:b w:val="0"/>
          <w:bCs w:val="0"/>
          <w:i/>
          <w:iCs/>
          <w:color w:val="auto"/>
          <w:sz w:val="24"/>
          <w:szCs w:val="24"/>
        </w:rPr>
        <w:instrText xml:space="preserve"> STYLEREF 2 \s </w:instrText>
      </w:r>
      <w:r w:rsidR="002B1FB9">
        <w:rPr>
          <w:b w:val="0"/>
          <w:bCs w:val="0"/>
          <w:i/>
          <w:iCs/>
          <w:color w:val="auto"/>
          <w:sz w:val="24"/>
          <w:szCs w:val="24"/>
        </w:rPr>
        <w:fldChar w:fldCharType="separate"/>
      </w:r>
      <w:r w:rsidR="002B1FB9">
        <w:rPr>
          <w:b w:val="0"/>
          <w:bCs w:val="0"/>
          <w:i/>
          <w:iCs/>
          <w:noProof/>
          <w:color w:val="auto"/>
          <w:sz w:val="24"/>
          <w:szCs w:val="24"/>
        </w:rPr>
        <w:t>2.3</w:t>
      </w:r>
      <w:r w:rsidR="002B1FB9">
        <w:rPr>
          <w:b w:val="0"/>
          <w:bCs w:val="0"/>
          <w:i/>
          <w:iCs/>
          <w:color w:val="auto"/>
          <w:sz w:val="24"/>
          <w:szCs w:val="24"/>
        </w:rPr>
        <w:fldChar w:fldCharType="end"/>
      </w:r>
      <w:r w:rsidR="002B1FB9">
        <w:rPr>
          <w:b w:val="0"/>
          <w:bCs w:val="0"/>
          <w:i/>
          <w:iCs/>
          <w:color w:val="auto"/>
          <w:sz w:val="24"/>
          <w:szCs w:val="24"/>
        </w:rPr>
        <w:noBreakHyphen/>
      </w:r>
      <w:r w:rsidR="002B1FB9">
        <w:rPr>
          <w:b w:val="0"/>
          <w:bCs w:val="0"/>
          <w:i/>
          <w:iCs/>
          <w:color w:val="auto"/>
          <w:sz w:val="24"/>
          <w:szCs w:val="24"/>
        </w:rPr>
        <w:fldChar w:fldCharType="begin"/>
      </w:r>
      <w:r w:rsidR="002B1FB9">
        <w:rPr>
          <w:b w:val="0"/>
          <w:bCs w:val="0"/>
          <w:i/>
          <w:iCs/>
          <w:color w:val="auto"/>
          <w:sz w:val="24"/>
          <w:szCs w:val="24"/>
        </w:rPr>
        <w:instrText xml:space="preserve"> SEQ Figure \* ARABIC \s 2 </w:instrText>
      </w:r>
      <w:r w:rsidR="002B1FB9">
        <w:rPr>
          <w:b w:val="0"/>
          <w:bCs w:val="0"/>
          <w:i/>
          <w:iCs/>
          <w:color w:val="auto"/>
          <w:sz w:val="24"/>
          <w:szCs w:val="24"/>
        </w:rPr>
        <w:fldChar w:fldCharType="separate"/>
      </w:r>
      <w:r w:rsidR="002B1FB9">
        <w:rPr>
          <w:b w:val="0"/>
          <w:bCs w:val="0"/>
          <w:i/>
          <w:iCs/>
          <w:noProof/>
          <w:color w:val="auto"/>
          <w:sz w:val="24"/>
          <w:szCs w:val="24"/>
        </w:rPr>
        <w:t>3</w:t>
      </w:r>
      <w:r w:rsidR="002B1FB9">
        <w:rPr>
          <w:b w:val="0"/>
          <w:bCs w:val="0"/>
          <w:i/>
          <w:iCs/>
          <w:color w:val="auto"/>
          <w:sz w:val="24"/>
          <w:szCs w:val="24"/>
        </w:rPr>
        <w:fldChar w:fldCharType="end"/>
      </w:r>
      <w:bookmarkEnd w:id="47"/>
      <w:r w:rsidR="007532C8">
        <w:rPr>
          <w:b w:val="0"/>
          <w:bCs w:val="0"/>
          <w:i/>
          <w:iCs/>
          <w:color w:val="auto"/>
          <w:sz w:val="24"/>
          <w:szCs w:val="24"/>
        </w:rPr>
        <w:tab/>
      </w:r>
      <w:r w:rsidR="00371F8A" w:rsidRPr="007532C8">
        <w:rPr>
          <w:b w:val="0"/>
          <w:bCs w:val="0"/>
          <w:i/>
          <w:iCs/>
          <w:color w:val="auto"/>
          <w:sz w:val="24"/>
          <w:szCs w:val="24"/>
        </w:rPr>
        <w:t>Patient s</w:t>
      </w:r>
      <w:r w:rsidRPr="007532C8">
        <w:rPr>
          <w:b w:val="0"/>
          <w:bCs w:val="0"/>
          <w:i/>
          <w:iCs/>
          <w:color w:val="auto"/>
          <w:sz w:val="24"/>
          <w:szCs w:val="24"/>
        </w:rPr>
        <w:t>ubgroupings (n=57,529)</w:t>
      </w:r>
      <w:bookmarkEnd w:id="48"/>
    </w:p>
    <w:p w14:paraId="48BD4763" w14:textId="77777777" w:rsidR="00EF2F05" w:rsidRPr="00EF2F05" w:rsidRDefault="00EF2F05" w:rsidP="00EF2F05"/>
    <w:p w14:paraId="38E5DBE7" w14:textId="2BF18D79" w:rsidR="008C7609" w:rsidRDefault="002F34DA" w:rsidP="00940067">
      <w:pPr>
        <w:pStyle w:val="NoSpacing"/>
        <w:rPr>
          <w:sz w:val="20"/>
          <w:szCs w:val="20"/>
        </w:rPr>
      </w:pPr>
      <w:r w:rsidRPr="004B7952">
        <w:rPr>
          <w:noProof/>
          <w:sz w:val="20"/>
          <w:szCs w:val="20"/>
        </w:rPr>
        <w:drawing>
          <wp:inline distT="0" distB="0" distL="0" distR="0" wp14:anchorId="40786076" wp14:editId="76FE9847">
            <wp:extent cx="4747565" cy="2282342"/>
            <wp:effectExtent l="0" t="0" r="0" b="60960"/>
            <wp:docPr id="218" name="Diagram 2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4B7952">
        <w:rPr>
          <w:noProof/>
          <w:sz w:val="20"/>
          <w:szCs w:val="20"/>
        </w:rPr>
        <w:drawing>
          <wp:inline distT="0" distB="0" distL="0" distR="0" wp14:anchorId="1903EE40" wp14:editId="2ABCCDE8">
            <wp:extent cx="4491533" cy="2494483"/>
            <wp:effectExtent l="0" t="0" r="0" b="58420"/>
            <wp:docPr id="219" name="Diagram 2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6C2CADB" w14:textId="77777777" w:rsidR="00D11082" w:rsidRPr="00FF4EB7" w:rsidRDefault="00D11082" w:rsidP="00CA2F1C">
      <w:pPr>
        <w:pStyle w:val="Heading3"/>
        <w:numPr>
          <w:ilvl w:val="2"/>
          <w:numId w:val="32"/>
        </w:numPr>
        <w:spacing w:line="360" w:lineRule="auto"/>
      </w:pPr>
      <w:bookmarkStart w:id="49" w:name="_Toc189229669"/>
      <w:r w:rsidRPr="00995E2A">
        <w:lastRenderedPageBreak/>
        <w:t>Treatment exposure</w:t>
      </w:r>
      <w:bookmarkEnd w:id="49"/>
      <w:r w:rsidRPr="00FF4EB7">
        <w:t xml:space="preserve"> </w:t>
      </w:r>
    </w:p>
    <w:p w14:paraId="69ECF7F7" w14:textId="77777777" w:rsidR="00D11082" w:rsidRDefault="00D11082" w:rsidP="00D11082">
      <w:pPr>
        <w:pStyle w:val="NoSpacing"/>
        <w:spacing w:line="360" w:lineRule="auto"/>
      </w:pPr>
      <w:r>
        <w:t>In addition to treatment, assignment to the following interventions discussed in chapter 1 were analysed: targeted prevention in the form of ‘parenting and/or family</w:t>
      </w:r>
      <w:r w:rsidRPr="00056E69">
        <w:t>’</w:t>
      </w:r>
      <w:r>
        <w:t xml:space="preserve"> recovery support (supporting parenting skills and family relationships) offered by specialist treatment services and targeted ‘early help’ offered by children and family services. Also included were statutory child welfare interventions: children on </w:t>
      </w:r>
      <w:r w:rsidRPr="00056E69">
        <w:t>child in need</w:t>
      </w:r>
      <w:r>
        <w:t xml:space="preserve"> plans</w:t>
      </w:r>
      <w:r w:rsidRPr="00056E69">
        <w:t>, child protection</w:t>
      </w:r>
      <w:r>
        <w:t xml:space="preserve"> plans</w:t>
      </w:r>
      <w:r w:rsidRPr="00056E69">
        <w:t xml:space="preserve"> </w:t>
      </w:r>
      <w:r>
        <w:t>or placed in care</w:t>
      </w:r>
      <w:r w:rsidRPr="00056E69">
        <w:t xml:space="preserve">. </w:t>
      </w:r>
    </w:p>
    <w:p w14:paraId="42F1B8B7" w14:textId="77777777" w:rsidR="00D11082" w:rsidRDefault="00D11082" w:rsidP="00D11082">
      <w:pPr>
        <w:pStyle w:val="NoSpacing"/>
        <w:spacing w:line="360" w:lineRule="auto"/>
      </w:pPr>
    </w:p>
    <w:p w14:paraId="4E48133B" w14:textId="28F71AE1" w:rsidR="00D11082" w:rsidRPr="00367870" w:rsidRDefault="00D11082" w:rsidP="00D11082">
      <w:pPr>
        <w:pStyle w:val="NoSpacing"/>
        <w:spacing w:line="360" w:lineRule="auto"/>
        <w:rPr>
          <w:rStyle w:val="normaltextrun"/>
        </w:rPr>
      </w:pPr>
      <w:r>
        <w:t xml:space="preserve">Parenting and/or family recovery support are reported as two separate interventions in the NDTMS ‘parenting recovery support’ and ‘family recovery support’. A pragmatic decision was made to combine the data into one category to enhance statistical power as the reporting for each individual category was low, and because it would be assumed that there would be overlap between the two in relation to parents. These types of recovery support include arranging therapeutic support for children and other affected family members in their own right, referral to a parenting support worker within the treatment service where available, or to a local partner delivering parenting support </w:t>
      </w:r>
      <w:r>
        <w:fldChar w:fldCharType="begin"/>
      </w:r>
      <w:r w:rsidR="00B9334F">
        <w:instrText xml:space="preserve"> ADDIN EN.CITE &lt;EndNote&gt;&lt;Cite&gt;&lt;Author&gt;PHE&lt;/Author&gt;&lt;Year&gt;2019&lt;/Year&gt;&lt;RecNum&gt;63&lt;/RecNum&gt;&lt;DisplayText&gt;(PHE, 2019a)&lt;/DisplayText&gt;&lt;record&gt;&lt;rec-number&gt;63&lt;/rec-number&gt;&lt;foreign-keys&gt;&lt;key app="EN" db-id="ffzvr5fstavwxoe9v04xf0wmp5t50as52da0" timestamp="1731671640" guid="41db3abb-9f3b-4907-b16e-d664d4bba4d1"&gt;63&lt;/key&gt;&lt;/foreign-keys&gt;&lt;ref-type name="Report"&gt;27&lt;/ref-type&gt;&lt;contributors&gt;&lt;authors&gt;&lt;author&gt;PHE&lt;/author&gt;&lt;/authors&gt;&lt;/contributors&gt;&lt;titles&gt;&lt;title&gt;National Drug Treatment Monitoring System (NDTMS). Adult drug and alcohol treatment business definitions. Core dataset O&lt;/title&gt;&lt;/titles&gt;&lt;dates&gt;&lt;year&gt;2019&lt;/year&gt;&lt;pub-dates&gt;&lt;date&gt;14/06/2019&lt;/date&gt;&lt;/pub-dates&gt;&lt;/dates&gt;&lt;publisher&gt;Public Health England&lt;/publisher&gt;&lt;urls&gt;&lt;related-urls&gt;&lt;url&gt;https://assets.publishing.service.gov.uk/government/uploads/system/uploads/attachment_data/file/785198/NDTMS_adult_drug_and_alcohol_treatment_business_definitions_CDS-O.pdf&lt;/url&gt;&lt;/related-urls&gt;&lt;/urls&gt;&lt;/record&gt;&lt;/Cite&gt;&lt;/EndNote&gt;</w:instrText>
      </w:r>
      <w:r>
        <w:fldChar w:fldCharType="separate"/>
      </w:r>
      <w:r>
        <w:rPr>
          <w:noProof/>
        </w:rPr>
        <w:t>(PHE, 2019a)</w:t>
      </w:r>
      <w:r>
        <w:fldChar w:fldCharType="end"/>
      </w:r>
      <w:r>
        <w:t xml:space="preserve">. </w:t>
      </w:r>
    </w:p>
    <w:p w14:paraId="17C8F9CF" w14:textId="77777777" w:rsidR="00D11082" w:rsidRDefault="00D11082" w:rsidP="00940067">
      <w:pPr>
        <w:pStyle w:val="NoSpacing"/>
        <w:rPr>
          <w:sz w:val="20"/>
          <w:szCs w:val="20"/>
        </w:rPr>
      </w:pPr>
    </w:p>
    <w:p w14:paraId="4D4B975D" w14:textId="03B07CA4" w:rsidR="00F93D63" w:rsidRDefault="00F93D63" w:rsidP="006F7929">
      <w:pPr>
        <w:pStyle w:val="Heading3"/>
        <w:numPr>
          <w:ilvl w:val="2"/>
          <w:numId w:val="19"/>
        </w:numPr>
        <w:spacing w:line="360" w:lineRule="auto"/>
      </w:pPr>
      <w:bookmarkStart w:id="50" w:name="_Toc189229670"/>
      <w:r>
        <w:t>Treatment journeys</w:t>
      </w:r>
      <w:bookmarkEnd w:id="50"/>
    </w:p>
    <w:p w14:paraId="60278AAE" w14:textId="262BDAB8" w:rsidR="00FB786B" w:rsidRDefault="00FB786B" w:rsidP="00FB786B">
      <w:pPr>
        <w:pStyle w:val="NoSpacing"/>
        <w:spacing w:line="360" w:lineRule="auto"/>
      </w:pPr>
      <w:r>
        <w:t xml:space="preserve">Consistent with the protocol for reporting of NDTMS data, treatment ‘journeys’ were used to identify periods in and out of treatment for our cohort. Journeys can comprise single or multiple episodes of pharmacological or psychosocial interventions, with any gap between episodes of more than 21 days classified as a new treatment journey. Recovery support services, such as </w:t>
      </w:r>
      <w:r w:rsidR="00DF0082">
        <w:t>parenting and/or family recovery support</w:t>
      </w:r>
      <w:r>
        <w:t xml:space="preserve">, are offered concurrently with treatment or at the end of a treatment episode. Patients are discharged from treatment as having dropped out, died, transferred to another area or prison or left free from being dependent on </w:t>
      </w:r>
      <w:r w:rsidRPr="00056E69">
        <w:t>the substances that brought them into treatment</w:t>
      </w:r>
      <w:r>
        <w:t xml:space="preserve"> and no longer </w:t>
      </w:r>
      <w:r w:rsidRPr="00056E69">
        <w:t>receiving pharmacological treatment</w:t>
      </w:r>
      <w:r>
        <w:t>. The latter is known as a ‘successful completion’ in England</w:t>
      </w:r>
      <w:r w:rsidRPr="00056E69">
        <w:t xml:space="preserve"> </w:t>
      </w:r>
      <w:r w:rsidRPr="00056E69">
        <w:fldChar w:fldCharType="begin"/>
      </w:r>
      <w:r w:rsidR="00B9334F">
        <w:instrText xml:space="preserve"> ADDIN EN.CITE &lt;EndNote&gt;&lt;Cite&gt;&lt;Author&gt;PHE&lt;/Author&gt;&lt;Year&gt;2019&lt;/Year&gt;&lt;RecNum&gt;63&lt;/RecNum&gt;&lt;DisplayText&gt;(PHE, 2019a)&lt;/DisplayText&gt;&lt;record&gt;&lt;rec-number&gt;63&lt;/rec-number&gt;&lt;foreign-keys&gt;&lt;key app="EN" db-id="ffzvr5fstavwxoe9v04xf0wmp5t50as52da0" timestamp="1731671640" guid="41db3abb-9f3b-4907-b16e-d664d4bba4d1"&gt;63&lt;/key&gt;&lt;/foreign-keys&gt;&lt;ref-type name="Report"&gt;27&lt;/ref-type&gt;&lt;contributors&gt;&lt;authors&gt;&lt;author&gt;PHE&lt;/author&gt;&lt;/authors&gt;&lt;/contributors&gt;&lt;titles&gt;&lt;title&gt;National Drug Treatment Monitoring System (NDTMS). Adult drug and alcohol treatment business definitions. Core dataset O&lt;/title&gt;&lt;/titles&gt;&lt;dates&gt;&lt;year&gt;2019&lt;/year&gt;&lt;pub-dates&gt;&lt;date&gt;14/06/2019&lt;/date&gt;&lt;/pub-dates&gt;&lt;/dates&gt;&lt;publisher&gt;Public Health England&lt;/publisher&gt;&lt;urls&gt;&lt;related-urls&gt;&lt;url&gt;https://assets.publishing.service.gov.uk/government/uploads/system/uploads/attachment_data/file/785198/NDTMS_adult_drug_and_alcohol_treatment_business_definitions_CDS-O.pdf&lt;/url&gt;&lt;/related-urls&gt;&lt;/urls&gt;&lt;/record&gt;&lt;/Cite&gt;&lt;/EndNote&gt;</w:instrText>
      </w:r>
      <w:r w:rsidRPr="00056E69">
        <w:fldChar w:fldCharType="separate"/>
      </w:r>
      <w:r w:rsidR="00A77498">
        <w:rPr>
          <w:noProof/>
        </w:rPr>
        <w:t>(PHE, 2019a)</w:t>
      </w:r>
      <w:r w:rsidRPr="00056E69">
        <w:fldChar w:fldCharType="end"/>
      </w:r>
      <w:r w:rsidRPr="00056E69">
        <w:t xml:space="preserve">. </w:t>
      </w:r>
    </w:p>
    <w:p w14:paraId="67C6A894" w14:textId="77777777" w:rsidR="00FB786B" w:rsidRDefault="00FB786B" w:rsidP="00FB786B">
      <w:pPr>
        <w:pStyle w:val="NoSpacing"/>
        <w:spacing w:line="360" w:lineRule="auto"/>
      </w:pPr>
    </w:p>
    <w:p w14:paraId="364444CF" w14:textId="0D4705F2" w:rsidR="00DE7533" w:rsidRPr="00826DC0" w:rsidRDefault="00C47D63" w:rsidP="006F7929">
      <w:pPr>
        <w:pStyle w:val="Heading3"/>
        <w:numPr>
          <w:ilvl w:val="2"/>
          <w:numId w:val="19"/>
        </w:numPr>
        <w:spacing w:line="360" w:lineRule="auto"/>
      </w:pPr>
      <w:bookmarkStart w:id="51" w:name="_Toc189229671"/>
      <w:r>
        <w:lastRenderedPageBreak/>
        <w:t>O</w:t>
      </w:r>
      <w:r w:rsidR="00DE7533">
        <w:t>utcome variables</w:t>
      </w:r>
      <w:bookmarkEnd w:id="51"/>
    </w:p>
    <w:p w14:paraId="443B3C29" w14:textId="75BB089B" w:rsidR="00967A2C" w:rsidRDefault="00DE7533" w:rsidP="00967A2C">
      <w:pPr>
        <w:pStyle w:val="NoSpacing"/>
        <w:spacing w:line="360" w:lineRule="auto"/>
      </w:pPr>
      <w:r>
        <w:t xml:space="preserve">The outcome measure </w:t>
      </w:r>
      <w:r w:rsidR="00431219">
        <w:t xml:space="preserve">for all studies </w:t>
      </w:r>
      <w:r>
        <w:t>was ‘successful completion of treatment’</w:t>
      </w:r>
      <w:r w:rsidR="0032494D">
        <w:t xml:space="preserve"> for parents or carers with SUD</w:t>
      </w:r>
      <w:r w:rsidRPr="00056E69">
        <w:t>.</w:t>
      </w:r>
      <w:r w:rsidR="0032494D">
        <w:t xml:space="preserve"> The</w:t>
      </w:r>
      <w:r w:rsidRPr="00056E69">
        <w:t xml:space="preserve"> </w:t>
      </w:r>
      <w:r w:rsidR="003D0D01">
        <w:t xml:space="preserve">NDTMS does not record </w:t>
      </w:r>
      <w:r w:rsidR="00CC3243">
        <w:t xml:space="preserve">child outcomes associated with parents being in or having received treatment. </w:t>
      </w:r>
      <w:r w:rsidR="001E4A3A">
        <w:t>I had originally considered measuring</w:t>
      </w:r>
      <w:r w:rsidR="00967A2C">
        <w:t xml:space="preserve"> changes in child welfare </w:t>
      </w:r>
      <w:r w:rsidR="00CC3243">
        <w:t>interventions</w:t>
      </w:r>
      <w:r w:rsidR="00967A2C">
        <w:t>, e.g. the step down from one child welfare intervention</w:t>
      </w:r>
      <w:r w:rsidR="00DF0082">
        <w:t xml:space="preserve"> t</w:t>
      </w:r>
      <w:r w:rsidR="00CE14CD">
        <w:t>o another</w:t>
      </w:r>
      <w:r w:rsidR="00967A2C">
        <w:t xml:space="preserve">, such as </w:t>
      </w:r>
      <w:r w:rsidR="00CE14CD">
        <w:t xml:space="preserve">from </w:t>
      </w:r>
      <w:r w:rsidR="00967A2C">
        <w:t>child protection to early help</w:t>
      </w:r>
      <w:r w:rsidR="009374E1">
        <w:t xml:space="preserve">, as a proxy for child outcomes, however the data available did not allow for this analysis to be done robustly. </w:t>
      </w:r>
    </w:p>
    <w:p w14:paraId="63900514" w14:textId="77777777" w:rsidR="000E1D13" w:rsidRDefault="000E1D13" w:rsidP="00431219">
      <w:pPr>
        <w:pStyle w:val="NoSpacing"/>
        <w:spacing w:line="360" w:lineRule="auto"/>
      </w:pPr>
    </w:p>
    <w:p w14:paraId="26A7C4B8" w14:textId="63D4F301" w:rsidR="00837A92" w:rsidRPr="00826DC0" w:rsidRDefault="00837A92" w:rsidP="006F7929">
      <w:pPr>
        <w:pStyle w:val="Heading3"/>
        <w:numPr>
          <w:ilvl w:val="2"/>
          <w:numId w:val="19"/>
        </w:numPr>
        <w:spacing w:line="360" w:lineRule="auto"/>
      </w:pPr>
      <w:bookmarkStart w:id="52" w:name="_Toc189229672"/>
      <w:r>
        <w:t>Data restrictions</w:t>
      </w:r>
      <w:bookmarkEnd w:id="52"/>
    </w:p>
    <w:p w14:paraId="4A908F85" w14:textId="3AE9C190" w:rsidR="00BB03C1" w:rsidRDefault="00837A92" w:rsidP="00431219">
      <w:pPr>
        <w:pStyle w:val="NoSpacing"/>
        <w:spacing w:line="360" w:lineRule="auto"/>
      </w:pPr>
      <w:r>
        <w:t>S</w:t>
      </w:r>
      <w:r w:rsidR="00F00CF0">
        <w:t xml:space="preserve">ome </w:t>
      </w:r>
      <w:r>
        <w:t>data restric</w:t>
      </w:r>
      <w:r w:rsidR="003536E4">
        <w:t xml:space="preserve">tions were applied. </w:t>
      </w:r>
      <w:r w:rsidR="000176CF">
        <w:t xml:space="preserve">First, </w:t>
      </w:r>
      <w:r w:rsidR="0028431D">
        <w:t xml:space="preserve">to further protect </w:t>
      </w:r>
      <w:r w:rsidR="00FC4877">
        <w:t xml:space="preserve">patient anonymity, </w:t>
      </w:r>
      <w:r w:rsidR="008E6118">
        <w:t>o</w:t>
      </w:r>
      <w:r w:rsidR="006A1537">
        <w:t>nly first and second name initials, date of birth, sex and local authority are collected and used to create a patient identifier.</w:t>
      </w:r>
      <w:r w:rsidR="00EA1016">
        <w:t xml:space="preserve"> </w:t>
      </w:r>
      <w:r w:rsidR="00BB03C1">
        <w:t>This means that any change in any of the identifiers for a person would create a new patient record and as such would be treated as if belonging to a different person. While such a method helps to protect people’s identity on a database which records extremely sensitive information, it could be problematic when analysis is done on, for example, people who are rough sleeping or have unstable housing and so may move around a lot or mothers who get married and change their surname. Issues also arise when a person is recorded by their official name in one treatment service and by their nickname in another</w:t>
      </w:r>
      <w:r w:rsidR="00EA1016">
        <w:t>.</w:t>
      </w:r>
    </w:p>
    <w:p w14:paraId="575E497B" w14:textId="77777777" w:rsidR="008E6118" w:rsidRDefault="008E6118" w:rsidP="00431219">
      <w:pPr>
        <w:pStyle w:val="NoSpacing"/>
        <w:spacing w:line="360" w:lineRule="auto"/>
      </w:pPr>
    </w:p>
    <w:p w14:paraId="295B29D0" w14:textId="3A2C5D43" w:rsidR="00837A92" w:rsidRDefault="008E6118" w:rsidP="00431219">
      <w:pPr>
        <w:pStyle w:val="NoSpacing"/>
        <w:spacing w:line="360" w:lineRule="auto"/>
      </w:pPr>
      <w:r>
        <w:t>Second, despite age being available on the NDTMS, o</w:t>
      </w:r>
      <w:r w:rsidR="00FC4877">
        <w:t>nly age bands which people belonged to were supplied rather than age</w:t>
      </w:r>
      <w:r>
        <w:t xml:space="preserve"> to further protect anonymity</w:t>
      </w:r>
      <w:r w:rsidR="00FC4877">
        <w:t>. This meant, for example, that I was not able to calculate the average age of patients in the dataset</w:t>
      </w:r>
      <w:r w:rsidR="00DC673F">
        <w:t xml:space="preserve"> and explore meaningfully how this may change for different cohorts</w:t>
      </w:r>
      <w:r w:rsidR="00FC4877">
        <w:t xml:space="preserve">. </w:t>
      </w:r>
      <w:r>
        <w:t>Finally</w:t>
      </w:r>
      <w:r w:rsidR="00074518">
        <w:t xml:space="preserve">, </w:t>
      </w:r>
      <w:r w:rsidR="001C578F">
        <w:t xml:space="preserve">it was not possible to get intervention start and end dates, </w:t>
      </w:r>
      <w:r w:rsidR="00B95B5C">
        <w:t xml:space="preserve">meaning that it was not possible to explore </w:t>
      </w:r>
      <w:r w:rsidR="00334DEF">
        <w:t>the cost-effectiveness of</w:t>
      </w:r>
      <w:r w:rsidR="00B95B5C">
        <w:t xml:space="preserve"> </w:t>
      </w:r>
      <w:r w:rsidR="00671ADC">
        <w:t xml:space="preserve">different </w:t>
      </w:r>
      <w:r w:rsidR="00A377DB">
        <w:t xml:space="preserve">combinations </w:t>
      </w:r>
      <w:r w:rsidR="00A85E4D">
        <w:t>of interventions making u</w:t>
      </w:r>
      <w:r w:rsidR="00334DEF">
        <w:t>p a treatment journey.</w:t>
      </w:r>
    </w:p>
    <w:p w14:paraId="46337154" w14:textId="77777777" w:rsidR="00837A92" w:rsidRDefault="00837A92" w:rsidP="00431219">
      <w:pPr>
        <w:pStyle w:val="NoSpacing"/>
        <w:spacing w:line="360" w:lineRule="auto"/>
      </w:pPr>
    </w:p>
    <w:p w14:paraId="4DB25FCD" w14:textId="291D8D7E" w:rsidR="000C45D2" w:rsidRPr="000C45D2" w:rsidRDefault="0064714B" w:rsidP="009C3BBC">
      <w:pPr>
        <w:pStyle w:val="Heading3"/>
        <w:numPr>
          <w:ilvl w:val="2"/>
          <w:numId w:val="19"/>
        </w:numPr>
        <w:spacing w:line="360" w:lineRule="auto"/>
      </w:pPr>
      <w:bookmarkStart w:id="53" w:name="_Toc189229673"/>
      <w:r>
        <w:t>Missing data</w:t>
      </w:r>
      <w:bookmarkEnd w:id="53"/>
    </w:p>
    <w:p w14:paraId="5B852D4F" w14:textId="666C9130" w:rsidR="00584999" w:rsidRDefault="00D657D5" w:rsidP="00D657D5">
      <w:pPr>
        <w:pStyle w:val="NoSpacing"/>
        <w:spacing w:line="360" w:lineRule="auto"/>
      </w:pPr>
      <w:r w:rsidRPr="00027819">
        <w:t xml:space="preserve">Just over a fifth (22.7%) of </w:t>
      </w:r>
      <w:r w:rsidR="00397096">
        <w:t>the</w:t>
      </w:r>
      <w:r w:rsidRPr="00027819">
        <w:t xml:space="preserve"> </w:t>
      </w:r>
      <w:r w:rsidR="00E43B1A">
        <w:t xml:space="preserve">baseline characteristic information </w:t>
      </w:r>
      <w:r w:rsidRPr="00027819">
        <w:t>were missing</w:t>
      </w:r>
      <w:r w:rsidR="00E43B1A">
        <w:t xml:space="preserve"> from the data extract</w:t>
      </w:r>
      <w:r w:rsidRPr="00027819">
        <w:t xml:space="preserve">.  </w:t>
      </w:r>
      <w:r w:rsidR="00E43B1A">
        <w:t xml:space="preserve">To assess whether a multiple imputation (MI) method would be </w:t>
      </w:r>
      <w:r w:rsidR="009B57E9">
        <w:t xml:space="preserve">valid for estimating the likelihood of successful completions </w:t>
      </w:r>
      <w:r w:rsidR="00C752E4">
        <w:t>m</w:t>
      </w:r>
      <w:r w:rsidR="00EC743B" w:rsidRPr="00056E69">
        <w:t xml:space="preserve">issing completely at </w:t>
      </w:r>
      <w:r w:rsidR="00EC743B" w:rsidRPr="00056E69">
        <w:lastRenderedPageBreak/>
        <w:t xml:space="preserve">random (MCAR) </w:t>
      </w:r>
      <w:r w:rsidR="00EC743B">
        <w:t xml:space="preserve">and </w:t>
      </w:r>
      <w:r w:rsidR="00EC743B" w:rsidRPr="00B43956">
        <w:t xml:space="preserve">covariate-dependent missingness (CDM) </w:t>
      </w:r>
      <w:r w:rsidR="00EC743B">
        <w:t>tests</w:t>
      </w:r>
      <w:r w:rsidR="00EC743B" w:rsidRPr="00056E69">
        <w:t xml:space="preserve"> </w:t>
      </w:r>
      <w:r w:rsidR="00EC743B" w:rsidRPr="00B43956">
        <w:fldChar w:fldCharType="begin"/>
      </w:r>
      <w:r w:rsidR="00B9334F">
        <w:instrText xml:space="preserve"> ADDIN EN.CITE &lt;EndNote&gt;&lt;Cite&gt;&lt;Author&gt;Li&lt;/Author&gt;&lt;Year&gt;2013&lt;/Year&gt;&lt;RecNum&gt;50&lt;/RecNum&gt;&lt;DisplayText&gt;(Li, 2013)&lt;/DisplayText&gt;&lt;record&gt;&lt;rec-number&gt;50&lt;/rec-number&gt;&lt;foreign-keys&gt;&lt;key app="EN" db-id="ffzvr5fstavwxoe9v04xf0wmp5t50as52da0" timestamp="1731671639" guid="b227d4a3-add2-4f84-9e91-66c5d99b3eef"&gt;50&lt;/key&gt;&lt;/foreign-keys&gt;&lt;ref-type name="Journal Article"&gt;17&lt;/ref-type&gt;&lt;contributors&gt;&lt;authors&gt;&lt;author&gt;Li, Cheng&lt;/author&gt;&lt;/authors&gt;&lt;/contributors&gt;&lt;titles&gt;&lt;title&gt;Little&amp;apos;s Test of Missing Completely at Random&lt;/title&gt;&lt;secondary-title&gt;The Stata Journal&lt;/secondary-title&gt;&lt;/titles&gt;&lt;periodical&gt;&lt;full-title&gt;The Stata Journal&lt;/full-title&gt;&lt;/periodical&gt;&lt;pages&gt;795-809&lt;/pages&gt;&lt;volume&gt;13&lt;/volume&gt;&lt;number&gt;4&lt;/number&gt;&lt;dates&gt;&lt;year&gt;2013&lt;/year&gt;&lt;pub-dates&gt;&lt;date&gt;2013/12/01&lt;/date&gt;&lt;/pub-dates&gt;&lt;/dates&gt;&lt;publisher&gt;SAGE Publications&lt;/publisher&gt;&lt;isbn&gt;1536-867X&lt;/isbn&gt;&lt;urls&gt;&lt;related-urls&gt;&lt;url&gt;https://doi.org/10.1177/1536867X1301300407&lt;/url&gt;&lt;/related-urls&gt;&lt;/urls&gt;&lt;electronic-resource-num&gt;10.1177/1536867X1301300407&lt;/electronic-resource-num&gt;&lt;access-date&gt;2021/06/07&lt;/access-date&gt;&lt;/record&gt;&lt;/Cite&gt;&lt;/EndNote&gt;</w:instrText>
      </w:r>
      <w:r w:rsidR="00EC743B" w:rsidRPr="00B43956">
        <w:fldChar w:fldCharType="separate"/>
      </w:r>
      <w:r w:rsidR="00A77498">
        <w:rPr>
          <w:noProof/>
        </w:rPr>
        <w:t>(Li, 2013)</w:t>
      </w:r>
      <w:r w:rsidR="00EC743B" w:rsidRPr="00B43956">
        <w:fldChar w:fldCharType="end"/>
      </w:r>
      <w:r w:rsidR="00EC743B" w:rsidRPr="00056E69">
        <w:t xml:space="preserve"> </w:t>
      </w:r>
      <w:r w:rsidR="00C752E4">
        <w:t>were conducted</w:t>
      </w:r>
      <w:r w:rsidR="00EC743B" w:rsidRPr="00056E69">
        <w:t xml:space="preserve">. </w:t>
      </w:r>
      <w:r w:rsidR="00EC743B">
        <w:t xml:space="preserve">Results </w:t>
      </w:r>
      <w:r w:rsidR="00EC743B" w:rsidRPr="00F62F86">
        <w:t>suggest</w:t>
      </w:r>
      <w:r w:rsidR="00E46AB0">
        <w:t>ed</w:t>
      </w:r>
      <w:r w:rsidR="00EC743B" w:rsidRPr="00F62F86">
        <w:t xml:space="preserve"> th</w:t>
      </w:r>
      <w:r w:rsidR="00C752E4">
        <w:t>at the</w:t>
      </w:r>
      <w:r w:rsidR="00EC743B">
        <w:t xml:space="preserve"> data may be</w:t>
      </w:r>
      <w:r w:rsidR="00EC743B" w:rsidRPr="00C20BFE">
        <w:t xml:space="preserve"> missing at random (MAR)</w:t>
      </w:r>
      <w:r w:rsidR="0095242F">
        <w:t>, thus</w:t>
      </w:r>
      <w:r w:rsidR="00EC743B" w:rsidRPr="00C20BFE">
        <w:t xml:space="preserve"> </w:t>
      </w:r>
      <w:r w:rsidR="00EC743B">
        <w:t>MI would</w:t>
      </w:r>
      <w:r w:rsidR="0010197E">
        <w:t xml:space="preserve"> be valid</w:t>
      </w:r>
      <w:r w:rsidR="00EC743B">
        <w:t>, especially as</w:t>
      </w:r>
      <w:r w:rsidR="00EC743B" w:rsidRPr="00C20BFE">
        <w:t xml:space="preserve"> </w:t>
      </w:r>
      <w:r w:rsidR="00EC743B" w:rsidRPr="00056E69">
        <w:t xml:space="preserve">there were enough observations to construct an appropriate model </w:t>
      </w:r>
      <w:r w:rsidR="00EC743B" w:rsidRPr="00056E69">
        <w:fldChar w:fldCharType="begin"/>
      </w:r>
      <w:r w:rsidR="00B9334F">
        <w:instrText xml:space="preserve"> ADDIN EN.CITE &lt;EndNote&gt;&lt;Cite&gt;&lt;Author&gt;Hughes&lt;/Author&gt;&lt;Year&gt;2019&lt;/Year&gt;&lt;RecNum&gt;52&lt;/RecNum&gt;&lt;DisplayText&gt;(Hughes et al., 2019)&lt;/DisplayText&gt;&lt;record&gt;&lt;rec-number&gt;52&lt;/rec-number&gt;&lt;foreign-keys&gt;&lt;key app="EN" db-id="ffzvr5fstavwxoe9v04xf0wmp5t50as52da0" timestamp="1731671639" guid="477e66b8-ef82-4427-8645-fee078fbca0d"&gt;52&lt;/key&gt;&lt;/foreign-keys&gt;&lt;ref-type name="Journal Article"&gt;17&lt;/ref-type&gt;&lt;contributors&gt;&lt;authors&gt;&lt;author&gt;Hughes, Rachael A&lt;/author&gt;&lt;author&gt;Heron, Jon&lt;/author&gt;&lt;author&gt;Sterne, Jonathan A C&lt;/author&gt;&lt;author&gt;Tilling, Kate&lt;/author&gt;&lt;/authors&gt;&lt;/contributors&gt;&lt;titles&gt;&lt;title&gt;Accounting for missing data in statistical analyses: multiple imputation is not always the answer&lt;/title&gt;&lt;secondary-title&gt;International Journal of Epidemiology&lt;/secondary-title&gt;&lt;/titles&gt;&lt;periodical&gt;&lt;full-title&gt;International Journal of Epidemiology&lt;/full-title&gt;&lt;/periodical&gt;&lt;pages&gt;1294-1304&lt;/pages&gt;&lt;volume&gt;48&lt;/volume&gt;&lt;number&gt;4&lt;/number&gt;&lt;dates&gt;&lt;year&gt;2019&lt;/year&gt;&lt;/dates&gt;&lt;isbn&gt;0300-5771&lt;/isbn&gt;&lt;urls&gt;&lt;related-urls&gt;&lt;url&gt;https://doi.org/10.1093/ije/dyz032&lt;/url&gt;&lt;/related-urls&gt;&lt;/urls&gt;&lt;electronic-resource-num&gt;10.1093/ije/dyz032&lt;/electronic-resource-num&gt;&lt;access-date&gt;11/11/2020&lt;/access-date&gt;&lt;/record&gt;&lt;/Cite&gt;&lt;/EndNote&gt;</w:instrText>
      </w:r>
      <w:r w:rsidR="00EC743B" w:rsidRPr="00056E69">
        <w:fldChar w:fldCharType="separate"/>
      </w:r>
      <w:r w:rsidR="00A77498">
        <w:rPr>
          <w:noProof/>
        </w:rPr>
        <w:t>(Hughes et al., 2019)</w:t>
      </w:r>
      <w:r w:rsidR="00EC743B" w:rsidRPr="00056E69">
        <w:fldChar w:fldCharType="end"/>
      </w:r>
      <w:r w:rsidR="00EC743B">
        <w:t>.</w:t>
      </w:r>
      <w:r w:rsidR="00EC743B" w:rsidRPr="00056E69">
        <w:t xml:space="preserve"> </w:t>
      </w:r>
      <w:r w:rsidR="00A13B6F">
        <w:t>To inform how many imputations would be optimal, r</w:t>
      </w:r>
      <w:r w:rsidR="00EC743B">
        <w:t xml:space="preserve">elative efficiency </w:t>
      </w:r>
      <w:r w:rsidR="00EC743B">
        <w:fldChar w:fldCharType="begin"/>
      </w:r>
      <w:r w:rsidR="00B9334F">
        <w:instrText xml:space="preserve"> ADDIN EN.CITE &lt;EndNote&gt;&lt;Cite&gt;&lt;Author&gt;Rubin&lt;/Author&gt;&lt;Year&gt;1987&lt;/Year&gt;&lt;RecNum&gt;53&lt;/RecNum&gt;&lt;DisplayText&gt;(Rubin, 1987)&lt;/DisplayText&gt;&lt;record&gt;&lt;rec-number&gt;53&lt;/rec-number&gt;&lt;foreign-keys&gt;&lt;key app="EN" db-id="ffzvr5fstavwxoe9v04xf0wmp5t50as52da0" timestamp="1731671639" guid="398ec780-d6d8-4706-9688-736e2d7b953a"&gt;53&lt;/key&gt;&lt;/foreign-keys&gt;&lt;ref-type name="Book"&gt;6&lt;/ref-type&gt;&lt;contributors&gt;&lt;authors&gt;&lt;author&gt;Rubin, D.B&lt;/author&gt;&lt;/authors&gt;&lt;/contributors&gt;&lt;titles&gt;&lt;title&gt;Multiple Imputation for Nonresponse in Surveys.&lt;/title&gt;&lt;secondary-title&gt;Wiley Series in Probability and Statistics&lt;/secondary-title&gt;&lt;/titles&gt;&lt;dates&gt;&lt;year&gt;1987&lt;/year&gt;&lt;/dates&gt;&lt;pub-location&gt;New York&lt;/pub-location&gt;&lt;publisher&gt;John Wiley &amp;amp; Sons, Inc.&lt;/publisher&gt;&lt;urls&gt;&lt;related-urls&gt;&lt;url&gt;https://onlinelibrary.wiley.com/doi/book/10.1002/9780470316696#&lt;/url&gt;&lt;/related-urls&gt;&lt;/urls&gt;&lt;electronic-resource-num&gt;DOI:10.1002/9780470316696&lt;/electronic-resource-num&gt;&lt;access-date&gt;21 Oct 2020&lt;/access-date&gt;&lt;/record&gt;&lt;/Cite&gt;&lt;/EndNote&gt;</w:instrText>
      </w:r>
      <w:r w:rsidR="00EC743B">
        <w:fldChar w:fldCharType="separate"/>
      </w:r>
      <w:r w:rsidR="00A77498">
        <w:rPr>
          <w:noProof/>
        </w:rPr>
        <w:t>(Rubin, 1987)</w:t>
      </w:r>
      <w:r w:rsidR="00EC743B">
        <w:fldChar w:fldCharType="end"/>
      </w:r>
      <w:r w:rsidR="00EC743B">
        <w:t xml:space="preserve"> and </w:t>
      </w:r>
      <w:r w:rsidR="00EC743B">
        <w:rPr>
          <w:rStyle w:val="normaltextrun"/>
          <w:color w:val="000000"/>
          <w:shd w:val="clear" w:color="auto" w:fill="FFFFFF"/>
        </w:rPr>
        <w:t xml:space="preserve">reduction in statistical power </w:t>
      </w:r>
      <w:r w:rsidR="00EC743B">
        <w:rPr>
          <w:rStyle w:val="normaltextrun"/>
          <w:color w:val="000000"/>
          <w:shd w:val="clear" w:color="auto" w:fill="FFFFFF"/>
        </w:rPr>
        <w:fldChar w:fldCharType="begin"/>
      </w:r>
      <w:r w:rsidR="00B9334F">
        <w:rPr>
          <w:rStyle w:val="normaltextrun"/>
          <w:color w:val="000000"/>
          <w:shd w:val="clear" w:color="auto" w:fill="FFFFFF"/>
        </w:rPr>
        <w:instrText xml:space="preserve"> ADDIN EN.CITE &lt;EndNote&gt;&lt;Cite&gt;&lt;Author&gt;Graham&lt;/Author&gt;&lt;Year&gt;2007&lt;/Year&gt;&lt;RecNum&gt;287&lt;/RecNum&gt;&lt;DisplayText&gt;(Graham et al., 2007)&lt;/DisplayText&gt;&lt;record&gt;&lt;rec-number&gt;287&lt;/rec-number&gt;&lt;foreign-keys&gt;&lt;key app="EN" db-id="ffzvr5fstavwxoe9v04xf0wmp5t50as52da0" timestamp="1731671655" guid="0cdf9e92-46d0-4888-ac30-35571a4c55b5"&gt;287&lt;/key&gt;&lt;/foreign-keys&gt;&lt;ref-type name="Journal Article"&gt;17&lt;/ref-type&gt;&lt;contributors&gt;&lt;authors&gt;&lt;author&gt;Graham, J. W.&lt;/author&gt;&lt;author&gt;Olchowski, A. E.&lt;/author&gt;&lt;author&gt;Gilreath, T. D.&lt;/author&gt;&lt;/authors&gt;&lt;/contributors&gt;&lt;auth-address&gt;Department of Biobehavioral Health, Penn State University, E-315 Health &amp;amp; Human Development Bldg., University Park, PA 16802, USA. jgraham@psu.edu&lt;/auth-address&gt;&lt;titles&gt;&lt;title&gt;How many imputations are really needed? Some practical clarifications of multiple imputation theory&lt;/title&gt;&lt;secondary-title&gt;Prev Sci&lt;/secondary-title&gt;&lt;alt-title&gt;Prevention science&lt;/alt-title&gt;&lt;/titles&gt;&lt;periodical&gt;&lt;full-title&gt;Prev Sci&lt;/full-title&gt;&lt;abbr-1&gt;Prevention science&lt;/abbr-1&gt;&lt;/periodical&gt;&lt;alt-periodical&gt;&lt;full-title&gt;Prev Sci&lt;/full-title&gt;&lt;abbr-1&gt;Prevention science&lt;/abbr-1&gt;&lt;/alt-periodical&gt;&lt;pages&gt;206-13&lt;/pages&gt;&lt;volume&gt;8&lt;/volume&gt;&lt;number&gt;3&lt;/number&gt;&lt;edition&gt;2007/06/06&lt;/edition&gt;&lt;keywords&gt;&lt;keyword&gt;*Data Interpretation, Statistical&lt;/keyword&gt;&lt;keyword&gt;Humans&lt;/keyword&gt;&lt;keyword&gt;*Likelihood Functions&lt;/keyword&gt;&lt;keyword&gt;Models, Statistical&lt;/keyword&gt;&lt;keyword&gt;Monte Carlo Method&lt;/keyword&gt;&lt;keyword&gt;Preventive Medicine/*statistics &amp;amp; numerical data&lt;/keyword&gt;&lt;keyword&gt;Sample Size&lt;/keyword&gt;&lt;/keywords&gt;&lt;dates&gt;&lt;year&gt;2007&lt;/year&gt;&lt;pub-dates&gt;&lt;date&gt;Sep&lt;/date&gt;&lt;/pub-dates&gt;&lt;/dates&gt;&lt;isbn&gt;1389-4986&lt;/isbn&gt;&lt;accession-num&gt;17549635&lt;/accession-num&gt;&lt;urls&gt;&lt;/urls&gt;&lt;electronic-resource-num&gt;10.1007/s11121-007-0070-9&lt;/electronic-resource-num&gt;&lt;remote-database-provider&gt;NLM&lt;/remote-database-provider&gt;&lt;language&gt;eng&lt;/language&gt;&lt;/record&gt;&lt;/Cite&gt;&lt;/EndNote&gt;</w:instrText>
      </w:r>
      <w:r w:rsidR="00EC743B">
        <w:rPr>
          <w:rStyle w:val="normaltextrun"/>
          <w:color w:val="000000"/>
          <w:shd w:val="clear" w:color="auto" w:fill="FFFFFF"/>
        </w:rPr>
        <w:fldChar w:fldCharType="separate"/>
      </w:r>
      <w:r w:rsidR="00A77498">
        <w:rPr>
          <w:rStyle w:val="normaltextrun"/>
          <w:noProof/>
          <w:color w:val="000000"/>
          <w:shd w:val="clear" w:color="auto" w:fill="FFFFFF"/>
        </w:rPr>
        <w:t>(Graham et al., 2007)</w:t>
      </w:r>
      <w:r w:rsidR="00EC743B">
        <w:rPr>
          <w:rStyle w:val="normaltextrun"/>
          <w:color w:val="000000"/>
          <w:shd w:val="clear" w:color="auto" w:fill="FFFFFF"/>
        </w:rPr>
        <w:fldChar w:fldCharType="end"/>
      </w:r>
      <w:r w:rsidR="00EC743B">
        <w:rPr>
          <w:rStyle w:val="normaltextrun"/>
          <w:color w:val="000000"/>
          <w:shd w:val="clear" w:color="auto" w:fill="FFFFFF"/>
        </w:rPr>
        <w:t xml:space="preserve"> </w:t>
      </w:r>
      <w:r w:rsidR="001B5B42">
        <w:rPr>
          <w:rStyle w:val="normaltextrun"/>
          <w:color w:val="000000"/>
          <w:shd w:val="clear" w:color="auto" w:fill="FFFFFF"/>
        </w:rPr>
        <w:t xml:space="preserve">were </w:t>
      </w:r>
      <w:r w:rsidR="00EC743B">
        <w:rPr>
          <w:rStyle w:val="normaltextrun"/>
          <w:color w:val="000000"/>
          <w:shd w:val="clear" w:color="auto" w:fill="FFFFFF"/>
        </w:rPr>
        <w:t>calculat</w:t>
      </w:r>
      <w:r w:rsidR="001B5B42">
        <w:rPr>
          <w:rStyle w:val="normaltextrun"/>
          <w:color w:val="000000"/>
          <w:shd w:val="clear" w:color="auto" w:fill="FFFFFF"/>
        </w:rPr>
        <w:t>ed</w:t>
      </w:r>
      <w:r w:rsidR="00EC743B">
        <w:rPr>
          <w:rStyle w:val="normaltextrun"/>
          <w:color w:val="000000"/>
          <w:shd w:val="clear" w:color="auto" w:fill="FFFFFF"/>
        </w:rPr>
        <w:t xml:space="preserve">, enhanced </w:t>
      </w:r>
      <w:r w:rsidR="00EC743B">
        <w:t>by a</w:t>
      </w:r>
      <w:r w:rsidR="00EC743B" w:rsidRPr="00056E69">
        <w:t xml:space="preserve"> two-step </w:t>
      </w:r>
      <w:r w:rsidR="00EC743B" w:rsidRPr="00915A8E">
        <w:t xml:space="preserve">approach to </w:t>
      </w:r>
      <w:r w:rsidR="00EC743B" w:rsidRPr="57F02B7E">
        <w:rPr>
          <w:rFonts w:eastAsia="Times New Roman"/>
          <w:color w:val="000000"/>
          <w:shd w:val="clear" w:color="auto" w:fill="FFFFFF"/>
          <w:lang w:eastAsia="en-GB"/>
        </w:rPr>
        <w:t>calculate the point at which the number of imputations resulted in replicable standard error estimates</w:t>
      </w:r>
      <w:r w:rsidR="00EC743B" w:rsidRPr="00915A8E">
        <w:t xml:space="preserve"> </w:t>
      </w:r>
      <w:r w:rsidR="00EC743B" w:rsidRPr="00915A8E">
        <w:fldChar w:fldCharType="begin"/>
      </w:r>
      <w:r w:rsidR="00B9334F">
        <w:instrText xml:space="preserve"> ADDIN EN.CITE &lt;EndNote&gt;&lt;Cite&gt;&lt;Author&gt;von Hippel&lt;/Author&gt;&lt;Year&gt;2018&lt;/Year&gt;&lt;RecNum&gt;54&lt;/RecNum&gt;&lt;DisplayText&gt;(von Hippel, 2018)&lt;/DisplayText&gt;&lt;record&gt;&lt;rec-number&gt;54&lt;/rec-number&gt;&lt;foreign-keys&gt;&lt;key app="EN" db-id="ffzvr5fstavwxoe9v04xf0wmp5t50as52da0" timestamp="1731671639" guid="816cddf5-64eb-4ee3-89b9-58f2ed410b09"&gt;54&lt;/key&gt;&lt;/foreign-keys&gt;&lt;ref-type name="Journal Article"&gt;17&lt;/ref-type&gt;&lt;contributors&gt;&lt;authors&gt;&lt;author&gt;von Hippel, Paul T.&lt;/author&gt;&lt;/authors&gt;&lt;/contributors&gt;&lt;titles&gt;&lt;title&gt;How Many Imputations Do You Need? A Two-stage Calculation Using a Quadratic Rule&lt;/title&gt;&lt;secondary-title&gt;Sociological Methods &amp;amp; Research&lt;/secondary-title&gt;&lt;/titles&gt;&lt;periodical&gt;&lt;full-title&gt;Sociological Methods &amp;amp; Research&lt;/full-title&gt;&lt;/periodical&gt;&lt;pages&gt;699-718&lt;/pages&gt;&lt;volume&gt;49&lt;/volume&gt;&lt;number&gt;3&lt;/number&gt;&lt;dates&gt;&lt;year&gt;2018&lt;/year&gt;&lt;pub-dates&gt;&lt;date&gt;2020/08/01&lt;/date&gt;&lt;/pub-dates&gt;&lt;/dates&gt;&lt;publisher&gt;SAGE Publications Inc&lt;/publisher&gt;&lt;isbn&gt;0049-1241&lt;/isbn&gt;&lt;urls&gt;&lt;related-urls&gt;&lt;url&gt;https://doi.org/10.1177/0049124117747303&lt;/url&gt;&lt;/related-urls&gt;&lt;/urls&gt;&lt;electronic-resource-num&gt;10.1177/0049124117747303&lt;/electronic-resource-num&gt;&lt;access-date&gt;2020/11/11&lt;/access-date&gt;&lt;/record&gt;&lt;/Cite&gt;&lt;/EndNote&gt;</w:instrText>
      </w:r>
      <w:r w:rsidR="00EC743B" w:rsidRPr="00915A8E">
        <w:fldChar w:fldCharType="separate"/>
      </w:r>
      <w:r w:rsidR="00A77498">
        <w:rPr>
          <w:noProof/>
        </w:rPr>
        <w:t>(von Hippel, 2018)</w:t>
      </w:r>
      <w:r w:rsidR="00EC743B" w:rsidRPr="00915A8E">
        <w:fldChar w:fldCharType="end"/>
      </w:r>
      <w:r w:rsidR="00EC743B" w:rsidRPr="00915A8E">
        <w:t xml:space="preserve">. </w:t>
      </w:r>
      <w:r w:rsidR="006936EB">
        <w:t>Twenty</w:t>
      </w:r>
      <w:r w:rsidR="00EC743B" w:rsidRPr="00915A8E">
        <w:t xml:space="preserve"> imputations were run</w:t>
      </w:r>
      <w:r w:rsidR="00EC743B" w:rsidRPr="00F62F86">
        <w:rPr>
          <w:rStyle w:val="normaltextrun"/>
          <w:color w:val="000000"/>
        </w:rPr>
        <w:t xml:space="preserve">. </w:t>
      </w:r>
      <w:r w:rsidR="00EC743B">
        <w:rPr>
          <w:rStyle w:val="normaltextrun"/>
          <w:color w:val="000000"/>
        </w:rPr>
        <w:t>Imputed m</w:t>
      </w:r>
      <w:r w:rsidR="00EC743B" w:rsidRPr="00F62F86">
        <w:rPr>
          <w:rStyle w:val="normaltextrun"/>
          <w:color w:val="000000"/>
        </w:rPr>
        <w:t>odels were</w:t>
      </w:r>
      <w:r w:rsidR="00EC743B">
        <w:rPr>
          <w:rStyle w:val="normaltextrun"/>
          <w:color w:val="000000"/>
        </w:rPr>
        <w:t xml:space="preserve"> </w:t>
      </w:r>
      <w:r w:rsidR="00EC743B" w:rsidRPr="00056E69">
        <w:t xml:space="preserve">analysed separately, and results combined </w:t>
      </w:r>
      <w:r w:rsidR="00EC743B">
        <w:t>using Rubin’s rules</w:t>
      </w:r>
      <w:r w:rsidR="00EC743B" w:rsidRPr="00B43956">
        <w:t xml:space="preserve">. </w:t>
      </w:r>
      <w:r w:rsidR="00260458">
        <w:t>Further detail can be found in the next chapter.</w:t>
      </w:r>
    </w:p>
    <w:p w14:paraId="16E54DFE" w14:textId="77777777" w:rsidR="00EF2F05" w:rsidRPr="0035467B" w:rsidRDefault="00EF2F05" w:rsidP="00D657D5">
      <w:pPr>
        <w:pStyle w:val="NoSpacing"/>
        <w:spacing w:line="360" w:lineRule="auto"/>
      </w:pPr>
    </w:p>
    <w:p w14:paraId="6003E327" w14:textId="5EB4D451" w:rsidR="00D657D5" w:rsidRDefault="000F1EA9" w:rsidP="006F7929">
      <w:pPr>
        <w:pStyle w:val="Heading2"/>
        <w:numPr>
          <w:ilvl w:val="1"/>
          <w:numId w:val="19"/>
        </w:numPr>
        <w:spacing w:line="360" w:lineRule="auto"/>
      </w:pPr>
      <w:bookmarkStart w:id="54" w:name="_Toc189229674"/>
      <w:r>
        <w:t>Chapter conclusion</w:t>
      </w:r>
      <w:bookmarkEnd w:id="54"/>
    </w:p>
    <w:p w14:paraId="7E3A39CF" w14:textId="6DC1D4CB" w:rsidR="00367870" w:rsidRDefault="001114BE" w:rsidP="00431219">
      <w:pPr>
        <w:pStyle w:val="NoSpacing"/>
        <w:spacing w:line="360" w:lineRule="auto"/>
      </w:pPr>
      <w:r>
        <w:t>This c</w:t>
      </w:r>
      <w:r w:rsidR="000F1EA9">
        <w:t xml:space="preserve">hapter </w:t>
      </w:r>
      <w:r>
        <w:t xml:space="preserve">provided </w:t>
      </w:r>
      <w:r w:rsidR="00A730D0">
        <w:t xml:space="preserve">background and context to </w:t>
      </w:r>
      <w:r w:rsidR="00FF4859">
        <w:t>the design and methodological decisions made for this thesis, alongside overarching methods common to all three studies</w:t>
      </w:r>
      <w:r w:rsidR="0015649B">
        <w:t xml:space="preserve">. The next three chapters </w:t>
      </w:r>
      <w:r w:rsidR="000F1EA9">
        <w:t>comprise three manuscripts prepared for journal publication</w:t>
      </w:r>
      <w:r w:rsidR="003D6CE4">
        <w:t>, including methodological approaches specific to each individual study</w:t>
      </w:r>
      <w:r w:rsidR="000F1EA9">
        <w:t>.</w:t>
      </w:r>
    </w:p>
    <w:p w14:paraId="53273F85" w14:textId="77777777" w:rsidR="00D11082" w:rsidRDefault="00D11082" w:rsidP="00D11082">
      <w:pPr>
        <w:pStyle w:val="Heading1"/>
        <w:numPr>
          <w:ilvl w:val="0"/>
          <w:numId w:val="0"/>
        </w:numPr>
      </w:pPr>
      <w:bookmarkStart w:id="55" w:name="_Ref173680387"/>
      <w:r>
        <w:br w:type="page"/>
      </w:r>
    </w:p>
    <w:p w14:paraId="7777ECA6" w14:textId="1F712864" w:rsidR="005D0020" w:rsidRDefault="00132550" w:rsidP="00CA2F1C">
      <w:pPr>
        <w:pStyle w:val="Heading1"/>
        <w:numPr>
          <w:ilvl w:val="0"/>
          <w:numId w:val="31"/>
        </w:numPr>
      </w:pPr>
      <w:bookmarkStart w:id="56" w:name="_Toc189229675"/>
      <w:r>
        <w:lastRenderedPageBreak/>
        <w:t xml:space="preserve">Study 1: </w:t>
      </w:r>
      <w:r w:rsidR="00D15731" w:rsidRPr="00056E69">
        <w:t xml:space="preserve">Exploring </w:t>
      </w:r>
      <w:r w:rsidR="00D15731">
        <w:t>c</w:t>
      </w:r>
      <w:r w:rsidR="00D15731" w:rsidRPr="000048FE">
        <w:t>haracteristics</w:t>
      </w:r>
      <w:r w:rsidR="00D15731">
        <w:t xml:space="preserve"> and</w:t>
      </w:r>
      <w:r w:rsidR="00D15731" w:rsidRPr="000048FE">
        <w:t xml:space="preserve"> interventions </w:t>
      </w:r>
      <w:r w:rsidR="00D15731">
        <w:t>of parents</w:t>
      </w:r>
      <w:r w:rsidR="00D15731" w:rsidRPr="00056E69">
        <w:t xml:space="preserve"> </w:t>
      </w:r>
      <w:r w:rsidR="00D15731">
        <w:t>receiving</w:t>
      </w:r>
      <w:r w:rsidR="00D15731" w:rsidRPr="00056E69">
        <w:t xml:space="preserve"> specialist treatment and child welfare support services in England</w:t>
      </w:r>
      <w:bookmarkEnd w:id="55"/>
      <w:bookmarkEnd w:id="56"/>
    </w:p>
    <w:p w14:paraId="4BFAC42F" w14:textId="77777777" w:rsidR="005D0020" w:rsidRDefault="005D0020" w:rsidP="005D0020">
      <w:pPr>
        <w:pStyle w:val="NoSpacing"/>
      </w:pPr>
    </w:p>
    <w:p w14:paraId="0EF408AC" w14:textId="77777777" w:rsidR="000376F6" w:rsidRPr="00056E69" w:rsidRDefault="000376F6" w:rsidP="000376F6">
      <w:pPr>
        <w:pStyle w:val="NoSpacing"/>
        <w:spacing w:line="360" w:lineRule="auto"/>
        <w:rPr>
          <w:vertAlign w:val="superscript"/>
        </w:rPr>
      </w:pPr>
      <w:r w:rsidRPr="00056E69">
        <w:t xml:space="preserve">Virginia Musto Wright </w:t>
      </w:r>
      <w:r>
        <w:rPr>
          <w:vertAlign w:val="superscript"/>
        </w:rPr>
        <w:t>a</w:t>
      </w:r>
      <w:r w:rsidRPr="00056E69">
        <w:rPr>
          <w:vertAlign w:val="superscript"/>
        </w:rPr>
        <w:t>,</w:t>
      </w:r>
      <w:r>
        <w:rPr>
          <w:vertAlign w:val="superscript"/>
        </w:rPr>
        <w:t>c</w:t>
      </w:r>
      <w:r w:rsidRPr="00056E69">
        <w:t xml:space="preserve">, Brian Eastwood </w:t>
      </w:r>
      <w:r>
        <w:rPr>
          <w:vertAlign w:val="superscript"/>
        </w:rPr>
        <w:t>a</w:t>
      </w:r>
      <w:r w:rsidRPr="00056E69">
        <w:t xml:space="preserve">, Petra Meier </w:t>
      </w:r>
      <w:r>
        <w:rPr>
          <w:vertAlign w:val="superscript"/>
        </w:rPr>
        <w:t>b</w:t>
      </w:r>
      <w:r w:rsidRPr="00056E69">
        <w:t xml:space="preserve"> and Alan Brennan </w:t>
      </w:r>
      <w:r>
        <w:rPr>
          <w:vertAlign w:val="superscript"/>
        </w:rPr>
        <w:t>c</w:t>
      </w:r>
    </w:p>
    <w:p w14:paraId="42FD6BC7" w14:textId="77777777" w:rsidR="000376F6" w:rsidRPr="00056E69" w:rsidRDefault="000376F6" w:rsidP="000376F6">
      <w:pPr>
        <w:pStyle w:val="NoSpacing"/>
        <w:spacing w:line="360" w:lineRule="auto"/>
      </w:pPr>
    </w:p>
    <w:p w14:paraId="52AB44B3" w14:textId="57BB3F12" w:rsidR="000376F6" w:rsidRPr="007752DD" w:rsidRDefault="000376F6" w:rsidP="000376F6">
      <w:pPr>
        <w:pStyle w:val="NoSpacing"/>
        <w:spacing w:line="360" w:lineRule="auto"/>
        <w:rPr>
          <w:i/>
          <w:iCs/>
          <w:sz w:val="20"/>
          <w:szCs w:val="20"/>
        </w:rPr>
      </w:pPr>
      <w:r w:rsidRPr="1CB577EE">
        <w:rPr>
          <w:i/>
          <w:iCs/>
          <w:sz w:val="20"/>
          <w:szCs w:val="20"/>
          <w:vertAlign w:val="superscript"/>
        </w:rPr>
        <w:t xml:space="preserve">a </w:t>
      </w:r>
      <w:r w:rsidRPr="1CB577EE">
        <w:rPr>
          <w:i/>
          <w:iCs/>
          <w:sz w:val="20"/>
          <w:szCs w:val="20"/>
        </w:rPr>
        <w:t>Office for Health Improvement and Disparities, Department o</w:t>
      </w:r>
      <w:r>
        <w:rPr>
          <w:i/>
          <w:iCs/>
          <w:sz w:val="20"/>
          <w:szCs w:val="20"/>
        </w:rPr>
        <w:t xml:space="preserve">f </w:t>
      </w:r>
      <w:r w:rsidRPr="1CB577EE">
        <w:rPr>
          <w:i/>
          <w:iCs/>
          <w:sz w:val="20"/>
          <w:szCs w:val="20"/>
        </w:rPr>
        <w:t xml:space="preserve">Health and Social Care, 39 Victoria Street, London, </w:t>
      </w:r>
      <w:r w:rsidRPr="1CB577EE">
        <w:rPr>
          <w:rFonts w:eastAsia="Times New Roman"/>
          <w:i/>
          <w:iCs/>
          <w:noProof/>
          <w:sz w:val="20"/>
          <w:szCs w:val="20"/>
          <w:lang w:val="en-US"/>
        </w:rPr>
        <w:t>SW1H 0EU, England</w:t>
      </w:r>
      <w:r w:rsidRPr="1CB577EE">
        <w:rPr>
          <w:i/>
          <w:iCs/>
          <w:sz w:val="20"/>
          <w:szCs w:val="20"/>
        </w:rPr>
        <w:t xml:space="preserve"> </w:t>
      </w:r>
    </w:p>
    <w:p w14:paraId="71A977DF" w14:textId="77D7DE1B" w:rsidR="000376F6" w:rsidRPr="00B22E3F" w:rsidRDefault="000376F6" w:rsidP="000376F6">
      <w:pPr>
        <w:pStyle w:val="NoSpacing"/>
        <w:spacing w:line="360" w:lineRule="auto"/>
        <w:rPr>
          <w:i/>
          <w:iCs/>
          <w:color w:val="000000"/>
          <w:sz w:val="20"/>
          <w:szCs w:val="20"/>
        </w:rPr>
      </w:pPr>
      <w:r w:rsidRPr="007752DD">
        <w:rPr>
          <w:i/>
          <w:iCs/>
          <w:sz w:val="20"/>
          <w:szCs w:val="20"/>
          <w:vertAlign w:val="superscript"/>
        </w:rPr>
        <w:t xml:space="preserve">b </w:t>
      </w:r>
      <w:r w:rsidRPr="00F22082">
        <w:rPr>
          <w:i/>
          <w:color w:val="000000"/>
          <w:sz w:val="20"/>
        </w:rPr>
        <w:t xml:space="preserve">MRC/CSO Social and Public Health Sciences Unit, </w:t>
      </w:r>
      <w:r>
        <w:rPr>
          <w:i/>
          <w:color w:val="000000"/>
          <w:sz w:val="20"/>
        </w:rPr>
        <w:t xml:space="preserve">Clarice Pears Building, 90 Byres Road, </w:t>
      </w:r>
      <w:r w:rsidRPr="00F22082">
        <w:rPr>
          <w:i/>
          <w:color w:val="000000"/>
          <w:sz w:val="20"/>
        </w:rPr>
        <w:t>University of Glasgow</w:t>
      </w:r>
      <w:r w:rsidRPr="000844A1">
        <w:rPr>
          <w:i/>
          <w:color w:val="000000" w:themeColor="text1"/>
          <w:sz w:val="20"/>
        </w:rPr>
        <w:t>,</w:t>
      </w:r>
      <w:r w:rsidRPr="00F22082">
        <w:rPr>
          <w:i/>
          <w:color w:val="000000"/>
          <w:sz w:val="20"/>
        </w:rPr>
        <w:t xml:space="preserve"> G</w:t>
      </w:r>
      <w:r>
        <w:rPr>
          <w:i/>
          <w:color w:val="000000"/>
          <w:sz w:val="20"/>
        </w:rPr>
        <w:t>12</w:t>
      </w:r>
      <w:r w:rsidRPr="00F22082">
        <w:rPr>
          <w:i/>
          <w:color w:val="000000"/>
          <w:sz w:val="20"/>
        </w:rPr>
        <w:t xml:space="preserve"> </w:t>
      </w:r>
      <w:r>
        <w:rPr>
          <w:i/>
          <w:color w:val="000000"/>
          <w:sz w:val="20"/>
        </w:rPr>
        <w:t>8TB</w:t>
      </w:r>
      <w:r w:rsidRPr="000844A1">
        <w:rPr>
          <w:i/>
          <w:color w:val="000000" w:themeColor="text1"/>
          <w:sz w:val="20"/>
        </w:rPr>
        <w:t>, Scotland</w:t>
      </w:r>
    </w:p>
    <w:p w14:paraId="0D688A7E" w14:textId="77777777" w:rsidR="000376F6" w:rsidRPr="007752DD" w:rsidRDefault="000376F6" w:rsidP="000376F6">
      <w:pPr>
        <w:pStyle w:val="NoSpacing"/>
        <w:spacing w:line="360" w:lineRule="auto"/>
        <w:rPr>
          <w:i/>
          <w:iCs/>
          <w:sz w:val="20"/>
          <w:szCs w:val="20"/>
        </w:rPr>
      </w:pPr>
      <w:r w:rsidRPr="007752DD">
        <w:rPr>
          <w:i/>
          <w:iCs/>
          <w:sz w:val="20"/>
          <w:szCs w:val="20"/>
          <w:vertAlign w:val="superscript"/>
        </w:rPr>
        <w:t xml:space="preserve">c </w:t>
      </w:r>
      <w:r w:rsidRPr="007752DD">
        <w:rPr>
          <w:i/>
          <w:iCs/>
          <w:sz w:val="20"/>
          <w:szCs w:val="20"/>
        </w:rPr>
        <w:t>School of Health and Related Research, University of Sheffield</w:t>
      </w:r>
      <w:r>
        <w:rPr>
          <w:i/>
          <w:iCs/>
          <w:sz w:val="20"/>
          <w:szCs w:val="20"/>
        </w:rPr>
        <w:t xml:space="preserve">, </w:t>
      </w:r>
      <w:r w:rsidRPr="00922DF2">
        <w:rPr>
          <w:i/>
          <w:iCs/>
          <w:sz w:val="20"/>
          <w:szCs w:val="20"/>
        </w:rPr>
        <w:t>30 Regent St, Sheffield City Centre, Sheffield S1 4DA</w:t>
      </w:r>
      <w:r>
        <w:rPr>
          <w:i/>
          <w:iCs/>
          <w:sz w:val="20"/>
          <w:szCs w:val="20"/>
        </w:rPr>
        <w:t>, England</w:t>
      </w:r>
      <w:r w:rsidRPr="007752DD">
        <w:rPr>
          <w:i/>
          <w:iCs/>
          <w:sz w:val="20"/>
          <w:szCs w:val="20"/>
        </w:rPr>
        <w:t xml:space="preserve"> </w:t>
      </w:r>
    </w:p>
    <w:p w14:paraId="5B52B4EF" w14:textId="77777777" w:rsidR="000376F6" w:rsidRDefault="000376F6" w:rsidP="005D0020">
      <w:pPr>
        <w:pStyle w:val="NoSpacing"/>
      </w:pPr>
    </w:p>
    <w:p w14:paraId="1904D234" w14:textId="7A0F61B4" w:rsidR="00332E40" w:rsidRPr="00332E40" w:rsidRDefault="003467CE" w:rsidP="005D0020">
      <w:pPr>
        <w:pStyle w:val="NoSpacing"/>
        <w:rPr>
          <w:i/>
          <w:iCs/>
        </w:rPr>
      </w:pPr>
      <w:r w:rsidRPr="00332E40">
        <w:rPr>
          <w:i/>
          <w:iCs/>
        </w:rPr>
        <w:t xml:space="preserve">Target </w:t>
      </w:r>
      <w:r>
        <w:rPr>
          <w:i/>
          <w:iCs/>
        </w:rPr>
        <w:t>j</w:t>
      </w:r>
      <w:r w:rsidRPr="00332E40">
        <w:rPr>
          <w:i/>
          <w:iCs/>
        </w:rPr>
        <w:t>ournal: Drug And Alcohol Review</w:t>
      </w:r>
      <w:r>
        <w:rPr>
          <w:i/>
          <w:iCs/>
        </w:rPr>
        <w:t xml:space="preserve"> (resubmitted) </w:t>
      </w:r>
    </w:p>
    <w:p w14:paraId="16F2CB76" w14:textId="77777777" w:rsidR="00332E40" w:rsidRPr="005D0020" w:rsidRDefault="00332E40" w:rsidP="005D0020">
      <w:pPr>
        <w:pStyle w:val="NoSpacing"/>
      </w:pPr>
    </w:p>
    <w:p w14:paraId="655FA64E" w14:textId="3FE79DAF" w:rsidR="00AA5608" w:rsidRDefault="007002BE" w:rsidP="009C3BBC">
      <w:pPr>
        <w:pStyle w:val="Heading2"/>
        <w:numPr>
          <w:ilvl w:val="1"/>
          <w:numId w:val="19"/>
        </w:numPr>
        <w:spacing w:line="360" w:lineRule="auto"/>
      </w:pPr>
      <w:bookmarkStart w:id="57" w:name="_Toc189229676"/>
      <w:r>
        <w:t>Abstract</w:t>
      </w:r>
      <w:bookmarkEnd w:id="57"/>
    </w:p>
    <w:p w14:paraId="5BB43C94" w14:textId="301DA17F" w:rsidR="008C2E4A" w:rsidRDefault="00AA5608" w:rsidP="008C2E4A">
      <w:pPr>
        <w:pStyle w:val="NoSpacing"/>
        <w:tabs>
          <w:tab w:val="left" w:pos="3402"/>
        </w:tabs>
        <w:spacing w:line="360" w:lineRule="auto"/>
      </w:pPr>
      <w:r>
        <w:rPr>
          <w:b/>
          <w:bCs/>
        </w:rPr>
        <w:t xml:space="preserve">Introduction </w:t>
      </w:r>
      <w:r>
        <w:t xml:space="preserve">There is limited research on which characteristics affect interventions received or outcomes for parents with a substance use disorder.  </w:t>
      </w:r>
      <w:r>
        <w:rPr>
          <w:b/>
          <w:bCs/>
        </w:rPr>
        <w:t xml:space="preserve">Methods </w:t>
      </w:r>
      <w:r w:rsidRPr="4B4D88D8">
        <w:t>Descriptive</w:t>
      </w:r>
      <w:r>
        <w:t xml:space="preserve"> study </w:t>
      </w:r>
      <w:r w:rsidRPr="4B4D88D8">
        <w:t>of</w:t>
      </w:r>
      <w:r>
        <w:t xml:space="preserve"> </w:t>
      </w:r>
      <w:r w:rsidRPr="00056E69">
        <w:t>parents in the English treatment system</w:t>
      </w:r>
      <w:r w:rsidRPr="007A16F8">
        <w:t xml:space="preserve"> </w:t>
      </w:r>
      <w:r>
        <w:t>using observational cohort data (</w:t>
      </w:r>
      <w:r w:rsidRPr="002B3A24">
        <w:t xml:space="preserve">April 2017 </w:t>
      </w:r>
      <w:r>
        <w:t xml:space="preserve">to </w:t>
      </w:r>
      <w:r w:rsidRPr="002B3A24">
        <w:t>January 2020</w:t>
      </w:r>
      <w:r w:rsidRPr="7D3F90FC">
        <w:t>, n=</w:t>
      </w:r>
      <w:r>
        <w:t>57,529</w:t>
      </w:r>
      <w:r w:rsidRPr="7D3F90FC">
        <w:t>)</w:t>
      </w:r>
      <w:r>
        <w:t>.</w:t>
      </w:r>
      <w:r w:rsidRPr="4B4D88D8">
        <w:t xml:space="preserve"> </w:t>
      </w:r>
      <w:r>
        <w:t xml:space="preserve">Associations between interventions </w:t>
      </w:r>
      <w:r w:rsidR="00545D7B">
        <w:t>plus</w:t>
      </w:r>
      <w:r>
        <w:t xml:space="preserve"> treatment and treatment </w:t>
      </w:r>
      <w:r w:rsidRPr="00356D60">
        <w:t>completion</w:t>
      </w:r>
      <w:r w:rsidRPr="7D3F90FC">
        <w:t xml:space="preserve"> </w:t>
      </w:r>
      <w:r>
        <w:t xml:space="preserve">were </w:t>
      </w:r>
      <w:r w:rsidRPr="7D3F90FC">
        <w:t xml:space="preserve">estimated using adjusted odds ratios and e-values. </w:t>
      </w:r>
      <w:r w:rsidRPr="7D3F90FC">
        <w:rPr>
          <w:b/>
          <w:bCs/>
        </w:rPr>
        <w:t>Results</w:t>
      </w:r>
      <w:r w:rsidRPr="7D3F90FC">
        <w:t xml:space="preserve"> </w:t>
      </w:r>
      <w:r>
        <w:t xml:space="preserve">More </w:t>
      </w:r>
      <w:r w:rsidR="00AB7760">
        <w:t>mothers</w:t>
      </w:r>
      <w:r>
        <w:t xml:space="preserve"> than </w:t>
      </w:r>
      <w:r w:rsidR="00AB7760">
        <w:t>fathers lived</w:t>
      </w:r>
      <w:r>
        <w:t xml:space="preserve"> with children. Subgrouping by </w:t>
      </w:r>
      <w:r w:rsidR="00411E9B">
        <w:t>parents living</w:t>
      </w:r>
      <w:r>
        <w:t xml:space="preserve"> with children (LWC) and parents not living with their children (NWC) suggests that LWC were associated with fewer complex support needs, irrespective of sex. </w:t>
      </w:r>
      <w:r w:rsidRPr="00827B67">
        <w:rPr>
          <w:bCs/>
        </w:rPr>
        <w:t>LWC w</w:t>
      </w:r>
      <w:r>
        <w:rPr>
          <w:bCs/>
        </w:rPr>
        <w:t>ere more likely to</w:t>
      </w:r>
      <w:r w:rsidRPr="00DE74F0">
        <w:rPr>
          <w:bCs/>
        </w:rPr>
        <w:t xml:space="preserve"> receiv</w:t>
      </w:r>
      <w:r>
        <w:rPr>
          <w:bCs/>
        </w:rPr>
        <w:t>e</w:t>
      </w:r>
      <w:r w:rsidRPr="00DE74F0">
        <w:rPr>
          <w:bCs/>
        </w:rPr>
        <w:t xml:space="preserve"> </w:t>
      </w:r>
      <w:r w:rsidR="00AB7760">
        <w:rPr>
          <w:bCs/>
        </w:rPr>
        <w:t>parenting and/or family</w:t>
      </w:r>
      <w:r w:rsidRPr="00DE74F0">
        <w:rPr>
          <w:bCs/>
        </w:rPr>
        <w:t xml:space="preserve"> recovery support</w:t>
      </w:r>
      <w:r>
        <w:rPr>
          <w:bCs/>
        </w:rPr>
        <w:t xml:space="preserve"> </w:t>
      </w:r>
      <w:r w:rsidR="00545D7B">
        <w:rPr>
          <w:bCs/>
        </w:rPr>
        <w:t>plus</w:t>
      </w:r>
      <w:r>
        <w:rPr>
          <w:bCs/>
        </w:rPr>
        <w:t xml:space="preserve"> treatment</w:t>
      </w:r>
      <w:r w:rsidRPr="00DE74F0">
        <w:rPr>
          <w:bCs/>
        </w:rPr>
        <w:t xml:space="preserve"> (</w:t>
      </w:r>
      <w:r w:rsidR="00AB7760">
        <w:rPr>
          <w:bCs/>
        </w:rPr>
        <w:t>mothers</w:t>
      </w:r>
      <w:r w:rsidRPr="00DE74F0">
        <w:rPr>
          <w:bCs/>
        </w:rPr>
        <w:t xml:space="preserve"> aOR=1.76, 95% CI: 1.55,2.00, p&lt;0.001, E=1.98; </w:t>
      </w:r>
      <w:r w:rsidR="00AB7760">
        <w:rPr>
          <w:bCs/>
        </w:rPr>
        <w:t>fathers aOR</w:t>
      </w:r>
      <w:r w:rsidRPr="00DE74F0">
        <w:rPr>
          <w:bCs/>
        </w:rPr>
        <w:t xml:space="preserve">=1.43, 95% CI: </w:t>
      </w:r>
      <w:r w:rsidRPr="00B32455">
        <w:rPr>
          <w:bCs/>
        </w:rPr>
        <w:t>1.26,1.62,p&lt;0.001, E=1.68) and of statutory child welfare, except for having a child in care (</w:t>
      </w:r>
      <w:r w:rsidR="00AB7760">
        <w:rPr>
          <w:bCs/>
        </w:rPr>
        <w:t>mothers</w:t>
      </w:r>
      <w:r w:rsidRPr="00B32455">
        <w:rPr>
          <w:bCs/>
        </w:rPr>
        <w:t xml:space="preserve"> aOR=0.17, 95% CI: 0.13,0.21, E=4.28 ; </w:t>
      </w:r>
      <w:r w:rsidR="00AB7760">
        <w:rPr>
          <w:bCs/>
        </w:rPr>
        <w:t>fathers aOR</w:t>
      </w:r>
      <w:r w:rsidRPr="00B32455">
        <w:rPr>
          <w:bCs/>
        </w:rPr>
        <w:t xml:space="preserve"> = 0.33, 95% CI:0.23,0.48, E=2.88). Being LWC was also</w:t>
      </w:r>
      <w:r>
        <w:rPr>
          <w:bCs/>
        </w:rPr>
        <w:t xml:space="preserve"> associated with being more likely to receive early help (</w:t>
      </w:r>
      <w:r w:rsidR="00AB7760">
        <w:rPr>
          <w:bCs/>
        </w:rPr>
        <w:t>mothers</w:t>
      </w:r>
      <w:r>
        <w:rPr>
          <w:bCs/>
        </w:rPr>
        <w:t xml:space="preserve"> aOR=5.62, 95% CI: 4.52,6.99, </w:t>
      </w:r>
      <w:r w:rsidRPr="00E04898">
        <w:rPr>
          <w:bCs/>
        </w:rPr>
        <w:t xml:space="preserve">4.17 vs </w:t>
      </w:r>
      <w:r w:rsidR="00AB7760">
        <w:rPr>
          <w:bCs/>
        </w:rPr>
        <w:t>fathers aOR</w:t>
      </w:r>
      <w:r w:rsidRPr="00E04898">
        <w:rPr>
          <w:bCs/>
        </w:rPr>
        <w:t xml:space="preserve"> = 3.26, 95% CI: 2.71,3.94, E=3.01</w:t>
      </w:r>
      <w:r>
        <w:rPr>
          <w:bCs/>
        </w:rPr>
        <w:t>).</w:t>
      </w:r>
      <w:r>
        <w:t xml:space="preserve"> </w:t>
      </w:r>
      <w:r>
        <w:rPr>
          <w:bCs/>
        </w:rPr>
        <w:t xml:space="preserve">Irrespective of sex or child living arrangements, </w:t>
      </w:r>
      <w:r w:rsidR="00AB7760">
        <w:rPr>
          <w:bCs/>
        </w:rPr>
        <w:t>parenting and/or family</w:t>
      </w:r>
      <w:r>
        <w:rPr>
          <w:bCs/>
        </w:rPr>
        <w:t xml:space="preserve"> recovery support offered by a specialist treatment service was significantly associated with successful </w:t>
      </w:r>
      <w:r>
        <w:rPr>
          <w:bCs/>
        </w:rPr>
        <w:lastRenderedPageBreak/>
        <w:t xml:space="preserve">completion of treatment. </w:t>
      </w:r>
      <w:r w:rsidRPr="00410542">
        <w:rPr>
          <w:bCs/>
        </w:rPr>
        <w:t xml:space="preserve">E-values ranged from 2.24 to </w:t>
      </w:r>
      <w:r>
        <w:rPr>
          <w:bCs/>
        </w:rPr>
        <w:t xml:space="preserve">2.71. </w:t>
      </w:r>
      <w:r>
        <w:t xml:space="preserve">The association between integrated early help and statutory child welfare interventions and successful completions was </w:t>
      </w:r>
      <w:r w:rsidR="001F5FB9">
        <w:t>mixed</w:t>
      </w:r>
      <w:r>
        <w:t xml:space="preserve">. </w:t>
      </w:r>
      <w:r w:rsidRPr="00883B8A">
        <w:rPr>
          <w:b/>
          <w:bCs/>
        </w:rPr>
        <w:t>Conclusion</w:t>
      </w:r>
      <w:r>
        <w:rPr>
          <w:b/>
          <w:bCs/>
        </w:rPr>
        <w:t>s</w:t>
      </w:r>
      <w:r>
        <w:t xml:space="preserve"> R</w:t>
      </w:r>
      <w:r w:rsidRPr="007B2493">
        <w:t>egardless of child living arrangements</w:t>
      </w:r>
      <w:r>
        <w:t xml:space="preserve"> or sex of parent, all </w:t>
      </w:r>
      <w:r w:rsidRPr="4B4D88D8">
        <w:t xml:space="preserve">parents </w:t>
      </w:r>
      <w:r>
        <w:t xml:space="preserve">in treatment </w:t>
      </w:r>
      <w:r w:rsidRPr="4B4D88D8">
        <w:t xml:space="preserve">for SUD </w:t>
      </w:r>
      <w:r>
        <w:t xml:space="preserve">may benefit from interventions aimed at improving parenting skills and familial relationships. </w:t>
      </w:r>
    </w:p>
    <w:p w14:paraId="1959E2E7" w14:textId="6B949DC8" w:rsidR="00AA5608" w:rsidRDefault="00AA5608" w:rsidP="00AA5608">
      <w:pPr>
        <w:pStyle w:val="NormalWeb"/>
        <w:shd w:val="clear" w:color="auto" w:fill="FFFFFF"/>
        <w:rPr>
          <w:rFonts w:ascii="Arial" w:eastAsiaTheme="minorHAnsi" w:hAnsi="Arial" w:cs="Arial"/>
          <w:b/>
          <w:bCs/>
          <w:szCs w:val="22"/>
          <w:lang w:eastAsia="en-US"/>
        </w:rPr>
      </w:pPr>
      <w:r w:rsidRPr="00F76113">
        <w:rPr>
          <w:rFonts w:ascii="Arial" w:eastAsiaTheme="minorHAnsi" w:hAnsi="Arial" w:cs="Arial"/>
          <w:b/>
          <w:bCs/>
          <w:szCs w:val="22"/>
          <w:lang w:eastAsia="en-US"/>
        </w:rPr>
        <w:t>Key po</w:t>
      </w:r>
      <w:r w:rsidR="005D0020">
        <w:rPr>
          <w:rFonts w:ascii="Arial" w:eastAsiaTheme="minorHAnsi" w:hAnsi="Arial" w:cs="Arial"/>
          <w:b/>
          <w:bCs/>
          <w:szCs w:val="22"/>
          <w:lang w:eastAsia="en-US"/>
        </w:rPr>
        <w:t>i</w:t>
      </w:r>
      <w:r w:rsidRPr="00F76113">
        <w:rPr>
          <w:rFonts w:ascii="Arial" w:eastAsiaTheme="minorHAnsi" w:hAnsi="Arial" w:cs="Arial"/>
          <w:b/>
          <w:bCs/>
          <w:szCs w:val="22"/>
          <w:lang w:eastAsia="en-US"/>
        </w:rPr>
        <w:t>nt summary</w:t>
      </w:r>
    </w:p>
    <w:p w14:paraId="286285D8" w14:textId="118BED26" w:rsidR="00AA5608" w:rsidRDefault="00411E9B" w:rsidP="009C3BBC">
      <w:pPr>
        <w:pStyle w:val="NormalWeb"/>
        <w:numPr>
          <w:ilvl w:val="0"/>
          <w:numId w:val="23"/>
        </w:numPr>
        <w:shd w:val="clear" w:color="auto" w:fill="FFFFFF"/>
        <w:spacing w:line="360" w:lineRule="auto"/>
        <w:contextualSpacing w:val="0"/>
        <w:rPr>
          <w:rFonts w:ascii="Arial" w:eastAsiaTheme="minorHAnsi" w:hAnsi="Arial" w:cs="Arial"/>
          <w:szCs w:val="22"/>
          <w:lang w:eastAsia="en-US"/>
        </w:rPr>
      </w:pPr>
      <w:r>
        <w:rPr>
          <w:rFonts w:ascii="Arial" w:eastAsiaTheme="minorHAnsi" w:hAnsi="Arial" w:cs="Arial"/>
          <w:szCs w:val="22"/>
          <w:lang w:eastAsia="en-US"/>
        </w:rPr>
        <w:t>Parents living</w:t>
      </w:r>
      <w:r w:rsidR="00AA5608" w:rsidRPr="0059799D">
        <w:rPr>
          <w:rFonts w:ascii="Arial" w:eastAsiaTheme="minorHAnsi" w:hAnsi="Arial" w:cs="Arial"/>
          <w:szCs w:val="22"/>
          <w:lang w:eastAsia="en-US"/>
        </w:rPr>
        <w:t xml:space="preserve"> with children </w:t>
      </w:r>
      <w:r w:rsidR="00AA5608">
        <w:rPr>
          <w:rFonts w:ascii="Arial" w:eastAsiaTheme="minorHAnsi" w:hAnsi="Arial" w:cs="Arial"/>
          <w:szCs w:val="22"/>
          <w:lang w:eastAsia="en-US"/>
        </w:rPr>
        <w:t xml:space="preserve">appear </w:t>
      </w:r>
      <w:r w:rsidR="00FA71DB">
        <w:rPr>
          <w:rFonts w:ascii="Arial" w:eastAsiaTheme="minorHAnsi" w:hAnsi="Arial" w:cs="Arial"/>
          <w:szCs w:val="22"/>
          <w:lang w:eastAsia="en-US"/>
        </w:rPr>
        <w:t xml:space="preserve">to </w:t>
      </w:r>
      <w:r w:rsidR="00AA5608" w:rsidRPr="0059799D">
        <w:rPr>
          <w:rFonts w:ascii="Arial" w:eastAsiaTheme="minorHAnsi" w:hAnsi="Arial" w:cs="Arial"/>
          <w:szCs w:val="22"/>
          <w:lang w:eastAsia="en-US"/>
        </w:rPr>
        <w:t>have few</w:t>
      </w:r>
      <w:r w:rsidR="00AA5608">
        <w:rPr>
          <w:rFonts w:ascii="Arial" w:eastAsiaTheme="minorHAnsi" w:hAnsi="Arial" w:cs="Arial"/>
          <w:szCs w:val="22"/>
          <w:lang w:eastAsia="en-US"/>
        </w:rPr>
        <w:t>er</w:t>
      </w:r>
      <w:r w:rsidR="00AA5608" w:rsidRPr="0059799D">
        <w:rPr>
          <w:rFonts w:ascii="Arial" w:eastAsiaTheme="minorHAnsi" w:hAnsi="Arial" w:cs="Arial"/>
          <w:szCs w:val="22"/>
          <w:lang w:eastAsia="en-US"/>
        </w:rPr>
        <w:t xml:space="preserve"> complex support needs than parents not living with children</w:t>
      </w:r>
      <w:r w:rsidR="00AA5608">
        <w:rPr>
          <w:rFonts w:ascii="Arial" w:eastAsiaTheme="minorHAnsi" w:hAnsi="Arial" w:cs="Arial"/>
          <w:szCs w:val="22"/>
          <w:lang w:eastAsia="en-US"/>
        </w:rPr>
        <w:t>.</w:t>
      </w:r>
    </w:p>
    <w:p w14:paraId="5CD77394" w14:textId="44C30F9A" w:rsidR="00AA5608" w:rsidRPr="008C2E4A" w:rsidRDefault="00AA5608" w:rsidP="009C3BBC">
      <w:pPr>
        <w:pStyle w:val="NormalWeb"/>
        <w:numPr>
          <w:ilvl w:val="0"/>
          <w:numId w:val="23"/>
        </w:numPr>
        <w:shd w:val="clear" w:color="auto" w:fill="FFFFFF"/>
        <w:spacing w:line="360" w:lineRule="auto"/>
        <w:contextualSpacing w:val="0"/>
        <w:rPr>
          <w:rFonts w:ascii="Arial" w:eastAsiaTheme="minorHAnsi" w:hAnsi="Arial" w:cs="Arial"/>
          <w:szCs w:val="22"/>
          <w:lang w:eastAsia="en-US"/>
        </w:rPr>
      </w:pPr>
      <w:r w:rsidRPr="00E835CE">
        <w:rPr>
          <w:rFonts w:ascii="Arial" w:eastAsiaTheme="minorHAnsi" w:hAnsi="Arial" w:cs="Arial"/>
          <w:szCs w:val="22"/>
          <w:lang w:eastAsia="en-US"/>
        </w:rPr>
        <w:t xml:space="preserve">Regardless of child living arrangements, parents and carers in treatment for SUD may benefit from </w:t>
      </w:r>
      <w:r>
        <w:rPr>
          <w:rFonts w:ascii="Arial" w:eastAsiaTheme="minorHAnsi" w:hAnsi="Arial" w:cs="Arial"/>
          <w:szCs w:val="22"/>
          <w:lang w:eastAsia="en-US"/>
        </w:rPr>
        <w:t>targeted prevention interventions</w:t>
      </w:r>
      <w:r w:rsidRPr="00E835CE">
        <w:rPr>
          <w:rFonts w:ascii="Arial" w:eastAsiaTheme="minorHAnsi" w:hAnsi="Arial" w:cs="Arial"/>
          <w:szCs w:val="22"/>
          <w:lang w:eastAsia="en-US"/>
        </w:rPr>
        <w:t xml:space="preserve"> aimed at improving parenting skills familial relationships.</w:t>
      </w:r>
    </w:p>
    <w:p w14:paraId="5079D426" w14:textId="79DD3A1D" w:rsidR="00AA5608" w:rsidRPr="00056E69" w:rsidRDefault="00AA5608" w:rsidP="008C2E4A">
      <w:pPr>
        <w:pStyle w:val="NoSpacing"/>
        <w:spacing w:line="240" w:lineRule="auto"/>
        <w:rPr>
          <w:b/>
          <w:bCs/>
        </w:rPr>
      </w:pPr>
      <w:r w:rsidRPr="00056E69">
        <w:rPr>
          <w:b/>
          <w:bCs/>
        </w:rPr>
        <w:t>Key words</w:t>
      </w:r>
      <w:r w:rsidRPr="00056E69">
        <w:rPr>
          <w:b/>
          <w:bCs/>
        </w:rPr>
        <w:tab/>
      </w:r>
      <w:r w:rsidRPr="00056E69">
        <w:t>Parents</w:t>
      </w:r>
      <w:r>
        <w:t>, substance use disorders</w:t>
      </w:r>
      <w:r w:rsidRPr="00056E69">
        <w:t xml:space="preserve">, child welfare, </w:t>
      </w:r>
      <w:r>
        <w:t xml:space="preserve">treatment, </w:t>
      </w:r>
      <w:r w:rsidRPr="00056E69">
        <w:t>England</w:t>
      </w:r>
    </w:p>
    <w:p w14:paraId="6CCC9868" w14:textId="77777777" w:rsidR="00AA5608" w:rsidRDefault="00AA5608" w:rsidP="00AA5608">
      <w:pPr>
        <w:rPr>
          <w:rFonts w:eastAsiaTheme="majorEastAsia"/>
          <w:b/>
          <w:caps/>
          <w:szCs w:val="32"/>
        </w:rPr>
      </w:pPr>
    </w:p>
    <w:p w14:paraId="6AAE59DD" w14:textId="77777777" w:rsidR="00C4510F" w:rsidRDefault="00C4510F" w:rsidP="007002BE"/>
    <w:p w14:paraId="1B982B8B" w14:textId="1F91EFDA" w:rsidR="00C4510F" w:rsidRPr="00C4510F" w:rsidRDefault="00A95A69" w:rsidP="009C3BBC">
      <w:pPr>
        <w:pStyle w:val="Heading2"/>
        <w:numPr>
          <w:ilvl w:val="1"/>
          <w:numId w:val="19"/>
        </w:numPr>
        <w:spacing w:line="360" w:lineRule="auto"/>
      </w:pPr>
      <w:bookmarkStart w:id="58" w:name="_Toc189229677"/>
      <w:r>
        <w:t>Introduction</w:t>
      </w:r>
      <w:bookmarkEnd w:id="58"/>
      <w:r w:rsidR="00AA5608">
        <w:t xml:space="preserve"> </w:t>
      </w:r>
    </w:p>
    <w:p w14:paraId="760CAF56" w14:textId="3E517163" w:rsidR="00AA5608" w:rsidRDefault="00AA5608" w:rsidP="00AA5608">
      <w:pPr>
        <w:pStyle w:val="NoSpacing"/>
        <w:spacing w:line="360" w:lineRule="auto"/>
      </w:pPr>
      <w:r>
        <w:rPr>
          <w:color w:val="000000"/>
          <w:shd w:val="clear" w:color="auto" w:fill="FFFFFF"/>
        </w:rPr>
        <w:t xml:space="preserve">Parental </w:t>
      </w:r>
      <w:r>
        <w:t>s</w:t>
      </w:r>
      <w:r w:rsidRPr="00056E69">
        <w:t xml:space="preserve">ubstance use disorder (SUD) </w:t>
      </w:r>
      <w:r>
        <w:rPr>
          <w:color w:val="000000"/>
          <w:shd w:val="clear" w:color="auto" w:fill="FFFFFF"/>
        </w:rPr>
        <w:t>is associated with</w:t>
      </w:r>
      <w:r w:rsidRPr="00056E69">
        <w:t xml:space="preserve"> poor parenting capacity, sensitivity and attachment</w:t>
      </w:r>
      <w:r>
        <w:t xml:space="preserve"> </w:t>
      </w:r>
      <w:r>
        <w:fldChar w:fldCharType="begin">
          <w:fldData xml:space="preserve">PEVuZE5vdGU+PENpdGU+PEF1dGhvcj5DYW5maWVsZDwvQXV0aG9yPjxZZWFyPjIwMTc8L1llYXI+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</w:fldData>
        </w:fldChar>
      </w:r>
      <w:r w:rsidR="00B9334F">
        <w:instrText xml:space="preserve"> ADDIN EN.CITE </w:instrText>
      </w:r>
      <w:r w:rsidR="00B9334F">
        <w:fldChar w:fldCharType="begin">
          <w:fldData xml:space="preserve">PEVuZE5vdGU+PENpdGU+PEF1dGhvcj5DYW5maWVsZDwvQXV0aG9yPjxZZWFyPjIwMTc8L1llYXI+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</w:fldData>
        </w:fldChar>
      </w:r>
      <w:r w:rsidR="00B9334F">
        <w:instrText xml:space="preserve"> ADDIN EN.CITE.DATA </w:instrText>
      </w:r>
      <w:r w:rsidR="00B9334F">
        <w:fldChar w:fldCharType="end"/>
      </w:r>
      <w:r>
        <w:fldChar w:fldCharType="separate"/>
      </w:r>
      <w:r w:rsidR="003C6F70">
        <w:rPr>
          <w:noProof/>
        </w:rPr>
        <w:t>(Canfield et al., 2017; Slesnick et al., 2014)</w:t>
      </w:r>
      <w:r>
        <w:fldChar w:fldCharType="end"/>
      </w:r>
      <w:r>
        <w:t xml:space="preserve"> </w:t>
      </w:r>
      <w:r w:rsidRPr="00056E69">
        <w:t xml:space="preserve">– key risk factors of child </w:t>
      </w:r>
      <w:r>
        <w:t>maltreatment</w:t>
      </w:r>
      <w:r w:rsidRPr="00056E69">
        <w:t xml:space="preserve"> </w:t>
      </w:r>
      <w:r w:rsidRPr="00056E69">
        <w:fldChar w:fldCharType="begin">
          <w:fldData xml:space="preserve">PEVuZE5vdGU+PENpdGU+PEF1dGhvcj5TdGl0aDwvQXV0aG9yPjxZZWFyPjIwMDk8L1llYXI+PFJl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</w:fldData>
        </w:fldChar>
      </w:r>
      <w:r w:rsidR="00B9334F">
        <w:instrText xml:space="preserve"> ADDIN EN.CITE </w:instrText>
      </w:r>
      <w:r w:rsidR="00B9334F">
        <w:fldChar w:fldCharType="begin">
          <w:fldData xml:space="preserve">PEVuZE5vdGU+PENpdGU+PEF1dGhvcj5TdGl0aDwvQXV0aG9yPjxZZWFyPjIwMDk8L1llYXI+PFJl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</w:fldData>
        </w:fldChar>
      </w:r>
      <w:r w:rsidR="00B9334F">
        <w:instrText xml:space="preserve"> ADDIN EN.CITE.DATA </w:instrText>
      </w:r>
      <w:r w:rsidR="00B9334F">
        <w:fldChar w:fldCharType="end"/>
      </w:r>
      <w:r w:rsidRPr="00056E69">
        <w:fldChar w:fldCharType="separate"/>
      </w:r>
      <w:r w:rsidR="003C6F70">
        <w:rPr>
          <w:noProof/>
        </w:rPr>
        <w:t>(Hindley et al., 2006; Moreland et al., 2021; Stith et al., 2009)</w:t>
      </w:r>
      <w:r w:rsidRPr="00056E69">
        <w:fldChar w:fldCharType="end"/>
      </w:r>
      <w:r>
        <w:t xml:space="preserve"> –  as well as negative long-lasting child outcomes  </w:t>
      </w:r>
      <w:r>
        <w:fldChar w:fldCharType="begin">
          <w:fldData xml:space="preserve">PEVuZE5vdGU+PENpdGU+PEF1dGhvcj5Kw6TDpHNrZWzDpGluZW48L0F1dGhvcj48WWVhcj4yMDE2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=
</w:fldData>
        </w:fldChar>
      </w:r>
      <w:r w:rsidR="00B9334F">
        <w:instrText xml:space="preserve"> ADDIN EN.CITE </w:instrText>
      </w:r>
      <w:r w:rsidR="00B9334F">
        <w:fldChar w:fldCharType="begin">
          <w:fldData xml:space="preserve">PEVuZE5vdGU+PENpdGU+PEF1dGhvcj5Kw6TDpHNrZWzDpGluZW48L0F1dGhvcj48WWVhcj4yMDE2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=
</w:fldData>
        </w:fldChar>
      </w:r>
      <w:r w:rsidR="00B9334F">
        <w:instrText xml:space="preserve"> ADDIN EN.CITE.DATA </w:instrText>
      </w:r>
      <w:r w:rsidR="00B9334F">
        <w:fldChar w:fldCharType="end"/>
      </w:r>
      <w:r>
        <w:fldChar w:fldCharType="separate"/>
      </w:r>
      <w:r w:rsidR="003C6F70">
        <w:rPr>
          <w:noProof/>
        </w:rPr>
        <w:t>(Bellis, Hughes, Leckenby, Baban, et al., 2014; Bellis, Hughes, Leckenby, Perkins, et al., 2014; Hughes et al., 2017; Jääskeläinen et al., 2016; McGovern et al., 2023; Mellentin et al., 2016; Moreland et al., 2021)</w:t>
      </w:r>
      <w:r>
        <w:fldChar w:fldCharType="end"/>
      </w:r>
      <w:r>
        <w:t xml:space="preserve">. Globally, maternal substance misuse is a factor in 50-80% of childcare proceedings cases and approximately half of mothers receiving SUD treatment have lost the care of at least one child </w:t>
      </w:r>
      <w:r>
        <w:fldChar w:fldCharType="begin">
          <w:fldData xml:space="preserve">PEVuZE5vdGU+PENpdGU+PEF1dGhvcj5OZW88L0F1dGhvcj48WWVhcj4yMDIxPC9ZZWFyPjxSZWNO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</w:fldData>
        </w:fldChar>
      </w:r>
      <w:r w:rsidR="00B9334F">
        <w:instrText xml:space="preserve"> ADDIN EN.CITE </w:instrText>
      </w:r>
      <w:r w:rsidR="00B9334F">
        <w:fldChar w:fldCharType="begin">
          <w:fldData xml:space="preserve">PEVuZE5vdGU+PENpdGU+PEF1dGhvcj5OZW88L0F1dGhvcj48WWVhcj4yMDIxPC9ZZWFyPjxSZWNO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</w:fldData>
        </w:fldChar>
      </w:r>
      <w:r w:rsidR="00B9334F">
        <w:instrText xml:space="preserve"> ADDIN EN.CITE.DATA </w:instrText>
      </w:r>
      <w:r w:rsidR="00B9334F">
        <w:fldChar w:fldCharType="end"/>
      </w:r>
      <w:r>
        <w:fldChar w:fldCharType="separate"/>
      </w:r>
      <w:r w:rsidR="003C6F70">
        <w:rPr>
          <w:noProof/>
        </w:rPr>
        <w:t>(Canfield et al., 2017; Neo et al., 2021)</w:t>
      </w:r>
      <w:r>
        <w:fldChar w:fldCharType="end"/>
      </w:r>
      <w:r>
        <w:t xml:space="preserve">. </w:t>
      </w:r>
    </w:p>
    <w:p w14:paraId="5FAF6AE7" w14:textId="77777777" w:rsidR="00AA5608" w:rsidRDefault="00AA5608" w:rsidP="00AA5608">
      <w:pPr>
        <w:pStyle w:val="NoSpacing"/>
        <w:spacing w:line="360" w:lineRule="auto"/>
      </w:pPr>
    </w:p>
    <w:p w14:paraId="67A51913" w14:textId="434D1664" w:rsidR="00AA5608" w:rsidRPr="005455EE" w:rsidRDefault="00AA5608" w:rsidP="00AA5608">
      <w:pPr>
        <w:pStyle w:val="NoSpacing"/>
        <w:spacing w:line="360" w:lineRule="auto"/>
      </w:pPr>
      <w:r>
        <w:t>I</w:t>
      </w:r>
      <w:r w:rsidRPr="00056E69">
        <w:t xml:space="preserve">n England, </w:t>
      </w:r>
      <w:r>
        <w:t xml:space="preserve">support available for families affected by SUD typically includes specialist treatment for parents, targeted prevention and statutory child welfare interventions. Targeted prevention includes interventions such as </w:t>
      </w:r>
      <w:r w:rsidR="00AB7760">
        <w:t>parenting and/or family</w:t>
      </w:r>
      <w:r>
        <w:t xml:space="preserve"> recovery support delivered alongside or after completing treatment offered by specialist treatment services, and </w:t>
      </w:r>
      <w:r w:rsidRPr="00056E69">
        <w:t xml:space="preserve">‘early help’ </w:t>
      </w:r>
      <w:r>
        <w:t xml:space="preserve">offered by children and family services, which can encompass parenting skills and training as well as wider support. </w:t>
      </w:r>
    </w:p>
    <w:p w14:paraId="43BFE317" w14:textId="77777777" w:rsidR="00AA5608" w:rsidRDefault="00AA5608" w:rsidP="00AA5608">
      <w:pPr>
        <w:pStyle w:val="NoSpacing"/>
        <w:spacing w:line="360" w:lineRule="auto"/>
      </w:pPr>
    </w:p>
    <w:p w14:paraId="3E1A7038" w14:textId="3C3A02F2" w:rsidR="00745489" w:rsidRDefault="00745489" w:rsidP="00AA5608">
      <w:pPr>
        <w:pStyle w:val="NoSpacing"/>
        <w:spacing w:line="360" w:lineRule="auto"/>
      </w:pPr>
      <w:r>
        <w:rPr>
          <w:rStyle w:val="normaltextrun"/>
        </w:rPr>
        <w:lastRenderedPageBreak/>
        <w:t>S</w:t>
      </w:r>
      <w:r w:rsidRPr="00F438C3">
        <w:rPr>
          <w:rStyle w:val="normaltextrun"/>
        </w:rPr>
        <w:t>tat</w:t>
      </w:r>
      <w:r>
        <w:rPr>
          <w:rStyle w:val="normaltextrun"/>
        </w:rPr>
        <w:t>utory c</w:t>
      </w:r>
      <w:r w:rsidRPr="00F438C3">
        <w:rPr>
          <w:rStyle w:val="normaltextrun"/>
        </w:rPr>
        <w:t>hild welfare</w:t>
      </w:r>
      <w:r>
        <w:rPr>
          <w:rStyle w:val="normaltextrun"/>
        </w:rPr>
        <w:t xml:space="preserve"> services are managed by child social workers and encompass safeguarding assessment, case management and child protection investigations. In England, whether a child receives support from statutory </w:t>
      </w:r>
      <w:r w:rsidR="00C75FA5">
        <w:rPr>
          <w:rStyle w:val="normaltextrun"/>
        </w:rPr>
        <w:t>services</w:t>
      </w:r>
      <w:r>
        <w:rPr>
          <w:rStyle w:val="normaltextrun"/>
        </w:rPr>
        <w:t xml:space="preserve"> is determined by both operational and legal thresholds </w:t>
      </w:r>
      <w:r>
        <w:rPr>
          <w:rStyle w:val="normaltextrun"/>
        </w:rPr>
        <w:fldChar w:fldCharType="begin"/>
      </w:r>
      <w:r>
        <w:rPr>
          <w:rStyle w:val="normaltextrun"/>
        </w:rPr>
        <w:instrText xml:space="preserve"> ADDIN EN.CITE &lt;EndNote&gt;&lt;Cite&gt;&lt;Author&gt;Hood&lt;/Author&gt;&lt;Year&gt;2024&lt;/Year&gt;&lt;RecNum&gt;720&lt;/RecNum&gt;&lt;DisplayText&gt;(Hood et al., 2024)&lt;/DisplayText&gt;&lt;record&gt;&lt;rec-number&gt;720&lt;/rec-number&gt;&lt;foreign-keys&gt;&lt;key app="EN" db-id="ffzvr5fstavwxoe9v04xf0wmp5t50as52da0" timestamp="1734965984" guid="f4be13f2-ddc4-4da0-b3e8-c6c3525de4de"&gt;720&lt;/key&gt;&lt;/foreign-keys&gt;&lt;ref-type name="Journal Article"&gt;17&lt;/ref-type&gt;&lt;contributors&gt;&lt;authors&gt;&lt;author&gt;Hood, Rick&lt;/author&gt;&lt;author&gt;Goldacre, Allie&lt;/author&gt;&lt;author&gt;Jones, Ed&lt;/author&gt;&lt;author&gt;Martin, Emma&lt;/author&gt;&lt;author&gt;Clements, Keith&lt;/author&gt;&lt;author&gt;Webb, Calum&lt;/author&gt;&lt;/authors&gt;&lt;/contributors&gt;&lt;titles&gt;&lt;title&gt;Intervention Pathways following a Social Work Assessment: An Analysis of National Administrative Data for Children’s Social Care in England&lt;/title&gt;&lt;secondary-title&gt;The British Journal of Social Work&lt;/secondary-title&gt;&lt;/titles&gt;&lt;periodical&gt;&lt;full-title&gt;The British Journal of Social Work&lt;/full-title&gt;&lt;/periodical&gt;&lt;pages&gt;2937-2956&lt;/pages&gt;&lt;volume&gt;54&lt;/volume&gt;&lt;number&gt;7&lt;/number&gt;&lt;dates&gt;&lt;year&gt;2024&lt;/year&gt;&lt;/dates&gt;&lt;isbn&gt;0045-3102&lt;/isbn&gt;&lt;urls&gt;&lt;related-urls&gt;&lt;url&gt;https://doi.org/10.1093/bjsw/bcae070&lt;/url&gt;&lt;/related-urls&gt;&lt;/urls&gt;&lt;electronic-resource-num&gt;10.1093/bjsw/bcae070&lt;/electronic-resource-num&gt;&lt;access-date&gt;12/23/2024&lt;/access-date&gt;&lt;/record&gt;&lt;/Cite&gt;&lt;/EndNote&gt;</w:instrText>
      </w:r>
      <w:r>
        <w:rPr>
          <w:rStyle w:val="normaltextrun"/>
        </w:rPr>
        <w:fldChar w:fldCharType="separate"/>
      </w:r>
      <w:r>
        <w:rPr>
          <w:rStyle w:val="normaltextrun"/>
          <w:noProof/>
        </w:rPr>
        <w:t>(Hood et al., 2024)</w:t>
      </w:r>
      <w:r>
        <w:rPr>
          <w:rStyle w:val="normaltextrun"/>
        </w:rPr>
        <w:fldChar w:fldCharType="end"/>
      </w:r>
      <w:r>
        <w:rPr>
          <w:rStyle w:val="normaltextrun"/>
        </w:rPr>
        <w:t>.</w:t>
      </w:r>
      <w:r w:rsidR="00C75FA5">
        <w:rPr>
          <w:rStyle w:val="normaltextrun"/>
        </w:rPr>
        <w:t xml:space="preserve"> If</w:t>
      </w:r>
      <w:r>
        <w:rPr>
          <w:rStyle w:val="normaltextrun"/>
        </w:rPr>
        <w:t xml:space="preserve"> a child is disabled or their development is likely to be impaired or unlikely to be achieved or maintained without intervention, they are classified as a ‘child in need’ under section 17 of the Children Act 1989. Interventions provided vary according to safeguarding risk. If there is no current risk of child maltreatment, a child may be put on a child in need plan, whereas </w:t>
      </w:r>
      <w:r w:rsidRPr="00F438C3">
        <w:rPr>
          <w:rStyle w:val="normaltextrun"/>
        </w:rPr>
        <w:t>in cases of current or likely future child maltreatment</w:t>
      </w:r>
      <w:r>
        <w:rPr>
          <w:rStyle w:val="normaltextrun"/>
        </w:rPr>
        <w:t>, the child may be put on a child protection plan</w:t>
      </w:r>
      <w:r w:rsidR="00C75FA5">
        <w:rPr>
          <w:rStyle w:val="normaltextrun"/>
        </w:rPr>
        <w:t xml:space="preserve"> following a child protection conference under section 47</w:t>
      </w:r>
      <w:r>
        <w:rPr>
          <w:rStyle w:val="normaltextrun"/>
        </w:rPr>
        <w:t>. In extreme cases the child</w:t>
      </w:r>
      <w:r w:rsidRPr="00F438C3">
        <w:rPr>
          <w:rStyle w:val="normaltextrun"/>
        </w:rPr>
        <w:t xml:space="preserve"> may be removed from their caregivers and placed into care </w:t>
      </w:r>
      <w:r>
        <w:rPr>
          <w:rStyle w:val="normaltextrun"/>
        </w:rPr>
        <w:fldChar w:fldCharType="begin">
          <w:fldData xml:space="preserve">PEVuZE5vdGU+PENpdGU+PEF1dGhvcj5ITSBHb3Zlcm5tZW50PC9BdXRob3I+PFllYXI+MjAxODwv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==
</w:fldData>
        </w:fldChar>
      </w:r>
      <w:r>
        <w:rPr>
          <w:rStyle w:val="normaltextrun"/>
        </w:rPr>
        <w:instrText xml:space="preserve"> ADDIN EN.CITE </w:instrText>
      </w:r>
      <w:r>
        <w:rPr>
          <w:rStyle w:val="normaltextrun"/>
        </w:rPr>
        <w:fldChar w:fldCharType="begin">
          <w:fldData xml:space="preserve">PEVuZE5vdGU+PENpdGU+PEF1dGhvcj5ITSBHb3Zlcm5tZW50PC9BdXRob3I+PFllYXI+MjAxODwv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==
</w:fldData>
        </w:fldChar>
      </w:r>
      <w:r>
        <w:rPr>
          <w:rStyle w:val="normaltextrun"/>
        </w:rPr>
        <w:instrText xml:space="preserve"> ADDIN EN.CITE.DATA </w:instrText>
      </w:r>
      <w:r>
        <w:rPr>
          <w:rStyle w:val="normaltextrun"/>
        </w:rPr>
      </w:r>
      <w:r>
        <w:rPr>
          <w:rStyle w:val="normaltextrun"/>
        </w:rPr>
        <w:fldChar w:fldCharType="end"/>
      </w:r>
      <w:r>
        <w:rPr>
          <w:rStyle w:val="normaltextrun"/>
        </w:rPr>
      </w:r>
      <w:r>
        <w:rPr>
          <w:rStyle w:val="normaltextrun"/>
        </w:rPr>
        <w:fldChar w:fldCharType="separate"/>
      </w:r>
      <w:r>
        <w:rPr>
          <w:rStyle w:val="normaltextrun"/>
          <w:noProof/>
        </w:rPr>
        <w:t>(HM Government, 2018, 2023; Hood et al., 2024)</w:t>
      </w:r>
      <w:r>
        <w:rPr>
          <w:rStyle w:val="normaltextrun"/>
        </w:rPr>
        <w:fldChar w:fldCharType="end"/>
      </w:r>
      <w:r>
        <w:t xml:space="preserve"> </w:t>
      </w:r>
    </w:p>
    <w:p w14:paraId="757291B3" w14:textId="77777777" w:rsidR="00745489" w:rsidRDefault="00745489" w:rsidP="00AA5608">
      <w:pPr>
        <w:pStyle w:val="NoSpacing"/>
        <w:spacing w:line="360" w:lineRule="auto"/>
      </w:pPr>
    </w:p>
    <w:p w14:paraId="5E2BFB02" w14:textId="45A2144B" w:rsidR="002B3E67" w:rsidRDefault="00AA5608" w:rsidP="00AA5608">
      <w:pPr>
        <w:pStyle w:val="NoSpacing"/>
        <w:spacing w:line="360" w:lineRule="auto"/>
      </w:pPr>
      <w:r>
        <w:t xml:space="preserve">Studies in this area suggest that mothers who are young, pregnant, have had children removed previously, homeless or in unstable housing, have comorbid mental health problems, unemployed, have had involvement with the criminal justice system, experienced domestic abuse and/or living with more than one child are predictive characteristics of coming to the attention of services </w:t>
      </w:r>
      <w:r>
        <w:fldChar w:fldCharType="begin"/>
      </w:r>
      <w:r w:rsidR="00B9334F">
        <w:instrText xml:space="preserve"> ADDIN EN.CITE &lt;EndNote&gt;&lt;Cite&gt;&lt;Author&gt;Canfield&lt;/Author&gt;&lt;Year&gt;2017&lt;/Year&gt;&lt;RecNum&gt;280&lt;/RecNum&gt;&lt;DisplayText&gt;(Canfield et al., 2017)&lt;/DisplayText&gt;&lt;record&gt;&lt;rec-number&gt;280&lt;/rec-number&gt;&lt;foreign-keys&gt;&lt;key app="EN" db-id="ffzvr5fstavwxoe9v04xf0wmp5t50as52da0" timestamp="1731671654" guid="06a8d64e-9f85-48f7-baf5-7135169ba396"&gt;280&lt;/key&gt;&lt;/foreign-keys&gt;&lt;ref-type name="Journal Article"&gt;17&lt;/ref-type&gt;&lt;contributors&gt;&lt;authors&gt;&lt;author&gt;Canfield, Martha&lt;/author&gt;&lt;author&gt;Radcliffe, Polly&lt;/author&gt;&lt;author&gt;Marlow, Sally&lt;/author&gt;&lt;author&gt;Boreham, Marggie&lt;/author&gt;&lt;author&gt;Gilchrist, Gail&lt;/author&gt;&lt;/authors&gt;&lt;/contributors&gt;&lt;titles&gt;&lt;title&gt;Maternal substance use and child protection: A rapid evidence assessment of factors associated with loss of child care&lt;/title&gt;&lt;secondary-title&gt;Child Abuse &amp;amp; Neglect&lt;/secondary-title&gt;&lt;/titles&gt;&lt;periodical&gt;&lt;full-title&gt;Child Abuse &amp;amp; Neglect&lt;/full-title&gt;&lt;/periodical&gt;&lt;pages&gt;11-27&lt;/pages&gt;&lt;volume&gt;70&lt;/volume&gt;&lt;keywords&gt;&lt;keyword&gt;Maternal substance users&lt;/keyword&gt;&lt;keyword&gt;Child protection&lt;/keyword&gt;&lt;keyword&gt;Child care&lt;/keyword&gt;&lt;keyword&gt;Rapid evidence assessment&lt;/keyword&gt;&lt;/keywords&gt;&lt;dates&gt;&lt;year&gt;2017&lt;/year&gt;&lt;pub-dates&gt;&lt;date&gt;2017/08/01&lt;/date&gt;&lt;/pub-dates&gt;&lt;/dates&gt;&lt;urls&gt;&lt;related-urls&gt;&lt;url&gt;http://www.sciencedirect.com/science/article/pii/S0145213417302016&lt;/url&gt;&lt;/related-urls&gt;&lt;/urls&gt;&lt;electronic-resource-num&gt;https://doi.org/10.1016/j.chiabu.2017.05.005&lt;/electronic-resource-num&gt;&lt;/record&gt;&lt;/Cite&gt;&lt;/EndNote&gt;</w:instrText>
      </w:r>
      <w:r>
        <w:fldChar w:fldCharType="separate"/>
      </w:r>
      <w:r w:rsidR="00A77498">
        <w:rPr>
          <w:noProof/>
        </w:rPr>
        <w:t>(Canfield et al., 2017)</w:t>
      </w:r>
      <w:r>
        <w:fldChar w:fldCharType="end"/>
      </w:r>
      <w:r>
        <w:t>.</w:t>
      </w:r>
      <w:r w:rsidRPr="00E76CC7">
        <w:rPr>
          <w:color w:val="FF0000"/>
        </w:rPr>
        <w:t xml:space="preserve"> </w:t>
      </w:r>
      <w:r>
        <w:t>As r</w:t>
      </w:r>
      <w:r w:rsidRPr="00056E69">
        <w:t xml:space="preserve">esearch </w:t>
      </w:r>
      <w:r>
        <w:t xml:space="preserve">on parental SUD typically </w:t>
      </w:r>
      <w:r w:rsidRPr="00056E69">
        <w:t xml:space="preserve">centres on </w:t>
      </w:r>
      <w:r>
        <w:t>mothers</w:t>
      </w:r>
      <w:r w:rsidRPr="00056E69">
        <w:t xml:space="preserve"> living with their children</w:t>
      </w:r>
      <w:r>
        <w:t xml:space="preserve">, little is known </w:t>
      </w:r>
      <w:r w:rsidR="000A5349">
        <w:t>about the characteristics of</w:t>
      </w:r>
      <w:r>
        <w:t xml:space="preserve"> fathers</w:t>
      </w:r>
      <w:r w:rsidR="000A5349">
        <w:t xml:space="preserve">/ </w:t>
      </w:r>
      <w:r>
        <w:t>parents who do not live with their children. Historical analyses of the English</w:t>
      </w:r>
      <w:r w:rsidRPr="00056E69">
        <w:t xml:space="preserve"> National Drug Treatment Monitoring System </w:t>
      </w:r>
      <w:r>
        <w:t>(NDTMS) dataset suggest that</w:t>
      </w:r>
      <w:r w:rsidRPr="00056E69">
        <w:t xml:space="preserve"> parents who did not live with their children were more </w:t>
      </w:r>
      <w:r>
        <w:t>socioeconomically disadvantaged</w:t>
      </w:r>
      <w:r w:rsidRPr="00056E69">
        <w:t xml:space="preserve"> than those </w:t>
      </w:r>
      <w:r>
        <w:t>who</w:t>
      </w:r>
      <w:r w:rsidRPr="00056E69">
        <w:t xml:space="preserve"> did</w:t>
      </w:r>
      <w:r>
        <w:t xml:space="preserve"> and were less likely to successfully complete treatment</w:t>
      </w:r>
      <w:r w:rsidRPr="00056E69">
        <w:t xml:space="preserve"> </w:t>
      </w:r>
      <w:r w:rsidRPr="00056E69">
        <w:fldChar w:fldCharType="begin">
          <w:fldData xml:space="preserve">PEVuZE5vdGU+PENpdGU+PEF1dGhvcj5OVEE8L0F1dGhvcj48WWVhcj4yMDEyPC9ZZWFyPjxSZWNO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</w:fldData>
        </w:fldChar>
      </w:r>
      <w:r w:rsidR="00B9334F">
        <w:instrText xml:space="preserve"> ADDIN EN.CITE </w:instrText>
      </w:r>
      <w:r w:rsidR="00B9334F">
        <w:fldChar w:fldCharType="begin">
          <w:fldData xml:space="preserve">PEVuZE5vdGU+PENpdGU+PEF1dGhvcj5OVEE8L0F1dGhvcj48WWVhcj4yMDEyPC9ZZWFyPjxSZWNO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</w:fldData>
        </w:fldChar>
      </w:r>
      <w:r w:rsidR="00B9334F">
        <w:instrText xml:space="preserve"> ADDIN EN.CITE.DATA </w:instrText>
      </w:r>
      <w:r w:rsidR="00B9334F">
        <w:fldChar w:fldCharType="end"/>
      </w:r>
      <w:r w:rsidRPr="00056E69">
        <w:fldChar w:fldCharType="separate"/>
      </w:r>
      <w:r w:rsidR="003C6F70">
        <w:rPr>
          <w:noProof/>
        </w:rPr>
        <w:t>(Meier et al., 2004; NTA, 2012)</w:t>
      </w:r>
      <w:r w:rsidRPr="00056E69">
        <w:fldChar w:fldCharType="end"/>
      </w:r>
      <w:r w:rsidRPr="00056E69">
        <w:t>.</w:t>
      </w:r>
      <w:r>
        <w:t xml:space="preserve"> </w:t>
      </w:r>
    </w:p>
    <w:p w14:paraId="13A0481B" w14:textId="77777777" w:rsidR="002B3E67" w:rsidRDefault="002B3E67" w:rsidP="00AA5608">
      <w:pPr>
        <w:pStyle w:val="NoSpacing"/>
        <w:spacing w:line="360" w:lineRule="auto"/>
      </w:pPr>
    </w:p>
    <w:p w14:paraId="3A60EC52" w14:textId="28AE7FDA" w:rsidR="00AA5608" w:rsidRDefault="00AA5608" w:rsidP="00AA5608">
      <w:pPr>
        <w:pStyle w:val="NoSpacing"/>
        <w:spacing w:line="360" w:lineRule="auto"/>
      </w:pPr>
      <w:r>
        <w:t xml:space="preserve">Other research using the </w:t>
      </w:r>
      <w:r w:rsidRPr="00056E69">
        <w:t>NDTMS</w:t>
      </w:r>
      <w:r>
        <w:t xml:space="preserve"> has shown treatment to be effective in reducing SUD. These studies have </w:t>
      </w:r>
      <w:r w:rsidRPr="00056E69">
        <w:t>suggest</w:t>
      </w:r>
      <w:r>
        <w:t>ed</w:t>
      </w:r>
      <w:r w:rsidRPr="00056E69">
        <w:t xml:space="preserve"> that pregnancy </w:t>
      </w:r>
      <w:r>
        <w:t>is associated with increased</w:t>
      </w:r>
      <w:r w:rsidRPr="00056E69">
        <w:t xml:space="preserve"> likelihood of </w:t>
      </w:r>
      <w:r>
        <w:t xml:space="preserve">successful treatment </w:t>
      </w:r>
      <w:r w:rsidRPr="00056E69">
        <w:t xml:space="preserve">completion </w:t>
      </w:r>
      <w:r w:rsidRPr="00056E69">
        <w:fldChar w:fldCharType="begin"/>
      </w:r>
      <w:r w:rsidR="00B9334F">
        <w:instrText xml:space="preserve"> ADDIN EN.CITE &lt;EndNote&gt;&lt;Cite&gt;&lt;Author&gt;Marsden&lt;/Author&gt;&lt;Year&gt;2012&lt;/Year&gt;&lt;RecNum&gt;366&lt;/RecNum&gt;&lt;DisplayText&gt;(Marsden et al., 2012)&lt;/DisplayText&gt;&lt;record&gt;&lt;rec-number&gt;366&lt;/rec-number&gt;&lt;foreign-keys&gt;&lt;key app="EN" db-id="ffzvr5fstavwxoe9v04xf0wmp5t50as52da0" timestamp="1731671664" guid="a8aaca50-5a6f-4840-a5d4-d07ffc4ae561"&gt;366&lt;/key&gt;&lt;/foreign-keys&gt;&lt;ref-type name="Journal Article"&gt;17&lt;/ref-type&gt;&lt;contributors&gt;&lt;authors&gt;&lt;author&gt;Marsden, John&lt;/author&gt;&lt;author&gt;Eastwood, Brian&lt;/author&gt;&lt;author&gt;Jones, Hayley&lt;/author&gt;&lt;author&gt;Bradbury, Colin&lt;/author&gt;&lt;author&gt;Hickman, Matthew&lt;/author&gt;&lt;author&gt;Knight, Jonathan&lt;/author&gt;&lt;author&gt;Randhawa, Kulvir&lt;/author&gt;&lt;author&gt;White, Martin&lt;/author&gt;&lt;author&gt;National Drug Treatment Monitoring System Outcomes Study Group,&lt;/author&gt;&lt;/authors&gt;&lt;/contributors&gt;&lt;titles&gt;&lt;title&gt;Risk adjustment of heroin treatment outcomes for comparative performance assessment in England&lt;/title&gt;&lt;secondary-title&gt;Addiction&lt;/secondary-title&gt;&lt;/titles&gt;&lt;periodical&gt;&lt;full-title&gt;Addiction&lt;/full-title&gt;&lt;/periodical&gt;&lt;pages&gt;2161-2172&lt;/pages&gt;&lt;volume&gt;107&lt;/volume&gt;&lt;number&gt;12&lt;/number&gt;&lt;dates&gt;&lt;year&gt;2012&lt;/year&gt;&lt;/dates&gt;&lt;isbn&gt;0965-2140&lt;/isbn&gt;&lt;urls&gt;&lt;related-urls&gt;&lt;url&gt;https://onlinelibrary.wiley.com/doi/abs/10.1111/j.1360-0443.2012.03971.x&lt;/url&gt;&lt;/related-urls&gt;&lt;/urls&gt;&lt;electronic-resource-num&gt;https://doi.org/10.1111/j.1360-0443.2012.03971.x&lt;/electronic-resource-num&gt;&lt;/record&gt;&lt;/Cite&gt;&lt;/EndNote&gt;</w:instrText>
      </w:r>
      <w:r w:rsidRPr="00056E69">
        <w:fldChar w:fldCharType="separate"/>
      </w:r>
      <w:r w:rsidR="00A77498">
        <w:rPr>
          <w:noProof/>
        </w:rPr>
        <w:t>(Marsden et al., 2012)</w:t>
      </w:r>
      <w:r w:rsidRPr="00056E69">
        <w:fldChar w:fldCharType="end"/>
      </w:r>
      <w:r w:rsidRPr="00056E69">
        <w:t xml:space="preserve"> and, for people with opioid and alcohol use disorders, so does being older, living in stable housing, being employed and not having received treatment previously </w:t>
      </w:r>
      <w:r w:rsidRPr="00056E69">
        <w:fldChar w:fldCharType="begin">
          <w:fldData xml:space="preserve">PEVuZE5vdGU+PENpdGU+PEF1dGhvcj5FYXN0d29vZDwvQXV0aG9yPjxZZWFyPjIwMTc8L1llYXI+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</w:fldData>
        </w:fldChar>
      </w:r>
      <w:r w:rsidR="00B9334F">
        <w:instrText xml:space="preserve"> ADDIN EN.CITE </w:instrText>
      </w:r>
      <w:r w:rsidR="00B9334F">
        <w:fldChar w:fldCharType="begin">
          <w:fldData xml:space="preserve">PEVuZE5vdGU+PENpdGU+PEF1dGhvcj5FYXN0d29vZDwvQXV0aG9yPjxZZWFyPjIwMTc8L1llYXI+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</w:fldData>
        </w:fldChar>
      </w:r>
      <w:r w:rsidR="00B9334F">
        <w:instrText xml:space="preserve"> ADDIN EN.CITE.DATA </w:instrText>
      </w:r>
      <w:r w:rsidR="00B9334F">
        <w:fldChar w:fldCharType="end"/>
      </w:r>
      <w:r w:rsidRPr="00056E69">
        <w:fldChar w:fldCharType="separate"/>
      </w:r>
      <w:r w:rsidR="003C6F70">
        <w:rPr>
          <w:noProof/>
        </w:rPr>
        <w:t>(Eastwood et al., 2017; Peacock et al., 2018)</w:t>
      </w:r>
      <w:r w:rsidRPr="00056E69">
        <w:fldChar w:fldCharType="end"/>
      </w:r>
      <w:r w:rsidR="00EB7C1A">
        <w:t>.</w:t>
      </w:r>
      <w:r>
        <w:t xml:space="preserve"> Moreover, </w:t>
      </w:r>
      <w:r w:rsidR="00B92420" w:rsidRPr="00056E69">
        <w:t>for people with an alcohol use disorder</w:t>
      </w:r>
      <w:r w:rsidR="00B92420">
        <w:t xml:space="preserve">, </w:t>
      </w:r>
      <w:r>
        <w:t xml:space="preserve">successful completions has been shown to be enhanced </w:t>
      </w:r>
      <w:r w:rsidR="00B92420">
        <w:t>by</w:t>
      </w:r>
      <w:r>
        <w:t xml:space="preserve"> r</w:t>
      </w:r>
      <w:r w:rsidRPr="00056E69">
        <w:t>ecovery support interventions</w:t>
      </w:r>
      <w:r w:rsidR="004072C2">
        <w:t xml:space="preserve"> </w:t>
      </w:r>
      <w:r w:rsidRPr="00056E69">
        <w:fldChar w:fldCharType="begin"/>
      </w:r>
      <w:r w:rsidR="00B9334F">
        <w:instrText xml:space="preserve"> ADDIN EN.CITE &lt;EndNote&gt;&lt;Cite&gt;&lt;Author&gt;Peacock&lt;/Author&gt;&lt;Year&gt;2018&lt;/Year&gt;&lt;RecNum&gt;8&lt;/RecNum&gt;&lt;DisplayText&gt;(Peacock et al., 2018)&lt;/DisplayText&gt;&lt;record&gt;&lt;rec-number&gt;8&lt;/rec-number&gt;&lt;foreign-keys&gt;&lt;key app="EN" db-id="ffzvr5fstavwxoe9v04xf0wmp5t50as52da0" timestamp="1731671636" guid="c04fb2e4-2dc2-4983-a7d0-5930481c6811"&gt;8&lt;/key&gt;&lt;/foreign-keys&gt;&lt;ref-type name="Journal Article"&gt;17&lt;/ref-type&gt;&lt;contributors&gt;&lt;authors&gt;&lt;author&gt;Peacock, Amy&lt;/author&gt;&lt;author&gt;Eastwood, Brian&lt;/author&gt;&lt;author&gt;Jones, Andrew&lt;/author&gt;&lt;author&gt;Millar, Tim&lt;/author&gt;&lt;author&gt;Horgan, Patrick&lt;/author&gt;&lt;author&gt;Knight, Jonathan&lt;/author&gt;&lt;author&gt;Randhawa, Kulvir&lt;/author&gt;&lt;author&gt;White, Martin&lt;/author&gt;&lt;author&gt;Marsden, John&lt;/author&gt;&lt;/authors&gt;&lt;/contributors&gt;&lt;titles&gt;&lt;title&gt;Effectiveness of community psychosocial and pharmacological treatments for alcohol use disorder: A national observational cohort study in England&lt;/title&gt;&lt;secondary-title&gt;Drug and Alcohol Dependence&lt;/secondary-title&gt;&lt;/titles&gt;&lt;periodical&gt;&lt;full-title&gt;Drug Alcohol Depend&lt;/full-title&gt;&lt;abbr-1&gt;Drug and alcohol dependence&lt;/abbr-1&gt;&lt;/periodical&gt;&lt;pages&gt;60-67&lt;/pages&gt;&lt;volume&gt;186&lt;/volume&gt;&lt;dates&gt;&lt;year&gt;2018&lt;/year&gt;&lt;pub-dates&gt;&lt;date&gt;05/01&lt;/date&gt;&lt;/pub-dates&gt;&lt;/dates&gt;&lt;urls&gt;&lt;/urls&gt;&lt;electronic-resource-num&gt;10.1016/j.drugalcdep.2018.01.019&lt;/electronic-resource-num&gt;&lt;/record&gt;&lt;/Cite&gt;&lt;/EndNote&gt;</w:instrText>
      </w:r>
      <w:r w:rsidRPr="00056E69">
        <w:fldChar w:fldCharType="separate"/>
      </w:r>
      <w:r w:rsidR="00A77498">
        <w:rPr>
          <w:noProof/>
        </w:rPr>
        <w:t>(Peacock et al., 2018)</w:t>
      </w:r>
      <w:r w:rsidRPr="00056E69">
        <w:fldChar w:fldCharType="end"/>
      </w:r>
      <w:r w:rsidRPr="00056E69">
        <w:t xml:space="preserve">. </w:t>
      </w:r>
      <w:r w:rsidR="004072C2">
        <w:t xml:space="preserve">These can include </w:t>
      </w:r>
      <w:r w:rsidR="004072C2" w:rsidRPr="00056E69">
        <w:t xml:space="preserve">help securing </w:t>
      </w:r>
      <w:r w:rsidR="004072C2" w:rsidRPr="00056E69">
        <w:lastRenderedPageBreak/>
        <w:t>accommodation or employment</w:t>
      </w:r>
      <w:r w:rsidR="00B92420">
        <w:t xml:space="preserve"> as well as</w:t>
      </w:r>
      <w:r w:rsidR="004072C2" w:rsidRPr="00056E69">
        <w:t xml:space="preserve"> parenting </w:t>
      </w:r>
      <w:r w:rsidR="004072C2">
        <w:t xml:space="preserve">and/or family </w:t>
      </w:r>
      <w:r w:rsidR="009E1B20">
        <w:t xml:space="preserve">functioning </w:t>
      </w:r>
      <w:r w:rsidR="004072C2" w:rsidRPr="00056E69">
        <w:t>s</w:t>
      </w:r>
      <w:r w:rsidR="004072C2">
        <w:t xml:space="preserve">upport. </w:t>
      </w:r>
      <w:r>
        <w:t xml:space="preserve">However, whether these considerations are true for all parents is unclear. </w:t>
      </w:r>
    </w:p>
    <w:p w14:paraId="3356E480" w14:textId="77777777" w:rsidR="00AA5608" w:rsidRDefault="00AA5608" w:rsidP="00AA5608">
      <w:pPr>
        <w:pStyle w:val="NoSpacing"/>
        <w:spacing w:line="360" w:lineRule="auto"/>
      </w:pPr>
    </w:p>
    <w:p w14:paraId="24BFDB49" w14:textId="7F60CBFF" w:rsidR="004B14B3" w:rsidRDefault="00AA5608" w:rsidP="00AA5608">
      <w:pPr>
        <w:pStyle w:val="NoSpacing"/>
        <w:spacing w:line="360" w:lineRule="auto"/>
      </w:pPr>
      <w:r>
        <w:t xml:space="preserve">In recent years there have been several reviews on SUD, parenting interventions and parental and child outcomes </w:t>
      </w:r>
      <w:r>
        <w:fldChar w:fldCharType="begin">
          <w:fldData xml:space="preserve">PEVuZE5vdGU+PENpdGU+PEF1dGhvcj5QZWlzY2g8L0F1dGhvcj48WWVhcj4yMDE4PC9ZZWFyPjxS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</w:fldData>
        </w:fldChar>
      </w:r>
      <w:r w:rsidR="00B9334F">
        <w:instrText xml:space="preserve"> ADDIN EN.CITE </w:instrText>
      </w:r>
      <w:r w:rsidR="00B9334F">
        <w:fldChar w:fldCharType="begin">
          <w:fldData xml:space="preserve">PEVuZE5vdGU+PENpdGU+PEF1dGhvcj5QZWlzY2g8L0F1dGhvcj48WWVhcj4yMDE4PC9ZZWFyPjxS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</w:fldData>
        </w:fldChar>
      </w:r>
      <w:r w:rsidR="00B9334F">
        <w:instrText xml:space="preserve"> ADDIN EN.CITE.DATA </w:instrText>
      </w:r>
      <w:r w:rsidR="00B9334F">
        <w:fldChar w:fldCharType="end"/>
      </w:r>
      <w:r>
        <w:fldChar w:fldCharType="separate"/>
      </w:r>
      <w:r w:rsidR="003600DE">
        <w:rPr>
          <w:noProof/>
        </w:rPr>
        <w:t>(e.g. McGovern et al., 2023; McGovern et al., 2022; Moreland &amp; McRae-Clark, 2018; Peisch et al., 2018)</w:t>
      </w:r>
      <w:r>
        <w:fldChar w:fldCharType="end"/>
      </w:r>
      <w:r w:rsidR="003600DE">
        <w:t>.</w:t>
      </w:r>
      <w:r>
        <w:t xml:space="preserve"> </w:t>
      </w:r>
      <w:r w:rsidR="003600DE">
        <w:t>R</w:t>
      </w:r>
      <w:r>
        <w:t xml:space="preserve">eviewers </w:t>
      </w:r>
      <w:r w:rsidR="003600DE">
        <w:t xml:space="preserve">have found </w:t>
      </w:r>
      <w:r>
        <w:t xml:space="preserve">that treatment </w:t>
      </w:r>
      <w:r w:rsidR="00545D7B">
        <w:t>plus</w:t>
      </w:r>
      <w:r>
        <w:t xml:space="preserve"> parenting </w:t>
      </w:r>
      <w:r w:rsidR="003600DE">
        <w:t xml:space="preserve">and family functioning </w:t>
      </w:r>
      <w:r>
        <w:t xml:space="preserve">interventions appear to be more effective than treatment </w:t>
      </w:r>
      <w:r w:rsidR="00235515">
        <w:t>only</w:t>
      </w:r>
      <w:r>
        <w:t xml:space="preserve">. In a review of the effectiveness of interventions on cooccurring parental SUD </w:t>
      </w:r>
      <w:r w:rsidR="0061416E">
        <w:t xml:space="preserve">and </w:t>
      </w:r>
      <w:r>
        <w:t xml:space="preserve">child maltreatment </w:t>
      </w:r>
      <w:r>
        <w:fldChar w:fldCharType="begin">
          <w:fldData xml:space="preserve">PEVuZE5vdGU+PENpdGU+PEF1dGhvcj5NdXJwaHk8L0F1dGhvcj48WWVhcj4yMDE3PC9ZZWFyPjxS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</w:fldData>
        </w:fldChar>
      </w:r>
      <w:r w:rsidR="00B9334F">
        <w:instrText xml:space="preserve"> ADDIN EN.CITE </w:instrText>
      </w:r>
      <w:r w:rsidR="00B9334F">
        <w:fldChar w:fldCharType="begin">
          <w:fldData xml:space="preserve">PEVuZE5vdGU+PENpdGU+PEF1dGhvcj5NdXJwaHk8L0F1dGhvcj48WWVhcj4yMDE3PC9ZZWFyPjxS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</w:fldData>
        </w:fldChar>
      </w:r>
      <w:r w:rsidR="00B9334F">
        <w:instrText xml:space="preserve"> ADDIN EN.CITE.DATA </w:instrText>
      </w:r>
      <w:r w:rsidR="00B9334F">
        <w:fldChar w:fldCharType="end"/>
      </w:r>
      <w:r>
        <w:fldChar w:fldCharType="separate"/>
      </w:r>
      <w:r w:rsidR="00A77498">
        <w:rPr>
          <w:noProof/>
        </w:rPr>
        <w:t>(Murphy et al., 2017)</w:t>
      </w:r>
      <w:r>
        <w:fldChar w:fldCharType="end"/>
      </w:r>
      <w:r>
        <w:t>, the authors concluded</w:t>
      </w:r>
      <w:r w:rsidRPr="00DF199A">
        <w:t xml:space="preserve"> that the most important aspect </w:t>
      </w:r>
      <w:r w:rsidR="002F49BD">
        <w:t xml:space="preserve">for </w:t>
      </w:r>
      <w:r w:rsidRPr="00DF199A">
        <w:t xml:space="preserve">successful treatment and children </w:t>
      </w:r>
      <w:r w:rsidR="00F457D8">
        <w:t xml:space="preserve">remaining with their </w:t>
      </w:r>
      <w:r w:rsidRPr="00DF199A">
        <w:t xml:space="preserve">parents was whether parents received individually tailored comprehensive support, irrespective of the type of </w:t>
      </w:r>
      <w:r>
        <w:t>intervention</w:t>
      </w:r>
      <w:r w:rsidRPr="00DF199A">
        <w:t xml:space="preserve"> received.</w:t>
      </w:r>
      <w:r>
        <w:rPr>
          <w:rFonts w:ascii="Open Sans" w:hAnsi="Open Sans" w:cs="Open Sans"/>
          <w:color w:val="333333"/>
          <w:sz w:val="26"/>
          <w:szCs w:val="26"/>
        </w:rPr>
        <w:t xml:space="preserve"> </w:t>
      </w:r>
      <w:r>
        <w:t xml:space="preserve">Common among all reviews were authors highlighting the paucity of evidence and emphasising the need for more high-quality research in this area. This is particularly true of UK studies, of which there are few trials or quasi-experimental studies </w:t>
      </w:r>
      <w:r w:rsidR="004B14B3">
        <w:fldChar w:fldCharType="begin">
          <w:fldData xml:space="preserve">PEVuZE5vdGU+PENpdGU+PEF1dGhvcj5CYXJsb3c8L0F1dGhvcj48WWVhcj4yMDE5PC9ZZWFyPjxS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</w:fldData>
        </w:fldChar>
      </w:r>
      <w:r w:rsidR="00B9334F">
        <w:instrText xml:space="preserve"> ADDIN EN.CITE </w:instrText>
      </w:r>
      <w:r w:rsidR="00B9334F">
        <w:fldChar w:fldCharType="begin">
          <w:fldData xml:space="preserve">PEVuZE5vdGU+PENpdGU+PEF1dGhvcj5CYXJsb3c8L0F1dGhvcj48WWVhcj4yMDE5PC9ZZWFyPjxS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</w:fldData>
        </w:fldChar>
      </w:r>
      <w:r w:rsidR="00B9334F">
        <w:instrText xml:space="preserve"> ADDIN EN.CITE.DATA </w:instrText>
      </w:r>
      <w:r w:rsidR="00B9334F">
        <w:fldChar w:fldCharType="end"/>
      </w:r>
      <w:r w:rsidR="004B14B3">
        <w:fldChar w:fldCharType="separate"/>
      </w:r>
      <w:r w:rsidR="004B14B3">
        <w:rPr>
          <w:noProof/>
        </w:rPr>
        <w:t>(Barlow et al., 2019; Forrester et al., 2008; Forrester et al., 2014; Whittaker et al., 2022)</w:t>
      </w:r>
      <w:r w:rsidR="004B14B3">
        <w:fldChar w:fldCharType="end"/>
      </w:r>
      <w:r w:rsidR="004B14B3">
        <w:t>.</w:t>
      </w:r>
    </w:p>
    <w:p w14:paraId="4623E22D" w14:textId="77777777" w:rsidR="00AA5608" w:rsidRDefault="00AA5608" w:rsidP="00AA5608">
      <w:pPr>
        <w:pStyle w:val="NoSpacing"/>
        <w:spacing w:line="360" w:lineRule="auto"/>
      </w:pPr>
    </w:p>
    <w:p w14:paraId="69A8BEEC" w14:textId="77777777" w:rsidR="00AA5608" w:rsidRDefault="00AA5608" w:rsidP="00AA5608">
      <w:pPr>
        <w:pStyle w:val="NoSpacing"/>
        <w:spacing w:line="360" w:lineRule="auto"/>
      </w:pPr>
      <w:r w:rsidRPr="00056E69">
        <w:t xml:space="preserve">This paper </w:t>
      </w:r>
      <w:r>
        <w:t xml:space="preserve">aims to </w:t>
      </w:r>
      <w:r w:rsidRPr="00056E69">
        <w:t>explor</w:t>
      </w:r>
      <w:r>
        <w:t>e</w:t>
      </w:r>
      <w:r w:rsidRPr="00056E69">
        <w:t xml:space="preserve"> </w:t>
      </w:r>
      <w:r>
        <w:t xml:space="preserve">characteristics and </w:t>
      </w:r>
      <w:r w:rsidRPr="00056E69">
        <w:t>intervention</w:t>
      </w:r>
      <w:r>
        <w:t xml:space="preserve">s associated with parental status in England. </w:t>
      </w:r>
      <w:r w:rsidRPr="00056E69">
        <w:t xml:space="preserve">The study </w:t>
      </w:r>
      <w:r>
        <w:t>is</w:t>
      </w:r>
      <w:r w:rsidRPr="00056E69">
        <w:t xml:space="preserve"> a</w:t>
      </w:r>
      <w:r>
        <w:t xml:space="preserve"> descriptive and</w:t>
      </w:r>
      <w:r w:rsidRPr="00056E69">
        <w:t xml:space="preserve"> exploratory analysis of the NDTMS</w:t>
      </w:r>
      <w:r>
        <w:t xml:space="preserve"> administrative dataset in England</w:t>
      </w:r>
      <w:r w:rsidRPr="00056E69">
        <w:t xml:space="preserve">. </w:t>
      </w:r>
      <w:r>
        <w:t xml:space="preserve"> In particular, the study focusses on two research questions (RQ):</w:t>
      </w:r>
    </w:p>
    <w:p w14:paraId="09B15721" w14:textId="3F7EF564" w:rsidR="00AA5608" w:rsidRPr="00E4264A" w:rsidRDefault="00AA5608" w:rsidP="00AA5608">
      <w:pPr>
        <w:pStyle w:val="paragraph"/>
        <w:numPr>
          <w:ilvl w:val="0"/>
          <w:numId w:val="4"/>
        </w:numPr>
        <w:spacing w:before="0" w:beforeAutospacing="0" w:after="0" w:afterAutospacing="0" w:line="360" w:lineRule="auto"/>
        <w:contextualSpacing w:val="0"/>
        <w:textAlignment w:val="baseline"/>
        <w:rPr>
          <w:rFonts w:ascii="Arial" w:eastAsiaTheme="minorHAnsi" w:hAnsi="Arial" w:cs="Arial"/>
          <w:szCs w:val="22"/>
          <w:lang w:eastAsia="en-US"/>
        </w:rPr>
      </w:pPr>
      <w:r>
        <w:rPr>
          <w:rFonts w:ascii="Arial" w:eastAsiaTheme="minorHAnsi" w:hAnsi="Arial" w:cs="Arial"/>
          <w:szCs w:val="22"/>
          <w:lang w:eastAsia="en-US"/>
        </w:rPr>
        <w:t>Are parental sex and/or child living arrangements a</w:t>
      </w:r>
      <w:r w:rsidRPr="00E4264A">
        <w:rPr>
          <w:rFonts w:ascii="Arial" w:eastAsiaTheme="minorHAnsi" w:hAnsi="Arial" w:cs="Arial"/>
          <w:szCs w:val="22"/>
          <w:lang w:eastAsia="en-US"/>
        </w:rPr>
        <w:t xml:space="preserve">ssociated with a greater likelihood of receiving treatment </w:t>
      </w:r>
      <w:r w:rsidR="00545D7B">
        <w:rPr>
          <w:rFonts w:ascii="Arial" w:eastAsiaTheme="minorHAnsi" w:hAnsi="Arial" w:cs="Arial"/>
          <w:szCs w:val="22"/>
          <w:lang w:eastAsia="en-US"/>
        </w:rPr>
        <w:t>plus</w:t>
      </w:r>
      <w:r w:rsidRPr="00E4264A">
        <w:rPr>
          <w:rFonts w:ascii="Arial" w:eastAsiaTheme="minorHAnsi" w:hAnsi="Arial" w:cs="Arial"/>
          <w:szCs w:val="22"/>
          <w:lang w:eastAsia="en-US"/>
        </w:rPr>
        <w:t xml:space="preserve"> </w:t>
      </w:r>
      <w:r w:rsidR="00245867">
        <w:rPr>
          <w:rFonts w:ascii="Arial" w:eastAsiaTheme="minorHAnsi" w:hAnsi="Arial" w:cs="Arial"/>
          <w:szCs w:val="22"/>
          <w:lang w:eastAsia="en-US"/>
        </w:rPr>
        <w:t>interventions</w:t>
      </w:r>
      <w:r w:rsidR="00245867" w:rsidRPr="00E4264A">
        <w:rPr>
          <w:rFonts w:ascii="Arial" w:eastAsiaTheme="minorHAnsi" w:hAnsi="Arial" w:cs="Arial"/>
          <w:szCs w:val="22"/>
          <w:lang w:eastAsia="en-US"/>
        </w:rPr>
        <w:t xml:space="preserve"> </w:t>
      </w:r>
      <w:r w:rsidR="00245867">
        <w:rPr>
          <w:rFonts w:ascii="Arial" w:eastAsiaTheme="minorHAnsi" w:hAnsi="Arial" w:cs="Arial"/>
          <w:szCs w:val="22"/>
          <w:lang w:eastAsia="en-US"/>
        </w:rPr>
        <w:t>aimed at protecting or promoting child welfare</w:t>
      </w:r>
      <w:r w:rsidRPr="00E4264A">
        <w:rPr>
          <w:rFonts w:ascii="Arial" w:eastAsiaTheme="minorHAnsi" w:hAnsi="Arial" w:cs="Arial"/>
          <w:szCs w:val="22"/>
          <w:lang w:eastAsia="en-US"/>
        </w:rPr>
        <w:t>?</w:t>
      </w:r>
    </w:p>
    <w:p w14:paraId="736835F9" w14:textId="59F750AB" w:rsidR="00AA5608" w:rsidRPr="00E4264A" w:rsidRDefault="00AA5608" w:rsidP="00AA5608">
      <w:pPr>
        <w:pStyle w:val="paragraph"/>
        <w:numPr>
          <w:ilvl w:val="0"/>
          <w:numId w:val="4"/>
        </w:numPr>
        <w:spacing w:before="0" w:beforeAutospacing="0" w:after="0" w:afterAutospacing="0" w:line="360" w:lineRule="auto"/>
        <w:contextualSpacing w:val="0"/>
        <w:textAlignment w:val="baseline"/>
        <w:rPr>
          <w:rFonts w:ascii="Arial" w:eastAsiaTheme="minorHAnsi" w:hAnsi="Arial" w:cs="Arial"/>
          <w:szCs w:val="22"/>
          <w:lang w:eastAsia="en-US"/>
        </w:rPr>
      </w:pPr>
      <w:r>
        <w:rPr>
          <w:rFonts w:ascii="Arial" w:eastAsiaTheme="minorHAnsi" w:hAnsi="Arial" w:cs="Arial"/>
          <w:szCs w:val="22"/>
          <w:lang w:eastAsia="en-US"/>
        </w:rPr>
        <w:t>Are interventions</w:t>
      </w:r>
      <w:r w:rsidRPr="00E4264A">
        <w:rPr>
          <w:rFonts w:ascii="Arial" w:eastAsiaTheme="minorHAnsi" w:hAnsi="Arial" w:cs="Arial"/>
          <w:szCs w:val="22"/>
          <w:lang w:eastAsia="en-US"/>
        </w:rPr>
        <w:t xml:space="preserve"> </w:t>
      </w:r>
      <w:r w:rsidR="00D575C2">
        <w:rPr>
          <w:rFonts w:ascii="Arial" w:eastAsiaTheme="minorHAnsi" w:hAnsi="Arial" w:cs="Arial"/>
          <w:szCs w:val="22"/>
          <w:lang w:eastAsia="en-US"/>
        </w:rPr>
        <w:t xml:space="preserve">aimed at protecting or promoting child welfare </w:t>
      </w:r>
      <w:r w:rsidRPr="00E4264A">
        <w:rPr>
          <w:rFonts w:ascii="Arial" w:eastAsiaTheme="minorHAnsi" w:hAnsi="Arial" w:cs="Arial"/>
          <w:szCs w:val="22"/>
          <w:lang w:eastAsia="en-US"/>
        </w:rPr>
        <w:t>associated with a greater likelihood of completing treatment successfully?</w:t>
      </w:r>
    </w:p>
    <w:p w14:paraId="078E1CC5" w14:textId="77777777" w:rsidR="00AA5608" w:rsidRPr="000A3065" w:rsidRDefault="00AA5608" w:rsidP="00AA5608">
      <w:pPr>
        <w:pStyle w:val="paragraph"/>
        <w:spacing w:before="0" w:beforeAutospacing="0" w:after="0" w:afterAutospacing="0" w:line="360" w:lineRule="auto"/>
        <w:textAlignment w:val="baseline"/>
        <w:rPr>
          <w:rFonts w:ascii="Arial" w:eastAsiaTheme="minorHAnsi" w:hAnsi="Arial" w:cs="Arial"/>
          <w:szCs w:val="22"/>
          <w:lang w:eastAsia="en-US"/>
        </w:rPr>
      </w:pPr>
    </w:p>
    <w:p w14:paraId="795ABCD7" w14:textId="49879FAF" w:rsidR="00AA5608" w:rsidRPr="00F45F03" w:rsidRDefault="00A95A69" w:rsidP="009C3BBC">
      <w:pPr>
        <w:pStyle w:val="Heading2"/>
        <w:numPr>
          <w:ilvl w:val="1"/>
          <w:numId w:val="19"/>
        </w:numPr>
        <w:spacing w:line="360" w:lineRule="auto"/>
      </w:pPr>
      <w:bookmarkStart w:id="59" w:name="_Toc189229678"/>
      <w:r>
        <w:t>Methods</w:t>
      </w:r>
      <w:bookmarkEnd w:id="59"/>
      <w:r>
        <w:t xml:space="preserve"> </w:t>
      </w:r>
    </w:p>
    <w:p w14:paraId="386FAD00" w14:textId="3A8E7984" w:rsidR="00AA5608" w:rsidRPr="00056E69" w:rsidRDefault="00AA5608" w:rsidP="00AA5608">
      <w:pPr>
        <w:pStyle w:val="NoSpacing"/>
        <w:spacing w:line="360" w:lineRule="auto"/>
      </w:pPr>
      <w:r w:rsidRPr="00056E69">
        <w:t xml:space="preserve">The study </w:t>
      </w:r>
      <w:r>
        <w:t>is</w:t>
      </w:r>
      <w:r w:rsidRPr="00056E69">
        <w:t xml:space="preserve"> a</w:t>
      </w:r>
      <w:r>
        <w:t xml:space="preserve"> descriptive and</w:t>
      </w:r>
      <w:r w:rsidRPr="00056E69">
        <w:t xml:space="preserve"> exploratory </w:t>
      </w:r>
      <w:r>
        <w:t xml:space="preserve">cohort </w:t>
      </w:r>
      <w:r w:rsidRPr="00056E69">
        <w:t>analysis of the NDTMS</w:t>
      </w:r>
      <w:r>
        <w:t xml:space="preserve"> administrative dataset</w:t>
      </w:r>
      <w:r w:rsidRPr="00056E69">
        <w:t>. As child welfare data collection began 1 April 2017, data from this point was analysed</w:t>
      </w:r>
      <w:r>
        <w:t xml:space="preserve"> </w:t>
      </w:r>
      <w:r w:rsidRPr="00056E69">
        <w:t xml:space="preserve">up to 31 January 2020. </w:t>
      </w:r>
      <w:bookmarkStart w:id="60" w:name="_Hlk78623752"/>
    </w:p>
    <w:p w14:paraId="1DFE4F08" w14:textId="77777777" w:rsidR="00A95A69" w:rsidRDefault="00A95A69" w:rsidP="00A95A69"/>
    <w:p w14:paraId="5CCFE87F" w14:textId="31349EB7" w:rsidR="00FF4EB7" w:rsidRDefault="00FF4EB7" w:rsidP="009C3BBC">
      <w:pPr>
        <w:pStyle w:val="Heading3"/>
        <w:numPr>
          <w:ilvl w:val="2"/>
          <w:numId w:val="19"/>
        </w:numPr>
        <w:spacing w:line="240" w:lineRule="auto"/>
      </w:pPr>
      <w:bookmarkStart w:id="61" w:name="_Toc189229679"/>
      <w:r>
        <w:lastRenderedPageBreak/>
        <w:t>Dataset, population and setting</w:t>
      </w:r>
      <w:bookmarkEnd w:id="61"/>
    </w:p>
    <w:p w14:paraId="4FD29170" w14:textId="77777777" w:rsidR="00FF4EB7" w:rsidRPr="00FF4EB7" w:rsidRDefault="00FF4EB7" w:rsidP="00FF4EB7"/>
    <w:p w14:paraId="022394F0" w14:textId="77777777" w:rsidR="009852E4" w:rsidRDefault="00AA5608" w:rsidP="00AA5608">
      <w:pPr>
        <w:pStyle w:val="NoSpacing"/>
        <w:spacing w:line="360" w:lineRule="auto"/>
        <w:rPr>
          <w:rFonts w:eastAsia="Times New Roman"/>
          <w:lang w:eastAsia="en-GB"/>
        </w:rPr>
      </w:pPr>
      <w:r>
        <w:rPr>
          <w:rFonts w:eastAsia="Times New Roman"/>
          <w:lang w:eastAsia="en-GB"/>
        </w:rPr>
        <w:t>The NDTMS is</w:t>
      </w:r>
      <w:r w:rsidRPr="00A3040C">
        <w:rPr>
          <w:rFonts w:eastAsia="Times New Roman"/>
          <w:lang w:eastAsia="en-GB"/>
        </w:rPr>
        <w:t xml:space="preserve"> a database which records clinically relevant </w:t>
      </w:r>
      <w:r>
        <w:rPr>
          <w:rFonts w:eastAsia="Times New Roman"/>
          <w:lang w:eastAsia="en-GB"/>
        </w:rPr>
        <w:t>and</w:t>
      </w:r>
      <w:r w:rsidRPr="00A3040C">
        <w:rPr>
          <w:rFonts w:eastAsia="Times New Roman"/>
          <w:lang w:eastAsia="en-GB"/>
        </w:rPr>
        <w:t xml:space="preserve"> socio-demographic data on people receiving treatment for </w:t>
      </w:r>
      <w:r>
        <w:rPr>
          <w:rFonts w:eastAsia="Times New Roman"/>
          <w:lang w:eastAsia="en-GB"/>
        </w:rPr>
        <w:t>SUD</w:t>
      </w:r>
      <w:r w:rsidRPr="00A3040C">
        <w:rPr>
          <w:rFonts w:eastAsia="Times New Roman"/>
          <w:lang w:eastAsia="en-GB"/>
        </w:rPr>
        <w:t xml:space="preserve">. Data is captured at the start of the </w:t>
      </w:r>
      <w:r>
        <w:rPr>
          <w:rFonts w:eastAsia="Times New Roman"/>
          <w:lang w:eastAsia="en-GB"/>
        </w:rPr>
        <w:t xml:space="preserve">alcohol and/ or drug </w:t>
      </w:r>
      <w:r w:rsidRPr="00A3040C">
        <w:rPr>
          <w:rFonts w:eastAsia="Times New Roman"/>
          <w:lang w:eastAsia="en-GB"/>
        </w:rPr>
        <w:t xml:space="preserve">treatment process </w:t>
      </w:r>
      <w:r>
        <w:rPr>
          <w:rFonts w:eastAsia="Times New Roman"/>
          <w:lang w:eastAsia="en-GB"/>
        </w:rPr>
        <w:t xml:space="preserve">by treatment practitioners </w:t>
      </w:r>
      <w:r w:rsidRPr="00A3040C">
        <w:rPr>
          <w:rFonts w:eastAsia="Times New Roman"/>
          <w:lang w:eastAsia="en-GB"/>
        </w:rPr>
        <w:t xml:space="preserve">and reviewed </w:t>
      </w:r>
      <w:r>
        <w:rPr>
          <w:rFonts w:eastAsia="Times New Roman"/>
          <w:lang w:eastAsia="en-GB"/>
        </w:rPr>
        <w:t>regularly (at least every 6 months) by staff with their patients to monitor progress and record any changes, such as parental status</w:t>
      </w:r>
      <w:r w:rsidRPr="00A3040C">
        <w:rPr>
          <w:rFonts w:eastAsia="Times New Roman"/>
          <w:lang w:eastAsia="en-GB"/>
        </w:rPr>
        <w:t>. </w:t>
      </w:r>
      <w:r>
        <w:rPr>
          <w:rFonts w:eastAsia="Times New Roman"/>
          <w:lang w:eastAsia="en-GB"/>
        </w:rPr>
        <w:t xml:space="preserve">While the treatment and recovery support interventions received would be known to practitioners, recording of information on child welfare support interventions is reliant on patient disclosure. </w:t>
      </w:r>
    </w:p>
    <w:p w14:paraId="15822792" w14:textId="77777777" w:rsidR="009852E4" w:rsidRDefault="009852E4" w:rsidP="00AA5608">
      <w:pPr>
        <w:pStyle w:val="NoSpacing"/>
        <w:spacing w:line="360" w:lineRule="auto"/>
        <w:rPr>
          <w:rFonts w:eastAsia="Times New Roman"/>
          <w:lang w:eastAsia="en-GB"/>
        </w:rPr>
      </w:pPr>
    </w:p>
    <w:p w14:paraId="4556E05E" w14:textId="0980F701" w:rsidR="00AA5608" w:rsidRDefault="009852E4" w:rsidP="00FF4EB7">
      <w:pPr>
        <w:pStyle w:val="NoSpacing"/>
        <w:spacing w:line="360" w:lineRule="auto"/>
      </w:pPr>
      <w:r w:rsidRPr="00EF2F05">
        <w:fldChar w:fldCharType="begin"/>
      </w:r>
      <w:r w:rsidRPr="00EF2F05">
        <w:instrText xml:space="preserve"> REF _Ref176788585 \h  \* MERGEFORMAT </w:instrText>
      </w:r>
      <w:r w:rsidRPr="00EF2F05">
        <w:fldChar w:fldCharType="separate"/>
      </w:r>
      <w:r w:rsidR="00CB4922" w:rsidRPr="00EF2F05">
        <w:t xml:space="preserve">Figure </w:t>
      </w:r>
      <w:r w:rsidR="00CB4922" w:rsidRPr="00EF2F05">
        <w:rPr>
          <w:noProof/>
        </w:rPr>
        <w:t>3.3</w:t>
      </w:r>
      <w:r w:rsidR="00CB4922" w:rsidRPr="00EF2F05">
        <w:rPr>
          <w:noProof/>
        </w:rPr>
        <w:noBreakHyphen/>
        <w:t>1</w:t>
      </w:r>
      <w:r w:rsidRPr="00EF2F05">
        <w:fldChar w:fldCharType="end"/>
      </w:r>
      <w:r w:rsidRPr="00EF2F05">
        <w:t xml:space="preserve"> </w:t>
      </w:r>
      <w:r w:rsidR="00AA5608" w:rsidRPr="00EF2F05">
        <w:t>describes</w:t>
      </w:r>
      <w:r w:rsidR="00AA5608" w:rsidRPr="009852E4">
        <w:t xml:space="preserve"> the flow of</w:t>
      </w:r>
      <w:r w:rsidR="00AA5608" w:rsidRPr="009852E4">
        <w:rPr>
          <w:rStyle w:val="CommentReference"/>
          <w:sz w:val="24"/>
          <w:szCs w:val="24"/>
        </w:rPr>
        <w:t xml:space="preserve"> </w:t>
      </w:r>
      <w:r w:rsidR="00AA5608" w:rsidRPr="009852E4">
        <w:t>patients included in the final analysis. The population</w:t>
      </w:r>
      <w:r w:rsidR="00AA5608" w:rsidRPr="00056E69">
        <w:t xml:space="preserve"> were adults (≥ 18 years) with SUD </w:t>
      </w:r>
      <w:r w:rsidR="00AA5608">
        <w:t xml:space="preserve">receiving </w:t>
      </w:r>
      <w:r w:rsidR="00AA5608" w:rsidRPr="00056E69">
        <w:t xml:space="preserve">treatment </w:t>
      </w:r>
      <w:r w:rsidR="00AA5608">
        <w:t>in</w:t>
      </w:r>
      <w:r w:rsidR="00AA5608" w:rsidRPr="00056E69">
        <w:t xml:space="preserve"> </w:t>
      </w:r>
      <w:r w:rsidR="00AA5608">
        <w:t xml:space="preserve">all upper-tier English </w:t>
      </w:r>
      <w:r w:rsidR="00AA5608" w:rsidRPr="00056E69">
        <w:t>local authorities</w:t>
      </w:r>
      <w:r w:rsidR="00AA5608">
        <w:t xml:space="preserve"> (n=</w:t>
      </w:r>
      <w:r w:rsidR="00AA5608" w:rsidRPr="00056E69">
        <w:t>1</w:t>
      </w:r>
      <w:r w:rsidR="00AA5608">
        <w:t>28</w:t>
      </w:r>
      <w:r w:rsidR="00AA5608" w:rsidRPr="00056E69">
        <w:t>,</w:t>
      </w:r>
      <w:r w:rsidR="00AA5608">
        <w:t>840)</w:t>
      </w:r>
      <w:r w:rsidR="00AA5608" w:rsidRPr="00056E69">
        <w:t xml:space="preserve">. </w:t>
      </w:r>
      <w:r w:rsidR="00AA5608">
        <w:rPr>
          <w:rStyle w:val="normaltextrun"/>
          <w:color w:val="000000"/>
          <w:shd w:val="clear" w:color="auto" w:fill="FFFFFF"/>
        </w:rPr>
        <w:t xml:space="preserve">Under the NDTMS reporting rules, a </w:t>
      </w:r>
      <w:r w:rsidR="00BF18D0">
        <w:rPr>
          <w:rStyle w:val="normaltextrun"/>
          <w:color w:val="000000"/>
          <w:shd w:val="clear" w:color="auto" w:fill="FFFFFF"/>
        </w:rPr>
        <w:t>‘</w:t>
      </w:r>
      <w:r w:rsidR="00AA5608">
        <w:rPr>
          <w:rStyle w:val="normaltextrun"/>
          <w:color w:val="000000"/>
          <w:shd w:val="clear" w:color="auto" w:fill="FFFFFF"/>
        </w:rPr>
        <w:t>parent</w:t>
      </w:r>
      <w:r w:rsidR="00BF18D0">
        <w:rPr>
          <w:rStyle w:val="normaltextrun"/>
          <w:color w:val="000000"/>
          <w:shd w:val="clear" w:color="auto" w:fill="FFFFFF"/>
        </w:rPr>
        <w:t>’</w:t>
      </w:r>
      <w:r w:rsidR="00AA5608">
        <w:rPr>
          <w:rStyle w:val="normaltextrun"/>
          <w:color w:val="000000"/>
          <w:shd w:val="clear" w:color="auto" w:fill="FFFFFF"/>
        </w:rPr>
        <w:t xml:space="preserve"> can be a: biological parent, stepparent, foster parent, adoptive parent, guardian or a de facto parent (where a patient has taken on partial or full parenting responsibilities). </w:t>
      </w:r>
      <w:r w:rsidR="00AA5608" w:rsidRPr="00056E69">
        <w:t xml:space="preserve">Patients </w:t>
      </w:r>
      <w:r w:rsidR="00AA5608">
        <w:t xml:space="preserve">who had been triaged by a treatment practitioner as requiring treatment but had not actually yet started treatment (n=1,295), and patients </w:t>
      </w:r>
      <w:r w:rsidR="00AA5608" w:rsidRPr="00056E69">
        <w:t xml:space="preserve">with no parental status recorded </w:t>
      </w:r>
      <w:r w:rsidR="00AA5608" w:rsidRPr="009426BF">
        <w:t xml:space="preserve">were </w:t>
      </w:r>
      <w:r w:rsidR="00AA5608">
        <w:t>excluded</w:t>
      </w:r>
      <w:r w:rsidR="00AA5608" w:rsidRPr="009426BF">
        <w:t xml:space="preserve"> (n=</w:t>
      </w:r>
      <w:r w:rsidR="00AA5608">
        <w:t>2</w:t>
      </w:r>
      <w:r w:rsidR="00AA5608" w:rsidRPr="009426BF">
        <w:t>,</w:t>
      </w:r>
      <w:r w:rsidR="00AA5608">
        <w:t>531</w:t>
      </w:r>
      <w:r w:rsidR="00AA5608" w:rsidRPr="009426BF">
        <w:t>).</w:t>
      </w:r>
      <w:r w:rsidR="00AA5608" w:rsidRPr="00056E69">
        <w:t xml:space="preserve"> </w:t>
      </w:r>
      <w:r w:rsidR="00AA5608" w:rsidRPr="00056E69">
        <w:rPr>
          <w:rStyle w:val="normaltextrun"/>
          <w:shd w:val="clear" w:color="auto" w:fill="FFFFFF"/>
        </w:rPr>
        <w:t>While there are many quality checks on NDTMS data </w:t>
      </w:r>
      <w:r w:rsidR="00AA5608" w:rsidRPr="00056E69">
        <w:rPr>
          <w:rStyle w:val="normaltextrun"/>
          <w:shd w:val="clear" w:color="auto" w:fill="FFFFFF"/>
        </w:rPr>
        <w:fldChar w:fldCharType="begin"/>
      </w:r>
      <w:r w:rsidR="00B9334F">
        <w:rPr>
          <w:rStyle w:val="normaltextrun"/>
          <w:shd w:val="clear" w:color="auto" w:fill="FFFFFF"/>
        </w:rPr>
        <w:instrText xml:space="preserve"> ADDIN EN.CITE &lt;EndNote&gt;&lt;Cite&gt;&lt;Author&gt;PHE&lt;/Author&gt;&lt;Year&gt;2019&lt;/Year&gt;&lt;RecNum&gt;292&lt;/RecNum&gt;&lt;DisplayText&gt;(PHE, 2019b)&lt;/DisplayText&gt;&lt;record&gt;&lt;rec-number&gt;292&lt;/rec-number&gt;&lt;foreign-keys&gt;&lt;key app="EN" db-id="ffzvr5fstavwxoe9v04xf0wmp5t50as52da0" timestamp="1731671655" guid="91371620-690d-4ef4-afe2-17dfff596417"&gt;292&lt;/key&gt;&lt;/foreign-keys&gt;&lt;ref-type name="Web Page"&gt;12&lt;/ref-type&gt;&lt;contributors&gt;&lt;authors&gt;&lt;author&gt;PHE&lt;/author&gt;&lt;/authors&gt;&lt;/contributors&gt;&lt;titles&gt;&lt;title&gt;Substance misuse treatment statistics. National Drug Treatment Monitoring System: Quality and methodology information paper&lt;/title&gt;&lt;/titles&gt;&lt;number&gt;11 Dec 2020&lt;/number&gt;&lt;dates&gt;&lt;year&gt;2019&lt;/year&gt;&lt;/dates&gt;&lt;publisher&gt;Public Health England&lt;/publisher&gt;&lt;urls&gt;&lt;related-urls&gt;&lt;url&gt;https://www.ndtms.net/resources/public/NDTMS_annual_report-Quality_methodology.pdf&lt;/url&gt;&lt;/related-urls&gt;&lt;/urls&gt;&lt;/record&gt;&lt;/Cite&gt;&lt;/EndNote&gt;</w:instrText>
      </w:r>
      <w:r w:rsidR="00AA5608" w:rsidRPr="00056E69">
        <w:rPr>
          <w:rStyle w:val="normaltextrun"/>
          <w:shd w:val="clear" w:color="auto" w:fill="FFFFFF"/>
        </w:rPr>
        <w:fldChar w:fldCharType="separate"/>
      </w:r>
      <w:r w:rsidR="00A77498">
        <w:rPr>
          <w:rStyle w:val="normaltextrun"/>
          <w:noProof/>
          <w:shd w:val="clear" w:color="auto" w:fill="FFFFFF"/>
        </w:rPr>
        <w:t>(PHE, 2019b)</w:t>
      </w:r>
      <w:r w:rsidR="00AA5608" w:rsidRPr="00056E69">
        <w:rPr>
          <w:rStyle w:val="normaltextrun"/>
          <w:shd w:val="clear" w:color="auto" w:fill="FFFFFF"/>
        </w:rPr>
        <w:fldChar w:fldCharType="end"/>
      </w:r>
      <w:r w:rsidR="00AA5608" w:rsidRPr="00056E69">
        <w:rPr>
          <w:rStyle w:val="normaltextrun"/>
          <w:shd w:val="clear" w:color="auto" w:fill="FFFFFF"/>
        </w:rPr>
        <w:t>, there is no rule to prevent inconsistent </w:t>
      </w:r>
      <w:r w:rsidR="00AA5608" w:rsidRPr="00056E69">
        <w:rPr>
          <w:rStyle w:val="normaltextrun"/>
          <w:color w:val="000000"/>
          <w:shd w:val="clear" w:color="auto" w:fill="FFFFFF"/>
        </w:rPr>
        <w:t>data on families being recorded. For example, an individual can be recorded as a parent living with children in one field</w:t>
      </w:r>
      <w:r w:rsidR="00AA5608">
        <w:rPr>
          <w:rStyle w:val="normaltextrun"/>
          <w:color w:val="000000"/>
          <w:shd w:val="clear" w:color="auto" w:fill="FFFFFF"/>
        </w:rPr>
        <w:t xml:space="preserve"> </w:t>
      </w:r>
      <w:r w:rsidR="00AA5608" w:rsidRPr="00056E69">
        <w:rPr>
          <w:rStyle w:val="normaltextrun"/>
          <w:color w:val="000000"/>
          <w:shd w:val="clear" w:color="auto" w:fill="FFFFFF"/>
        </w:rPr>
        <w:t xml:space="preserve">and living with 0 children in </w:t>
      </w:r>
      <w:r w:rsidR="00AA5608">
        <w:rPr>
          <w:rStyle w:val="normaltextrun"/>
          <w:color w:val="000000"/>
          <w:shd w:val="clear" w:color="auto" w:fill="FFFFFF"/>
        </w:rPr>
        <w:t>another during the same timeframe</w:t>
      </w:r>
      <w:r w:rsidR="00AA5608" w:rsidRPr="00BE3C1E">
        <w:rPr>
          <w:rStyle w:val="normaltextrun"/>
          <w:color w:val="000000"/>
          <w:shd w:val="clear" w:color="auto" w:fill="FFFFFF"/>
        </w:rPr>
        <w:t>. Such contradictory cases were excluded (n=5,853).</w:t>
      </w:r>
      <w:r w:rsidR="00AA5608" w:rsidRPr="00056E69">
        <w:rPr>
          <w:rStyle w:val="eop"/>
          <w:color w:val="000000"/>
          <w:shd w:val="clear" w:color="auto" w:fill="FFFFFF"/>
        </w:rPr>
        <w:t> </w:t>
      </w:r>
      <w:r w:rsidR="00AA5608">
        <w:t xml:space="preserve">Of the cases included, there were 57,529 parents or carers (48.2%) who were categorised into </w:t>
      </w:r>
      <w:r w:rsidR="00AA5608" w:rsidRPr="00C81657">
        <w:rPr>
          <w:rStyle w:val="normaltextrun"/>
          <w:color w:val="000000"/>
          <w:shd w:val="clear" w:color="auto" w:fill="FFFFFF"/>
        </w:rPr>
        <w:t>‘</w:t>
      </w:r>
      <w:r w:rsidR="00800285" w:rsidRPr="00C81657">
        <w:rPr>
          <w:rStyle w:val="normaltextrun"/>
          <w:color w:val="000000"/>
          <w:shd w:val="clear" w:color="auto" w:fill="FFFFFF"/>
        </w:rPr>
        <w:t>Parent living</w:t>
      </w:r>
      <w:r w:rsidR="00AA5608" w:rsidRPr="00C81657">
        <w:rPr>
          <w:rStyle w:val="normaltextrun"/>
          <w:color w:val="000000"/>
          <w:shd w:val="clear" w:color="auto" w:fill="FFFFFF"/>
        </w:rPr>
        <w:t xml:space="preserve"> with children’ (n=18,161, 31.6%) and ‘Parent not living with [any of their] children’ (n=39,368, 68.4%). </w:t>
      </w:r>
      <w:r w:rsidR="00C81657" w:rsidRPr="00C81657">
        <w:rPr>
          <w:rStyle w:val="normaltextrun"/>
          <w:color w:val="000000"/>
          <w:shd w:val="clear" w:color="auto" w:fill="FFFFFF"/>
        </w:rPr>
        <w:t xml:space="preserve">A parent may not be living with their children this might be because they are separated from their partner, but they may still be in contact, or they may have a child in care. </w:t>
      </w:r>
      <w:r w:rsidR="00AA5608" w:rsidRPr="00C81657">
        <w:rPr>
          <w:rStyle w:val="normaltextrun"/>
          <w:color w:val="000000"/>
          <w:shd w:val="clear" w:color="auto" w:fill="FFFFFF"/>
        </w:rPr>
        <w:t>Data was then</w:t>
      </w:r>
      <w:r w:rsidR="00AA5608">
        <w:t xml:space="preserve"> broken down by sex, with </w:t>
      </w:r>
      <w:r w:rsidR="00AB7760">
        <w:t>mothers</w:t>
      </w:r>
      <w:r w:rsidR="00AA5608">
        <w:t xml:space="preserve"> representing half of </w:t>
      </w:r>
      <w:r w:rsidR="00411E9B">
        <w:t>parents living</w:t>
      </w:r>
      <w:r w:rsidR="00AA5608">
        <w:t xml:space="preserve"> with children (n=9,124, 50.2%) and under a third of parents not living with children (n=11,473, 29.1%).</w:t>
      </w:r>
    </w:p>
    <w:p w14:paraId="5E74F9E4" w14:textId="77777777" w:rsidR="00EF2F05" w:rsidRDefault="00EF2F05" w:rsidP="00FF4EB7">
      <w:pPr>
        <w:pStyle w:val="NoSpacing"/>
        <w:spacing w:line="360" w:lineRule="auto"/>
      </w:pPr>
    </w:p>
    <w:p w14:paraId="454E0676" w14:textId="77777777" w:rsidR="00EF2F05" w:rsidRDefault="00EF2F05" w:rsidP="00FF4EB7">
      <w:pPr>
        <w:pStyle w:val="NoSpacing"/>
        <w:spacing w:line="360" w:lineRule="auto"/>
      </w:pPr>
    </w:p>
    <w:p w14:paraId="7CE386A1" w14:textId="77777777" w:rsidR="00EF2F05" w:rsidRDefault="00EF2F05" w:rsidP="00FF4EB7">
      <w:pPr>
        <w:pStyle w:val="NoSpacing"/>
        <w:spacing w:line="360" w:lineRule="auto"/>
      </w:pPr>
    </w:p>
    <w:p w14:paraId="7B2482FF" w14:textId="77777777" w:rsidR="00EF2F05" w:rsidRPr="00CB4922" w:rsidRDefault="00EF2F05" w:rsidP="00FF4EB7">
      <w:pPr>
        <w:pStyle w:val="NoSpacing"/>
        <w:spacing w:line="360" w:lineRule="auto"/>
        <w:rPr>
          <w:rFonts w:eastAsia="Times New Roman"/>
          <w:lang w:eastAsia="en-GB"/>
        </w:rPr>
      </w:pPr>
    </w:p>
    <w:p w14:paraId="3CB2C370" w14:textId="77777777" w:rsidR="00FF4EB7" w:rsidRDefault="00FF4EB7" w:rsidP="00FF4EB7">
      <w:pPr>
        <w:pStyle w:val="NoSpacing"/>
        <w:spacing w:line="360" w:lineRule="auto"/>
      </w:pPr>
    </w:p>
    <w:p w14:paraId="38AD161E" w14:textId="65D3E322" w:rsidR="00FF4EB7" w:rsidRPr="009852E4" w:rsidRDefault="00FF4EB7" w:rsidP="00FF4EB7">
      <w:pPr>
        <w:pStyle w:val="Caption"/>
        <w:rPr>
          <w:b w:val="0"/>
          <w:bCs w:val="0"/>
          <w:i/>
          <w:iCs/>
          <w:color w:val="auto"/>
          <w:sz w:val="24"/>
          <w:szCs w:val="24"/>
        </w:rPr>
      </w:pPr>
      <w:bookmarkStart w:id="62" w:name="_Ref176788585"/>
      <w:bookmarkStart w:id="63" w:name="_Ref176788578"/>
      <w:bookmarkStart w:id="64" w:name="_Toc185845009"/>
      <w:r w:rsidRPr="009852E4">
        <w:rPr>
          <w:b w:val="0"/>
          <w:bCs w:val="0"/>
          <w:i/>
          <w:iCs/>
          <w:color w:val="auto"/>
          <w:sz w:val="24"/>
          <w:szCs w:val="24"/>
        </w:rPr>
        <w:lastRenderedPageBreak/>
        <w:t xml:space="preserve">Figure </w:t>
      </w:r>
      <w:r w:rsidR="002B1FB9">
        <w:rPr>
          <w:b w:val="0"/>
          <w:bCs w:val="0"/>
          <w:i/>
          <w:iCs/>
          <w:color w:val="auto"/>
          <w:sz w:val="24"/>
          <w:szCs w:val="24"/>
        </w:rPr>
        <w:fldChar w:fldCharType="begin"/>
      </w:r>
      <w:r w:rsidR="002B1FB9">
        <w:rPr>
          <w:b w:val="0"/>
          <w:bCs w:val="0"/>
          <w:i/>
          <w:iCs/>
          <w:color w:val="auto"/>
          <w:sz w:val="24"/>
          <w:szCs w:val="24"/>
        </w:rPr>
        <w:instrText xml:space="preserve"> STYLEREF 2 \s </w:instrText>
      </w:r>
      <w:r w:rsidR="002B1FB9">
        <w:rPr>
          <w:b w:val="0"/>
          <w:bCs w:val="0"/>
          <w:i/>
          <w:iCs/>
          <w:color w:val="auto"/>
          <w:sz w:val="24"/>
          <w:szCs w:val="24"/>
        </w:rPr>
        <w:fldChar w:fldCharType="separate"/>
      </w:r>
      <w:r w:rsidR="002B1FB9">
        <w:rPr>
          <w:b w:val="0"/>
          <w:bCs w:val="0"/>
          <w:i/>
          <w:iCs/>
          <w:noProof/>
          <w:color w:val="auto"/>
          <w:sz w:val="24"/>
          <w:szCs w:val="24"/>
        </w:rPr>
        <w:t>3.3</w:t>
      </w:r>
      <w:r w:rsidR="002B1FB9">
        <w:rPr>
          <w:b w:val="0"/>
          <w:bCs w:val="0"/>
          <w:i/>
          <w:iCs/>
          <w:color w:val="auto"/>
          <w:sz w:val="24"/>
          <w:szCs w:val="24"/>
        </w:rPr>
        <w:fldChar w:fldCharType="end"/>
      </w:r>
      <w:r w:rsidR="002B1FB9">
        <w:rPr>
          <w:b w:val="0"/>
          <w:bCs w:val="0"/>
          <w:i/>
          <w:iCs/>
          <w:color w:val="auto"/>
          <w:sz w:val="24"/>
          <w:szCs w:val="24"/>
        </w:rPr>
        <w:noBreakHyphen/>
      </w:r>
      <w:r w:rsidR="002B1FB9">
        <w:rPr>
          <w:b w:val="0"/>
          <w:bCs w:val="0"/>
          <w:i/>
          <w:iCs/>
          <w:color w:val="auto"/>
          <w:sz w:val="24"/>
          <w:szCs w:val="24"/>
        </w:rPr>
        <w:fldChar w:fldCharType="begin"/>
      </w:r>
      <w:r w:rsidR="002B1FB9">
        <w:rPr>
          <w:b w:val="0"/>
          <w:bCs w:val="0"/>
          <w:i/>
          <w:iCs/>
          <w:color w:val="auto"/>
          <w:sz w:val="24"/>
          <w:szCs w:val="24"/>
        </w:rPr>
        <w:instrText xml:space="preserve"> SEQ Figure \* ARABIC \s 2 </w:instrText>
      </w:r>
      <w:r w:rsidR="002B1FB9">
        <w:rPr>
          <w:b w:val="0"/>
          <w:bCs w:val="0"/>
          <w:i/>
          <w:iCs/>
          <w:color w:val="auto"/>
          <w:sz w:val="24"/>
          <w:szCs w:val="24"/>
        </w:rPr>
        <w:fldChar w:fldCharType="separate"/>
      </w:r>
      <w:r w:rsidR="002B1FB9">
        <w:rPr>
          <w:b w:val="0"/>
          <w:bCs w:val="0"/>
          <w:i/>
          <w:iCs/>
          <w:noProof/>
          <w:color w:val="auto"/>
          <w:sz w:val="24"/>
          <w:szCs w:val="24"/>
        </w:rPr>
        <w:t>1</w:t>
      </w:r>
      <w:r w:rsidR="002B1FB9">
        <w:rPr>
          <w:b w:val="0"/>
          <w:bCs w:val="0"/>
          <w:i/>
          <w:iCs/>
          <w:color w:val="auto"/>
          <w:sz w:val="24"/>
          <w:szCs w:val="24"/>
        </w:rPr>
        <w:fldChar w:fldCharType="end"/>
      </w:r>
      <w:bookmarkEnd w:id="62"/>
      <w:r w:rsidR="009852E4">
        <w:rPr>
          <w:b w:val="0"/>
          <w:bCs w:val="0"/>
          <w:i/>
          <w:iCs/>
          <w:color w:val="auto"/>
          <w:sz w:val="24"/>
          <w:szCs w:val="24"/>
        </w:rPr>
        <w:tab/>
      </w:r>
      <w:r w:rsidRPr="009852E4">
        <w:rPr>
          <w:b w:val="0"/>
          <w:bCs w:val="0"/>
          <w:i/>
          <w:iCs/>
          <w:color w:val="auto"/>
          <w:sz w:val="24"/>
          <w:szCs w:val="24"/>
        </w:rPr>
        <w:t>Flow diagram of patients included in final analysis</w:t>
      </w:r>
      <w:bookmarkEnd w:id="63"/>
      <w:bookmarkEnd w:id="64"/>
    </w:p>
    <w:p w14:paraId="28112E53" w14:textId="77777777" w:rsidR="00AA5608" w:rsidRDefault="00AA5608" w:rsidP="00AA5608">
      <w:pPr>
        <w:pStyle w:val="NoSpacing"/>
        <w:rPr>
          <w:noProof/>
        </w:rPr>
      </w:pPr>
      <w:r>
        <w:rPr>
          <w:noProof/>
          <w:lang w:eastAsia="en-GB"/>
        </w:rPr>
        <mc:AlternateContent>
          <mc:Choice Requires="wpg">
            <w:drawing>
              <wp:anchor distT="0" distB="0" distL="114300" distR="114300" simplePos="0" relativeHeight="251575296" behindDoc="0" locked="0" layoutInCell="1" allowOverlap="1" wp14:anchorId="27F2A69C" wp14:editId="75BA220E">
                <wp:simplePos x="0" y="0"/>
                <wp:positionH relativeFrom="column">
                  <wp:posOffset>-326003</wp:posOffset>
                </wp:positionH>
                <wp:positionV relativeFrom="paragraph">
                  <wp:posOffset>221946</wp:posOffset>
                </wp:positionV>
                <wp:extent cx="6514531" cy="3049429"/>
                <wp:effectExtent l="0" t="0" r="19685" b="17780"/>
                <wp:wrapNone/>
                <wp:docPr id="1" name="Group 1"/>
                <wp:cNvGraphicFramePr/>
                <a:graphic xmlns:a="http://schemas.openxmlformats.org/drawingml/2006/main">
                  <a:graphicData uri="http://schemas.microsoft.com/office/word/2010/wordprocessingGroup">
                    <wpg:wgp>
                      <wpg:cNvGrpSpPr/>
                      <wpg:grpSpPr>
                        <a:xfrm>
                          <a:off x="0" y="0"/>
                          <a:ext cx="6514531" cy="3049429"/>
                          <a:chOff x="10350" y="0"/>
                          <a:chExt cx="7642349" cy="3817926"/>
                        </a:xfrm>
                      </wpg:grpSpPr>
                      <wps:wsp>
                        <wps:cNvPr id="3" name="Text Box 3"/>
                        <wps:cNvSpPr txBox="1"/>
                        <wps:spPr>
                          <a:xfrm>
                            <a:off x="993913" y="0"/>
                            <a:ext cx="3973795" cy="470018"/>
                          </a:xfrm>
                          <a:prstGeom prst="rect">
                            <a:avLst/>
                          </a:prstGeom>
                          <a:solidFill>
                            <a:schemeClr val="lt1"/>
                          </a:solidFill>
                          <a:ln w="6350">
                            <a:solidFill>
                              <a:prstClr val="black"/>
                            </a:solidFill>
                          </a:ln>
                        </wps:spPr>
                        <wps:txbx>
                          <w:txbxContent>
                            <w:p w14:paraId="5597519E" w14:textId="77777777" w:rsidR="00AA5608" w:rsidRPr="00F124E3" w:rsidRDefault="00AA5608" w:rsidP="00AA5608">
                              <w:pPr>
                                <w:jc w:val="center"/>
                                <w:rPr>
                                  <w:sz w:val="18"/>
                                  <w:szCs w:val="18"/>
                                </w:rPr>
                              </w:pPr>
                              <w:r w:rsidRPr="00F124E3">
                                <w:rPr>
                                  <w:sz w:val="18"/>
                                  <w:szCs w:val="18"/>
                                </w:rPr>
                                <w:t>All triaged patients 1 April 2017 to 31 January 2020 (n=128,840)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93817" y="779227"/>
                            <a:ext cx="3973795" cy="335749"/>
                          </a:xfrm>
                          <a:prstGeom prst="rect">
                            <a:avLst/>
                          </a:prstGeom>
                          <a:solidFill>
                            <a:schemeClr val="lt1"/>
                          </a:solidFill>
                          <a:ln w="6350">
                            <a:solidFill>
                              <a:prstClr val="black"/>
                            </a:solidFill>
                          </a:ln>
                        </wps:spPr>
                        <wps:txbx>
                          <w:txbxContent>
                            <w:p w14:paraId="3D345781" w14:textId="77777777" w:rsidR="00AA5608" w:rsidRPr="00F124E3" w:rsidRDefault="00AA5608" w:rsidP="00AA5608">
                              <w:pPr>
                                <w:jc w:val="center"/>
                                <w:rPr>
                                  <w:sz w:val="18"/>
                                  <w:szCs w:val="18"/>
                                </w:rPr>
                              </w:pPr>
                              <w:r w:rsidRPr="00F124E3">
                                <w:rPr>
                                  <w:sz w:val="18"/>
                                  <w:szCs w:val="18"/>
                                </w:rPr>
                                <w:t>Patients who started a treatment intervention (n=127,545)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93817" y="1428195"/>
                            <a:ext cx="3973795" cy="284089"/>
                          </a:xfrm>
                          <a:prstGeom prst="rect">
                            <a:avLst/>
                          </a:prstGeom>
                          <a:solidFill>
                            <a:schemeClr val="lt1"/>
                          </a:solidFill>
                          <a:ln w="6350">
                            <a:solidFill>
                              <a:prstClr val="black"/>
                            </a:solidFill>
                          </a:ln>
                        </wps:spPr>
                        <wps:txbx>
                          <w:txbxContent>
                            <w:p w14:paraId="58504C71" w14:textId="77777777" w:rsidR="00AA5608" w:rsidRPr="00F124E3" w:rsidRDefault="00AA5608" w:rsidP="00AA5608">
                              <w:pPr>
                                <w:jc w:val="center"/>
                                <w:rPr>
                                  <w:sz w:val="18"/>
                                  <w:szCs w:val="18"/>
                                </w:rPr>
                              </w:pPr>
                              <w:r w:rsidRPr="00F124E3">
                                <w:rPr>
                                  <w:sz w:val="18"/>
                                  <w:szCs w:val="18"/>
                                </w:rPr>
                                <w:t>Patients with parental status recorded (n=125,114)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93914" y="1977322"/>
                            <a:ext cx="3973795" cy="470018"/>
                          </a:xfrm>
                          <a:prstGeom prst="rect">
                            <a:avLst/>
                          </a:prstGeom>
                          <a:solidFill>
                            <a:schemeClr val="lt1"/>
                          </a:solidFill>
                          <a:ln w="6350">
                            <a:solidFill>
                              <a:prstClr val="black"/>
                            </a:solidFill>
                          </a:ln>
                        </wps:spPr>
                        <wps:txbx>
                          <w:txbxContent>
                            <w:p w14:paraId="33BB91CB" w14:textId="77777777" w:rsidR="00AA5608" w:rsidRPr="00F124E3" w:rsidRDefault="00AA5608" w:rsidP="00AA5608">
                              <w:pPr>
                                <w:jc w:val="center"/>
                                <w:rPr>
                                  <w:sz w:val="18"/>
                                  <w:szCs w:val="18"/>
                                </w:rPr>
                              </w:pPr>
                              <w:r w:rsidRPr="00F124E3">
                                <w:rPr>
                                  <w:sz w:val="18"/>
                                  <w:szCs w:val="18"/>
                                </w:rPr>
                                <w:t>Patients with no inconsistencies in parental status/ number of children recorded (n=119,261)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0350" y="2832076"/>
                            <a:ext cx="2691766" cy="304800"/>
                          </a:xfrm>
                          <a:prstGeom prst="rect">
                            <a:avLst/>
                          </a:prstGeom>
                          <a:solidFill>
                            <a:schemeClr val="lt1"/>
                          </a:solidFill>
                          <a:ln w="6350">
                            <a:solidFill>
                              <a:prstClr val="black"/>
                            </a:solidFill>
                          </a:ln>
                        </wps:spPr>
                        <wps:txbx>
                          <w:txbxContent>
                            <w:p w14:paraId="2DC73207" w14:textId="77777777" w:rsidR="00AA5608" w:rsidRPr="00F124E3" w:rsidRDefault="00AA5608" w:rsidP="00AA5608">
                              <w:pPr>
                                <w:jc w:val="center"/>
                                <w:rPr>
                                  <w:sz w:val="18"/>
                                  <w:szCs w:val="18"/>
                                </w:rPr>
                              </w:pPr>
                              <w:r w:rsidRPr="00F124E3">
                                <w:rPr>
                                  <w:sz w:val="18"/>
                                  <w:szCs w:val="18"/>
                                </w:rPr>
                                <w:t>Non-parents (n=61,732)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286287" y="2824125"/>
                            <a:ext cx="2691925" cy="314325"/>
                          </a:xfrm>
                          <a:prstGeom prst="rect">
                            <a:avLst/>
                          </a:prstGeom>
                          <a:solidFill>
                            <a:schemeClr val="lt1"/>
                          </a:solidFill>
                          <a:ln w="6350">
                            <a:solidFill>
                              <a:prstClr val="black"/>
                            </a:solidFill>
                          </a:ln>
                        </wps:spPr>
                        <wps:txbx>
                          <w:txbxContent>
                            <w:p w14:paraId="4C072F05" w14:textId="47F1A693" w:rsidR="00AA5608" w:rsidRPr="00F124E3" w:rsidRDefault="00AA5608" w:rsidP="00AA5608">
                              <w:pPr>
                                <w:jc w:val="center"/>
                                <w:rPr>
                                  <w:sz w:val="18"/>
                                  <w:szCs w:val="18"/>
                                </w:rPr>
                              </w:pPr>
                              <w:r w:rsidRPr="00F124E3">
                                <w:rPr>
                                  <w:sz w:val="18"/>
                                  <w:szCs w:val="18"/>
                                </w:rPr>
                                <w:t>Parents</w:t>
                              </w:r>
                              <w:r>
                                <w:rPr>
                                  <w:sz w:val="18"/>
                                  <w:szCs w:val="18"/>
                                </w:rPr>
                                <w:t xml:space="preserve"> </w:t>
                              </w:r>
                              <w:r w:rsidRPr="00F124E3">
                                <w:rPr>
                                  <w:sz w:val="18"/>
                                  <w:szCs w:val="18"/>
                                </w:rPr>
                                <w:t>(n=57,529)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971923" y="3508354"/>
                            <a:ext cx="2691765" cy="304800"/>
                          </a:xfrm>
                          <a:prstGeom prst="rect">
                            <a:avLst/>
                          </a:prstGeom>
                          <a:solidFill>
                            <a:schemeClr val="lt1"/>
                          </a:solidFill>
                          <a:ln w="6350">
                            <a:solidFill>
                              <a:prstClr val="black"/>
                            </a:solidFill>
                          </a:ln>
                        </wps:spPr>
                        <wps:txbx>
                          <w:txbxContent>
                            <w:p w14:paraId="02630EE2" w14:textId="27971E87" w:rsidR="00AA5608" w:rsidRPr="00F124E3" w:rsidRDefault="00B812F9" w:rsidP="00AA5608">
                              <w:pPr>
                                <w:jc w:val="center"/>
                                <w:rPr>
                                  <w:sz w:val="18"/>
                                  <w:szCs w:val="18"/>
                                </w:rPr>
                              </w:pPr>
                              <w:r>
                                <w:rPr>
                                  <w:sz w:val="18"/>
                                  <w:szCs w:val="18"/>
                                </w:rPr>
                                <w:t>Parents living</w:t>
                              </w:r>
                              <w:r w:rsidR="00AA5608" w:rsidRPr="00F124E3">
                                <w:rPr>
                                  <w:sz w:val="18"/>
                                  <w:szCs w:val="18"/>
                                </w:rPr>
                                <w:t xml:space="preserve"> with children (n=18,161)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883038" y="3515801"/>
                            <a:ext cx="2769661" cy="302125"/>
                          </a:xfrm>
                          <a:prstGeom prst="rect">
                            <a:avLst/>
                          </a:prstGeom>
                          <a:solidFill>
                            <a:schemeClr val="lt1"/>
                          </a:solidFill>
                          <a:ln w="6350">
                            <a:solidFill>
                              <a:prstClr val="black"/>
                            </a:solidFill>
                          </a:ln>
                        </wps:spPr>
                        <wps:txbx>
                          <w:txbxContent>
                            <w:p w14:paraId="5639FB40" w14:textId="77777777" w:rsidR="00AA5608" w:rsidRPr="00F124E3" w:rsidRDefault="00AA5608" w:rsidP="00AA5608">
                              <w:pPr>
                                <w:jc w:val="center"/>
                                <w:rPr>
                                  <w:sz w:val="18"/>
                                  <w:szCs w:val="18"/>
                                </w:rPr>
                              </w:pPr>
                              <w:r>
                                <w:rPr>
                                  <w:sz w:val="18"/>
                                  <w:szCs w:val="18"/>
                                </w:rPr>
                                <w:t>Parents not</w:t>
                              </w:r>
                              <w:r w:rsidRPr="00F124E3">
                                <w:rPr>
                                  <w:sz w:val="18"/>
                                  <w:szCs w:val="18"/>
                                </w:rPr>
                                <w:t xml:space="preserve"> living with children (n=39,368)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a:off x="3026134" y="469127"/>
                            <a:ext cx="0" cy="307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a:off x="3026134" y="1114975"/>
                            <a:ext cx="0" cy="307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Straight Arrow Connector 13"/>
                        <wps:cNvCnPr/>
                        <wps:spPr>
                          <a:xfrm>
                            <a:off x="3029746" y="1712284"/>
                            <a:ext cx="0" cy="265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3031847" y="2450414"/>
                            <a:ext cx="0" cy="188126"/>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1463039" y="2638540"/>
                            <a:ext cx="3204513" cy="0"/>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1473390" y="2641244"/>
                            <a:ext cx="0" cy="188009"/>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4677766" y="2641244"/>
                            <a:ext cx="0" cy="179462"/>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a:off x="4682627" y="3136876"/>
                            <a:ext cx="0" cy="213762"/>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3251392" y="3351561"/>
                            <a:ext cx="299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a:off x="3275937" y="3357279"/>
                            <a:ext cx="0" cy="15367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6273579" y="3357279"/>
                            <a:ext cx="0" cy="15382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F2A69C" id="Group 1" o:spid="_x0000_s1048" style="position:absolute;margin-left:-25.65pt;margin-top:17.5pt;width:512.95pt;height:240.1pt;z-index:251575296;mso-width-relative:margin;mso-height-relative:margin" coordorigin="103" coordsize="76423,3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">
                <v:shape id="Text Box 3" o:spid="_x0000_s1049" type="#_x0000_t202" style="position:absolute;left:9939;width:39738;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5597519E" w14:textId="77777777" w:rsidR="00AA5608" w:rsidRPr="00F124E3" w:rsidRDefault="00AA5608" w:rsidP="00AA5608">
                        <w:pPr>
                          <w:jc w:val="center"/>
                          <w:rPr>
                            <w:sz w:val="18"/>
                            <w:szCs w:val="18"/>
                          </w:rPr>
                        </w:pPr>
                        <w:r w:rsidRPr="00F124E3">
                          <w:rPr>
                            <w:sz w:val="18"/>
                            <w:szCs w:val="18"/>
                          </w:rPr>
                          <w:t>All triaged patients 1 April 2017 to 31 January 2020 (n=128,840)</w:t>
                        </w:r>
                      </w:p>
                    </w:txbxContent>
                  </v:textbox>
                </v:shape>
                <v:shape id="Text Box 4" o:spid="_x0000_s1050" type="#_x0000_t202" style="position:absolute;left:9938;top:7792;width:39738;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3D345781" w14:textId="77777777" w:rsidR="00AA5608" w:rsidRPr="00F124E3" w:rsidRDefault="00AA5608" w:rsidP="00AA5608">
                        <w:pPr>
                          <w:jc w:val="center"/>
                          <w:rPr>
                            <w:sz w:val="18"/>
                            <w:szCs w:val="18"/>
                          </w:rPr>
                        </w:pPr>
                        <w:r w:rsidRPr="00F124E3">
                          <w:rPr>
                            <w:sz w:val="18"/>
                            <w:szCs w:val="18"/>
                          </w:rPr>
                          <w:t>Patients who started a treatment intervention (n=127,545)</w:t>
                        </w:r>
                      </w:p>
                    </w:txbxContent>
                  </v:textbox>
                </v:shape>
                <v:shape id="Text Box 5" o:spid="_x0000_s1051" type="#_x0000_t202" style="position:absolute;left:9938;top:14281;width:39738;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58504C71" w14:textId="77777777" w:rsidR="00AA5608" w:rsidRPr="00F124E3" w:rsidRDefault="00AA5608" w:rsidP="00AA5608">
                        <w:pPr>
                          <w:jc w:val="center"/>
                          <w:rPr>
                            <w:sz w:val="18"/>
                            <w:szCs w:val="18"/>
                          </w:rPr>
                        </w:pPr>
                        <w:r w:rsidRPr="00F124E3">
                          <w:rPr>
                            <w:sz w:val="18"/>
                            <w:szCs w:val="18"/>
                          </w:rPr>
                          <w:t>Patients with parental status recorded (n=125,114)</w:t>
                        </w:r>
                      </w:p>
                    </w:txbxContent>
                  </v:textbox>
                </v:shape>
                <v:shape id="Text Box 6" o:spid="_x0000_s1052" type="#_x0000_t202" style="position:absolute;left:9939;top:19773;width:39738;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33BB91CB" w14:textId="77777777" w:rsidR="00AA5608" w:rsidRPr="00F124E3" w:rsidRDefault="00AA5608" w:rsidP="00AA5608">
                        <w:pPr>
                          <w:jc w:val="center"/>
                          <w:rPr>
                            <w:sz w:val="18"/>
                            <w:szCs w:val="18"/>
                          </w:rPr>
                        </w:pPr>
                        <w:r w:rsidRPr="00F124E3">
                          <w:rPr>
                            <w:sz w:val="18"/>
                            <w:szCs w:val="18"/>
                          </w:rPr>
                          <w:t>Patients with no inconsistencies in parental status/ number of children recorded (n=119,261)</w:t>
                        </w:r>
                      </w:p>
                    </w:txbxContent>
                  </v:textbox>
                </v:shape>
                <v:shape id="Text Box 7" o:spid="_x0000_s1053" type="#_x0000_t202" style="position:absolute;left:103;top:28320;width:2691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2DC73207" w14:textId="77777777" w:rsidR="00AA5608" w:rsidRPr="00F124E3" w:rsidRDefault="00AA5608" w:rsidP="00AA5608">
                        <w:pPr>
                          <w:jc w:val="center"/>
                          <w:rPr>
                            <w:sz w:val="18"/>
                            <w:szCs w:val="18"/>
                          </w:rPr>
                        </w:pPr>
                        <w:r w:rsidRPr="00F124E3">
                          <w:rPr>
                            <w:sz w:val="18"/>
                            <w:szCs w:val="18"/>
                          </w:rPr>
                          <w:t>Non-parents (n=61,732)</w:t>
                        </w:r>
                      </w:p>
                    </w:txbxContent>
                  </v:textbox>
                </v:shape>
                <v:shape id="Text Box 8" o:spid="_x0000_s1054" type="#_x0000_t202" style="position:absolute;left:32862;top:28241;width:2692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4C072F05" w14:textId="47F1A693" w:rsidR="00AA5608" w:rsidRPr="00F124E3" w:rsidRDefault="00AA5608" w:rsidP="00AA5608">
                        <w:pPr>
                          <w:jc w:val="center"/>
                          <w:rPr>
                            <w:sz w:val="18"/>
                            <w:szCs w:val="18"/>
                          </w:rPr>
                        </w:pPr>
                        <w:r w:rsidRPr="00F124E3">
                          <w:rPr>
                            <w:sz w:val="18"/>
                            <w:szCs w:val="18"/>
                          </w:rPr>
                          <w:t>Parents</w:t>
                        </w:r>
                        <w:r>
                          <w:rPr>
                            <w:sz w:val="18"/>
                            <w:szCs w:val="18"/>
                          </w:rPr>
                          <w:t xml:space="preserve"> </w:t>
                        </w:r>
                        <w:r w:rsidRPr="00F124E3">
                          <w:rPr>
                            <w:sz w:val="18"/>
                            <w:szCs w:val="18"/>
                          </w:rPr>
                          <w:t>(n=57,529)</w:t>
                        </w:r>
                      </w:p>
                    </w:txbxContent>
                  </v:textbox>
                </v:shape>
                <v:shape id="Text Box 9" o:spid="_x0000_s1055" type="#_x0000_t202" style="position:absolute;left:19719;top:35083;width:269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02630EE2" w14:textId="27971E87" w:rsidR="00AA5608" w:rsidRPr="00F124E3" w:rsidRDefault="00B812F9" w:rsidP="00AA5608">
                        <w:pPr>
                          <w:jc w:val="center"/>
                          <w:rPr>
                            <w:sz w:val="18"/>
                            <w:szCs w:val="18"/>
                          </w:rPr>
                        </w:pPr>
                        <w:r>
                          <w:rPr>
                            <w:sz w:val="18"/>
                            <w:szCs w:val="18"/>
                          </w:rPr>
                          <w:t>Parents living</w:t>
                        </w:r>
                        <w:r w:rsidR="00AA5608" w:rsidRPr="00F124E3">
                          <w:rPr>
                            <w:sz w:val="18"/>
                            <w:szCs w:val="18"/>
                          </w:rPr>
                          <w:t xml:space="preserve"> with children (n=18,161)</w:t>
                        </w:r>
                      </w:p>
                    </w:txbxContent>
                  </v:textbox>
                </v:shape>
                <v:shape id="Text Box 10" o:spid="_x0000_s1056" type="#_x0000_t202" style="position:absolute;left:48830;top:35158;width:27696;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5639FB40" w14:textId="77777777" w:rsidR="00AA5608" w:rsidRPr="00F124E3" w:rsidRDefault="00AA5608" w:rsidP="00AA5608">
                        <w:pPr>
                          <w:jc w:val="center"/>
                          <w:rPr>
                            <w:sz w:val="18"/>
                            <w:szCs w:val="18"/>
                          </w:rPr>
                        </w:pPr>
                        <w:r>
                          <w:rPr>
                            <w:sz w:val="18"/>
                            <w:szCs w:val="18"/>
                          </w:rPr>
                          <w:t>Parents not</w:t>
                        </w:r>
                        <w:r w:rsidRPr="00F124E3">
                          <w:rPr>
                            <w:sz w:val="18"/>
                            <w:szCs w:val="18"/>
                          </w:rPr>
                          <w:t xml:space="preserve"> living with children (n=39,368)</w:t>
                        </w:r>
                      </w:p>
                    </w:txbxContent>
                  </v:textbox>
                </v:shape>
                <v:shape id="Straight Arrow Connector 11" o:spid="_x0000_s1057" type="#_x0000_t32" style="position:absolute;left:30261;top:4691;width:0;height:3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" strokecolor="black [3040]">
                  <v:stroke endarrow="block"/>
                </v:shape>
                <v:shape id="Straight Arrow Connector 12" o:spid="_x0000_s1058" type="#_x0000_t32" style="position:absolute;left:30261;top:11149;width:0;height:30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" strokecolor="black [3040]">
                  <v:stroke endarrow="block"/>
                </v:shape>
                <v:shape id="Straight Arrow Connector 13" o:spid="_x0000_s1059" type="#_x0000_t32" style="position:absolute;left:30297;top:17122;width:0;height:2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" strokecolor="black [3040]">
                  <v:stroke endarrow="block"/>
                </v:shape>
                <v:line id="Straight Connector 14" o:spid="_x0000_s1060" style="position:absolute;visibility:visible;mso-wrap-style:square" from="30318,24504" to="30318,2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" strokecolor="black [3040]"/>
                <v:line id="Straight Connector 15" o:spid="_x0000_s1061" style="position:absolute;visibility:visible;mso-wrap-style:square" from="14630,26385" to="46675,2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" strokecolor="black [3040]"/>
                <v:shape id="Straight Arrow Connector 16" o:spid="_x0000_s1062" type="#_x0000_t32" style="position:absolute;left:14733;top:26412;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" strokecolor="black [3040]"/>
                <v:shape id="Straight Arrow Connector 17" o:spid="_x0000_s1063" type="#_x0000_t32" style="position:absolute;left:46777;top:26412;width:0;height:1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" strokecolor="black [3040]"/>
                <v:line id="Straight Connector 18" o:spid="_x0000_s1064" style="position:absolute;visibility:visible;mso-wrap-style:square" from="46826,31368" to="46826,3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" strokecolor="black [3040]"/>
                <v:line id="Straight Connector 19" o:spid="_x0000_s1065" style="position:absolute;visibility:visible;mso-wrap-style:square" from="32513,33515" to="62509,3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" strokecolor="black [3040]"/>
                <v:shape id="Straight Arrow Connector 20" o:spid="_x0000_s1066" type="#_x0000_t32" style="position:absolute;left:32759;top:33572;width:0;height:1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" strokecolor="black [3040]"/>
                <v:shape id="Straight Arrow Connector 21" o:spid="_x0000_s1067" type="#_x0000_t32" style="position:absolute;left:62735;top:33572;width:0;height:1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" strokecolor="black [3040]"/>
              </v:group>
            </w:pict>
          </mc:Fallback>
        </mc:AlternateContent>
      </w:r>
    </w:p>
    <w:p w14:paraId="362AF74D" w14:textId="77777777" w:rsidR="00AA5608" w:rsidRPr="00056E69" w:rsidRDefault="00AA5608" w:rsidP="00AA5608">
      <w:pPr>
        <w:pStyle w:val="NoSpacing"/>
        <w:rPr>
          <w:noProof/>
        </w:rPr>
      </w:pPr>
    </w:p>
    <w:p w14:paraId="295E13F3" w14:textId="77777777" w:rsidR="00AA5608" w:rsidRPr="00056E69" w:rsidRDefault="00AA5608" w:rsidP="00AA5608">
      <w:pPr>
        <w:pStyle w:val="NoSpacing"/>
      </w:pPr>
    </w:p>
    <w:p w14:paraId="193015FD" w14:textId="77777777" w:rsidR="00AA5608" w:rsidRPr="00056E69" w:rsidRDefault="00AA5608" w:rsidP="00AA5608">
      <w:pPr>
        <w:pStyle w:val="NoSpacing"/>
      </w:pPr>
    </w:p>
    <w:p w14:paraId="64C8540A" w14:textId="77777777" w:rsidR="00AA5608" w:rsidRPr="00056E69" w:rsidRDefault="00AA5608" w:rsidP="00AA5608">
      <w:pPr>
        <w:pStyle w:val="NoSpacing"/>
      </w:pPr>
    </w:p>
    <w:p w14:paraId="744CE842" w14:textId="77777777" w:rsidR="00AA5608" w:rsidRPr="00056E69" w:rsidRDefault="00AA5608" w:rsidP="00AA5608">
      <w:pPr>
        <w:pStyle w:val="NoSpacing"/>
      </w:pPr>
    </w:p>
    <w:p w14:paraId="45772A02" w14:textId="77777777" w:rsidR="00AA5608" w:rsidRPr="00056E69" w:rsidRDefault="00AA5608" w:rsidP="00AA5608">
      <w:pPr>
        <w:pStyle w:val="NoSpacing"/>
      </w:pPr>
    </w:p>
    <w:p w14:paraId="07935649" w14:textId="77777777" w:rsidR="00AA5608" w:rsidRPr="00056E69" w:rsidRDefault="00AA5608" w:rsidP="00AA5608">
      <w:pPr>
        <w:pStyle w:val="NoSpacing"/>
      </w:pPr>
    </w:p>
    <w:p w14:paraId="3A61F3E7" w14:textId="77777777" w:rsidR="00AA5608" w:rsidRPr="00056E69" w:rsidRDefault="00AA5608" w:rsidP="00AA5608">
      <w:pPr>
        <w:pStyle w:val="NoSpacing"/>
      </w:pPr>
    </w:p>
    <w:p w14:paraId="08D64B55" w14:textId="357D0699" w:rsidR="00AA5608" w:rsidRDefault="008E2247" w:rsidP="00AA5608">
      <w:pPr>
        <w:pStyle w:val="NoSpacing"/>
      </w:pPr>
      <w:r>
        <w:rPr>
          <w:noProof/>
        </w:rPr>
        <mc:AlternateContent>
          <mc:Choice Requires="wps">
            <w:drawing>
              <wp:anchor distT="0" distB="0" distL="114300" distR="114300" simplePos="0" relativeHeight="251661312" behindDoc="0" locked="0" layoutInCell="1" allowOverlap="1" wp14:anchorId="7352D90B" wp14:editId="208F1F47">
                <wp:simplePos x="0" y="0"/>
                <wp:positionH relativeFrom="column">
                  <wp:posOffset>5891917</wp:posOffset>
                </wp:positionH>
                <wp:positionV relativeFrom="paragraph">
                  <wp:posOffset>302481</wp:posOffset>
                </wp:positionV>
                <wp:extent cx="0" cy="86526"/>
                <wp:effectExtent l="0" t="0" r="38100" b="27940"/>
                <wp:wrapNone/>
                <wp:docPr id="196" name="Straight Connector 196"/>
                <wp:cNvGraphicFramePr/>
                <a:graphic xmlns:a="http://schemas.openxmlformats.org/drawingml/2006/main">
                  <a:graphicData uri="http://schemas.microsoft.com/office/word/2010/wordprocessingShape">
                    <wps:wsp>
                      <wps:cNvCnPr/>
                      <wps:spPr>
                        <a:xfrm>
                          <a:off x="0" y="0"/>
                          <a:ext cx="0" cy="865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C38D9" id="Straight Connector 19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95pt,23.8pt" to="463.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" strokecolor="black [3213]"/>
            </w:pict>
          </mc:Fallback>
        </mc:AlternateContent>
      </w:r>
      <w:r>
        <w:rPr>
          <w:noProof/>
        </w:rPr>
        <mc:AlternateContent>
          <mc:Choice Requires="wps">
            <w:drawing>
              <wp:anchor distT="0" distB="0" distL="114300" distR="114300" simplePos="0" relativeHeight="251654144" behindDoc="0" locked="0" layoutInCell="1" allowOverlap="1" wp14:anchorId="75B73D53" wp14:editId="01A244C7">
                <wp:simplePos x="0" y="0"/>
                <wp:positionH relativeFrom="column">
                  <wp:posOffset>4277802</wp:posOffset>
                </wp:positionH>
                <wp:positionV relativeFrom="paragraph">
                  <wp:posOffset>302481</wp:posOffset>
                </wp:positionV>
                <wp:extent cx="0" cy="86526"/>
                <wp:effectExtent l="0" t="0" r="38100" b="27940"/>
                <wp:wrapNone/>
                <wp:docPr id="195" name="Straight Connector 195"/>
                <wp:cNvGraphicFramePr/>
                <a:graphic xmlns:a="http://schemas.openxmlformats.org/drawingml/2006/main">
                  <a:graphicData uri="http://schemas.microsoft.com/office/word/2010/wordprocessingShape">
                    <wps:wsp>
                      <wps:cNvCnPr/>
                      <wps:spPr>
                        <a:xfrm>
                          <a:off x="0" y="0"/>
                          <a:ext cx="0" cy="865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80286" id="Straight Connector 19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85pt,23.8pt" to="336.8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" strokecolor="black [3213]"/>
            </w:pict>
          </mc:Fallback>
        </mc:AlternateContent>
      </w:r>
      <w:r>
        <w:rPr>
          <w:noProof/>
        </w:rPr>
        <mc:AlternateContent>
          <mc:Choice Requires="wps">
            <w:drawing>
              <wp:anchor distT="0" distB="0" distL="114300" distR="114300" simplePos="0" relativeHeight="251603968" behindDoc="0" locked="0" layoutInCell="1" allowOverlap="1" wp14:anchorId="189B2B08" wp14:editId="711927A4">
                <wp:simplePos x="0" y="0"/>
                <wp:positionH relativeFrom="column">
                  <wp:posOffset>3244132</wp:posOffset>
                </wp:positionH>
                <wp:positionV relativeFrom="paragraph">
                  <wp:posOffset>311398</wp:posOffset>
                </wp:positionV>
                <wp:extent cx="0" cy="77609"/>
                <wp:effectExtent l="0" t="0" r="38100" b="36830"/>
                <wp:wrapNone/>
                <wp:docPr id="23" name="Straight Connector 23"/>
                <wp:cNvGraphicFramePr/>
                <a:graphic xmlns:a="http://schemas.openxmlformats.org/drawingml/2006/main">
                  <a:graphicData uri="http://schemas.microsoft.com/office/word/2010/wordprocessingShape">
                    <wps:wsp>
                      <wps:cNvCnPr/>
                      <wps:spPr>
                        <a:xfrm>
                          <a:off x="0" y="0"/>
                          <a:ext cx="0" cy="776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D5A09" id="Straight Connector 23"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45pt,24.5pt" to="255.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" strokecolor="black [3213]"/>
            </w:pict>
          </mc:Fallback>
        </mc:AlternateContent>
      </w:r>
      <w:r>
        <w:rPr>
          <w:noProof/>
        </w:rPr>
        <mc:AlternateContent>
          <mc:Choice Requires="wps">
            <w:drawing>
              <wp:anchor distT="0" distB="0" distL="114300" distR="114300" simplePos="0" relativeHeight="251596800" behindDoc="0" locked="0" layoutInCell="1" allowOverlap="1" wp14:anchorId="77B9F16C" wp14:editId="2F261636">
                <wp:simplePos x="0" y="0"/>
                <wp:positionH relativeFrom="column">
                  <wp:posOffset>1630017</wp:posOffset>
                </wp:positionH>
                <wp:positionV relativeFrom="paragraph">
                  <wp:posOffset>311398</wp:posOffset>
                </wp:positionV>
                <wp:extent cx="0" cy="69657"/>
                <wp:effectExtent l="0" t="0" r="38100" b="26035"/>
                <wp:wrapNone/>
                <wp:docPr id="26" name="Straight Connector 26"/>
                <wp:cNvGraphicFramePr/>
                <a:graphic xmlns:a="http://schemas.openxmlformats.org/drawingml/2006/main">
                  <a:graphicData uri="http://schemas.microsoft.com/office/word/2010/wordprocessingShape">
                    <wps:wsp>
                      <wps:cNvCnPr/>
                      <wps:spPr>
                        <a:xfrm>
                          <a:off x="0" y="0"/>
                          <a:ext cx="0" cy="696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D71C9A" id="Straight Connector 26" o:spid="_x0000_s1026" style="position:absolute;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35pt,24.5pt" to="128.3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" strokecolor="black [3213]"/>
            </w:pict>
          </mc:Fallback>
        </mc:AlternateContent>
      </w:r>
      <w:r w:rsidR="00CB4922">
        <w:rPr>
          <w:noProof/>
        </w:rPr>
        <mc:AlternateContent>
          <mc:Choice Requires="wps">
            <w:drawing>
              <wp:anchor distT="0" distB="0" distL="114300" distR="114300" simplePos="0" relativeHeight="251646976" behindDoc="0" locked="0" layoutInCell="1" allowOverlap="1" wp14:anchorId="5663C7BF" wp14:editId="59B9F98D">
                <wp:simplePos x="0" y="0"/>
                <wp:positionH relativeFrom="column">
                  <wp:posOffset>4265930</wp:posOffset>
                </wp:positionH>
                <wp:positionV relativeFrom="paragraph">
                  <wp:posOffset>307975</wp:posOffset>
                </wp:positionV>
                <wp:extent cx="1609725" cy="0"/>
                <wp:effectExtent l="0" t="0" r="0" b="0"/>
                <wp:wrapNone/>
                <wp:docPr id="194" name="Straight Connector 194"/>
                <wp:cNvGraphicFramePr/>
                <a:graphic xmlns:a="http://schemas.openxmlformats.org/drawingml/2006/main">
                  <a:graphicData uri="http://schemas.microsoft.com/office/word/2010/wordprocessingShape">
                    <wps:wsp>
                      <wps:cNvCnPr/>
                      <wps:spPr>
                        <a:xfrm>
                          <a:off x="0" y="0"/>
                          <a:ext cx="1609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A1748" id="Straight Connector 19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335.9pt,24.25pt" to="462.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" strokecolor="black [3213]"/>
            </w:pict>
          </mc:Fallback>
        </mc:AlternateContent>
      </w:r>
      <w:r w:rsidR="00CB4922">
        <w:rPr>
          <w:noProof/>
        </w:rPr>
        <mc:AlternateContent>
          <mc:Choice Requires="wps">
            <w:drawing>
              <wp:anchor distT="0" distB="0" distL="114300" distR="114300" simplePos="0" relativeHeight="251589632" behindDoc="0" locked="0" layoutInCell="1" allowOverlap="1" wp14:anchorId="5EE7FA17" wp14:editId="12D392F8">
                <wp:simplePos x="0" y="0"/>
                <wp:positionH relativeFrom="column">
                  <wp:posOffset>1613535</wp:posOffset>
                </wp:positionH>
                <wp:positionV relativeFrom="paragraph">
                  <wp:posOffset>311785</wp:posOffset>
                </wp:positionV>
                <wp:extent cx="160972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1609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60934" id="Straight Connector 27"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127.05pt,24.55pt" to="25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" strokecolor="black [3213]"/>
            </w:pict>
          </mc:Fallback>
        </mc:AlternateContent>
      </w:r>
      <w:r w:rsidR="00CB4922">
        <w:rPr>
          <w:noProof/>
        </w:rPr>
        <mc:AlternateContent>
          <mc:Choice Requires="wps">
            <w:drawing>
              <wp:anchor distT="0" distB="0" distL="114300" distR="114300" simplePos="0" relativeHeight="251639808" behindDoc="0" locked="0" layoutInCell="1" allowOverlap="1" wp14:anchorId="04CF4CF8" wp14:editId="6DF95F8D">
                <wp:simplePos x="0" y="0"/>
                <wp:positionH relativeFrom="column">
                  <wp:posOffset>5001260</wp:posOffset>
                </wp:positionH>
                <wp:positionV relativeFrom="paragraph">
                  <wp:posOffset>121285</wp:posOffset>
                </wp:positionV>
                <wp:extent cx="0" cy="189865"/>
                <wp:effectExtent l="0" t="0" r="38100" b="19685"/>
                <wp:wrapNone/>
                <wp:docPr id="193" name="Straight Connector 193"/>
                <wp:cNvGraphicFramePr/>
                <a:graphic xmlns:a="http://schemas.openxmlformats.org/drawingml/2006/main">
                  <a:graphicData uri="http://schemas.microsoft.com/office/word/2010/wordprocessingShape">
                    <wps:wsp>
                      <wps:cNvCnPr/>
                      <wps:spPr>
                        <a:xfrm>
                          <a:off x="0" y="0"/>
                          <a:ext cx="0" cy="189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6176A8" id="Straight Connector 193"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393.8pt,9.55pt" to="393.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" strokecolor="black [3213]"/>
            </w:pict>
          </mc:Fallback>
        </mc:AlternateContent>
      </w:r>
      <w:r w:rsidR="00CB4922">
        <w:rPr>
          <w:noProof/>
        </w:rPr>
        <mc:AlternateContent>
          <mc:Choice Requires="wps">
            <w:drawing>
              <wp:anchor distT="0" distB="0" distL="114300" distR="114300" simplePos="0" relativeHeight="251582464" behindDoc="0" locked="0" layoutInCell="1" allowOverlap="1" wp14:anchorId="660FA8B0" wp14:editId="3CE3B358">
                <wp:simplePos x="0" y="0"/>
                <wp:positionH relativeFrom="column">
                  <wp:posOffset>2444373</wp:posOffset>
                </wp:positionH>
                <wp:positionV relativeFrom="paragraph">
                  <wp:posOffset>114934</wp:posOffset>
                </wp:positionV>
                <wp:extent cx="0" cy="190177"/>
                <wp:effectExtent l="0" t="0" r="38100" b="19685"/>
                <wp:wrapNone/>
                <wp:docPr id="22" name="Straight Connector 22"/>
                <wp:cNvGraphicFramePr/>
                <a:graphic xmlns:a="http://schemas.openxmlformats.org/drawingml/2006/main">
                  <a:graphicData uri="http://schemas.microsoft.com/office/word/2010/wordprocessingShape">
                    <wps:wsp>
                      <wps:cNvCnPr/>
                      <wps:spPr>
                        <a:xfrm>
                          <a:off x="0" y="0"/>
                          <a:ext cx="0" cy="1901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1D29D" id="Straight Connector 22"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192.45pt,9.05pt" to="192.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" strokecolor="black [3213]"/>
            </w:pict>
          </mc:Fallback>
        </mc:AlternateContent>
      </w:r>
    </w:p>
    <w:p w14:paraId="2014C469" w14:textId="50DAADB5" w:rsidR="00AA5608" w:rsidRDefault="002B3E67" w:rsidP="00AA5608">
      <w:pPr>
        <w:pStyle w:val="NoSpacing"/>
      </w:pPr>
      <w:r>
        <w:rPr>
          <w:noProof/>
        </w:rPr>
        <mc:AlternateContent>
          <mc:Choice Requires="wps">
            <w:drawing>
              <wp:anchor distT="0" distB="0" distL="114300" distR="114300" simplePos="0" relativeHeight="251632640" behindDoc="0" locked="0" layoutInCell="1" allowOverlap="1" wp14:anchorId="3A0CBCAF" wp14:editId="79724616">
                <wp:simplePos x="0" y="0"/>
                <wp:positionH relativeFrom="column">
                  <wp:posOffset>5462408</wp:posOffset>
                </wp:positionH>
                <wp:positionV relativeFrom="paragraph">
                  <wp:posOffset>41606</wp:posOffset>
                </wp:positionV>
                <wp:extent cx="799465" cy="361950"/>
                <wp:effectExtent l="0" t="0" r="19685" b="19050"/>
                <wp:wrapNone/>
                <wp:docPr id="30" name="Text Box 30"/>
                <wp:cNvGraphicFramePr/>
                <a:graphic xmlns:a="http://schemas.openxmlformats.org/drawingml/2006/main">
                  <a:graphicData uri="http://schemas.microsoft.com/office/word/2010/wordprocessingShape">
                    <wps:wsp>
                      <wps:cNvSpPr txBox="1"/>
                      <wps:spPr>
                        <a:xfrm>
                          <a:off x="0" y="0"/>
                          <a:ext cx="799465" cy="361950"/>
                        </a:xfrm>
                        <a:prstGeom prst="rect">
                          <a:avLst/>
                        </a:prstGeom>
                        <a:solidFill>
                          <a:schemeClr val="lt1"/>
                        </a:solidFill>
                        <a:ln w="6350">
                          <a:solidFill>
                            <a:prstClr val="black"/>
                          </a:solidFill>
                        </a:ln>
                      </wps:spPr>
                      <wps:txbx>
                        <w:txbxContent>
                          <w:p w14:paraId="6E9BFD6E" w14:textId="77777777" w:rsidR="00AA5608" w:rsidRDefault="00AA5608" w:rsidP="00AA5608">
                            <w:pPr>
                              <w:jc w:val="center"/>
                              <w:rPr>
                                <w:sz w:val="18"/>
                                <w:szCs w:val="18"/>
                              </w:rPr>
                            </w:pPr>
                            <w:r>
                              <w:rPr>
                                <w:sz w:val="18"/>
                                <w:szCs w:val="18"/>
                              </w:rPr>
                              <w:t>Men</w:t>
                            </w:r>
                          </w:p>
                          <w:p w14:paraId="715657E6" w14:textId="77777777" w:rsidR="00AA5608" w:rsidRPr="007F6001" w:rsidRDefault="00AA5608" w:rsidP="00AA5608">
                            <w:pPr>
                              <w:jc w:val="center"/>
                              <w:rPr>
                                <w:sz w:val="18"/>
                                <w:szCs w:val="18"/>
                              </w:rPr>
                            </w:pPr>
                            <w:r w:rsidRPr="007F6001">
                              <w:rPr>
                                <w:sz w:val="18"/>
                                <w:szCs w:val="18"/>
                              </w:rPr>
                              <w:t>(</w:t>
                            </w:r>
                            <w:r>
                              <w:rPr>
                                <w:sz w:val="18"/>
                                <w:szCs w:val="18"/>
                              </w:rPr>
                              <w:t>n=27,895</w:t>
                            </w:r>
                            <w:r w:rsidRPr="007F600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BCAF" id="Text Box 30" o:spid="_x0000_s1068" type="#_x0000_t202" style="position:absolute;margin-left:430.1pt;margin-top:3.3pt;width:62.95pt;height:2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6oLOgIAAIM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" fillcolor="white [3201]" strokeweight=".5pt">
                <v:textbox>
                  <w:txbxContent>
                    <w:p w14:paraId="6E9BFD6E" w14:textId="77777777" w:rsidR="00AA5608" w:rsidRDefault="00AA5608" w:rsidP="00AA5608">
                      <w:pPr>
                        <w:jc w:val="center"/>
                        <w:rPr>
                          <w:sz w:val="18"/>
                          <w:szCs w:val="18"/>
                        </w:rPr>
                      </w:pPr>
                      <w:r>
                        <w:rPr>
                          <w:sz w:val="18"/>
                          <w:szCs w:val="18"/>
                        </w:rPr>
                        <w:t>Men</w:t>
                      </w:r>
                    </w:p>
                    <w:p w14:paraId="715657E6" w14:textId="77777777" w:rsidR="00AA5608" w:rsidRPr="007F6001" w:rsidRDefault="00AA5608" w:rsidP="00AA5608">
                      <w:pPr>
                        <w:jc w:val="center"/>
                        <w:rPr>
                          <w:sz w:val="18"/>
                          <w:szCs w:val="18"/>
                        </w:rPr>
                      </w:pPr>
                      <w:r w:rsidRPr="007F6001">
                        <w:rPr>
                          <w:sz w:val="18"/>
                          <w:szCs w:val="18"/>
                        </w:rPr>
                        <w:t>(</w:t>
                      </w:r>
                      <w:r>
                        <w:rPr>
                          <w:sz w:val="18"/>
                          <w:szCs w:val="18"/>
                        </w:rPr>
                        <w:t>n=27,895</w:t>
                      </w:r>
                      <w:r w:rsidRPr="007F6001">
                        <w:rPr>
                          <w:sz w:val="18"/>
                          <w:szCs w:val="18"/>
                        </w:rPr>
                        <w:t>)</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330945FF" wp14:editId="0434A89E">
                <wp:simplePos x="0" y="0"/>
                <wp:positionH relativeFrom="column">
                  <wp:posOffset>3898900</wp:posOffset>
                </wp:positionH>
                <wp:positionV relativeFrom="paragraph">
                  <wp:posOffset>41606</wp:posOffset>
                </wp:positionV>
                <wp:extent cx="809625" cy="3619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809625" cy="361950"/>
                        </a:xfrm>
                        <a:prstGeom prst="rect">
                          <a:avLst/>
                        </a:prstGeom>
                        <a:solidFill>
                          <a:schemeClr val="lt1"/>
                        </a:solidFill>
                        <a:ln w="6350">
                          <a:solidFill>
                            <a:prstClr val="black"/>
                          </a:solidFill>
                        </a:ln>
                      </wps:spPr>
                      <wps:txbx>
                        <w:txbxContent>
                          <w:p w14:paraId="10FFDF6E" w14:textId="4601A3B1" w:rsidR="00AA5608" w:rsidRPr="007F6001" w:rsidRDefault="00B22E3F" w:rsidP="00AA5608">
                            <w:pPr>
                              <w:jc w:val="center"/>
                              <w:rPr>
                                <w:sz w:val="18"/>
                                <w:szCs w:val="18"/>
                              </w:rPr>
                            </w:pPr>
                            <w:r>
                              <w:rPr>
                                <w:sz w:val="18"/>
                                <w:szCs w:val="18"/>
                              </w:rPr>
                              <w:t>Women</w:t>
                            </w:r>
                            <w:r w:rsidR="00AB7760">
                              <w:rPr>
                                <w:sz w:val="18"/>
                                <w:szCs w:val="18"/>
                              </w:rPr>
                              <w:t xml:space="preserve"> (</w:t>
                            </w:r>
                            <w:r w:rsidR="00AA5608">
                              <w:rPr>
                                <w:sz w:val="18"/>
                                <w:szCs w:val="18"/>
                              </w:rPr>
                              <w:t>n=11,473</w:t>
                            </w:r>
                            <w:r w:rsidR="00AA5608" w:rsidRPr="007F600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45FF" id="Text Box 29" o:spid="_x0000_s1069" type="#_x0000_t202" style="position:absolute;margin-left:307pt;margin-top:3.3pt;width:63.75pt;height: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" fillcolor="white [3201]" strokeweight=".5pt">
                <v:textbox>
                  <w:txbxContent>
                    <w:p w14:paraId="10FFDF6E" w14:textId="4601A3B1" w:rsidR="00AA5608" w:rsidRPr="007F6001" w:rsidRDefault="00B22E3F" w:rsidP="00AA5608">
                      <w:pPr>
                        <w:jc w:val="center"/>
                        <w:rPr>
                          <w:sz w:val="18"/>
                          <w:szCs w:val="18"/>
                        </w:rPr>
                      </w:pPr>
                      <w:r>
                        <w:rPr>
                          <w:sz w:val="18"/>
                          <w:szCs w:val="18"/>
                        </w:rPr>
                        <w:t>Women</w:t>
                      </w:r>
                      <w:r w:rsidR="00AB7760">
                        <w:rPr>
                          <w:sz w:val="18"/>
                          <w:szCs w:val="18"/>
                        </w:rPr>
                        <w:t xml:space="preserve"> (</w:t>
                      </w:r>
                      <w:r w:rsidR="00AA5608">
                        <w:rPr>
                          <w:sz w:val="18"/>
                          <w:szCs w:val="18"/>
                        </w:rPr>
                        <w:t>n=11,473</w:t>
                      </w:r>
                      <w:r w:rsidR="00AA5608" w:rsidRPr="007F6001">
                        <w:rPr>
                          <w:sz w:val="18"/>
                          <w:szCs w:val="18"/>
                        </w:rPr>
                        <w:t>)</w:t>
                      </w: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2BDA34DC" wp14:editId="0B7CB01F">
                <wp:simplePos x="0" y="0"/>
                <wp:positionH relativeFrom="column">
                  <wp:posOffset>2873375</wp:posOffset>
                </wp:positionH>
                <wp:positionV relativeFrom="paragraph">
                  <wp:posOffset>39757</wp:posOffset>
                </wp:positionV>
                <wp:extent cx="799465" cy="390525"/>
                <wp:effectExtent l="0" t="0" r="19685" b="28575"/>
                <wp:wrapNone/>
                <wp:docPr id="28" name="Text Box 28"/>
                <wp:cNvGraphicFramePr/>
                <a:graphic xmlns:a="http://schemas.openxmlformats.org/drawingml/2006/main">
                  <a:graphicData uri="http://schemas.microsoft.com/office/word/2010/wordprocessingShape">
                    <wps:wsp>
                      <wps:cNvSpPr txBox="1"/>
                      <wps:spPr>
                        <a:xfrm>
                          <a:off x="0" y="0"/>
                          <a:ext cx="799465" cy="390525"/>
                        </a:xfrm>
                        <a:prstGeom prst="rect">
                          <a:avLst/>
                        </a:prstGeom>
                        <a:solidFill>
                          <a:schemeClr val="lt1"/>
                        </a:solidFill>
                        <a:ln w="6350">
                          <a:solidFill>
                            <a:prstClr val="black"/>
                          </a:solidFill>
                        </a:ln>
                      </wps:spPr>
                      <wps:txbx>
                        <w:txbxContent>
                          <w:p w14:paraId="29068605" w14:textId="77777777" w:rsidR="00AA5608" w:rsidRDefault="00AA5608" w:rsidP="00AA5608">
                            <w:pPr>
                              <w:jc w:val="center"/>
                              <w:rPr>
                                <w:sz w:val="18"/>
                                <w:szCs w:val="18"/>
                              </w:rPr>
                            </w:pPr>
                            <w:r>
                              <w:rPr>
                                <w:sz w:val="18"/>
                                <w:szCs w:val="18"/>
                              </w:rPr>
                              <w:t>M</w:t>
                            </w:r>
                            <w:r w:rsidRPr="007F6001">
                              <w:rPr>
                                <w:sz w:val="18"/>
                                <w:szCs w:val="18"/>
                              </w:rPr>
                              <w:t xml:space="preserve">en </w:t>
                            </w:r>
                          </w:p>
                          <w:p w14:paraId="7A50452E" w14:textId="77777777" w:rsidR="00AA5608" w:rsidRPr="007F6001" w:rsidRDefault="00AA5608" w:rsidP="00AA5608">
                            <w:pPr>
                              <w:jc w:val="center"/>
                              <w:rPr>
                                <w:sz w:val="18"/>
                                <w:szCs w:val="18"/>
                              </w:rPr>
                            </w:pPr>
                            <w:r w:rsidRPr="007F6001">
                              <w:rPr>
                                <w:sz w:val="18"/>
                                <w:szCs w:val="18"/>
                              </w:rPr>
                              <w:t>(</w:t>
                            </w:r>
                            <w:r>
                              <w:rPr>
                                <w:sz w:val="18"/>
                                <w:szCs w:val="18"/>
                              </w:rPr>
                              <w:t>n=</w:t>
                            </w:r>
                            <w:r w:rsidRPr="007F6001">
                              <w:rPr>
                                <w:sz w:val="18"/>
                                <w:szCs w:val="18"/>
                              </w:rPr>
                              <w:t>9,</w:t>
                            </w:r>
                            <w:r>
                              <w:rPr>
                                <w:sz w:val="18"/>
                                <w:szCs w:val="18"/>
                              </w:rPr>
                              <w:t>037</w:t>
                            </w:r>
                            <w:r w:rsidRPr="007F600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A34DC" id="Text Box 28" o:spid="_x0000_s1070" type="#_x0000_t202" style="position:absolute;margin-left:226.25pt;margin-top:3.15pt;width:62.95pt;height:30.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" fillcolor="white [3201]" strokeweight=".5pt">
                <v:textbox>
                  <w:txbxContent>
                    <w:p w14:paraId="29068605" w14:textId="77777777" w:rsidR="00AA5608" w:rsidRDefault="00AA5608" w:rsidP="00AA5608">
                      <w:pPr>
                        <w:jc w:val="center"/>
                        <w:rPr>
                          <w:sz w:val="18"/>
                          <w:szCs w:val="18"/>
                        </w:rPr>
                      </w:pPr>
                      <w:r>
                        <w:rPr>
                          <w:sz w:val="18"/>
                          <w:szCs w:val="18"/>
                        </w:rPr>
                        <w:t>M</w:t>
                      </w:r>
                      <w:r w:rsidRPr="007F6001">
                        <w:rPr>
                          <w:sz w:val="18"/>
                          <w:szCs w:val="18"/>
                        </w:rPr>
                        <w:t xml:space="preserve">en </w:t>
                      </w:r>
                    </w:p>
                    <w:p w14:paraId="7A50452E" w14:textId="77777777" w:rsidR="00AA5608" w:rsidRPr="007F6001" w:rsidRDefault="00AA5608" w:rsidP="00AA5608">
                      <w:pPr>
                        <w:jc w:val="center"/>
                        <w:rPr>
                          <w:sz w:val="18"/>
                          <w:szCs w:val="18"/>
                        </w:rPr>
                      </w:pPr>
                      <w:r w:rsidRPr="007F6001">
                        <w:rPr>
                          <w:sz w:val="18"/>
                          <w:szCs w:val="18"/>
                        </w:rPr>
                        <w:t>(</w:t>
                      </w:r>
                      <w:r>
                        <w:rPr>
                          <w:sz w:val="18"/>
                          <w:szCs w:val="18"/>
                        </w:rPr>
                        <w:t>n=</w:t>
                      </w:r>
                      <w:r w:rsidRPr="007F6001">
                        <w:rPr>
                          <w:sz w:val="18"/>
                          <w:szCs w:val="18"/>
                        </w:rPr>
                        <w:t>9,</w:t>
                      </w:r>
                      <w:r>
                        <w:rPr>
                          <w:sz w:val="18"/>
                          <w:szCs w:val="18"/>
                        </w:rPr>
                        <w:t>037</w:t>
                      </w:r>
                      <w:r w:rsidRPr="007F6001">
                        <w:rPr>
                          <w:sz w:val="18"/>
                          <w:szCs w:val="18"/>
                        </w:rPr>
                        <w:t>)</w:t>
                      </w:r>
                    </w:p>
                  </w:txbxContent>
                </v:textbox>
              </v:shape>
            </w:pict>
          </mc:Fallback>
        </mc:AlternateContent>
      </w:r>
      <w:r>
        <w:rPr>
          <w:noProof/>
        </w:rPr>
        <mc:AlternateContent>
          <mc:Choice Requires="wps">
            <w:drawing>
              <wp:anchor distT="0" distB="0" distL="114300" distR="114300" simplePos="0" relativeHeight="251611136" behindDoc="0" locked="0" layoutInCell="1" allowOverlap="1" wp14:anchorId="1838C649" wp14:editId="155CB3DE">
                <wp:simplePos x="0" y="0"/>
                <wp:positionH relativeFrom="column">
                  <wp:posOffset>1220691</wp:posOffset>
                </wp:positionH>
                <wp:positionV relativeFrom="paragraph">
                  <wp:posOffset>33076</wp:posOffset>
                </wp:positionV>
                <wp:extent cx="770890" cy="361950"/>
                <wp:effectExtent l="0" t="0" r="10160" b="19050"/>
                <wp:wrapNone/>
                <wp:docPr id="31" name="Text Box 31"/>
                <wp:cNvGraphicFramePr/>
                <a:graphic xmlns:a="http://schemas.openxmlformats.org/drawingml/2006/main">
                  <a:graphicData uri="http://schemas.microsoft.com/office/word/2010/wordprocessingShape">
                    <wps:wsp>
                      <wps:cNvSpPr txBox="1"/>
                      <wps:spPr>
                        <a:xfrm>
                          <a:off x="0" y="0"/>
                          <a:ext cx="770890" cy="361950"/>
                        </a:xfrm>
                        <a:prstGeom prst="rect">
                          <a:avLst/>
                        </a:prstGeom>
                        <a:solidFill>
                          <a:schemeClr val="lt1"/>
                        </a:solidFill>
                        <a:ln w="6350">
                          <a:solidFill>
                            <a:prstClr val="black"/>
                          </a:solidFill>
                        </a:ln>
                      </wps:spPr>
                      <wps:txbx>
                        <w:txbxContent>
                          <w:p w14:paraId="1D5D2317" w14:textId="77777777" w:rsidR="00B22E3F" w:rsidRDefault="00B22E3F" w:rsidP="00AA5608">
                            <w:pPr>
                              <w:jc w:val="center"/>
                              <w:rPr>
                                <w:sz w:val="18"/>
                                <w:szCs w:val="18"/>
                              </w:rPr>
                            </w:pPr>
                            <w:r>
                              <w:rPr>
                                <w:sz w:val="18"/>
                                <w:szCs w:val="18"/>
                              </w:rPr>
                              <w:t>Women</w:t>
                            </w:r>
                          </w:p>
                          <w:p w14:paraId="2B083177" w14:textId="7683122C" w:rsidR="00AA5608" w:rsidRPr="007F6001" w:rsidRDefault="00AB7760" w:rsidP="00AA5608">
                            <w:pPr>
                              <w:jc w:val="center"/>
                              <w:rPr>
                                <w:sz w:val="18"/>
                                <w:szCs w:val="18"/>
                              </w:rPr>
                            </w:pPr>
                            <w:r>
                              <w:rPr>
                                <w:sz w:val="18"/>
                                <w:szCs w:val="18"/>
                              </w:rPr>
                              <w:t>(</w:t>
                            </w:r>
                            <w:r w:rsidR="00AA5608">
                              <w:rPr>
                                <w:sz w:val="18"/>
                                <w:szCs w:val="18"/>
                              </w:rPr>
                              <w:t>n=</w:t>
                            </w:r>
                            <w:r w:rsidR="00AA5608" w:rsidRPr="007F6001">
                              <w:rPr>
                                <w:sz w:val="18"/>
                                <w:szCs w:val="18"/>
                              </w:rPr>
                              <w:t>9,</w:t>
                            </w:r>
                            <w:r w:rsidR="00AA5608">
                              <w:rPr>
                                <w:sz w:val="18"/>
                                <w:szCs w:val="18"/>
                              </w:rPr>
                              <w:t>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8C649" id="Text Box 31" o:spid="_x0000_s1071" type="#_x0000_t202" style="position:absolute;margin-left:96.1pt;margin-top:2.6pt;width:60.7pt;height:2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" fillcolor="white [3201]" strokeweight=".5pt">
                <v:textbox>
                  <w:txbxContent>
                    <w:p w14:paraId="1D5D2317" w14:textId="77777777" w:rsidR="00B22E3F" w:rsidRDefault="00B22E3F" w:rsidP="00AA5608">
                      <w:pPr>
                        <w:jc w:val="center"/>
                        <w:rPr>
                          <w:sz w:val="18"/>
                          <w:szCs w:val="18"/>
                        </w:rPr>
                      </w:pPr>
                      <w:r>
                        <w:rPr>
                          <w:sz w:val="18"/>
                          <w:szCs w:val="18"/>
                        </w:rPr>
                        <w:t>Women</w:t>
                      </w:r>
                    </w:p>
                    <w:p w14:paraId="2B083177" w14:textId="7683122C" w:rsidR="00AA5608" w:rsidRPr="007F6001" w:rsidRDefault="00AB7760" w:rsidP="00AA5608">
                      <w:pPr>
                        <w:jc w:val="center"/>
                        <w:rPr>
                          <w:sz w:val="18"/>
                          <w:szCs w:val="18"/>
                        </w:rPr>
                      </w:pPr>
                      <w:r>
                        <w:rPr>
                          <w:sz w:val="18"/>
                          <w:szCs w:val="18"/>
                        </w:rPr>
                        <w:t>(</w:t>
                      </w:r>
                      <w:r w:rsidR="00AA5608">
                        <w:rPr>
                          <w:sz w:val="18"/>
                          <w:szCs w:val="18"/>
                        </w:rPr>
                        <w:t>n=</w:t>
                      </w:r>
                      <w:r w:rsidR="00AA5608" w:rsidRPr="007F6001">
                        <w:rPr>
                          <w:sz w:val="18"/>
                          <w:szCs w:val="18"/>
                        </w:rPr>
                        <w:t>9,</w:t>
                      </w:r>
                      <w:r w:rsidR="00AA5608">
                        <w:rPr>
                          <w:sz w:val="18"/>
                          <w:szCs w:val="18"/>
                        </w:rPr>
                        <w:t>124)</w:t>
                      </w:r>
                    </w:p>
                  </w:txbxContent>
                </v:textbox>
              </v:shape>
            </w:pict>
          </mc:Fallback>
        </mc:AlternateContent>
      </w:r>
    </w:p>
    <w:p w14:paraId="42DB64DB" w14:textId="77777777" w:rsidR="00C81657" w:rsidRDefault="00C81657" w:rsidP="00C81657"/>
    <w:p w14:paraId="33FC784A" w14:textId="77777777" w:rsidR="00C81657" w:rsidRPr="00C81657" w:rsidRDefault="00C81657" w:rsidP="00C81657">
      <w:pPr>
        <w:pStyle w:val="NoSpacing"/>
      </w:pPr>
    </w:p>
    <w:p w14:paraId="05C0C478" w14:textId="17E18C98" w:rsidR="00AA5608" w:rsidRDefault="00AA5608" w:rsidP="00C81657">
      <w:pPr>
        <w:pStyle w:val="Heading3"/>
        <w:numPr>
          <w:ilvl w:val="2"/>
          <w:numId w:val="19"/>
        </w:numPr>
        <w:spacing w:line="360" w:lineRule="auto"/>
      </w:pPr>
      <w:bookmarkStart w:id="65" w:name="_Toc189229680"/>
      <w:r>
        <w:t>Baseline characteristics and treatment completion variables</w:t>
      </w:r>
      <w:bookmarkEnd w:id="65"/>
    </w:p>
    <w:p w14:paraId="4F3DE937" w14:textId="7B0A634E" w:rsidR="00AA5608" w:rsidRDefault="00AA5608" w:rsidP="00AA5608">
      <w:pPr>
        <w:pStyle w:val="NoSpacing"/>
        <w:spacing w:line="360" w:lineRule="auto"/>
      </w:pPr>
      <w:r>
        <w:t>The characteristics taken from the NDTMS are listed below. More information on the NDTMS variables used in the study can be found in the ‘</w:t>
      </w:r>
      <w:r w:rsidR="00332E40">
        <w:t>Business</w:t>
      </w:r>
      <w:r>
        <w:t xml:space="preserve"> Definitions’ report  </w:t>
      </w:r>
      <w:r w:rsidR="004E5A52">
        <w:fldChar w:fldCharType="begin"/>
      </w:r>
      <w:r w:rsidR="00B9334F">
        <w:instrText xml:space="preserve"> ADDIN EN.CITE &lt;EndNote&gt;&lt;Cite&gt;&lt;Author&gt;PHE&lt;/Author&gt;&lt;Year&gt;2019&lt;/Year&gt;&lt;RecNum&gt;63&lt;/RecNum&gt;&lt;DisplayText&gt;(PHE, 2019a)&lt;/DisplayText&gt;&lt;record&gt;&lt;rec-number&gt;63&lt;/rec-number&gt;&lt;foreign-keys&gt;&lt;key app="EN" db-id="ffzvr5fstavwxoe9v04xf0wmp5t50as52da0" timestamp="1731671640" guid="41db3abb-9f3b-4907-b16e-d664d4bba4d1"&gt;63&lt;/key&gt;&lt;/foreign-keys&gt;&lt;ref-type name="Report"&gt;27&lt;/ref-type&gt;&lt;contributors&gt;&lt;authors&gt;&lt;author&gt;PHE&lt;/author&gt;&lt;/authors&gt;&lt;/contributors&gt;&lt;titles&gt;&lt;title&gt;National Drug Treatment Monitoring System (NDTMS). Adult drug and alcohol treatment business definitions. Core dataset O&lt;/title&gt;&lt;/titles&gt;&lt;dates&gt;&lt;year&gt;2019&lt;/year&gt;&lt;pub-dates&gt;&lt;date&gt;14/06/2019&lt;/date&gt;&lt;/pub-dates&gt;&lt;/dates&gt;&lt;publisher&gt;Public Health England&lt;/publisher&gt;&lt;urls&gt;&lt;related-urls&gt;&lt;url&gt;https://assets.publishing.service.gov.uk/government/uploads/system/uploads/attachment_data/file/785198/NDTMS_adult_drug_and_alcohol_treatment_business_definitions_CDS-O.pdf&lt;/url&gt;&lt;/related-urls&gt;&lt;/urls&gt;&lt;/record&gt;&lt;/Cite&gt;&lt;/EndNote&gt;</w:instrText>
      </w:r>
      <w:r w:rsidR="004E5A52">
        <w:fldChar w:fldCharType="separate"/>
      </w:r>
      <w:r w:rsidR="004E5A52">
        <w:rPr>
          <w:noProof/>
        </w:rPr>
        <w:t>(PHE, 2019a)</w:t>
      </w:r>
      <w:r w:rsidR="004E5A52">
        <w:fldChar w:fldCharType="end"/>
      </w:r>
      <w:r>
        <w:t xml:space="preserve">. Except for data specific to treatment and recovery support interventions and outcomes, data on the NDTMS is self-reported. </w:t>
      </w:r>
    </w:p>
    <w:p w14:paraId="1528B09C" w14:textId="77777777" w:rsidR="00AA5608" w:rsidRDefault="00AA5608" w:rsidP="00AA5608">
      <w:pPr>
        <w:pStyle w:val="NoSpacing"/>
        <w:spacing w:line="360" w:lineRule="auto"/>
      </w:pPr>
    </w:p>
    <w:p w14:paraId="4A106B94" w14:textId="000AC4AE" w:rsidR="00AA5608" w:rsidRDefault="00AA5608" w:rsidP="00806F2E">
      <w:pPr>
        <w:pStyle w:val="Heading4"/>
        <w:ind w:left="864" w:hanging="864"/>
      </w:pPr>
      <w:r w:rsidRPr="00056E69">
        <w:t>Socio-demographic</w:t>
      </w:r>
    </w:p>
    <w:p w14:paraId="72FBEAA6" w14:textId="5738876F" w:rsidR="00AA5608" w:rsidRDefault="00AA5608" w:rsidP="00AA5608">
      <w:pPr>
        <w:pStyle w:val="NoSpacing"/>
        <w:spacing w:line="360" w:lineRule="auto"/>
      </w:pPr>
      <w:r>
        <w:t>P</w:t>
      </w:r>
      <w:r w:rsidRPr="00056E69">
        <w:t>atient s</w:t>
      </w:r>
      <w:r>
        <w:t>e</w:t>
      </w:r>
      <w:r w:rsidRPr="00056E69">
        <w:t xml:space="preserve">x, age </w:t>
      </w:r>
      <w:r>
        <w:t xml:space="preserve">category </w:t>
      </w:r>
      <w:r w:rsidRPr="00056E69">
        <w:t xml:space="preserve">and ethnicity (‘White’ and </w:t>
      </w:r>
      <w:r>
        <w:t>‘</w:t>
      </w:r>
      <w:r w:rsidRPr="00056E69">
        <w:t>Black and Asian Minority Ethnic</w:t>
      </w:r>
      <w:r>
        <w:t>’</w:t>
      </w:r>
      <w:r w:rsidRPr="00056E69">
        <w:t xml:space="preserve"> [BAME])</w:t>
      </w:r>
      <w:r>
        <w:t xml:space="preserve">, pregnancy among females in treatment aged 18-50, number of children living with patient, employment and housing status were available. </w:t>
      </w:r>
      <w:r w:rsidRPr="00056E69">
        <w:t xml:space="preserve">Employment and housing status </w:t>
      </w:r>
      <w:r>
        <w:t xml:space="preserve">were </w:t>
      </w:r>
      <w:r w:rsidRPr="00056E69">
        <w:t xml:space="preserve">categorised </w:t>
      </w:r>
      <w:r>
        <w:t>as</w:t>
      </w:r>
      <w:r w:rsidRPr="00056E69">
        <w:t xml:space="preserve"> ‘not in employment, education or training’ (NEET), in ‘employment, education or training’ (EET)</w:t>
      </w:r>
      <w:r>
        <w:t xml:space="preserve">, </w:t>
      </w:r>
      <w:r w:rsidRPr="00056E69">
        <w:t>and ‘stable housing’, ‘no fixed abode’ (NFA) and ‘housing problem’ (but not NFA)</w:t>
      </w:r>
      <w:r>
        <w:t xml:space="preserve"> respectively.</w:t>
      </w:r>
    </w:p>
    <w:p w14:paraId="4565D2FF" w14:textId="77777777" w:rsidR="00AA5608" w:rsidRPr="00D32074" w:rsidRDefault="00AA5608" w:rsidP="00AA5608">
      <w:pPr>
        <w:pStyle w:val="NoSpacing"/>
        <w:spacing w:line="360" w:lineRule="auto"/>
      </w:pPr>
    </w:p>
    <w:p w14:paraId="691BBF93" w14:textId="177C5291" w:rsidR="00AA5608" w:rsidRPr="00995E2A" w:rsidRDefault="00AA5608" w:rsidP="00806F2E">
      <w:pPr>
        <w:pStyle w:val="Heading4"/>
        <w:ind w:left="864" w:hanging="864"/>
      </w:pPr>
      <w:r w:rsidRPr="00056E69">
        <w:lastRenderedPageBreak/>
        <w:t>Clinical</w:t>
      </w:r>
    </w:p>
    <w:p w14:paraId="68915E50" w14:textId="348DCBAB" w:rsidR="00AA5608" w:rsidRPr="003A2328" w:rsidRDefault="00AA5608" w:rsidP="00AA5608">
      <w:pPr>
        <w:pStyle w:val="NoSpacing"/>
        <w:spacing w:line="360" w:lineRule="auto"/>
        <w:rPr>
          <w:color w:val="000000"/>
          <w:shd w:val="clear" w:color="auto" w:fill="FFFFFF"/>
        </w:rPr>
      </w:pPr>
      <w:r>
        <w:t>P</w:t>
      </w:r>
      <w:r w:rsidRPr="00056E69">
        <w:t>atients belong</w:t>
      </w:r>
      <w:r>
        <w:t>ed</w:t>
      </w:r>
      <w:r w:rsidRPr="00056E69">
        <w:t xml:space="preserve"> to one of four substance groups </w:t>
      </w:r>
      <w:r w:rsidRPr="00056E69">
        <w:fldChar w:fldCharType="begin"/>
      </w:r>
      <w:r w:rsidR="00B9334F">
        <w:instrText xml:space="preserve"> ADDIN EN.CITE &lt;EndNote&gt;&lt;Cite&gt;&lt;Author&gt;PHE&lt;/Author&gt;&lt;Year&gt;2020&lt;/Year&gt;&lt;RecNum&gt;48&lt;/RecNum&gt;&lt;DisplayText&gt;(PHE, 2020)&lt;/DisplayText&gt;&lt;record&gt;&lt;rec-number&gt;48&lt;/rec-number&gt;&lt;foreign-keys&gt;&lt;key app="EN" db-id="ffzvr5fstavwxoe9v04xf0wmp5t50as52da0" timestamp="1731671638" guid="279b7848-b43d-4adf-a701-02d5917e9c4a"&gt;48&lt;/key&gt;&lt;/foreign-keys&gt;&lt;ref-type name="Web Page"&gt;12&lt;/ref-type&gt;&lt;contributors&gt;&lt;authors&gt;&lt;author&gt;PHE&lt;/author&gt;&lt;/authors&gt;&lt;/contributors&gt;&lt;titles&gt;&lt;title&gt;National Statistics. Adult substance misuse treatment statistics 2019 to 2020: Report&lt;/title&gt;&lt;/titles&gt;&lt;number&gt;23/04/21&lt;/number&gt;&lt;dates&gt;&lt;year&gt;2020&lt;/year&gt;&lt;/dates&gt;&lt;publisher&gt;Public Health England&lt;/publisher&gt;&lt;urls&gt;&lt;related-urls&gt;&lt;url&gt;https://www.gov.uk/government/statistics/substance-misuse-treatment-for-adults-statistics-2019-to-2020/adult-substance-misuse-treatment-statistics-2019-to-2020-report&lt;/url&gt;&lt;/related-urls&gt;&lt;/urls&gt;&lt;/record&gt;&lt;/Cite&gt;&lt;/EndNote&gt;</w:instrText>
      </w:r>
      <w:r w:rsidRPr="00056E69">
        <w:fldChar w:fldCharType="separate"/>
      </w:r>
      <w:r w:rsidR="004E5A52">
        <w:rPr>
          <w:noProof/>
        </w:rPr>
        <w:t>(PHE, 2020)</w:t>
      </w:r>
      <w:r w:rsidRPr="00056E69">
        <w:fldChar w:fldCharType="end"/>
      </w:r>
      <w:r w:rsidRPr="00056E69">
        <w:t xml:space="preserve">: opiate users; non-opiate users; non-opiate and alcohol; and alcohol only. </w:t>
      </w:r>
      <w:r>
        <w:rPr>
          <w:rStyle w:val="normaltextrun"/>
          <w:color w:val="000000"/>
          <w:shd w:val="clear" w:color="auto" w:fill="FFFFFF"/>
        </w:rPr>
        <w:t xml:space="preserve">Irrespective of other substances used, an opiate user is simply classified as such. In addition, alcohol may be cited as a problem substance in </w:t>
      </w:r>
      <w:r w:rsidR="009A5358">
        <w:rPr>
          <w:rStyle w:val="normaltextrun"/>
          <w:color w:val="000000"/>
          <w:shd w:val="clear" w:color="auto" w:fill="FFFFFF"/>
        </w:rPr>
        <w:t xml:space="preserve">any </w:t>
      </w:r>
      <w:r>
        <w:rPr>
          <w:rStyle w:val="normaltextrun"/>
          <w:color w:val="000000"/>
          <w:shd w:val="clear" w:color="auto" w:fill="FFFFFF"/>
        </w:rPr>
        <w:t xml:space="preserve">category but is only separated out in ‘alcohol only’. The strata are consistent with national reporting of NDTMS data and as such are familiar to national policy and decision-makers. </w:t>
      </w:r>
      <w:r>
        <w:t>Injecting status and m</w:t>
      </w:r>
      <w:r w:rsidRPr="00056E69">
        <w:t>ental health treatment need w</w:t>
      </w:r>
      <w:r>
        <w:t xml:space="preserve">ere </w:t>
      </w:r>
      <w:r w:rsidRPr="00056E69">
        <w:t>included</w:t>
      </w:r>
      <w:r>
        <w:t xml:space="preserve"> as binary variables</w:t>
      </w:r>
      <w:r w:rsidRPr="00056E69">
        <w:t>.</w:t>
      </w:r>
    </w:p>
    <w:p w14:paraId="2BDC2331" w14:textId="77777777" w:rsidR="00AA5608" w:rsidRDefault="00AA5608" w:rsidP="00AA5608">
      <w:pPr>
        <w:pStyle w:val="NoSpacing"/>
        <w:spacing w:line="360" w:lineRule="auto"/>
      </w:pPr>
    </w:p>
    <w:p w14:paraId="012B0761" w14:textId="4DEED1D0" w:rsidR="00AA5608" w:rsidRPr="00FF4EB7" w:rsidRDefault="00AA5608" w:rsidP="009C3BBC">
      <w:pPr>
        <w:pStyle w:val="Heading3"/>
        <w:numPr>
          <w:ilvl w:val="2"/>
          <w:numId w:val="19"/>
        </w:numPr>
        <w:spacing w:line="360" w:lineRule="auto"/>
      </w:pPr>
      <w:bookmarkStart w:id="66" w:name="_Toc189229681"/>
      <w:r w:rsidRPr="00995E2A">
        <w:t>Treatment exposure</w:t>
      </w:r>
      <w:bookmarkEnd w:id="66"/>
      <w:r w:rsidRPr="00FF4EB7">
        <w:t xml:space="preserve"> </w:t>
      </w:r>
    </w:p>
    <w:p w14:paraId="6AC6BBB9" w14:textId="74C8B235" w:rsidR="00AA5608" w:rsidRPr="00DE439F" w:rsidRDefault="00AA5608" w:rsidP="00AA5608">
      <w:pPr>
        <w:pStyle w:val="NoSpacing"/>
        <w:spacing w:line="360" w:lineRule="auto"/>
      </w:pPr>
      <w:r>
        <w:t>C</w:t>
      </w:r>
      <w:r w:rsidRPr="00056E69">
        <w:t>riminal justice referral</w:t>
      </w:r>
      <w:r>
        <w:t>s, treatment duration</w:t>
      </w:r>
      <w:r w:rsidR="00395E85">
        <w:t xml:space="preserve"> and the </w:t>
      </w:r>
      <w:r>
        <w:t>n</w:t>
      </w:r>
      <w:r w:rsidRPr="00056E69">
        <w:t>umber of times patient</w:t>
      </w:r>
      <w:r w:rsidR="002D4C41">
        <w:t>s</w:t>
      </w:r>
      <w:r w:rsidRPr="00056E69">
        <w:t xml:space="preserve"> received treatment during the </w:t>
      </w:r>
      <w:r>
        <w:t>timeframe were included. It was not possible to distinguish from the data which social care referrals were from adult or child welfare services and</w:t>
      </w:r>
      <w:r w:rsidR="00917759">
        <w:t>,</w:t>
      </w:r>
      <w:r>
        <w:t xml:space="preserve"> as this field was poorly completed, it was not included. Targeted prevention in the form of ‘</w:t>
      </w:r>
      <w:r w:rsidR="00DD677E">
        <w:t>p</w:t>
      </w:r>
      <w:r w:rsidR="00AB7760">
        <w:t>arenting and/or family</w:t>
      </w:r>
      <w:r w:rsidR="00DD677E">
        <w:t xml:space="preserve"> recovery support</w:t>
      </w:r>
      <w:r w:rsidRPr="00056E69">
        <w:t>’</w:t>
      </w:r>
      <w:r>
        <w:t xml:space="preserve"> (supporting parenting </w:t>
      </w:r>
      <w:r w:rsidR="00D8121E">
        <w:t xml:space="preserve">skills </w:t>
      </w:r>
      <w:r>
        <w:t>and family relationships) offered by specialist treatment services were included as were child</w:t>
      </w:r>
      <w:r w:rsidRPr="00056E69">
        <w:t xml:space="preserve"> welfare interventions</w:t>
      </w:r>
      <w:r>
        <w:t xml:space="preserve"> provided by children and family services: targeted ‘</w:t>
      </w:r>
      <w:r w:rsidRPr="00056E69">
        <w:t>early help</w:t>
      </w:r>
      <w:r>
        <w:t>’ prevention and statutory ‘</w:t>
      </w:r>
      <w:r w:rsidRPr="00056E69">
        <w:t>child in need</w:t>
      </w:r>
      <w:r>
        <w:t>’</w:t>
      </w:r>
      <w:r w:rsidRPr="00056E69">
        <w:t xml:space="preserve">, </w:t>
      </w:r>
      <w:r>
        <w:t>‘</w:t>
      </w:r>
      <w:r w:rsidRPr="00056E69">
        <w:t>child protection</w:t>
      </w:r>
      <w:r>
        <w:t>’</w:t>
      </w:r>
      <w:r w:rsidRPr="00056E69">
        <w:t xml:space="preserve"> and </w:t>
      </w:r>
      <w:r>
        <w:t>‘</w:t>
      </w:r>
      <w:r w:rsidRPr="00056E69">
        <w:t xml:space="preserve">child </w:t>
      </w:r>
      <w:r w:rsidR="00786B51">
        <w:t>in care’</w:t>
      </w:r>
      <w:r w:rsidRPr="00056E69">
        <w:t xml:space="preserve">. </w:t>
      </w:r>
      <w:r>
        <w:t xml:space="preserve">Note, </w:t>
      </w:r>
      <w:r w:rsidR="00707D9F">
        <w:t xml:space="preserve">statutory </w:t>
      </w:r>
      <w:r>
        <w:t>child welfare was treated as an intervention rather than an outcome as we were analysing characteristics associated with integrated treatment and child welfare support. Moreover, the data did not allow for changes in child welfare to be measured robustly, e.g. the step down from one child welfare intervention, such as child protection</w:t>
      </w:r>
      <w:r w:rsidR="00EE7CCC">
        <w:t>,</w:t>
      </w:r>
      <w:r>
        <w:t xml:space="preserve"> to</w:t>
      </w:r>
      <w:r w:rsidR="00EE7CCC">
        <w:t xml:space="preserve"> another, such as</w:t>
      </w:r>
      <w:r>
        <w:t xml:space="preserve"> early help.</w:t>
      </w:r>
    </w:p>
    <w:p w14:paraId="6C3B1C46" w14:textId="77777777" w:rsidR="00AA5608" w:rsidRDefault="00AA5608" w:rsidP="00AA5608"/>
    <w:p w14:paraId="59F3A5D0" w14:textId="7D8D1CB7" w:rsidR="00AA5608" w:rsidRPr="00AA5608" w:rsidRDefault="00AA5608" w:rsidP="009C3BBC">
      <w:pPr>
        <w:pStyle w:val="Heading3"/>
        <w:numPr>
          <w:ilvl w:val="2"/>
          <w:numId w:val="19"/>
        </w:numPr>
        <w:spacing w:line="360" w:lineRule="auto"/>
        <w:rPr>
          <w:rFonts w:cs="Arial"/>
        </w:rPr>
      </w:pPr>
      <w:bookmarkStart w:id="67" w:name="_Toc189229682"/>
      <w:r>
        <w:t>Outcome</w:t>
      </w:r>
      <w:bookmarkEnd w:id="67"/>
      <w:r w:rsidRPr="00FF4EB7">
        <w:t xml:space="preserve"> </w:t>
      </w:r>
    </w:p>
    <w:p w14:paraId="732D1438" w14:textId="7B291950" w:rsidR="00AA5608" w:rsidRPr="001B281A" w:rsidRDefault="00AA5608" w:rsidP="00AA5608">
      <w:pPr>
        <w:pStyle w:val="NoSpacing"/>
        <w:spacing w:line="360" w:lineRule="auto"/>
      </w:pPr>
      <w:r>
        <w:t>‘Successful completion of treatment’ was defined as</w:t>
      </w:r>
      <w:r w:rsidRPr="00056E69">
        <w:t xml:space="preserve"> patients who: achieved all their care plan goals</w:t>
      </w:r>
      <w:r>
        <w:t xml:space="preserve"> and </w:t>
      </w:r>
      <w:r w:rsidRPr="00056E69">
        <w:t>were no longer dependent on the substances that brought them into treatment</w:t>
      </w:r>
      <w:r>
        <w:t>,</w:t>
      </w:r>
      <w:r w:rsidRPr="00056E69">
        <w:t xml:space="preserve"> </w:t>
      </w:r>
      <w:r>
        <w:t>nor</w:t>
      </w:r>
      <w:r w:rsidRPr="00056E69">
        <w:t xml:space="preserve"> receiving pharmacological treatment </w:t>
      </w:r>
      <w:r w:rsidRPr="00056E69">
        <w:fldChar w:fldCharType="begin"/>
      </w:r>
      <w:r w:rsidR="00B9334F">
        <w:instrText xml:space="preserve"> ADDIN EN.CITE &lt;EndNote&gt;&lt;Cite&gt;&lt;Author&gt;PHE&lt;/Author&gt;&lt;Year&gt;2019&lt;/Year&gt;&lt;RecNum&gt;63&lt;/RecNum&gt;&lt;DisplayText&gt;(PHE, 2019a)&lt;/DisplayText&gt;&lt;record&gt;&lt;rec-number&gt;63&lt;/rec-number&gt;&lt;foreign-keys&gt;&lt;key app="EN" db-id="ffzvr5fstavwxoe9v04xf0wmp5t50as52da0" timestamp="1731671640" guid="41db3abb-9f3b-4907-b16e-d664d4bba4d1"&gt;63&lt;/key&gt;&lt;/foreign-keys&gt;&lt;ref-type name="Report"&gt;27&lt;/ref-type&gt;&lt;contributors&gt;&lt;authors&gt;&lt;author&gt;PHE&lt;/author&gt;&lt;/authors&gt;&lt;/contributors&gt;&lt;titles&gt;&lt;title&gt;National Drug Treatment Monitoring System (NDTMS). Adult drug and alcohol treatment business definitions. Core dataset O&lt;/title&gt;&lt;/titles&gt;&lt;dates&gt;&lt;year&gt;2019&lt;/year&gt;&lt;pub-dates&gt;&lt;date&gt;14/06/2019&lt;/date&gt;&lt;/pub-dates&gt;&lt;/dates&gt;&lt;publisher&gt;Public Health England&lt;/publisher&gt;&lt;urls&gt;&lt;related-urls&gt;&lt;url&gt;https://assets.publishing.service.gov.uk/government/uploads/system/uploads/attachment_data/file/785198/NDTMS_adult_drug_and_alcohol_treatment_business_definitions_CDS-O.pdf&lt;/url&gt;&lt;/related-urls&gt;&lt;/urls&gt;&lt;/record&gt;&lt;/Cite&gt;&lt;/EndNote&gt;</w:instrText>
      </w:r>
      <w:r w:rsidRPr="00056E69">
        <w:fldChar w:fldCharType="separate"/>
      </w:r>
      <w:r w:rsidR="00A77498">
        <w:rPr>
          <w:noProof/>
        </w:rPr>
        <w:t>(PHE, 2019a)</w:t>
      </w:r>
      <w:r w:rsidRPr="00056E69">
        <w:fldChar w:fldCharType="end"/>
      </w:r>
      <w:r w:rsidRPr="00056E69">
        <w:t xml:space="preserve">. </w:t>
      </w:r>
    </w:p>
    <w:p w14:paraId="40509C74" w14:textId="77777777" w:rsidR="00AA5608" w:rsidRPr="00056E69" w:rsidRDefault="00AA5608" w:rsidP="00AA5608">
      <w:pPr>
        <w:pStyle w:val="NoSpacing"/>
        <w:spacing w:line="360" w:lineRule="auto"/>
      </w:pPr>
    </w:p>
    <w:p w14:paraId="42183450" w14:textId="23AE47C4" w:rsidR="00AA5608" w:rsidRDefault="00AA5608" w:rsidP="009C3BBC">
      <w:pPr>
        <w:pStyle w:val="Heading3"/>
        <w:numPr>
          <w:ilvl w:val="2"/>
          <w:numId w:val="19"/>
        </w:numPr>
        <w:spacing w:line="360" w:lineRule="auto"/>
      </w:pPr>
      <w:bookmarkStart w:id="68" w:name="_Toc189229683"/>
      <w:r w:rsidRPr="00056E69">
        <w:t>Statistical analysis</w:t>
      </w:r>
      <w:bookmarkEnd w:id="68"/>
    </w:p>
    <w:p w14:paraId="79B6F336" w14:textId="657FECEB" w:rsidR="00193769" w:rsidRDefault="00AA5608" w:rsidP="007356A4">
      <w:pPr>
        <w:pStyle w:val="NoSpacing"/>
        <w:spacing w:line="360" w:lineRule="auto"/>
      </w:pPr>
      <w:r w:rsidRPr="00056E69">
        <w:t>All analyses were done in Stata (version 15.1)</w:t>
      </w:r>
      <w:r>
        <w:t xml:space="preserve"> unless stated otherwise</w:t>
      </w:r>
      <w:r w:rsidRPr="00056E69">
        <w:t xml:space="preserve">. </w:t>
      </w:r>
    </w:p>
    <w:p w14:paraId="3F66CBCF" w14:textId="77777777" w:rsidR="007356A4" w:rsidRDefault="007356A4" w:rsidP="007356A4">
      <w:pPr>
        <w:pStyle w:val="NoSpacing"/>
        <w:spacing w:line="360" w:lineRule="auto"/>
      </w:pPr>
    </w:p>
    <w:p w14:paraId="653085C7" w14:textId="6EF4C642" w:rsidR="00AA5608" w:rsidRPr="007356A4" w:rsidRDefault="00AA5608" w:rsidP="007356A4">
      <w:pPr>
        <w:pStyle w:val="Heading4"/>
        <w:spacing w:line="240" w:lineRule="auto"/>
      </w:pPr>
      <w:r w:rsidRPr="007356A4">
        <w:lastRenderedPageBreak/>
        <w:t xml:space="preserve">Descriptive and exploratory analysis of baseline characteristics and interventions received </w:t>
      </w:r>
    </w:p>
    <w:p w14:paraId="3382796C" w14:textId="77777777" w:rsidR="005355EA" w:rsidRDefault="005355EA" w:rsidP="005355EA"/>
    <w:p w14:paraId="2AE132BA" w14:textId="52698979" w:rsidR="7AD50AB6" w:rsidRDefault="00AA5608" w:rsidP="7AD50AB6">
      <w:pPr>
        <w:pStyle w:val="pf0"/>
        <w:spacing w:before="0" w:beforeAutospacing="0" w:line="360" w:lineRule="auto"/>
        <w:rPr>
          <w:rFonts w:ascii="Arial" w:eastAsiaTheme="minorEastAsia" w:hAnsi="Arial" w:cs="Arial"/>
          <w:lang w:eastAsia="en-US"/>
        </w:rPr>
      </w:pPr>
      <w:r w:rsidRPr="7AD50AB6">
        <w:rPr>
          <w:rFonts w:ascii="Arial" w:eastAsiaTheme="minorEastAsia" w:hAnsi="Arial" w:cs="Arial"/>
          <w:lang w:eastAsia="en-US"/>
        </w:rPr>
        <w:t xml:space="preserve">A multilevel multivariable logistic regression (STATA: </w:t>
      </w:r>
      <w:r w:rsidRPr="7AD50AB6">
        <w:rPr>
          <w:rFonts w:ascii="Arial" w:eastAsiaTheme="minorEastAsia" w:hAnsi="Arial" w:cs="Arial"/>
          <w:i/>
          <w:lang w:eastAsia="en-US"/>
        </w:rPr>
        <w:t>me</w:t>
      </w:r>
      <w:r w:rsidR="00501E1F" w:rsidRPr="7AD50AB6">
        <w:rPr>
          <w:rFonts w:ascii="Arial" w:eastAsiaTheme="minorEastAsia" w:hAnsi="Arial" w:cs="Arial"/>
          <w:i/>
          <w:lang w:eastAsia="en-US"/>
        </w:rPr>
        <w:t>qr</w:t>
      </w:r>
      <w:r w:rsidRPr="7AD50AB6">
        <w:rPr>
          <w:rFonts w:ascii="Arial" w:eastAsiaTheme="minorEastAsia" w:hAnsi="Arial" w:cs="Arial"/>
          <w:i/>
          <w:lang w:eastAsia="en-US"/>
        </w:rPr>
        <w:t>logit</w:t>
      </w:r>
      <w:r w:rsidRPr="7AD50AB6">
        <w:rPr>
          <w:rFonts w:ascii="Arial" w:eastAsiaTheme="minorEastAsia" w:hAnsi="Arial" w:cs="Arial"/>
          <w:lang w:eastAsia="en-US"/>
        </w:rPr>
        <w:t xml:space="preserve">) was used to estimate the associations between parental sex and/or child living arrangements and the likelihood of receiving treatment </w:t>
      </w:r>
      <w:r w:rsidR="00545D7B">
        <w:rPr>
          <w:rFonts w:ascii="Arial" w:eastAsiaTheme="minorEastAsia" w:hAnsi="Arial" w:cs="Arial"/>
          <w:lang w:eastAsia="en-US"/>
        </w:rPr>
        <w:t>plus</w:t>
      </w:r>
      <w:r w:rsidRPr="7AD50AB6">
        <w:rPr>
          <w:rFonts w:ascii="Arial" w:eastAsiaTheme="minorEastAsia" w:hAnsi="Arial" w:cs="Arial"/>
          <w:lang w:eastAsia="en-US"/>
        </w:rPr>
        <w:t xml:space="preserve"> targeted prevention or statutory child welfare interventions. The socio-demographic and clinical characteristics were Level 1, while the 150 English local authorities were Level 2 </w:t>
      </w:r>
      <w:r w:rsidRPr="7AD50AB6">
        <w:rPr>
          <w:rFonts w:ascii="Arial" w:eastAsiaTheme="minorEastAsia" w:hAnsi="Arial" w:cs="Arial"/>
          <w:lang w:eastAsia="en-US"/>
        </w:rPr>
        <w:fldChar w:fldCharType="begin">
          <w:fldData xml:space="preserve">PEVuZE5vdGU+PENpdGU+PEF1dGhvcj5FYXN0d29vZDwvQXV0aG9yPjxZZWFyPjIwMTg8L1llYXI+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</w:fldData>
        </w:fldChar>
      </w:r>
      <w:r w:rsidR="00B9334F">
        <w:rPr>
          <w:rFonts w:ascii="Arial" w:eastAsiaTheme="minorEastAsia" w:hAnsi="Arial" w:cs="Arial"/>
          <w:lang w:eastAsia="en-US"/>
        </w:rPr>
        <w:instrText xml:space="preserve"> ADDIN EN.CITE </w:instrText>
      </w:r>
      <w:r w:rsidR="00B9334F">
        <w:rPr>
          <w:rFonts w:ascii="Arial" w:eastAsiaTheme="minorEastAsia" w:hAnsi="Arial" w:cs="Arial"/>
          <w:lang w:eastAsia="en-US"/>
        </w:rPr>
        <w:fldChar w:fldCharType="begin">
          <w:fldData xml:space="preserve">PEVuZE5vdGU+PENpdGU+PEF1dGhvcj5FYXN0d29vZDwvQXV0aG9yPjxZZWFyPjIwMTg8L1llYXI+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</w:fldData>
        </w:fldChar>
      </w:r>
      <w:r w:rsidR="00B9334F">
        <w:rPr>
          <w:rFonts w:ascii="Arial" w:eastAsiaTheme="minorEastAsia" w:hAnsi="Arial" w:cs="Arial"/>
          <w:lang w:eastAsia="en-US"/>
        </w:rPr>
        <w:instrText xml:space="preserve"> ADDIN EN.CITE.DATA </w:instrText>
      </w:r>
      <w:r w:rsidR="00B9334F">
        <w:rPr>
          <w:rFonts w:ascii="Arial" w:eastAsiaTheme="minorEastAsia" w:hAnsi="Arial" w:cs="Arial"/>
          <w:lang w:eastAsia="en-US"/>
        </w:rPr>
      </w:r>
      <w:r w:rsidR="00B9334F">
        <w:rPr>
          <w:rFonts w:ascii="Arial" w:eastAsiaTheme="minorEastAsia" w:hAnsi="Arial" w:cs="Arial"/>
          <w:lang w:eastAsia="en-US"/>
        </w:rPr>
        <w:fldChar w:fldCharType="end"/>
      </w:r>
      <w:r w:rsidRPr="7AD50AB6">
        <w:rPr>
          <w:rFonts w:ascii="Arial" w:eastAsiaTheme="minorEastAsia" w:hAnsi="Arial" w:cs="Arial"/>
          <w:lang w:eastAsia="en-US"/>
        </w:rPr>
      </w:r>
      <w:r w:rsidRPr="7AD50AB6">
        <w:rPr>
          <w:rFonts w:ascii="Arial" w:eastAsiaTheme="minorEastAsia" w:hAnsi="Arial" w:cs="Arial"/>
          <w:lang w:eastAsia="en-US"/>
        </w:rPr>
        <w:fldChar w:fldCharType="separate"/>
      </w:r>
      <w:r w:rsidR="003C6F70">
        <w:rPr>
          <w:rFonts w:ascii="Arial" w:eastAsiaTheme="minorEastAsia" w:hAnsi="Arial" w:cs="Arial"/>
          <w:noProof/>
          <w:lang w:eastAsia="en-US"/>
        </w:rPr>
        <w:t>(Eastwood et al., 2018; Marsden et al., 2009; Marsden et al., 2012; Peacock et al., 2018; Willey et al., 2016)</w:t>
      </w:r>
      <w:r w:rsidRPr="7AD50AB6">
        <w:rPr>
          <w:rFonts w:ascii="Arial" w:eastAsiaTheme="minorEastAsia" w:hAnsi="Arial" w:cs="Arial"/>
          <w:lang w:eastAsia="en-US"/>
        </w:rPr>
        <w:fldChar w:fldCharType="end"/>
      </w:r>
      <w:r w:rsidRPr="7AD50AB6">
        <w:rPr>
          <w:rFonts w:ascii="Arial" w:eastAsiaTheme="minorEastAsia" w:hAnsi="Arial" w:cs="Arial"/>
          <w:lang w:eastAsia="en-US"/>
        </w:rPr>
        <w:t>.</w:t>
      </w:r>
    </w:p>
    <w:p w14:paraId="27F48087" w14:textId="50E8FD54" w:rsidR="00AA5608" w:rsidRPr="00C872C4" w:rsidRDefault="00AA5608" w:rsidP="002A7BD9">
      <w:pPr>
        <w:pStyle w:val="Heading4"/>
        <w:spacing w:line="240" w:lineRule="auto"/>
      </w:pPr>
      <w:r>
        <w:t>Analysis of outcomes</w:t>
      </w:r>
    </w:p>
    <w:p w14:paraId="281A5E66" w14:textId="77777777" w:rsidR="005355EA" w:rsidRDefault="005355EA" w:rsidP="005355EA"/>
    <w:p w14:paraId="6AA8BE5B" w14:textId="186C2EAE" w:rsidR="00AA5608" w:rsidRDefault="00AA5608" w:rsidP="00535739">
      <w:pPr>
        <w:pStyle w:val="NoSpacing"/>
        <w:spacing w:line="360" w:lineRule="auto"/>
        <w:rPr>
          <w:bCs/>
        </w:rPr>
      </w:pPr>
      <w:r>
        <w:t xml:space="preserve">The exploratory analysis of baseline characteristics and interventions received suggested that further analysis of </w:t>
      </w:r>
      <w:r w:rsidRPr="003A0906">
        <w:rPr>
          <w:bCs/>
        </w:rPr>
        <w:t xml:space="preserve">the association between successful completion of treatment and </w:t>
      </w:r>
      <w:r>
        <w:rPr>
          <w:bCs/>
        </w:rPr>
        <w:t>interventions, adjusting for baseline characteristics, was warranted</w:t>
      </w:r>
      <w:r>
        <w:t xml:space="preserve">. </w:t>
      </w:r>
      <w:r w:rsidRPr="00F828B2">
        <w:t xml:space="preserve">Multicollinearity was assessed using pairwise correlations (STATA: </w:t>
      </w:r>
      <w:r w:rsidRPr="00F828B2">
        <w:rPr>
          <w:i/>
          <w:iCs/>
        </w:rPr>
        <w:t>pwcorr</w:t>
      </w:r>
      <w:r w:rsidRPr="00F828B2">
        <w:t xml:space="preserve">) and </w:t>
      </w:r>
      <w:r w:rsidRPr="00F828B2">
        <w:rPr>
          <w:color w:val="202124"/>
        </w:rPr>
        <w:t>Variance inflation factor (VIF)</w:t>
      </w:r>
      <w:r w:rsidRPr="00F828B2" w:rsidDel="00B679D9">
        <w:t xml:space="preserve"> </w:t>
      </w:r>
      <w:r w:rsidRPr="00F828B2">
        <w:t xml:space="preserve">and R-squared diagnostics (STATA: </w:t>
      </w:r>
      <w:r w:rsidRPr="00F828B2">
        <w:rPr>
          <w:i/>
          <w:iCs/>
        </w:rPr>
        <w:t>collin</w:t>
      </w:r>
      <w:r w:rsidRPr="00F828B2">
        <w:t>).</w:t>
      </w:r>
      <w:r>
        <w:t xml:space="preserve"> As k</w:t>
      </w:r>
      <w:r w:rsidRPr="00056E69">
        <w:t xml:space="preserve">ey </w:t>
      </w:r>
      <w:r>
        <w:t xml:space="preserve">data on parents were missing </w:t>
      </w:r>
      <w:r w:rsidRPr="00056E69">
        <w:t>(overall, 2</w:t>
      </w:r>
      <w:r>
        <w:t>2</w:t>
      </w:r>
      <w:r w:rsidRPr="00056E69">
        <w:t>.</w:t>
      </w:r>
      <w:r>
        <w:t>7</w:t>
      </w:r>
      <w:r w:rsidRPr="00056E69">
        <w:t>%</w:t>
      </w:r>
      <w:r>
        <w:t xml:space="preserve">; </w:t>
      </w:r>
      <w:r w:rsidRPr="00EF2F05">
        <w:t xml:space="preserve">Table </w:t>
      </w:r>
      <w:r w:rsidR="00367870" w:rsidRPr="00EF2F05">
        <w:t>3.3-</w:t>
      </w:r>
      <w:r w:rsidRPr="00EF2F05">
        <w:t>1</w:t>
      </w:r>
      <w:r w:rsidRPr="00056E69">
        <w:t>)</w:t>
      </w:r>
      <w:r>
        <w:t xml:space="preserve">, estimates of successful completion were derived using a multiple imputation model. </w:t>
      </w:r>
    </w:p>
    <w:p w14:paraId="38504836" w14:textId="77777777" w:rsidR="004D6273" w:rsidRPr="00535739" w:rsidRDefault="004D6273" w:rsidP="00535739">
      <w:pPr>
        <w:pStyle w:val="NoSpacing"/>
        <w:spacing w:line="360" w:lineRule="auto"/>
        <w:rPr>
          <w:bCs/>
        </w:rPr>
      </w:pPr>
    </w:p>
    <w:p w14:paraId="54D33880" w14:textId="2ABAC1C4" w:rsidR="005355EA" w:rsidRPr="00535739" w:rsidRDefault="003544A3" w:rsidP="00535739">
      <w:pPr>
        <w:pStyle w:val="Caption"/>
        <w:ind w:left="1440" w:hanging="1440"/>
        <w:rPr>
          <w:b w:val="0"/>
          <w:bCs w:val="0"/>
          <w:i/>
          <w:iCs/>
          <w:color w:val="auto"/>
          <w:sz w:val="24"/>
          <w:szCs w:val="24"/>
        </w:rPr>
      </w:pPr>
      <w:bookmarkStart w:id="69" w:name="_Toc185844988"/>
      <w:r>
        <w:rPr>
          <w:b w:val="0"/>
          <w:bCs w:val="0"/>
          <w:i/>
          <w:iCs/>
          <w:color w:val="auto"/>
          <w:sz w:val="24"/>
          <w:szCs w:val="24"/>
        </w:rPr>
        <w:t>Table</w:t>
      </w:r>
      <w:r w:rsidR="00926441" w:rsidRPr="00535739">
        <w:rPr>
          <w:b w:val="0"/>
          <w:bCs w:val="0"/>
          <w:i/>
          <w:iCs/>
          <w:color w:val="auto"/>
          <w:sz w:val="24"/>
          <w:szCs w:val="24"/>
        </w:rPr>
        <w:t xml:space="preserv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3.3</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1</w:t>
      </w:r>
      <w:r w:rsidR="00367870">
        <w:rPr>
          <w:b w:val="0"/>
          <w:bCs w:val="0"/>
          <w:i/>
          <w:iCs/>
          <w:color w:val="auto"/>
          <w:sz w:val="24"/>
          <w:szCs w:val="24"/>
        </w:rPr>
        <w:fldChar w:fldCharType="end"/>
      </w:r>
      <w:r w:rsidR="00535739">
        <w:rPr>
          <w:b w:val="0"/>
          <w:bCs w:val="0"/>
          <w:i/>
          <w:iCs/>
          <w:color w:val="auto"/>
          <w:sz w:val="24"/>
          <w:szCs w:val="24"/>
        </w:rPr>
        <w:tab/>
      </w:r>
      <w:r w:rsidR="00926441" w:rsidRPr="00535739">
        <w:rPr>
          <w:b w:val="0"/>
          <w:bCs w:val="0"/>
          <w:i/>
          <w:iCs/>
          <w:color w:val="auto"/>
          <w:sz w:val="24"/>
          <w:szCs w:val="24"/>
        </w:rPr>
        <w:t>Summary of missing data in the National Drug Treatment Monitoring System (NDTMS) dataset</w:t>
      </w:r>
      <w:bookmarkEnd w:id="69"/>
    </w:p>
    <w:p w14:paraId="2ED7DF63" w14:textId="28D1D550" w:rsidR="00AA5608" w:rsidRPr="00056E69" w:rsidRDefault="00AA5608" w:rsidP="00535739">
      <w:pPr>
        <w:pStyle w:val="NoSpacing"/>
        <w:spacing w:line="240" w:lineRule="auto"/>
      </w:pPr>
      <w:r>
        <w:rPr>
          <w:b/>
          <w:bCs/>
        </w:rPr>
        <w:tab/>
      </w:r>
      <w:r w:rsidRPr="00F124E3">
        <w:t xml:space="preserve"> </w:t>
      </w:r>
    </w:p>
    <w:tbl>
      <w:tblPr>
        <w:tblW w:w="7083" w:type="dxa"/>
        <w:tblLayout w:type="fixed"/>
        <w:tblLook w:val="04A0" w:firstRow="1" w:lastRow="0" w:firstColumn="1" w:lastColumn="0" w:noHBand="0" w:noVBand="1"/>
      </w:tblPr>
      <w:tblGrid>
        <w:gridCol w:w="2495"/>
        <w:gridCol w:w="1044"/>
        <w:gridCol w:w="992"/>
        <w:gridCol w:w="1276"/>
        <w:gridCol w:w="1276"/>
      </w:tblGrid>
      <w:tr w:rsidR="00AA5608" w:rsidRPr="00D55744" w14:paraId="5B823F64" w14:textId="77777777" w:rsidTr="00535739">
        <w:trPr>
          <w:trHeight w:val="317"/>
        </w:trPr>
        <w:tc>
          <w:tcPr>
            <w:tcW w:w="2495" w:type="dxa"/>
            <w:tcBorders>
              <w:right w:val="single" w:sz="4" w:space="0" w:color="auto"/>
            </w:tcBorders>
            <w:shd w:val="clear" w:color="auto" w:fill="auto"/>
            <w:noWrap/>
            <w:vAlign w:val="bottom"/>
            <w:hideMark/>
          </w:tcPr>
          <w:p w14:paraId="2AA1B521" w14:textId="77777777" w:rsidR="00AA5608" w:rsidRPr="00B772CF" w:rsidRDefault="00AA5608" w:rsidP="000E494A">
            <w:pPr>
              <w:rPr>
                <w:rFonts w:cs="Arial"/>
                <w:color w:val="000000"/>
                <w:sz w:val="20"/>
                <w:szCs w:val="20"/>
              </w:rPr>
            </w:pPr>
          </w:p>
        </w:tc>
        <w:tc>
          <w:tcPr>
            <w:tcW w:w="2036" w:type="dxa"/>
            <w:gridSpan w:val="2"/>
            <w:tcBorders>
              <w:left w:val="single" w:sz="4" w:space="0" w:color="auto"/>
            </w:tcBorders>
            <w:shd w:val="clear" w:color="auto" w:fill="auto"/>
            <w:noWrap/>
            <w:vAlign w:val="center"/>
            <w:hideMark/>
          </w:tcPr>
          <w:p w14:paraId="18AE7680" w14:textId="77777777" w:rsidR="00AA5608" w:rsidRPr="00B772CF" w:rsidRDefault="00AA5608" w:rsidP="000E494A">
            <w:pPr>
              <w:jc w:val="center"/>
              <w:rPr>
                <w:rFonts w:cs="Arial"/>
                <w:color w:val="000000"/>
                <w:sz w:val="20"/>
                <w:szCs w:val="20"/>
              </w:rPr>
            </w:pPr>
            <w:r w:rsidRPr="00B772CF">
              <w:rPr>
                <w:rFonts w:cs="Arial"/>
                <w:color w:val="000000"/>
                <w:sz w:val="20"/>
                <w:szCs w:val="20"/>
              </w:rPr>
              <w:t>All parents</w:t>
            </w:r>
          </w:p>
        </w:tc>
        <w:tc>
          <w:tcPr>
            <w:tcW w:w="1276" w:type="dxa"/>
            <w:shd w:val="clear" w:color="auto" w:fill="auto"/>
            <w:vAlign w:val="center"/>
            <w:hideMark/>
          </w:tcPr>
          <w:p w14:paraId="7804D939" w14:textId="2C48BA77" w:rsidR="00AA5608" w:rsidRPr="00B772CF" w:rsidRDefault="002946F0" w:rsidP="000E494A">
            <w:pPr>
              <w:jc w:val="center"/>
              <w:rPr>
                <w:rFonts w:cs="Arial"/>
                <w:color w:val="000000"/>
                <w:sz w:val="20"/>
                <w:szCs w:val="20"/>
              </w:rPr>
            </w:pPr>
            <w:r>
              <w:rPr>
                <w:rFonts w:cs="Arial"/>
                <w:color w:val="000000"/>
                <w:sz w:val="20"/>
                <w:szCs w:val="20"/>
              </w:rPr>
              <w:t>Parents livin</w:t>
            </w:r>
            <w:r w:rsidR="00411E9B">
              <w:rPr>
                <w:rFonts w:cs="Arial"/>
                <w:color w:val="000000"/>
                <w:sz w:val="20"/>
                <w:szCs w:val="20"/>
              </w:rPr>
              <w:t>g</w:t>
            </w:r>
            <w:r w:rsidR="00AA5608" w:rsidRPr="00B772CF">
              <w:rPr>
                <w:rFonts w:cs="Arial"/>
                <w:color w:val="000000"/>
                <w:sz w:val="20"/>
                <w:szCs w:val="20"/>
              </w:rPr>
              <w:t xml:space="preserve"> with children</w:t>
            </w:r>
          </w:p>
        </w:tc>
        <w:tc>
          <w:tcPr>
            <w:tcW w:w="1276" w:type="dxa"/>
            <w:shd w:val="clear" w:color="auto" w:fill="auto"/>
            <w:vAlign w:val="center"/>
            <w:hideMark/>
          </w:tcPr>
          <w:p w14:paraId="6D0E5FE8" w14:textId="77777777" w:rsidR="00AA5608" w:rsidRPr="00B772CF" w:rsidRDefault="00AA5608" w:rsidP="000E494A">
            <w:pPr>
              <w:jc w:val="center"/>
              <w:rPr>
                <w:rFonts w:cs="Arial"/>
                <w:color w:val="000000"/>
                <w:sz w:val="20"/>
                <w:szCs w:val="20"/>
              </w:rPr>
            </w:pPr>
            <w:r w:rsidRPr="00B772CF">
              <w:rPr>
                <w:rFonts w:cs="Arial"/>
                <w:color w:val="000000"/>
                <w:sz w:val="20"/>
                <w:szCs w:val="20"/>
              </w:rPr>
              <w:t>Parents not living with children</w:t>
            </w:r>
          </w:p>
        </w:tc>
      </w:tr>
      <w:tr w:rsidR="00AA5608" w:rsidRPr="00D55744" w14:paraId="44B1F594" w14:textId="77777777" w:rsidTr="00535739">
        <w:trPr>
          <w:trHeight w:val="300"/>
        </w:trPr>
        <w:tc>
          <w:tcPr>
            <w:tcW w:w="2495" w:type="dxa"/>
            <w:tcBorders>
              <w:bottom w:val="single" w:sz="4" w:space="0" w:color="auto"/>
              <w:right w:val="single" w:sz="4" w:space="0" w:color="auto"/>
            </w:tcBorders>
            <w:shd w:val="clear" w:color="auto" w:fill="auto"/>
            <w:noWrap/>
            <w:vAlign w:val="bottom"/>
            <w:hideMark/>
          </w:tcPr>
          <w:p w14:paraId="2EC6BFC3" w14:textId="77777777" w:rsidR="00AA5608" w:rsidRPr="00B772CF" w:rsidRDefault="00AA5608" w:rsidP="000E494A">
            <w:pPr>
              <w:rPr>
                <w:rFonts w:cs="Arial"/>
                <w:color w:val="000000"/>
                <w:sz w:val="20"/>
                <w:szCs w:val="20"/>
              </w:rPr>
            </w:pPr>
            <w:r w:rsidRPr="00B772CF">
              <w:rPr>
                <w:rFonts w:cs="Arial"/>
                <w:color w:val="000000"/>
                <w:sz w:val="20"/>
                <w:szCs w:val="20"/>
              </w:rPr>
              <w:t>Variable</w:t>
            </w:r>
          </w:p>
        </w:tc>
        <w:tc>
          <w:tcPr>
            <w:tcW w:w="1044" w:type="dxa"/>
            <w:tcBorders>
              <w:left w:val="single" w:sz="4" w:space="0" w:color="auto"/>
              <w:bottom w:val="single" w:sz="4" w:space="0" w:color="auto"/>
            </w:tcBorders>
            <w:shd w:val="clear" w:color="auto" w:fill="auto"/>
            <w:noWrap/>
            <w:vAlign w:val="bottom"/>
            <w:hideMark/>
          </w:tcPr>
          <w:p w14:paraId="19B76CEA" w14:textId="77777777" w:rsidR="00AA5608" w:rsidRPr="00B772CF" w:rsidRDefault="00AA5608" w:rsidP="000E494A">
            <w:pPr>
              <w:jc w:val="center"/>
              <w:rPr>
                <w:rFonts w:cs="Arial"/>
                <w:color w:val="000000"/>
                <w:sz w:val="20"/>
                <w:szCs w:val="20"/>
              </w:rPr>
            </w:pPr>
            <w:r w:rsidRPr="00B772CF">
              <w:rPr>
                <w:rFonts w:cs="Arial"/>
                <w:color w:val="000000"/>
                <w:sz w:val="20"/>
                <w:szCs w:val="20"/>
              </w:rPr>
              <w:t>n</w:t>
            </w:r>
          </w:p>
        </w:tc>
        <w:tc>
          <w:tcPr>
            <w:tcW w:w="992" w:type="dxa"/>
            <w:tcBorders>
              <w:bottom w:val="single" w:sz="4" w:space="0" w:color="auto"/>
            </w:tcBorders>
            <w:shd w:val="clear" w:color="auto" w:fill="auto"/>
            <w:noWrap/>
            <w:vAlign w:val="bottom"/>
            <w:hideMark/>
          </w:tcPr>
          <w:p w14:paraId="2CDA1504" w14:textId="77777777" w:rsidR="00AA5608" w:rsidRPr="00B772CF" w:rsidRDefault="00AA5608" w:rsidP="000E494A">
            <w:pPr>
              <w:jc w:val="center"/>
              <w:rPr>
                <w:rFonts w:cs="Arial"/>
                <w:color w:val="000000"/>
                <w:sz w:val="20"/>
                <w:szCs w:val="20"/>
              </w:rPr>
            </w:pPr>
            <w:r w:rsidRPr="00B772CF">
              <w:rPr>
                <w:rFonts w:cs="Arial"/>
                <w:color w:val="000000"/>
                <w:sz w:val="20"/>
                <w:szCs w:val="20"/>
              </w:rPr>
              <w:t>%</w:t>
            </w:r>
          </w:p>
        </w:tc>
        <w:tc>
          <w:tcPr>
            <w:tcW w:w="1276" w:type="dxa"/>
            <w:tcBorders>
              <w:bottom w:val="single" w:sz="4" w:space="0" w:color="auto"/>
            </w:tcBorders>
            <w:shd w:val="clear" w:color="auto" w:fill="auto"/>
            <w:noWrap/>
            <w:vAlign w:val="bottom"/>
            <w:hideMark/>
          </w:tcPr>
          <w:p w14:paraId="45650349" w14:textId="77777777" w:rsidR="00AA5608" w:rsidRPr="00B772CF" w:rsidRDefault="00AA5608" w:rsidP="000E494A">
            <w:pPr>
              <w:jc w:val="center"/>
              <w:rPr>
                <w:rFonts w:cs="Arial"/>
                <w:color w:val="000000"/>
                <w:sz w:val="20"/>
                <w:szCs w:val="20"/>
              </w:rPr>
            </w:pPr>
            <w:r w:rsidRPr="00B772CF">
              <w:rPr>
                <w:rFonts w:cs="Arial"/>
                <w:color w:val="000000"/>
                <w:sz w:val="20"/>
                <w:szCs w:val="20"/>
              </w:rPr>
              <w:t>%</w:t>
            </w:r>
          </w:p>
        </w:tc>
        <w:tc>
          <w:tcPr>
            <w:tcW w:w="1276" w:type="dxa"/>
            <w:tcBorders>
              <w:bottom w:val="single" w:sz="4" w:space="0" w:color="auto"/>
            </w:tcBorders>
            <w:shd w:val="clear" w:color="auto" w:fill="auto"/>
            <w:noWrap/>
            <w:vAlign w:val="bottom"/>
            <w:hideMark/>
          </w:tcPr>
          <w:p w14:paraId="4F3BD046" w14:textId="77777777" w:rsidR="00AA5608" w:rsidRPr="00B772CF" w:rsidRDefault="00AA5608" w:rsidP="000E494A">
            <w:pPr>
              <w:jc w:val="center"/>
              <w:rPr>
                <w:rFonts w:cs="Arial"/>
                <w:color w:val="000000"/>
                <w:sz w:val="20"/>
                <w:szCs w:val="20"/>
              </w:rPr>
            </w:pPr>
            <w:r w:rsidRPr="00B772CF">
              <w:rPr>
                <w:rFonts w:cs="Arial"/>
                <w:color w:val="000000"/>
                <w:sz w:val="20"/>
                <w:szCs w:val="20"/>
              </w:rPr>
              <w:t>%</w:t>
            </w:r>
          </w:p>
        </w:tc>
      </w:tr>
      <w:tr w:rsidR="00AA5608" w:rsidRPr="00D55744" w14:paraId="6474CB39" w14:textId="77777777" w:rsidTr="00535739">
        <w:trPr>
          <w:trHeight w:val="300"/>
        </w:trPr>
        <w:tc>
          <w:tcPr>
            <w:tcW w:w="2495" w:type="dxa"/>
            <w:tcBorders>
              <w:top w:val="single" w:sz="4" w:space="0" w:color="auto"/>
              <w:right w:val="single" w:sz="4" w:space="0" w:color="auto"/>
            </w:tcBorders>
            <w:shd w:val="clear" w:color="auto" w:fill="auto"/>
            <w:noWrap/>
            <w:vAlign w:val="bottom"/>
            <w:hideMark/>
          </w:tcPr>
          <w:p w14:paraId="7A271B09" w14:textId="77777777" w:rsidR="00AA5608" w:rsidRPr="00D55744" w:rsidRDefault="00AA5608" w:rsidP="000E494A">
            <w:pPr>
              <w:jc w:val="center"/>
              <w:rPr>
                <w:rFonts w:cs="Arial"/>
                <w:i/>
                <w:iCs/>
                <w:color w:val="000000"/>
                <w:sz w:val="20"/>
                <w:szCs w:val="20"/>
              </w:rPr>
            </w:pPr>
          </w:p>
        </w:tc>
        <w:tc>
          <w:tcPr>
            <w:tcW w:w="1044" w:type="dxa"/>
            <w:tcBorders>
              <w:top w:val="single" w:sz="4" w:space="0" w:color="auto"/>
              <w:left w:val="single" w:sz="4" w:space="0" w:color="auto"/>
            </w:tcBorders>
            <w:shd w:val="clear" w:color="auto" w:fill="auto"/>
            <w:noWrap/>
            <w:vAlign w:val="bottom"/>
            <w:hideMark/>
          </w:tcPr>
          <w:p w14:paraId="4945142B" w14:textId="77777777" w:rsidR="00AA5608" w:rsidRPr="00D55744" w:rsidRDefault="00AA5608" w:rsidP="000E494A">
            <w:pPr>
              <w:rPr>
                <w:rFonts w:cs="Arial"/>
                <w:sz w:val="20"/>
                <w:szCs w:val="20"/>
              </w:rPr>
            </w:pPr>
          </w:p>
        </w:tc>
        <w:tc>
          <w:tcPr>
            <w:tcW w:w="992" w:type="dxa"/>
            <w:tcBorders>
              <w:top w:val="single" w:sz="4" w:space="0" w:color="auto"/>
            </w:tcBorders>
            <w:shd w:val="clear" w:color="auto" w:fill="auto"/>
            <w:noWrap/>
            <w:vAlign w:val="bottom"/>
            <w:hideMark/>
          </w:tcPr>
          <w:p w14:paraId="7A237EAC" w14:textId="77777777" w:rsidR="00AA5608" w:rsidRPr="00D55744" w:rsidRDefault="00AA5608" w:rsidP="000E494A">
            <w:pPr>
              <w:jc w:val="center"/>
              <w:rPr>
                <w:rFonts w:cs="Arial"/>
                <w:sz w:val="20"/>
                <w:szCs w:val="20"/>
              </w:rPr>
            </w:pPr>
          </w:p>
        </w:tc>
        <w:tc>
          <w:tcPr>
            <w:tcW w:w="1276" w:type="dxa"/>
            <w:tcBorders>
              <w:top w:val="single" w:sz="4" w:space="0" w:color="auto"/>
            </w:tcBorders>
            <w:shd w:val="clear" w:color="auto" w:fill="auto"/>
            <w:noWrap/>
            <w:vAlign w:val="bottom"/>
            <w:hideMark/>
          </w:tcPr>
          <w:p w14:paraId="3EBF9082" w14:textId="77777777" w:rsidR="00AA5608" w:rsidRPr="00D55744" w:rsidRDefault="00AA5608" w:rsidP="000E494A">
            <w:pPr>
              <w:jc w:val="center"/>
              <w:rPr>
                <w:rFonts w:cs="Arial"/>
                <w:sz w:val="20"/>
                <w:szCs w:val="20"/>
              </w:rPr>
            </w:pPr>
          </w:p>
        </w:tc>
        <w:tc>
          <w:tcPr>
            <w:tcW w:w="1276" w:type="dxa"/>
            <w:tcBorders>
              <w:top w:val="single" w:sz="4" w:space="0" w:color="auto"/>
            </w:tcBorders>
            <w:shd w:val="clear" w:color="auto" w:fill="auto"/>
            <w:noWrap/>
            <w:vAlign w:val="bottom"/>
            <w:hideMark/>
          </w:tcPr>
          <w:p w14:paraId="5617A72A" w14:textId="77777777" w:rsidR="00AA5608" w:rsidRPr="00D55744" w:rsidRDefault="00AA5608" w:rsidP="000E494A">
            <w:pPr>
              <w:rPr>
                <w:rFonts w:cs="Arial"/>
                <w:sz w:val="20"/>
                <w:szCs w:val="20"/>
              </w:rPr>
            </w:pPr>
          </w:p>
        </w:tc>
      </w:tr>
      <w:tr w:rsidR="00AA5608" w:rsidRPr="00D55744" w14:paraId="2D07E0A6" w14:textId="77777777" w:rsidTr="00535739">
        <w:trPr>
          <w:trHeight w:val="300"/>
        </w:trPr>
        <w:tc>
          <w:tcPr>
            <w:tcW w:w="2495" w:type="dxa"/>
            <w:tcBorders>
              <w:right w:val="single" w:sz="4" w:space="0" w:color="auto"/>
            </w:tcBorders>
            <w:shd w:val="clear" w:color="auto" w:fill="auto"/>
            <w:noWrap/>
            <w:vAlign w:val="bottom"/>
            <w:hideMark/>
          </w:tcPr>
          <w:p w14:paraId="6FA54928" w14:textId="77777777" w:rsidR="00AA5608" w:rsidRPr="00D55744" w:rsidRDefault="00AA5608" w:rsidP="000E494A">
            <w:pPr>
              <w:rPr>
                <w:rFonts w:cs="Arial"/>
                <w:color w:val="000000"/>
                <w:sz w:val="20"/>
                <w:szCs w:val="20"/>
              </w:rPr>
            </w:pPr>
            <w:r w:rsidRPr="00D55744">
              <w:rPr>
                <w:rFonts w:cs="Arial"/>
                <w:color w:val="000000"/>
                <w:sz w:val="20"/>
                <w:szCs w:val="20"/>
              </w:rPr>
              <w:t>Overall</w:t>
            </w:r>
          </w:p>
        </w:tc>
        <w:tc>
          <w:tcPr>
            <w:tcW w:w="1044" w:type="dxa"/>
            <w:tcBorders>
              <w:left w:val="single" w:sz="4" w:space="0" w:color="auto"/>
            </w:tcBorders>
            <w:shd w:val="clear" w:color="auto" w:fill="auto"/>
            <w:noWrap/>
            <w:vAlign w:val="bottom"/>
            <w:hideMark/>
          </w:tcPr>
          <w:p w14:paraId="32F4829C" w14:textId="77777777" w:rsidR="00AA5608" w:rsidRPr="00D55744" w:rsidRDefault="00AA5608" w:rsidP="000E494A">
            <w:pPr>
              <w:jc w:val="right"/>
              <w:rPr>
                <w:rFonts w:cs="Arial"/>
                <w:color w:val="000000"/>
                <w:sz w:val="20"/>
                <w:szCs w:val="20"/>
              </w:rPr>
            </w:pPr>
            <w:r>
              <w:rPr>
                <w:rFonts w:cs="Arial"/>
                <w:color w:val="000000"/>
                <w:sz w:val="20"/>
                <w:szCs w:val="20"/>
              </w:rPr>
              <w:t>13,056</w:t>
            </w:r>
          </w:p>
        </w:tc>
        <w:tc>
          <w:tcPr>
            <w:tcW w:w="992" w:type="dxa"/>
            <w:shd w:val="clear" w:color="auto" w:fill="auto"/>
            <w:noWrap/>
            <w:vAlign w:val="bottom"/>
            <w:hideMark/>
          </w:tcPr>
          <w:p w14:paraId="694376E8" w14:textId="77777777" w:rsidR="00AA5608" w:rsidRPr="00D55744" w:rsidRDefault="00AA5608" w:rsidP="000E494A">
            <w:pPr>
              <w:jc w:val="right"/>
              <w:rPr>
                <w:rFonts w:cs="Arial"/>
                <w:sz w:val="20"/>
                <w:szCs w:val="20"/>
              </w:rPr>
            </w:pPr>
            <w:r w:rsidRPr="00D55744">
              <w:rPr>
                <w:rFonts w:cs="Arial"/>
                <w:sz w:val="20"/>
                <w:szCs w:val="20"/>
              </w:rPr>
              <w:t>22.7%</w:t>
            </w:r>
          </w:p>
        </w:tc>
        <w:tc>
          <w:tcPr>
            <w:tcW w:w="1276" w:type="dxa"/>
            <w:shd w:val="clear" w:color="auto" w:fill="auto"/>
            <w:noWrap/>
            <w:vAlign w:val="bottom"/>
            <w:hideMark/>
          </w:tcPr>
          <w:p w14:paraId="5C35931F" w14:textId="77777777" w:rsidR="00AA5608" w:rsidRPr="00D55744" w:rsidRDefault="00AA5608" w:rsidP="000E494A">
            <w:pPr>
              <w:jc w:val="right"/>
              <w:rPr>
                <w:rFonts w:cs="Arial"/>
                <w:color w:val="000000"/>
                <w:sz w:val="20"/>
                <w:szCs w:val="20"/>
              </w:rPr>
            </w:pPr>
            <w:r w:rsidRPr="00D55744">
              <w:rPr>
                <w:rFonts w:cs="Arial"/>
                <w:color w:val="000000"/>
                <w:sz w:val="20"/>
                <w:szCs w:val="20"/>
              </w:rPr>
              <w:t>22.8%</w:t>
            </w:r>
          </w:p>
        </w:tc>
        <w:tc>
          <w:tcPr>
            <w:tcW w:w="1276" w:type="dxa"/>
            <w:shd w:val="clear" w:color="auto" w:fill="auto"/>
            <w:noWrap/>
            <w:vAlign w:val="bottom"/>
            <w:hideMark/>
          </w:tcPr>
          <w:p w14:paraId="0E59FB3C" w14:textId="77777777" w:rsidR="00AA5608" w:rsidRPr="00D55744" w:rsidRDefault="00AA5608" w:rsidP="000E494A">
            <w:pPr>
              <w:jc w:val="right"/>
              <w:rPr>
                <w:rFonts w:cs="Arial"/>
                <w:color w:val="000000"/>
                <w:sz w:val="20"/>
                <w:szCs w:val="20"/>
              </w:rPr>
            </w:pPr>
            <w:r w:rsidRPr="00D55744">
              <w:rPr>
                <w:rFonts w:cs="Arial"/>
                <w:color w:val="000000"/>
                <w:sz w:val="20"/>
                <w:szCs w:val="20"/>
              </w:rPr>
              <w:t>22.7%</w:t>
            </w:r>
          </w:p>
        </w:tc>
      </w:tr>
      <w:tr w:rsidR="00AA5608" w:rsidRPr="00D55744" w14:paraId="2B968FEE" w14:textId="77777777" w:rsidTr="00535739">
        <w:trPr>
          <w:trHeight w:val="300"/>
        </w:trPr>
        <w:tc>
          <w:tcPr>
            <w:tcW w:w="2495" w:type="dxa"/>
            <w:tcBorders>
              <w:right w:val="single" w:sz="4" w:space="0" w:color="auto"/>
            </w:tcBorders>
            <w:shd w:val="clear" w:color="auto" w:fill="auto"/>
            <w:noWrap/>
            <w:vAlign w:val="bottom"/>
            <w:hideMark/>
          </w:tcPr>
          <w:p w14:paraId="22420E75" w14:textId="77777777" w:rsidR="00AA5608" w:rsidRPr="00D55744" w:rsidRDefault="00AA5608" w:rsidP="000E494A">
            <w:pPr>
              <w:jc w:val="right"/>
              <w:rPr>
                <w:rFonts w:cs="Arial"/>
                <w:color w:val="000000"/>
                <w:sz w:val="20"/>
                <w:szCs w:val="20"/>
              </w:rPr>
            </w:pPr>
          </w:p>
        </w:tc>
        <w:tc>
          <w:tcPr>
            <w:tcW w:w="1044" w:type="dxa"/>
            <w:tcBorders>
              <w:left w:val="single" w:sz="4" w:space="0" w:color="auto"/>
            </w:tcBorders>
            <w:shd w:val="clear" w:color="auto" w:fill="auto"/>
            <w:noWrap/>
            <w:vAlign w:val="bottom"/>
            <w:hideMark/>
          </w:tcPr>
          <w:p w14:paraId="5B316349" w14:textId="77777777" w:rsidR="00AA5608" w:rsidRPr="00D55744" w:rsidRDefault="00AA5608" w:rsidP="000E494A">
            <w:pPr>
              <w:rPr>
                <w:rFonts w:cs="Arial"/>
                <w:sz w:val="20"/>
                <w:szCs w:val="20"/>
              </w:rPr>
            </w:pPr>
          </w:p>
        </w:tc>
        <w:tc>
          <w:tcPr>
            <w:tcW w:w="992" w:type="dxa"/>
            <w:shd w:val="clear" w:color="auto" w:fill="auto"/>
            <w:noWrap/>
            <w:vAlign w:val="bottom"/>
            <w:hideMark/>
          </w:tcPr>
          <w:p w14:paraId="10BADDFC" w14:textId="77777777" w:rsidR="00AA5608" w:rsidRPr="00D55744" w:rsidRDefault="00AA5608" w:rsidP="000E494A">
            <w:pPr>
              <w:rPr>
                <w:rFonts w:cs="Arial"/>
                <w:sz w:val="20"/>
                <w:szCs w:val="20"/>
              </w:rPr>
            </w:pPr>
          </w:p>
        </w:tc>
        <w:tc>
          <w:tcPr>
            <w:tcW w:w="1276" w:type="dxa"/>
            <w:shd w:val="clear" w:color="auto" w:fill="auto"/>
            <w:noWrap/>
            <w:vAlign w:val="bottom"/>
            <w:hideMark/>
          </w:tcPr>
          <w:p w14:paraId="6BE2C6B0" w14:textId="77777777" w:rsidR="00AA5608" w:rsidRPr="00D55744" w:rsidRDefault="00AA5608" w:rsidP="000E494A">
            <w:pPr>
              <w:rPr>
                <w:rFonts w:cs="Arial"/>
                <w:sz w:val="20"/>
                <w:szCs w:val="20"/>
              </w:rPr>
            </w:pPr>
          </w:p>
        </w:tc>
        <w:tc>
          <w:tcPr>
            <w:tcW w:w="1276" w:type="dxa"/>
            <w:shd w:val="clear" w:color="auto" w:fill="auto"/>
            <w:noWrap/>
            <w:vAlign w:val="bottom"/>
            <w:hideMark/>
          </w:tcPr>
          <w:p w14:paraId="75ED4C57" w14:textId="77777777" w:rsidR="00AA5608" w:rsidRPr="00D55744" w:rsidRDefault="00AA5608" w:rsidP="000E494A">
            <w:pPr>
              <w:rPr>
                <w:rFonts w:cs="Arial"/>
                <w:sz w:val="20"/>
                <w:szCs w:val="20"/>
              </w:rPr>
            </w:pPr>
          </w:p>
        </w:tc>
      </w:tr>
      <w:tr w:rsidR="00AA5608" w:rsidRPr="00D55744" w14:paraId="51877F44" w14:textId="77777777" w:rsidTr="00535739">
        <w:trPr>
          <w:trHeight w:val="300"/>
        </w:trPr>
        <w:tc>
          <w:tcPr>
            <w:tcW w:w="2495" w:type="dxa"/>
            <w:tcBorders>
              <w:right w:val="single" w:sz="4" w:space="0" w:color="auto"/>
            </w:tcBorders>
            <w:shd w:val="clear" w:color="auto" w:fill="auto"/>
            <w:noWrap/>
            <w:vAlign w:val="bottom"/>
            <w:hideMark/>
          </w:tcPr>
          <w:p w14:paraId="4A1C6DB5" w14:textId="77777777" w:rsidR="00AA5608" w:rsidRPr="00D55744" w:rsidRDefault="00AA5608" w:rsidP="000E494A">
            <w:pPr>
              <w:rPr>
                <w:rFonts w:cs="Arial"/>
                <w:color w:val="000000"/>
                <w:sz w:val="20"/>
                <w:szCs w:val="20"/>
              </w:rPr>
            </w:pPr>
            <w:r w:rsidRPr="00D55744">
              <w:rPr>
                <w:rFonts w:cs="Arial"/>
                <w:color w:val="000000"/>
                <w:sz w:val="20"/>
                <w:szCs w:val="20"/>
              </w:rPr>
              <w:t>Child welfare involvement</w:t>
            </w:r>
          </w:p>
        </w:tc>
        <w:tc>
          <w:tcPr>
            <w:tcW w:w="1044" w:type="dxa"/>
            <w:tcBorders>
              <w:left w:val="single" w:sz="4" w:space="0" w:color="auto"/>
            </w:tcBorders>
            <w:shd w:val="clear" w:color="auto" w:fill="auto"/>
            <w:noWrap/>
            <w:vAlign w:val="bottom"/>
            <w:hideMark/>
          </w:tcPr>
          <w:p w14:paraId="3FA9A733" w14:textId="77777777" w:rsidR="00AA5608" w:rsidRPr="00D55744" w:rsidRDefault="00AA5608" w:rsidP="000E494A">
            <w:pPr>
              <w:jc w:val="right"/>
              <w:rPr>
                <w:rFonts w:cs="Arial"/>
                <w:color w:val="000000"/>
                <w:sz w:val="20"/>
                <w:szCs w:val="20"/>
              </w:rPr>
            </w:pPr>
            <w:r w:rsidRPr="00D55744">
              <w:rPr>
                <w:rFonts w:cs="Arial"/>
                <w:color w:val="000000"/>
                <w:sz w:val="20"/>
                <w:szCs w:val="20"/>
              </w:rPr>
              <w:t>6,655</w:t>
            </w:r>
          </w:p>
        </w:tc>
        <w:tc>
          <w:tcPr>
            <w:tcW w:w="992" w:type="dxa"/>
            <w:shd w:val="clear" w:color="auto" w:fill="auto"/>
            <w:noWrap/>
            <w:vAlign w:val="bottom"/>
            <w:hideMark/>
          </w:tcPr>
          <w:p w14:paraId="6A801F53" w14:textId="77777777" w:rsidR="00AA5608" w:rsidRPr="00D55744" w:rsidRDefault="00AA5608" w:rsidP="000E494A">
            <w:pPr>
              <w:jc w:val="right"/>
              <w:rPr>
                <w:rFonts w:cs="Arial"/>
                <w:color w:val="000000"/>
                <w:sz w:val="20"/>
                <w:szCs w:val="20"/>
              </w:rPr>
            </w:pPr>
            <w:r w:rsidRPr="00D55744">
              <w:rPr>
                <w:rFonts w:cs="Arial"/>
                <w:color w:val="000000"/>
                <w:sz w:val="20"/>
                <w:szCs w:val="20"/>
              </w:rPr>
              <w:t>13.1%</w:t>
            </w:r>
          </w:p>
        </w:tc>
        <w:tc>
          <w:tcPr>
            <w:tcW w:w="1276" w:type="dxa"/>
            <w:shd w:val="clear" w:color="auto" w:fill="auto"/>
            <w:noWrap/>
            <w:vAlign w:val="bottom"/>
            <w:hideMark/>
          </w:tcPr>
          <w:p w14:paraId="503E9E26" w14:textId="77777777" w:rsidR="00AA5608" w:rsidRPr="00D55744" w:rsidRDefault="00AA5608" w:rsidP="000E494A">
            <w:pPr>
              <w:jc w:val="right"/>
              <w:rPr>
                <w:rFonts w:cs="Arial"/>
                <w:color w:val="000000"/>
                <w:sz w:val="20"/>
                <w:szCs w:val="20"/>
              </w:rPr>
            </w:pPr>
            <w:r w:rsidRPr="00D55744">
              <w:rPr>
                <w:rFonts w:cs="Arial"/>
                <w:color w:val="000000"/>
                <w:sz w:val="20"/>
                <w:szCs w:val="20"/>
              </w:rPr>
              <w:t>10.8%</w:t>
            </w:r>
          </w:p>
        </w:tc>
        <w:tc>
          <w:tcPr>
            <w:tcW w:w="1276" w:type="dxa"/>
            <w:shd w:val="clear" w:color="auto" w:fill="auto"/>
            <w:noWrap/>
            <w:vAlign w:val="bottom"/>
            <w:hideMark/>
          </w:tcPr>
          <w:p w14:paraId="0D460055" w14:textId="77777777" w:rsidR="00AA5608" w:rsidRPr="00D55744" w:rsidRDefault="00AA5608" w:rsidP="000E494A">
            <w:pPr>
              <w:jc w:val="right"/>
              <w:rPr>
                <w:rFonts w:cs="Arial"/>
                <w:color w:val="000000"/>
                <w:sz w:val="20"/>
                <w:szCs w:val="20"/>
              </w:rPr>
            </w:pPr>
            <w:r w:rsidRPr="00D55744">
              <w:rPr>
                <w:rFonts w:cs="Arial"/>
                <w:color w:val="000000"/>
                <w:sz w:val="20"/>
                <w:szCs w:val="20"/>
              </w:rPr>
              <w:t>11.9%</w:t>
            </w:r>
          </w:p>
        </w:tc>
      </w:tr>
      <w:tr w:rsidR="00AA5608" w:rsidRPr="00D55744" w14:paraId="3DBF4FDF" w14:textId="77777777" w:rsidTr="00535739">
        <w:trPr>
          <w:trHeight w:val="300"/>
        </w:trPr>
        <w:tc>
          <w:tcPr>
            <w:tcW w:w="2495" w:type="dxa"/>
            <w:tcBorders>
              <w:right w:val="single" w:sz="4" w:space="0" w:color="auto"/>
            </w:tcBorders>
            <w:shd w:val="clear" w:color="auto" w:fill="auto"/>
            <w:noWrap/>
            <w:vAlign w:val="bottom"/>
            <w:hideMark/>
          </w:tcPr>
          <w:p w14:paraId="562A2AFE" w14:textId="77777777" w:rsidR="00AA5608" w:rsidRPr="00D55744" w:rsidRDefault="00AA5608" w:rsidP="000E494A">
            <w:pPr>
              <w:rPr>
                <w:rFonts w:cs="Arial"/>
                <w:color w:val="000000"/>
                <w:sz w:val="20"/>
                <w:szCs w:val="20"/>
              </w:rPr>
            </w:pPr>
            <w:r w:rsidRPr="00D55744">
              <w:rPr>
                <w:rFonts w:cs="Arial"/>
                <w:color w:val="000000"/>
                <w:sz w:val="20"/>
                <w:szCs w:val="20"/>
              </w:rPr>
              <w:t>Mental health problem</w:t>
            </w:r>
          </w:p>
        </w:tc>
        <w:tc>
          <w:tcPr>
            <w:tcW w:w="1044" w:type="dxa"/>
            <w:tcBorders>
              <w:left w:val="single" w:sz="4" w:space="0" w:color="auto"/>
            </w:tcBorders>
            <w:shd w:val="clear" w:color="auto" w:fill="auto"/>
            <w:noWrap/>
            <w:vAlign w:val="bottom"/>
            <w:hideMark/>
          </w:tcPr>
          <w:p w14:paraId="2AC04391" w14:textId="77777777" w:rsidR="00AA5608" w:rsidRPr="00D55744" w:rsidRDefault="00AA5608" w:rsidP="000E494A">
            <w:pPr>
              <w:jc w:val="right"/>
              <w:rPr>
                <w:rFonts w:cs="Arial"/>
                <w:color w:val="000000"/>
                <w:sz w:val="20"/>
                <w:szCs w:val="20"/>
              </w:rPr>
            </w:pPr>
            <w:r w:rsidRPr="00D55744">
              <w:rPr>
                <w:rFonts w:cs="Arial"/>
                <w:color w:val="000000"/>
                <w:sz w:val="20"/>
                <w:szCs w:val="20"/>
              </w:rPr>
              <w:t>4,604</w:t>
            </w:r>
          </w:p>
        </w:tc>
        <w:tc>
          <w:tcPr>
            <w:tcW w:w="992" w:type="dxa"/>
            <w:shd w:val="clear" w:color="auto" w:fill="auto"/>
            <w:noWrap/>
            <w:vAlign w:val="bottom"/>
            <w:hideMark/>
          </w:tcPr>
          <w:p w14:paraId="2CECDDBB" w14:textId="77777777" w:rsidR="00AA5608" w:rsidRPr="00D55744" w:rsidRDefault="00AA5608" w:rsidP="000E494A">
            <w:pPr>
              <w:jc w:val="right"/>
              <w:rPr>
                <w:rFonts w:cs="Arial"/>
                <w:color w:val="000000"/>
                <w:sz w:val="20"/>
                <w:szCs w:val="20"/>
              </w:rPr>
            </w:pPr>
            <w:r w:rsidRPr="00D55744">
              <w:rPr>
                <w:rFonts w:cs="Arial"/>
                <w:color w:val="000000"/>
                <w:sz w:val="20"/>
                <w:szCs w:val="20"/>
              </w:rPr>
              <w:t>8.7%</w:t>
            </w:r>
          </w:p>
        </w:tc>
        <w:tc>
          <w:tcPr>
            <w:tcW w:w="1276" w:type="dxa"/>
            <w:shd w:val="clear" w:color="auto" w:fill="auto"/>
            <w:noWrap/>
            <w:vAlign w:val="bottom"/>
            <w:hideMark/>
          </w:tcPr>
          <w:p w14:paraId="1603106C" w14:textId="77777777" w:rsidR="00AA5608" w:rsidRPr="00D55744" w:rsidRDefault="00AA5608" w:rsidP="000E494A">
            <w:pPr>
              <w:jc w:val="right"/>
              <w:rPr>
                <w:rFonts w:cs="Arial"/>
                <w:color w:val="000000"/>
                <w:sz w:val="20"/>
                <w:szCs w:val="20"/>
              </w:rPr>
            </w:pPr>
            <w:r w:rsidRPr="00D55744">
              <w:rPr>
                <w:rFonts w:cs="Arial"/>
                <w:color w:val="000000"/>
                <w:sz w:val="20"/>
                <w:szCs w:val="20"/>
              </w:rPr>
              <w:t>9.0%</w:t>
            </w:r>
          </w:p>
        </w:tc>
        <w:tc>
          <w:tcPr>
            <w:tcW w:w="1276" w:type="dxa"/>
            <w:shd w:val="clear" w:color="auto" w:fill="auto"/>
            <w:noWrap/>
            <w:vAlign w:val="bottom"/>
            <w:hideMark/>
          </w:tcPr>
          <w:p w14:paraId="0E99CFA3" w14:textId="77777777" w:rsidR="00AA5608" w:rsidRPr="00D55744" w:rsidRDefault="00AA5608" w:rsidP="000E494A">
            <w:pPr>
              <w:jc w:val="right"/>
              <w:rPr>
                <w:rFonts w:cs="Arial"/>
                <w:color w:val="000000"/>
                <w:sz w:val="20"/>
                <w:szCs w:val="20"/>
              </w:rPr>
            </w:pPr>
            <w:r w:rsidRPr="00D55744">
              <w:rPr>
                <w:rFonts w:cs="Arial"/>
                <w:color w:val="000000"/>
                <w:sz w:val="20"/>
                <w:szCs w:val="20"/>
              </w:rPr>
              <w:t>7.5%</w:t>
            </w:r>
          </w:p>
        </w:tc>
      </w:tr>
      <w:tr w:rsidR="00AA5608" w:rsidRPr="00D55744" w14:paraId="1E33C6F4" w14:textId="77777777" w:rsidTr="00535739">
        <w:trPr>
          <w:trHeight w:val="300"/>
        </w:trPr>
        <w:tc>
          <w:tcPr>
            <w:tcW w:w="2495" w:type="dxa"/>
            <w:tcBorders>
              <w:right w:val="single" w:sz="4" w:space="0" w:color="auto"/>
            </w:tcBorders>
            <w:shd w:val="clear" w:color="auto" w:fill="auto"/>
            <w:noWrap/>
            <w:vAlign w:val="bottom"/>
            <w:hideMark/>
          </w:tcPr>
          <w:p w14:paraId="6F67E591" w14:textId="77777777" w:rsidR="00AA5608" w:rsidRPr="00D55744" w:rsidRDefault="00AA5608" w:rsidP="000E494A">
            <w:pPr>
              <w:rPr>
                <w:rFonts w:cs="Arial"/>
                <w:color w:val="000000"/>
                <w:sz w:val="20"/>
                <w:szCs w:val="20"/>
              </w:rPr>
            </w:pPr>
            <w:r w:rsidRPr="00D55744">
              <w:rPr>
                <w:rFonts w:cs="Arial"/>
                <w:color w:val="000000"/>
                <w:sz w:val="20"/>
                <w:szCs w:val="20"/>
              </w:rPr>
              <w:t>Employment status</w:t>
            </w:r>
          </w:p>
        </w:tc>
        <w:tc>
          <w:tcPr>
            <w:tcW w:w="1044" w:type="dxa"/>
            <w:tcBorders>
              <w:left w:val="single" w:sz="4" w:space="0" w:color="auto"/>
            </w:tcBorders>
            <w:shd w:val="clear" w:color="auto" w:fill="auto"/>
            <w:noWrap/>
            <w:vAlign w:val="bottom"/>
            <w:hideMark/>
          </w:tcPr>
          <w:p w14:paraId="7FDED76B" w14:textId="77777777" w:rsidR="00AA5608" w:rsidRPr="00D55744" w:rsidRDefault="00AA5608" w:rsidP="000E494A">
            <w:pPr>
              <w:jc w:val="right"/>
              <w:rPr>
                <w:rFonts w:cs="Arial"/>
                <w:color w:val="000000"/>
                <w:sz w:val="20"/>
                <w:szCs w:val="20"/>
              </w:rPr>
            </w:pPr>
            <w:r w:rsidRPr="00D55744">
              <w:rPr>
                <w:rFonts w:cs="Arial"/>
                <w:color w:val="000000"/>
                <w:sz w:val="20"/>
                <w:szCs w:val="20"/>
              </w:rPr>
              <w:t>4,213</w:t>
            </w:r>
          </w:p>
        </w:tc>
        <w:tc>
          <w:tcPr>
            <w:tcW w:w="992" w:type="dxa"/>
            <w:shd w:val="clear" w:color="auto" w:fill="auto"/>
            <w:noWrap/>
            <w:vAlign w:val="bottom"/>
            <w:hideMark/>
          </w:tcPr>
          <w:p w14:paraId="22FB2BDE" w14:textId="77777777" w:rsidR="00AA5608" w:rsidRPr="00D55744" w:rsidRDefault="00AA5608" w:rsidP="000E494A">
            <w:pPr>
              <w:jc w:val="right"/>
              <w:rPr>
                <w:rFonts w:cs="Arial"/>
                <w:color w:val="000000"/>
                <w:sz w:val="20"/>
                <w:szCs w:val="20"/>
              </w:rPr>
            </w:pPr>
            <w:r w:rsidRPr="00D55744">
              <w:rPr>
                <w:rFonts w:cs="Arial"/>
                <w:color w:val="000000"/>
                <w:sz w:val="20"/>
                <w:szCs w:val="20"/>
              </w:rPr>
              <w:t>7.9%</w:t>
            </w:r>
          </w:p>
        </w:tc>
        <w:tc>
          <w:tcPr>
            <w:tcW w:w="1276" w:type="dxa"/>
            <w:shd w:val="clear" w:color="auto" w:fill="auto"/>
            <w:noWrap/>
            <w:vAlign w:val="bottom"/>
            <w:hideMark/>
          </w:tcPr>
          <w:p w14:paraId="18CEB134" w14:textId="77777777" w:rsidR="00AA5608" w:rsidRPr="00D55744" w:rsidRDefault="00AA5608" w:rsidP="000E494A">
            <w:pPr>
              <w:jc w:val="right"/>
              <w:rPr>
                <w:rFonts w:cs="Arial"/>
                <w:color w:val="000000"/>
                <w:sz w:val="20"/>
                <w:szCs w:val="20"/>
              </w:rPr>
            </w:pPr>
            <w:r w:rsidRPr="00D55744">
              <w:rPr>
                <w:rFonts w:cs="Arial"/>
                <w:color w:val="000000"/>
                <w:sz w:val="20"/>
                <w:szCs w:val="20"/>
              </w:rPr>
              <w:t>7.6%</w:t>
            </w:r>
          </w:p>
        </w:tc>
        <w:tc>
          <w:tcPr>
            <w:tcW w:w="1276" w:type="dxa"/>
            <w:shd w:val="clear" w:color="auto" w:fill="auto"/>
            <w:noWrap/>
            <w:vAlign w:val="bottom"/>
            <w:hideMark/>
          </w:tcPr>
          <w:p w14:paraId="4C70CB4A" w14:textId="77777777" w:rsidR="00AA5608" w:rsidRPr="00D55744" w:rsidRDefault="00AA5608" w:rsidP="000E494A">
            <w:pPr>
              <w:jc w:val="right"/>
              <w:rPr>
                <w:rFonts w:cs="Arial"/>
                <w:color w:val="000000"/>
                <w:sz w:val="20"/>
                <w:szCs w:val="20"/>
              </w:rPr>
            </w:pPr>
            <w:r w:rsidRPr="00D55744">
              <w:rPr>
                <w:rFonts w:cs="Arial"/>
                <w:color w:val="000000"/>
                <w:sz w:val="20"/>
                <w:szCs w:val="20"/>
              </w:rPr>
              <w:t>7.2%</w:t>
            </w:r>
          </w:p>
        </w:tc>
      </w:tr>
      <w:tr w:rsidR="00AA5608" w:rsidRPr="00D55744" w14:paraId="3C7004FA" w14:textId="77777777" w:rsidTr="00535739">
        <w:trPr>
          <w:trHeight w:val="300"/>
        </w:trPr>
        <w:tc>
          <w:tcPr>
            <w:tcW w:w="2495" w:type="dxa"/>
            <w:tcBorders>
              <w:right w:val="single" w:sz="4" w:space="0" w:color="auto"/>
            </w:tcBorders>
            <w:shd w:val="clear" w:color="auto" w:fill="auto"/>
            <w:noWrap/>
            <w:vAlign w:val="bottom"/>
            <w:hideMark/>
          </w:tcPr>
          <w:p w14:paraId="436435CA" w14:textId="77777777" w:rsidR="00AA5608" w:rsidRPr="00D55744" w:rsidRDefault="00AA5608" w:rsidP="000E494A">
            <w:pPr>
              <w:rPr>
                <w:rFonts w:cs="Arial"/>
                <w:color w:val="000000"/>
                <w:sz w:val="20"/>
                <w:szCs w:val="20"/>
              </w:rPr>
            </w:pPr>
            <w:r w:rsidRPr="00D55744">
              <w:rPr>
                <w:rFonts w:cs="Arial"/>
                <w:color w:val="000000"/>
                <w:sz w:val="20"/>
                <w:szCs w:val="20"/>
              </w:rPr>
              <w:t>Ethnicity</w:t>
            </w:r>
          </w:p>
        </w:tc>
        <w:tc>
          <w:tcPr>
            <w:tcW w:w="1044" w:type="dxa"/>
            <w:tcBorders>
              <w:left w:val="single" w:sz="4" w:space="0" w:color="auto"/>
            </w:tcBorders>
            <w:shd w:val="clear" w:color="auto" w:fill="auto"/>
            <w:noWrap/>
            <w:vAlign w:val="bottom"/>
            <w:hideMark/>
          </w:tcPr>
          <w:p w14:paraId="7670543B" w14:textId="77777777" w:rsidR="00AA5608" w:rsidRPr="00D55744" w:rsidRDefault="00AA5608" w:rsidP="000E494A">
            <w:pPr>
              <w:jc w:val="right"/>
              <w:rPr>
                <w:rFonts w:cs="Arial"/>
                <w:color w:val="000000"/>
                <w:sz w:val="20"/>
                <w:szCs w:val="20"/>
              </w:rPr>
            </w:pPr>
            <w:r w:rsidRPr="00D55744">
              <w:rPr>
                <w:rFonts w:cs="Arial"/>
                <w:color w:val="000000"/>
                <w:sz w:val="20"/>
                <w:szCs w:val="20"/>
              </w:rPr>
              <w:t>1,750</w:t>
            </w:r>
          </w:p>
        </w:tc>
        <w:tc>
          <w:tcPr>
            <w:tcW w:w="992" w:type="dxa"/>
            <w:shd w:val="clear" w:color="auto" w:fill="auto"/>
            <w:noWrap/>
            <w:vAlign w:val="bottom"/>
            <w:hideMark/>
          </w:tcPr>
          <w:p w14:paraId="4E5C5112" w14:textId="77777777" w:rsidR="00AA5608" w:rsidRPr="00D55744" w:rsidRDefault="00AA5608" w:rsidP="000E494A">
            <w:pPr>
              <w:jc w:val="right"/>
              <w:rPr>
                <w:rFonts w:cs="Arial"/>
                <w:color w:val="000000"/>
                <w:sz w:val="20"/>
                <w:szCs w:val="20"/>
              </w:rPr>
            </w:pPr>
            <w:r w:rsidRPr="00D55744">
              <w:rPr>
                <w:rFonts w:cs="Arial"/>
                <w:color w:val="000000"/>
                <w:sz w:val="20"/>
                <w:szCs w:val="20"/>
              </w:rPr>
              <w:t>3.1%</w:t>
            </w:r>
          </w:p>
        </w:tc>
        <w:tc>
          <w:tcPr>
            <w:tcW w:w="1276" w:type="dxa"/>
            <w:shd w:val="clear" w:color="auto" w:fill="auto"/>
            <w:noWrap/>
            <w:vAlign w:val="bottom"/>
            <w:hideMark/>
          </w:tcPr>
          <w:p w14:paraId="469F0045" w14:textId="77777777" w:rsidR="00AA5608" w:rsidRPr="00D55744" w:rsidRDefault="00AA5608" w:rsidP="000E494A">
            <w:pPr>
              <w:jc w:val="right"/>
              <w:rPr>
                <w:rFonts w:cs="Arial"/>
                <w:color w:val="000000"/>
                <w:sz w:val="20"/>
                <w:szCs w:val="20"/>
              </w:rPr>
            </w:pPr>
            <w:r w:rsidRPr="00D55744">
              <w:rPr>
                <w:rFonts w:cs="Arial"/>
                <w:color w:val="000000"/>
                <w:sz w:val="20"/>
                <w:szCs w:val="20"/>
              </w:rPr>
              <w:t>3.4%</w:t>
            </w:r>
          </w:p>
        </w:tc>
        <w:tc>
          <w:tcPr>
            <w:tcW w:w="1276" w:type="dxa"/>
            <w:shd w:val="clear" w:color="auto" w:fill="auto"/>
            <w:noWrap/>
            <w:vAlign w:val="bottom"/>
            <w:hideMark/>
          </w:tcPr>
          <w:p w14:paraId="5CDA4403" w14:textId="77777777" w:rsidR="00AA5608" w:rsidRPr="00D55744" w:rsidRDefault="00AA5608" w:rsidP="000E494A">
            <w:pPr>
              <w:jc w:val="right"/>
              <w:rPr>
                <w:rFonts w:cs="Arial"/>
                <w:color w:val="000000"/>
                <w:sz w:val="20"/>
                <w:szCs w:val="20"/>
              </w:rPr>
            </w:pPr>
            <w:r w:rsidRPr="00D55744">
              <w:rPr>
                <w:rFonts w:cs="Arial"/>
                <w:color w:val="000000"/>
                <w:sz w:val="20"/>
                <w:szCs w:val="20"/>
              </w:rPr>
              <w:t>2.9%</w:t>
            </w:r>
          </w:p>
        </w:tc>
      </w:tr>
      <w:tr w:rsidR="00AA5608" w:rsidRPr="00D55744" w14:paraId="2D8B07D4" w14:textId="77777777" w:rsidTr="00535739">
        <w:trPr>
          <w:trHeight w:val="300"/>
        </w:trPr>
        <w:tc>
          <w:tcPr>
            <w:tcW w:w="2495" w:type="dxa"/>
            <w:tcBorders>
              <w:right w:val="single" w:sz="4" w:space="0" w:color="auto"/>
            </w:tcBorders>
            <w:shd w:val="clear" w:color="auto" w:fill="auto"/>
            <w:noWrap/>
            <w:vAlign w:val="bottom"/>
            <w:hideMark/>
          </w:tcPr>
          <w:p w14:paraId="307BB527" w14:textId="77777777" w:rsidR="00AA5608" w:rsidRPr="00D55744" w:rsidRDefault="00AA5608" w:rsidP="000E494A">
            <w:pPr>
              <w:rPr>
                <w:rFonts w:cs="Arial"/>
                <w:color w:val="000000"/>
                <w:sz w:val="20"/>
                <w:szCs w:val="20"/>
              </w:rPr>
            </w:pPr>
            <w:r w:rsidRPr="00D55744">
              <w:rPr>
                <w:rFonts w:cs="Arial"/>
                <w:color w:val="000000"/>
                <w:sz w:val="20"/>
                <w:szCs w:val="20"/>
              </w:rPr>
              <w:t>Housing status</w:t>
            </w:r>
          </w:p>
        </w:tc>
        <w:tc>
          <w:tcPr>
            <w:tcW w:w="1044" w:type="dxa"/>
            <w:tcBorders>
              <w:left w:val="single" w:sz="4" w:space="0" w:color="auto"/>
            </w:tcBorders>
            <w:shd w:val="clear" w:color="auto" w:fill="auto"/>
            <w:noWrap/>
            <w:vAlign w:val="bottom"/>
            <w:hideMark/>
          </w:tcPr>
          <w:p w14:paraId="14E153D7" w14:textId="77777777" w:rsidR="00AA5608" w:rsidRPr="00D55744" w:rsidRDefault="00AA5608" w:rsidP="000E494A">
            <w:pPr>
              <w:jc w:val="right"/>
              <w:rPr>
                <w:rFonts w:cs="Arial"/>
                <w:color w:val="000000"/>
                <w:sz w:val="20"/>
                <w:szCs w:val="20"/>
              </w:rPr>
            </w:pPr>
            <w:r w:rsidRPr="00D55744">
              <w:rPr>
                <w:rFonts w:cs="Arial"/>
                <w:color w:val="000000"/>
                <w:sz w:val="20"/>
                <w:szCs w:val="20"/>
              </w:rPr>
              <w:t>702</w:t>
            </w:r>
          </w:p>
        </w:tc>
        <w:tc>
          <w:tcPr>
            <w:tcW w:w="992" w:type="dxa"/>
            <w:shd w:val="clear" w:color="auto" w:fill="auto"/>
            <w:noWrap/>
            <w:vAlign w:val="bottom"/>
            <w:hideMark/>
          </w:tcPr>
          <w:p w14:paraId="235A1B33" w14:textId="77777777" w:rsidR="00AA5608" w:rsidRPr="00D55744" w:rsidRDefault="00AA5608" w:rsidP="000E494A">
            <w:pPr>
              <w:jc w:val="right"/>
              <w:rPr>
                <w:rFonts w:cs="Arial"/>
                <w:color w:val="000000"/>
                <w:sz w:val="20"/>
                <w:szCs w:val="20"/>
              </w:rPr>
            </w:pPr>
            <w:r w:rsidRPr="00D55744">
              <w:rPr>
                <w:rFonts w:cs="Arial"/>
                <w:color w:val="000000"/>
                <w:sz w:val="20"/>
                <w:szCs w:val="20"/>
              </w:rPr>
              <w:t>1.2%</w:t>
            </w:r>
          </w:p>
        </w:tc>
        <w:tc>
          <w:tcPr>
            <w:tcW w:w="1276" w:type="dxa"/>
            <w:shd w:val="clear" w:color="auto" w:fill="auto"/>
            <w:noWrap/>
            <w:vAlign w:val="bottom"/>
            <w:hideMark/>
          </w:tcPr>
          <w:p w14:paraId="52D240ED" w14:textId="77777777" w:rsidR="00AA5608" w:rsidRPr="00D55744" w:rsidRDefault="00AA5608" w:rsidP="000E494A">
            <w:pPr>
              <w:jc w:val="right"/>
              <w:rPr>
                <w:rFonts w:cs="Arial"/>
                <w:color w:val="000000"/>
                <w:sz w:val="20"/>
                <w:szCs w:val="20"/>
              </w:rPr>
            </w:pPr>
            <w:r w:rsidRPr="00D55744">
              <w:rPr>
                <w:rFonts w:cs="Arial"/>
                <w:color w:val="000000"/>
                <w:sz w:val="20"/>
                <w:szCs w:val="20"/>
              </w:rPr>
              <w:t>1.2%</w:t>
            </w:r>
          </w:p>
        </w:tc>
        <w:tc>
          <w:tcPr>
            <w:tcW w:w="1276" w:type="dxa"/>
            <w:shd w:val="clear" w:color="auto" w:fill="auto"/>
            <w:noWrap/>
            <w:vAlign w:val="bottom"/>
            <w:hideMark/>
          </w:tcPr>
          <w:p w14:paraId="6711B649" w14:textId="77777777" w:rsidR="00AA5608" w:rsidRPr="00D55744" w:rsidRDefault="00AA5608" w:rsidP="000E494A">
            <w:pPr>
              <w:jc w:val="right"/>
              <w:rPr>
                <w:rFonts w:cs="Arial"/>
                <w:color w:val="000000"/>
                <w:sz w:val="20"/>
                <w:szCs w:val="20"/>
              </w:rPr>
            </w:pPr>
            <w:r w:rsidRPr="00D55744">
              <w:rPr>
                <w:rFonts w:cs="Arial"/>
                <w:color w:val="000000"/>
                <w:sz w:val="20"/>
                <w:szCs w:val="20"/>
              </w:rPr>
              <w:t>1.2%</w:t>
            </w:r>
          </w:p>
        </w:tc>
      </w:tr>
      <w:tr w:rsidR="00AA5608" w:rsidRPr="00D55744" w14:paraId="71089A0B" w14:textId="77777777" w:rsidTr="00535739">
        <w:trPr>
          <w:trHeight w:val="300"/>
        </w:trPr>
        <w:tc>
          <w:tcPr>
            <w:tcW w:w="2495" w:type="dxa"/>
            <w:tcBorders>
              <w:right w:val="single" w:sz="4" w:space="0" w:color="auto"/>
            </w:tcBorders>
            <w:shd w:val="clear" w:color="auto" w:fill="auto"/>
            <w:noWrap/>
            <w:vAlign w:val="bottom"/>
            <w:hideMark/>
          </w:tcPr>
          <w:p w14:paraId="49B82CC7" w14:textId="77777777" w:rsidR="00AA5608" w:rsidRPr="00D55744" w:rsidRDefault="00AA5608" w:rsidP="000E494A">
            <w:pPr>
              <w:rPr>
                <w:rFonts w:cs="Arial"/>
                <w:color w:val="000000"/>
                <w:sz w:val="20"/>
                <w:szCs w:val="20"/>
              </w:rPr>
            </w:pPr>
            <w:r w:rsidRPr="00D55744">
              <w:rPr>
                <w:rFonts w:cs="Arial"/>
                <w:color w:val="000000"/>
                <w:sz w:val="20"/>
                <w:szCs w:val="20"/>
              </w:rPr>
              <w:t>Injecting status</w:t>
            </w:r>
          </w:p>
        </w:tc>
        <w:tc>
          <w:tcPr>
            <w:tcW w:w="1044" w:type="dxa"/>
            <w:tcBorders>
              <w:left w:val="single" w:sz="4" w:space="0" w:color="auto"/>
            </w:tcBorders>
            <w:shd w:val="clear" w:color="auto" w:fill="auto"/>
            <w:noWrap/>
            <w:vAlign w:val="bottom"/>
            <w:hideMark/>
          </w:tcPr>
          <w:p w14:paraId="399AA330" w14:textId="77777777" w:rsidR="00AA5608" w:rsidRPr="00D55744" w:rsidRDefault="00AA5608" w:rsidP="000E494A">
            <w:pPr>
              <w:jc w:val="right"/>
              <w:rPr>
                <w:rFonts w:cs="Arial"/>
                <w:color w:val="000000"/>
                <w:sz w:val="20"/>
                <w:szCs w:val="20"/>
              </w:rPr>
            </w:pPr>
            <w:r w:rsidRPr="00D55744">
              <w:rPr>
                <w:rFonts w:cs="Arial"/>
                <w:color w:val="000000"/>
                <w:sz w:val="20"/>
                <w:szCs w:val="20"/>
              </w:rPr>
              <w:t>569</w:t>
            </w:r>
          </w:p>
        </w:tc>
        <w:tc>
          <w:tcPr>
            <w:tcW w:w="992" w:type="dxa"/>
            <w:shd w:val="clear" w:color="auto" w:fill="auto"/>
            <w:noWrap/>
            <w:vAlign w:val="bottom"/>
            <w:hideMark/>
          </w:tcPr>
          <w:p w14:paraId="7C733A8E" w14:textId="77777777" w:rsidR="00AA5608" w:rsidRPr="00D55744" w:rsidRDefault="00AA5608" w:rsidP="000E494A">
            <w:pPr>
              <w:jc w:val="right"/>
              <w:rPr>
                <w:rFonts w:cs="Arial"/>
                <w:color w:val="000000"/>
                <w:sz w:val="20"/>
                <w:szCs w:val="20"/>
              </w:rPr>
            </w:pPr>
            <w:r w:rsidRPr="00D55744">
              <w:rPr>
                <w:rFonts w:cs="Arial"/>
                <w:color w:val="000000"/>
                <w:sz w:val="20"/>
                <w:szCs w:val="20"/>
              </w:rPr>
              <w:t>1.0%</w:t>
            </w:r>
          </w:p>
        </w:tc>
        <w:tc>
          <w:tcPr>
            <w:tcW w:w="1276" w:type="dxa"/>
            <w:shd w:val="clear" w:color="auto" w:fill="auto"/>
            <w:noWrap/>
            <w:vAlign w:val="bottom"/>
            <w:hideMark/>
          </w:tcPr>
          <w:p w14:paraId="6B9A5CC8" w14:textId="77777777" w:rsidR="00AA5608" w:rsidRPr="00D55744" w:rsidRDefault="00AA5608" w:rsidP="000E494A">
            <w:pPr>
              <w:jc w:val="right"/>
              <w:rPr>
                <w:rFonts w:cs="Arial"/>
                <w:color w:val="000000"/>
                <w:sz w:val="20"/>
                <w:szCs w:val="20"/>
              </w:rPr>
            </w:pPr>
            <w:r w:rsidRPr="00D55744">
              <w:rPr>
                <w:rFonts w:cs="Arial"/>
                <w:color w:val="000000"/>
                <w:sz w:val="20"/>
                <w:szCs w:val="20"/>
              </w:rPr>
              <w:t>1.0%</w:t>
            </w:r>
          </w:p>
        </w:tc>
        <w:tc>
          <w:tcPr>
            <w:tcW w:w="1276" w:type="dxa"/>
            <w:shd w:val="clear" w:color="auto" w:fill="auto"/>
            <w:noWrap/>
            <w:vAlign w:val="bottom"/>
            <w:hideMark/>
          </w:tcPr>
          <w:p w14:paraId="1BE666F6" w14:textId="77777777" w:rsidR="00AA5608" w:rsidRPr="00D55744" w:rsidRDefault="00AA5608" w:rsidP="000E494A">
            <w:pPr>
              <w:jc w:val="right"/>
              <w:rPr>
                <w:rFonts w:cs="Arial"/>
                <w:color w:val="000000"/>
                <w:sz w:val="20"/>
                <w:szCs w:val="20"/>
              </w:rPr>
            </w:pPr>
            <w:r w:rsidRPr="00D55744">
              <w:rPr>
                <w:rFonts w:cs="Arial"/>
                <w:color w:val="000000"/>
                <w:sz w:val="20"/>
                <w:szCs w:val="20"/>
              </w:rPr>
              <w:t>1.0%</w:t>
            </w:r>
          </w:p>
        </w:tc>
      </w:tr>
      <w:tr w:rsidR="00AA5608" w:rsidRPr="00D55744" w14:paraId="28500BE6" w14:textId="77777777" w:rsidTr="00535739">
        <w:trPr>
          <w:trHeight w:val="300"/>
        </w:trPr>
        <w:tc>
          <w:tcPr>
            <w:tcW w:w="2495" w:type="dxa"/>
            <w:tcBorders>
              <w:right w:val="single" w:sz="4" w:space="0" w:color="auto"/>
            </w:tcBorders>
            <w:shd w:val="clear" w:color="auto" w:fill="auto"/>
            <w:noWrap/>
            <w:vAlign w:val="bottom"/>
            <w:hideMark/>
          </w:tcPr>
          <w:p w14:paraId="720A9E6A" w14:textId="77777777" w:rsidR="00AA5608" w:rsidRPr="00D55744" w:rsidRDefault="00AA5608" w:rsidP="000E494A">
            <w:pPr>
              <w:rPr>
                <w:rFonts w:cs="Arial"/>
                <w:color w:val="000000"/>
                <w:sz w:val="20"/>
                <w:szCs w:val="20"/>
              </w:rPr>
            </w:pPr>
            <w:r w:rsidRPr="00D55744">
              <w:rPr>
                <w:rFonts w:cs="Arial"/>
                <w:color w:val="000000"/>
                <w:sz w:val="20"/>
                <w:szCs w:val="20"/>
              </w:rPr>
              <w:t>Pregnancy</w:t>
            </w:r>
          </w:p>
        </w:tc>
        <w:tc>
          <w:tcPr>
            <w:tcW w:w="1044" w:type="dxa"/>
            <w:tcBorders>
              <w:left w:val="single" w:sz="4" w:space="0" w:color="auto"/>
            </w:tcBorders>
            <w:shd w:val="clear" w:color="auto" w:fill="auto"/>
            <w:noWrap/>
            <w:vAlign w:val="bottom"/>
            <w:hideMark/>
          </w:tcPr>
          <w:p w14:paraId="1C6C439E" w14:textId="77777777" w:rsidR="00AA5608" w:rsidRPr="00D55744" w:rsidRDefault="00AA5608" w:rsidP="000E494A">
            <w:pPr>
              <w:jc w:val="right"/>
              <w:rPr>
                <w:rFonts w:cs="Arial"/>
                <w:color w:val="000000"/>
                <w:sz w:val="20"/>
                <w:szCs w:val="20"/>
              </w:rPr>
            </w:pPr>
            <w:r w:rsidRPr="00D55744">
              <w:rPr>
                <w:rFonts w:cs="Arial"/>
                <w:color w:val="000000"/>
                <w:sz w:val="20"/>
                <w:szCs w:val="20"/>
              </w:rPr>
              <w:t>293</w:t>
            </w:r>
          </w:p>
        </w:tc>
        <w:tc>
          <w:tcPr>
            <w:tcW w:w="992" w:type="dxa"/>
            <w:shd w:val="clear" w:color="auto" w:fill="auto"/>
            <w:noWrap/>
            <w:vAlign w:val="bottom"/>
            <w:hideMark/>
          </w:tcPr>
          <w:p w14:paraId="006AC8AA" w14:textId="77777777" w:rsidR="00AA5608" w:rsidRPr="00D55744" w:rsidRDefault="00AA5608" w:rsidP="000E494A">
            <w:pPr>
              <w:jc w:val="right"/>
              <w:rPr>
                <w:rFonts w:cs="Arial"/>
                <w:color w:val="000000"/>
                <w:sz w:val="20"/>
                <w:szCs w:val="20"/>
              </w:rPr>
            </w:pPr>
            <w:r w:rsidRPr="00D55744">
              <w:rPr>
                <w:rFonts w:cs="Arial"/>
                <w:color w:val="000000"/>
                <w:sz w:val="20"/>
                <w:szCs w:val="20"/>
              </w:rPr>
              <w:t>0.5%</w:t>
            </w:r>
          </w:p>
        </w:tc>
        <w:tc>
          <w:tcPr>
            <w:tcW w:w="1276" w:type="dxa"/>
            <w:shd w:val="clear" w:color="auto" w:fill="auto"/>
            <w:noWrap/>
            <w:vAlign w:val="bottom"/>
            <w:hideMark/>
          </w:tcPr>
          <w:p w14:paraId="1BA0C115" w14:textId="77777777" w:rsidR="00AA5608" w:rsidRPr="00D55744" w:rsidRDefault="00AA5608" w:rsidP="000E494A">
            <w:pPr>
              <w:jc w:val="right"/>
              <w:rPr>
                <w:rFonts w:cs="Arial"/>
                <w:color w:val="000000"/>
                <w:sz w:val="20"/>
                <w:szCs w:val="20"/>
              </w:rPr>
            </w:pPr>
            <w:r w:rsidRPr="00D55744">
              <w:rPr>
                <w:rFonts w:cs="Arial"/>
                <w:color w:val="000000"/>
                <w:sz w:val="20"/>
                <w:szCs w:val="20"/>
              </w:rPr>
              <w:t>0.7%</w:t>
            </w:r>
          </w:p>
        </w:tc>
        <w:tc>
          <w:tcPr>
            <w:tcW w:w="1276" w:type="dxa"/>
            <w:shd w:val="clear" w:color="auto" w:fill="auto"/>
            <w:noWrap/>
            <w:vAlign w:val="bottom"/>
            <w:hideMark/>
          </w:tcPr>
          <w:p w14:paraId="011BF343" w14:textId="77777777" w:rsidR="00AA5608" w:rsidRPr="00D55744" w:rsidRDefault="00AA5608" w:rsidP="000E494A">
            <w:pPr>
              <w:jc w:val="right"/>
              <w:rPr>
                <w:rFonts w:cs="Arial"/>
                <w:color w:val="000000"/>
                <w:sz w:val="20"/>
                <w:szCs w:val="20"/>
              </w:rPr>
            </w:pPr>
            <w:r w:rsidRPr="00D55744">
              <w:rPr>
                <w:rFonts w:cs="Arial"/>
                <w:color w:val="000000"/>
                <w:sz w:val="20"/>
                <w:szCs w:val="20"/>
              </w:rPr>
              <w:t>0.4%</w:t>
            </w:r>
          </w:p>
        </w:tc>
      </w:tr>
      <w:tr w:rsidR="00AA5608" w:rsidRPr="00D55744" w14:paraId="14BC6265" w14:textId="77777777" w:rsidTr="00535739">
        <w:trPr>
          <w:trHeight w:val="300"/>
        </w:trPr>
        <w:tc>
          <w:tcPr>
            <w:tcW w:w="2495" w:type="dxa"/>
            <w:tcBorders>
              <w:bottom w:val="single" w:sz="4" w:space="0" w:color="auto"/>
              <w:right w:val="single" w:sz="4" w:space="0" w:color="auto"/>
            </w:tcBorders>
            <w:shd w:val="clear" w:color="auto" w:fill="auto"/>
            <w:noWrap/>
            <w:vAlign w:val="bottom"/>
            <w:hideMark/>
          </w:tcPr>
          <w:p w14:paraId="21E53B61" w14:textId="77777777" w:rsidR="00AA5608" w:rsidRPr="00D55744" w:rsidRDefault="00AA5608" w:rsidP="000E494A">
            <w:pPr>
              <w:rPr>
                <w:rFonts w:cs="Arial"/>
                <w:color w:val="000000"/>
                <w:sz w:val="20"/>
                <w:szCs w:val="20"/>
              </w:rPr>
            </w:pPr>
            <w:r w:rsidRPr="00D55744">
              <w:rPr>
                <w:rFonts w:cs="Arial"/>
                <w:color w:val="000000"/>
                <w:sz w:val="20"/>
                <w:szCs w:val="20"/>
              </w:rPr>
              <w:t>Referral source</w:t>
            </w:r>
          </w:p>
        </w:tc>
        <w:tc>
          <w:tcPr>
            <w:tcW w:w="1044" w:type="dxa"/>
            <w:tcBorders>
              <w:left w:val="single" w:sz="4" w:space="0" w:color="auto"/>
              <w:bottom w:val="single" w:sz="4" w:space="0" w:color="auto"/>
            </w:tcBorders>
            <w:shd w:val="clear" w:color="auto" w:fill="auto"/>
            <w:noWrap/>
            <w:vAlign w:val="bottom"/>
            <w:hideMark/>
          </w:tcPr>
          <w:p w14:paraId="7223C423" w14:textId="77777777" w:rsidR="00AA5608" w:rsidRPr="00D55744" w:rsidRDefault="00AA5608" w:rsidP="000E494A">
            <w:pPr>
              <w:jc w:val="right"/>
              <w:rPr>
                <w:rFonts w:cs="Arial"/>
                <w:color w:val="000000"/>
                <w:sz w:val="20"/>
                <w:szCs w:val="20"/>
              </w:rPr>
            </w:pPr>
            <w:r w:rsidRPr="00D55744">
              <w:rPr>
                <w:rFonts w:cs="Arial"/>
                <w:color w:val="000000"/>
                <w:sz w:val="20"/>
                <w:szCs w:val="20"/>
              </w:rPr>
              <w:t>268</w:t>
            </w:r>
          </w:p>
        </w:tc>
        <w:tc>
          <w:tcPr>
            <w:tcW w:w="992" w:type="dxa"/>
            <w:tcBorders>
              <w:bottom w:val="single" w:sz="4" w:space="0" w:color="auto"/>
            </w:tcBorders>
            <w:shd w:val="clear" w:color="auto" w:fill="auto"/>
            <w:noWrap/>
            <w:vAlign w:val="bottom"/>
            <w:hideMark/>
          </w:tcPr>
          <w:p w14:paraId="612872FE" w14:textId="77777777" w:rsidR="00AA5608" w:rsidRPr="00D55744" w:rsidRDefault="00AA5608" w:rsidP="000E494A">
            <w:pPr>
              <w:jc w:val="right"/>
              <w:rPr>
                <w:rFonts w:cs="Arial"/>
                <w:color w:val="000000"/>
                <w:sz w:val="20"/>
                <w:szCs w:val="20"/>
              </w:rPr>
            </w:pPr>
            <w:r w:rsidRPr="00D55744">
              <w:rPr>
                <w:rFonts w:cs="Arial"/>
                <w:color w:val="000000"/>
                <w:sz w:val="20"/>
                <w:szCs w:val="20"/>
              </w:rPr>
              <w:t>0.5%</w:t>
            </w:r>
          </w:p>
        </w:tc>
        <w:tc>
          <w:tcPr>
            <w:tcW w:w="1276" w:type="dxa"/>
            <w:tcBorders>
              <w:bottom w:val="single" w:sz="4" w:space="0" w:color="auto"/>
            </w:tcBorders>
            <w:shd w:val="clear" w:color="auto" w:fill="auto"/>
            <w:noWrap/>
            <w:vAlign w:val="bottom"/>
            <w:hideMark/>
          </w:tcPr>
          <w:p w14:paraId="67D052E9" w14:textId="77777777" w:rsidR="00AA5608" w:rsidRPr="00D55744" w:rsidRDefault="00AA5608" w:rsidP="000E494A">
            <w:pPr>
              <w:jc w:val="right"/>
              <w:rPr>
                <w:rFonts w:cs="Arial"/>
                <w:color w:val="000000"/>
                <w:sz w:val="20"/>
                <w:szCs w:val="20"/>
              </w:rPr>
            </w:pPr>
            <w:r w:rsidRPr="00D55744">
              <w:rPr>
                <w:rFonts w:cs="Arial"/>
                <w:color w:val="000000"/>
                <w:sz w:val="20"/>
                <w:szCs w:val="20"/>
              </w:rPr>
              <w:t>0.4%</w:t>
            </w:r>
          </w:p>
        </w:tc>
        <w:tc>
          <w:tcPr>
            <w:tcW w:w="1276" w:type="dxa"/>
            <w:tcBorders>
              <w:bottom w:val="single" w:sz="4" w:space="0" w:color="auto"/>
            </w:tcBorders>
            <w:shd w:val="clear" w:color="auto" w:fill="auto"/>
            <w:noWrap/>
            <w:vAlign w:val="bottom"/>
            <w:hideMark/>
          </w:tcPr>
          <w:p w14:paraId="3E09B047" w14:textId="77777777" w:rsidR="00AA5608" w:rsidRPr="00D55744" w:rsidRDefault="00AA5608" w:rsidP="000E494A">
            <w:pPr>
              <w:jc w:val="right"/>
              <w:rPr>
                <w:rFonts w:cs="Arial"/>
                <w:color w:val="000000"/>
                <w:sz w:val="20"/>
                <w:szCs w:val="20"/>
              </w:rPr>
            </w:pPr>
            <w:r w:rsidRPr="00D55744">
              <w:rPr>
                <w:rFonts w:cs="Arial"/>
                <w:color w:val="000000"/>
                <w:sz w:val="20"/>
                <w:szCs w:val="20"/>
              </w:rPr>
              <w:t>0.5%</w:t>
            </w:r>
          </w:p>
        </w:tc>
      </w:tr>
    </w:tbl>
    <w:p w14:paraId="13532F79" w14:textId="77777777" w:rsidR="00AA5608" w:rsidRDefault="00AA5608" w:rsidP="00AA5608">
      <w:pPr>
        <w:pStyle w:val="NoSpacing"/>
      </w:pPr>
    </w:p>
    <w:p w14:paraId="3147CC9C" w14:textId="35F26685" w:rsidR="00AA5608" w:rsidRPr="00AA5608" w:rsidRDefault="00AA5608" w:rsidP="007356A4">
      <w:pPr>
        <w:pStyle w:val="Heading4"/>
        <w:spacing w:line="360" w:lineRule="auto"/>
      </w:pPr>
      <w:r>
        <w:lastRenderedPageBreak/>
        <w:t>Handling missing data</w:t>
      </w:r>
    </w:p>
    <w:p w14:paraId="2A813817" w14:textId="755866A2" w:rsidR="00AA5608" w:rsidRDefault="00AA5608" w:rsidP="00AA5608">
      <w:pPr>
        <w:pStyle w:val="NoSpacing"/>
        <w:spacing w:line="360" w:lineRule="auto"/>
      </w:pPr>
      <w:r>
        <w:t>M</w:t>
      </w:r>
      <w:r w:rsidRPr="00056E69">
        <w:t xml:space="preserve">issing completely at random (MCAR) </w:t>
      </w:r>
      <w:r>
        <w:t xml:space="preserve"> and </w:t>
      </w:r>
      <w:r w:rsidRPr="00B43956">
        <w:t xml:space="preserve">covariate-dependent missingness (CDM) </w:t>
      </w:r>
      <w:r>
        <w:t>tests</w:t>
      </w:r>
      <w:r w:rsidRPr="00056E69">
        <w:t xml:space="preserve"> (STATA: </w:t>
      </w:r>
      <w:r w:rsidRPr="00056E69">
        <w:rPr>
          <w:i/>
          <w:iCs/>
        </w:rPr>
        <w:t>mcartest</w:t>
      </w:r>
      <w:r w:rsidRPr="00056E69">
        <w:t>)</w:t>
      </w:r>
      <w:r>
        <w:t xml:space="preserve"> </w:t>
      </w:r>
      <w:r w:rsidRPr="00B43956">
        <w:fldChar w:fldCharType="begin"/>
      </w:r>
      <w:r w:rsidR="00B9334F">
        <w:instrText xml:space="preserve"> ADDIN EN.CITE &lt;EndNote&gt;&lt;Cite&gt;&lt;Author&gt;Li&lt;/Author&gt;&lt;Year&gt;2013&lt;/Year&gt;&lt;RecNum&gt;50&lt;/RecNum&gt;&lt;DisplayText&gt;(Li, 2013)&lt;/DisplayText&gt;&lt;record&gt;&lt;rec-number&gt;50&lt;/rec-number&gt;&lt;foreign-keys&gt;&lt;key app="EN" db-id="ffzvr5fstavwxoe9v04xf0wmp5t50as52da0" timestamp="1731671639" guid="b227d4a3-add2-4f84-9e91-66c5d99b3eef"&gt;50&lt;/key&gt;&lt;/foreign-keys&gt;&lt;ref-type name="Journal Article"&gt;17&lt;/ref-type&gt;&lt;contributors&gt;&lt;authors&gt;&lt;author&gt;Li, Cheng&lt;/author&gt;&lt;/authors&gt;&lt;/contributors&gt;&lt;titles&gt;&lt;title&gt;Little&amp;apos;s Test of Missing Completely at Random&lt;/title&gt;&lt;secondary-title&gt;The Stata Journal&lt;/secondary-title&gt;&lt;/titles&gt;&lt;periodical&gt;&lt;full-title&gt;The Stata Journal&lt;/full-title&gt;&lt;/periodical&gt;&lt;pages&gt;795-809&lt;/pages&gt;&lt;volume&gt;13&lt;/volume&gt;&lt;number&gt;4&lt;/number&gt;&lt;dates&gt;&lt;year&gt;2013&lt;/year&gt;&lt;pub-dates&gt;&lt;date&gt;2013/12/01&lt;/date&gt;&lt;/pub-dates&gt;&lt;/dates&gt;&lt;publisher&gt;SAGE Publications&lt;/publisher&gt;&lt;isbn&gt;1536-867X&lt;/isbn&gt;&lt;urls&gt;&lt;related-urls&gt;&lt;url&gt;https://doi.org/10.1177/1536867X1301300407&lt;/url&gt;&lt;/related-urls&gt;&lt;/urls&gt;&lt;electronic-resource-num&gt;10.1177/1536867X1301300407&lt;/electronic-resource-num&gt;&lt;access-date&gt;2021/06/07&lt;/access-date&gt;&lt;/record&gt;&lt;/Cite&gt;&lt;/EndNote&gt;</w:instrText>
      </w:r>
      <w:r w:rsidRPr="00B43956">
        <w:fldChar w:fldCharType="separate"/>
      </w:r>
      <w:r w:rsidR="00A77498">
        <w:rPr>
          <w:noProof/>
        </w:rPr>
        <w:t>(Li, 2013)</w:t>
      </w:r>
      <w:r w:rsidRPr="00B43956">
        <w:fldChar w:fldCharType="end"/>
      </w:r>
      <w:r w:rsidRPr="00056E69">
        <w:t xml:space="preserve"> assessed </w:t>
      </w:r>
      <w:r>
        <w:t xml:space="preserve">the </w:t>
      </w:r>
      <w:r w:rsidRPr="00056E69">
        <w:t xml:space="preserve">validity of </w:t>
      </w:r>
      <w:r>
        <w:t xml:space="preserve">using </w:t>
      </w:r>
      <w:r w:rsidRPr="00056E69">
        <w:t xml:space="preserve">complete-case analysis </w:t>
      </w:r>
      <w:r>
        <w:t xml:space="preserve">(CCA) and multiple imputation (MI) methods for estimating the likelihood of successful completions among parents </w:t>
      </w:r>
      <w:r w:rsidRPr="00056E69">
        <w:fldChar w:fldCharType="begin"/>
      </w:r>
      <w:r w:rsidR="00B9334F">
        <w:instrText xml:space="preserve"> ADDIN EN.CITE &lt;EndNote&gt;&lt;Cite&gt;&lt;Author&gt;Little&lt;/Author&gt;&lt;Year&gt;1988&lt;/Year&gt;&lt;RecNum&gt;51&lt;/RecNum&gt;&lt;DisplayText&gt;(Little, 1988)&lt;/DisplayText&gt;&lt;record&gt;&lt;rec-number&gt;51&lt;/rec-number&gt;&lt;foreign-keys&gt;&lt;key app="EN" db-id="ffzvr5fstavwxoe9v04xf0wmp5t50as52da0" timestamp="1731671639" guid="ef9b1ce3-c707-49fd-8d92-6fb478828c0d"&gt;51&lt;/key&gt;&lt;/foreign-keys&gt;&lt;ref-type name="Journal Article"&gt;17&lt;/ref-type&gt;&lt;contributors&gt;&lt;authors&gt;&lt;author&gt;Little, Roderick J. A.&lt;/author&gt;&lt;/authors&gt;&lt;/contributors&gt;&lt;titles&gt;&lt;title&gt;A Test of Missing Completely at Random for Multivariate Data with Missing Values&lt;/title&gt;&lt;secondary-title&gt;Journal of the American Statistical Association&lt;/secondary-title&gt;&lt;/titles&gt;&lt;periodical&gt;&lt;full-title&gt;Journal of the American Statistical Association&lt;/full-title&gt;&lt;/periodical&gt;&lt;pages&gt;1198-1202&lt;/pages&gt;&lt;volume&gt;83&lt;/volume&gt;&lt;number&gt;404&lt;/number&gt;&lt;dates&gt;&lt;year&gt;1988&lt;/year&gt;&lt;pub-dates&gt;&lt;date&gt;1988/12/01&lt;/date&gt;&lt;/pub-dates&gt;&lt;/dates&gt;&lt;publisher&gt;Taylor &amp;amp; Francis&lt;/publisher&gt;&lt;isbn&gt;0162-1459&lt;/isbn&gt;&lt;urls&gt;&lt;related-urls&gt;&lt;url&gt;https://www.tandfonline.com/doi/abs/10.1080/01621459.1988.10478722&lt;/url&gt;&lt;/related-urls&gt;&lt;/urls&gt;&lt;electronic-resource-num&gt;10.1080/01621459.1988.10478722&lt;/electronic-resource-num&gt;&lt;/record&gt;&lt;/Cite&gt;&lt;/EndNote&gt;</w:instrText>
      </w:r>
      <w:r w:rsidRPr="00056E69">
        <w:fldChar w:fldCharType="separate"/>
      </w:r>
      <w:r w:rsidR="00A77498">
        <w:rPr>
          <w:noProof/>
        </w:rPr>
        <w:t>(Little, 1988)</w:t>
      </w:r>
      <w:r w:rsidRPr="00056E69">
        <w:fldChar w:fldCharType="end"/>
      </w:r>
      <w:r w:rsidRPr="00056E69">
        <w:t xml:space="preserve">. </w:t>
      </w:r>
      <w:r>
        <w:t>Results indicated</w:t>
      </w:r>
      <w:r w:rsidRPr="00B43956">
        <w:t xml:space="preserve"> that the </w:t>
      </w:r>
      <w:r w:rsidRPr="00F62F86">
        <w:t>missing data were not MCAR (X</w:t>
      </w:r>
      <w:r w:rsidRPr="00F62F86">
        <w:rPr>
          <w:vertAlign w:val="superscript"/>
        </w:rPr>
        <w:t>2</w:t>
      </w:r>
      <w:r w:rsidRPr="00F62F86">
        <w:t>=849.42, d.f.=460, p-value=0.00). Adding non-missing variables as covariates, was highly nonsignificant (X</w:t>
      </w:r>
      <w:r w:rsidRPr="00F62F86">
        <w:rPr>
          <w:vertAlign w:val="superscript"/>
        </w:rPr>
        <w:t>2</w:t>
      </w:r>
      <w:r w:rsidRPr="00F62F86">
        <w:t>=14593.96, d.f.=79580, p-value =1.00) suggesting the</w:t>
      </w:r>
      <w:r>
        <w:t xml:space="preserve"> data may be</w:t>
      </w:r>
      <w:r w:rsidRPr="00C20BFE">
        <w:t xml:space="preserve"> missing at random (MAR). </w:t>
      </w:r>
      <w:r>
        <w:t>CCA</w:t>
      </w:r>
      <w:r w:rsidRPr="00C20BFE">
        <w:t xml:space="preserve"> without adjusting for the effect of non-missing variables would </w:t>
      </w:r>
      <w:r>
        <w:t>therefore unlikely</w:t>
      </w:r>
      <w:r w:rsidRPr="00C20BFE">
        <w:t xml:space="preserve"> be valid</w:t>
      </w:r>
      <w:r>
        <w:t>, but MI would, especially as</w:t>
      </w:r>
      <w:r w:rsidRPr="00C20BFE">
        <w:t xml:space="preserve"> </w:t>
      </w:r>
      <w:r w:rsidRPr="00056E69">
        <w:t xml:space="preserve">there were enough observations to construct an appropriate model </w:t>
      </w:r>
      <w:r w:rsidRPr="00056E69">
        <w:fldChar w:fldCharType="begin"/>
      </w:r>
      <w:r w:rsidR="00B9334F">
        <w:instrText xml:space="preserve"> ADDIN EN.CITE &lt;EndNote&gt;&lt;Cite&gt;&lt;Author&gt;Hughes&lt;/Author&gt;&lt;Year&gt;2019&lt;/Year&gt;&lt;RecNum&gt;52&lt;/RecNum&gt;&lt;DisplayText&gt;(Hughes et al., 2019)&lt;/DisplayText&gt;&lt;record&gt;&lt;rec-number&gt;52&lt;/rec-number&gt;&lt;foreign-keys&gt;&lt;key app="EN" db-id="ffzvr5fstavwxoe9v04xf0wmp5t50as52da0" timestamp="1731671639" guid="477e66b8-ef82-4427-8645-fee078fbca0d"&gt;52&lt;/key&gt;&lt;/foreign-keys&gt;&lt;ref-type name="Journal Article"&gt;17&lt;/ref-type&gt;&lt;contributors&gt;&lt;authors&gt;&lt;author&gt;Hughes, Rachael A&lt;/author&gt;&lt;author&gt;Heron, Jon&lt;/author&gt;&lt;author&gt;Sterne, Jonathan A C&lt;/author&gt;&lt;author&gt;Tilling, Kate&lt;/author&gt;&lt;/authors&gt;&lt;/contributors&gt;&lt;titles&gt;&lt;title&gt;Accounting for missing data in statistical analyses: multiple imputation is not always the answer&lt;/title&gt;&lt;secondary-title&gt;International Journal of Epidemiology&lt;/secondary-title&gt;&lt;/titles&gt;&lt;periodical&gt;&lt;full-title&gt;International Journal of Epidemiology&lt;/full-title&gt;&lt;/periodical&gt;&lt;pages&gt;1294-1304&lt;/pages&gt;&lt;volume&gt;48&lt;/volume&gt;&lt;number&gt;4&lt;/number&gt;&lt;dates&gt;&lt;year&gt;2019&lt;/year&gt;&lt;/dates&gt;&lt;isbn&gt;0300-5771&lt;/isbn&gt;&lt;urls&gt;&lt;related-urls&gt;&lt;url&gt;https://doi.org/10.1093/ije/dyz032&lt;/url&gt;&lt;/related-urls&gt;&lt;/urls&gt;&lt;electronic-resource-num&gt;10.1093/ije/dyz032&lt;/electronic-resource-num&gt;&lt;access-date&gt;11/11/2020&lt;/access-date&gt;&lt;/record&gt;&lt;/Cite&gt;&lt;/EndNote&gt;</w:instrText>
      </w:r>
      <w:r w:rsidRPr="00056E69">
        <w:fldChar w:fldCharType="separate"/>
      </w:r>
      <w:r w:rsidR="00A77498">
        <w:rPr>
          <w:noProof/>
        </w:rPr>
        <w:t>(Hughes et al., 2019)</w:t>
      </w:r>
      <w:r w:rsidRPr="00056E69">
        <w:fldChar w:fldCharType="end"/>
      </w:r>
      <w:r>
        <w:t>.</w:t>
      </w:r>
      <w:r w:rsidRPr="00056E69">
        <w:t xml:space="preserve"> </w:t>
      </w:r>
      <w:r>
        <w:t xml:space="preserve">Relative efficiency </w:t>
      </w:r>
      <w:r>
        <w:fldChar w:fldCharType="begin"/>
      </w:r>
      <w:r w:rsidR="00B9334F">
        <w:instrText xml:space="preserve"> ADDIN EN.CITE &lt;EndNote&gt;&lt;Cite&gt;&lt;Author&gt;Rubin&lt;/Author&gt;&lt;Year&gt;1987&lt;/Year&gt;&lt;RecNum&gt;53&lt;/RecNum&gt;&lt;DisplayText&gt;(Rubin, 1987)&lt;/DisplayText&gt;&lt;record&gt;&lt;rec-number&gt;53&lt;/rec-number&gt;&lt;foreign-keys&gt;&lt;key app="EN" db-id="ffzvr5fstavwxoe9v04xf0wmp5t50as52da0" timestamp="1731671639" guid="398ec780-d6d8-4706-9688-736e2d7b953a"&gt;53&lt;/key&gt;&lt;/foreign-keys&gt;&lt;ref-type name="Book"&gt;6&lt;/ref-type&gt;&lt;contributors&gt;&lt;authors&gt;&lt;author&gt;Rubin, D.B&lt;/author&gt;&lt;/authors&gt;&lt;/contributors&gt;&lt;titles&gt;&lt;title&gt;Multiple Imputation for Nonresponse in Surveys.&lt;/title&gt;&lt;secondary-title&gt;Wiley Series in Probability and Statistics&lt;/secondary-title&gt;&lt;/titles&gt;&lt;dates&gt;&lt;year&gt;1987&lt;/year&gt;&lt;/dates&gt;&lt;pub-location&gt;New York&lt;/pub-location&gt;&lt;publisher&gt;John Wiley &amp;amp; Sons, Inc.&lt;/publisher&gt;&lt;urls&gt;&lt;related-urls&gt;&lt;url&gt;https://onlinelibrary.wiley.com/doi/book/10.1002/9780470316696#&lt;/url&gt;&lt;/related-urls&gt;&lt;/urls&gt;&lt;electronic-resource-num&gt;DOI:10.1002/9780470316696&lt;/electronic-resource-num&gt;&lt;access-date&gt;21 Oct 2020&lt;/access-date&gt;&lt;/record&gt;&lt;/Cite&gt;&lt;/EndNote&gt;</w:instrText>
      </w:r>
      <w:r>
        <w:fldChar w:fldCharType="separate"/>
      </w:r>
      <w:r w:rsidR="00A77498">
        <w:rPr>
          <w:noProof/>
        </w:rPr>
        <w:t>(Rubin, 1987)</w:t>
      </w:r>
      <w:r>
        <w:fldChar w:fldCharType="end"/>
      </w:r>
      <w:r>
        <w:t xml:space="preserve"> and </w:t>
      </w:r>
      <w:r>
        <w:rPr>
          <w:rStyle w:val="normaltextrun"/>
          <w:color w:val="000000"/>
          <w:shd w:val="clear" w:color="auto" w:fill="FFFFFF"/>
        </w:rPr>
        <w:t xml:space="preserve">reduction in statistical power </w:t>
      </w:r>
      <w:r>
        <w:rPr>
          <w:rStyle w:val="normaltextrun"/>
          <w:color w:val="000000"/>
          <w:shd w:val="clear" w:color="auto" w:fill="FFFFFF"/>
        </w:rPr>
        <w:fldChar w:fldCharType="begin"/>
      </w:r>
      <w:r w:rsidR="00B9334F">
        <w:rPr>
          <w:rStyle w:val="normaltextrun"/>
          <w:color w:val="000000"/>
          <w:shd w:val="clear" w:color="auto" w:fill="FFFFFF"/>
        </w:rPr>
        <w:instrText xml:space="preserve"> ADDIN EN.CITE &lt;EndNote&gt;&lt;Cite&gt;&lt;Author&gt;Graham&lt;/Author&gt;&lt;Year&gt;2007&lt;/Year&gt;&lt;RecNum&gt;287&lt;/RecNum&gt;&lt;DisplayText&gt;(Graham et al., 2007)&lt;/DisplayText&gt;&lt;record&gt;&lt;rec-number&gt;287&lt;/rec-number&gt;&lt;foreign-keys&gt;&lt;key app="EN" db-id="ffzvr5fstavwxoe9v04xf0wmp5t50as52da0" timestamp="1731671655" guid="0cdf9e92-46d0-4888-ac30-35571a4c55b5"&gt;287&lt;/key&gt;&lt;/foreign-keys&gt;&lt;ref-type name="Journal Article"&gt;17&lt;/ref-type&gt;&lt;contributors&gt;&lt;authors&gt;&lt;author&gt;Graham, J. W.&lt;/author&gt;&lt;author&gt;Olchowski, A. E.&lt;/author&gt;&lt;author&gt;Gilreath, T. D.&lt;/author&gt;&lt;/authors&gt;&lt;/contributors&gt;&lt;auth-address&gt;Department of Biobehavioral Health, Penn State University, E-315 Health &amp;amp; Human Development Bldg., University Park, PA 16802, USA. jgraham@psu.edu&lt;/auth-address&gt;&lt;titles&gt;&lt;title&gt;How many imputations are really needed? Some practical clarifications of multiple imputation theory&lt;/title&gt;&lt;secondary-title&gt;Prev Sci&lt;/secondary-title&gt;&lt;alt-title&gt;Prevention science&lt;/alt-title&gt;&lt;/titles&gt;&lt;periodical&gt;&lt;full-title&gt;Prev Sci&lt;/full-title&gt;&lt;abbr-1&gt;Prevention science&lt;/abbr-1&gt;&lt;/periodical&gt;&lt;alt-periodical&gt;&lt;full-title&gt;Prev Sci&lt;/full-title&gt;&lt;abbr-1&gt;Prevention science&lt;/abbr-1&gt;&lt;/alt-periodical&gt;&lt;pages&gt;206-13&lt;/pages&gt;&lt;volume&gt;8&lt;/volume&gt;&lt;number&gt;3&lt;/number&gt;&lt;edition&gt;2007/06/06&lt;/edition&gt;&lt;keywords&gt;&lt;keyword&gt;*Data Interpretation, Statistical&lt;/keyword&gt;&lt;keyword&gt;Humans&lt;/keyword&gt;&lt;keyword&gt;*Likelihood Functions&lt;/keyword&gt;&lt;keyword&gt;Models, Statistical&lt;/keyword&gt;&lt;keyword&gt;Monte Carlo Method&lt;/keyword&gt;&lt;keyword&gt;Preventive Medicine/*statistics &amp;amp; numerical data&lt;/keyword&gt;&lt;keyword&gt;Sample Size&lt;/keyword&gt;&lt;/keywords&gt;&lt;dates&gt;&lt;year&gt;2007&lt;/year&gt;&lt;pub-dates&gt;&lt;date&gt;Sep&lt;/date&gt;&lt;/pub-dates&gt;&lt;/dates&gt;&lt;isbn&gt;1389-4986&lt;/isbn&gt;&lt;accession-num&gt;17549635&lt;/accession-num&gt;&lt;urls&gt;&lt;/urls&gt;&lt;electronic-resource-num&gt;10.1007/s11121-007-0070-9&lt;/electronic-resource-num&gt;&lt;remote-database-provider&gt;NLM&lt;/remote-database-provider&gt;&lt;language&gt;eng&lt;/language&gt;&lt;/record&gt;&lt;/Cite&gt;&lt;/EndNote&gt;</w:instrText>
      </w:r>
      <w:r>
        <w:rPr>
          <w:rStyle w:val="normaltextrun"/>
          <w:color w:val="000000"/>
          <w:shd w:val="clear" w:color="auto" w:fill="FFFFFF"/>
        </w:rPr>
        <w:fldChar w:fldCharType="separate"/>
      </w:r>
      <w:r w:rsidR="00A77498">
        <w:rPr>
          <w:rStyle w:val="normaltextrun"/>
          <w:noProof/>
          <w:color w:val="000000"/>
          <w:shd w:val="clear" w:color="auto" w:fill="FFFFFF"/>
        </w:rPr>
        <w:t>(Graham et al., 2007)</w:t>
      </w:r>
      <w:r>
        <w:rPr>
          <w:rStyle w:val="normaltextrun"/>
          <w:color w:val="000000"/>
          <w:shd w:val="clear" w:color="auto" w:fill="FFFFFF"/>
        </w:rPr>
        <w:fldChar w:fldCharType="end"/>
      </w:r>
      <w:r>
        <w:rPr>
          <w:rStyle w:val="normaltextrun"/>
          <w:color w:val="000000"/>
          <w:shd w:val="clear" w:color="auto" w:fill="FFFFFF"/>
        </w:rPr>
        <w:t xml:space="preserve"> calculations informed how many imputations were needed, enhanced </w:t>
      </w:r>
      <w:r>
        <w:t>by a</w:t>
      </w:r>
      <w:r w:rsidRPr="00056E69">
        <w:t xml:space="preserve"> two-step </w:t>
      </w:r>
      <w:r w:rsidRPr="00915A8E">
        <w:t xml:space="preserve">approach (STATA: [1] </w:t>
      </w:r>
      <w:r w:rsidRPr="00915A8E">
        <w:rPr>
          <w:i/>
          <w:iCs/>
        </w:rPr>
        <w:t xml:space="preserve">mi impute chained; </w:t>
      </w:r>
      <w:r w:rsidRPr="00915A8E">
        <w:t xml:space="preserve">[2] </w:t>
      </w:r>
      <w:r w:rsidRPr="00915A8E">
        <w:rPr>
          <w:i/>
          <w:iCs/>
        </w:rPr>
        <w:t>how_many_imputations</w:t>
      </w:r>
      <w:r w:rsidRPr="00915A8E">
        <w:t xml:space="preserve">) to </w:t>
      </w:r>
      <w:r w:rsidRPr="00915A8E">
        <w:rPr>
          <w:rFonts w:eastAsia="Times New Roman"/>
          <w:color w:val="000000"/>
          <w:shd w:val="clear" w:color="auto" w:fill="FFFFFF"/>
          <w:lang w:eastAsia="en-GB"/>
        </w:rPr>
        <w:t>calculate the point at which the number of imputations resulted in replicable standard error estimates</w:t>
      </w:r>
      <w:r w:rsidRPr="00915A8E">
        <w:t xml:space="preserve"> </w:t>
      </w:r>
      <w:r w:rsidRPr="00915A8E">
        <w:fldChar w:fldCharType="begin"/>
      </w:r>
      <w:r w:rsidR="00B9334F">
        <w:instrText xml:space="preserve"> ADDIN EN.CITE &lt;EndNote&gt;&lt;Cite&gt;&lt;Author&gt;von Hippel&lt;/Author&gt;&lt;Year&gt;2018&lt;/Year&gt;&lt;RecNum&gt;54&lt;/RecNum&gt;&lt;DisplayText&gt;(von Hippel, 2018)&lt;/DisplayText&gt;&lt;record&gt;&lt;rec-number&gt;54&lt;/rec-number&gt;&lt;foreign-keys&gt;&lt;key app="EN" db-id="ffzvr5fstavwxoe9v04xf0wmp5t50as52da0" timestamp="1731671639" guid="816cddf5-64eb-4ee3-89b9-58f2ed410b09"&gt;54&lt;/key&gt;&lt;/foreign-keys&gt;&lt;ref-type name="Journal Article"&gt;17&lt;/ref-type&gt;&lt;contributors&gt;&lt;authors&gt;&lt;author&gt;von Hippel, Paul T.&lt;/author&gt;&lt;/authors&gt;&lt;/contributors&gt;&lt;titles&gt;&lt;title&gt;How Many Imputations Do You Need? A Two-stage Calculation Using a Quadratic Rule&lt;/title&gt;&lt;secondary-title&gt;Sociological Methods &amp;amp; Research&lt;/secondary-title&gt;&lt;/titles&gt;&lt;periodical&gt;&lt;full-title&gt;Sociological Methods &amp;amp; Research&lt;/full-title&gt;&lt;/periodical&gt;&lt;pages&gt;699-718&lt;/pages&gt;&lt;volume&gt;49&lt;/volume&gt;&lt;number&gt;3&lt;/number&gt;&lt;dates&gt;&lt;year&gt;2018&lt;/year&gt;&lt;pub-dates&gt;&lt;date&gt;2020/08/01&lt;/date&gt;&lt;/pub-dates&gt;&lt;/dates&gt;&lt;publisher&gt;SAGE Publications Inc&lt;/publisher&gt;&lt;isbn&gt;0049-1241&lt;/isbn&gt;&lt;urls&gt;&lt;related-urls&gt;&lt;url&gt;https://doi.org/10.1177/0049124117747303&lt;/url&gt;&lt;/related-urls&gt;&lt;/urls&gt;&lt;electronic-resource-num&gt;10.1177/0049124117747303&lt;/electronic-resource-num&gt;&lt;access-date&gt;2020/11/11&lt;/access-date&gt;&lt;/record&gt;&lt;/Cite&gt;&lt;/EndNote&gt;</w:instrText>
      </w:r>
      <w:r w:rsidRPr="00915A8E">
        <w:fldChar w:fldCharType="separate"/>
      </w:r>
      <w:r w:rsidR="00A77498">
        <w:rPr>
          <w:noProof/>
        </w:rPr>
        <w:t>(von Hippel, 2018)</w:t>
      </w:r>
      <w:r w:rsidRPr="00915A8E">
        <w:fldChar w:fldCharType="end"/>
      </w:r>
      <w:r w:rsidRPr="00915A8E">
        <w:t xml:space="preserve">. 20 imputations were run to achieve </w:t>
      </w:r>
      <w:r w:rsidRPr="00915A8E">
        <w:rPr>
          <w:rStyle w:val="normaltextrun"/>
          <w:color w:val="000000"/>
          <w:shd w:val="clear" w:color="auto" w:fill="FFFFFF"/>
        </w:rPr>
        <w:t xml:space="preserve">a relative </w:t>
      </w:r>
      <w:r w:rsidRPr="00915A8E">
        <w:rPr>
          <w:rStyle w:val="normaltextrun"/>
          <w:color w:val="000000"/>
        </w:rPr>
        <w:t>efficiency of 99%,</w:t>
      </w:r>
      <w:r w:rsidRPr="00915A8E">
        <w:rPr>
          <w:rStyle w:val="normaltextrun"/>
          <w:color w:val="000000"/>
          <w:shd w:val="clear" w:color="auto" w:fill="FFFFFF"/>
        </w:rPr>
        <w:t xml:space="preserve"> reduction of statistical power of &lt;1% and </w:t>
      </w:r>
      <w:r w:rsidRPr="00915A8E">
        <w:rPr>
          <w:rStyle w:val="normaltextrun"/>
          <w:color w:val="000000"/>
        </w:rPr>
        <w:t>standard</w:t>
      </w:r>
      <w:r w:rsidRPr="00187FE5">
        <w:rPr>
          <w:rStyle w:val="normaltextrun"/>
          <w:color w:val="000000"/>
        </w:rPr>
        <w:t xml:space="preserve"> </w:t>
      </w:r>
      <w:r w:rsidRPr="00F62F86">
        <w:rPr>
          <w:rStyle w:val="normaltextrun"/>
          <w:color w:val="000000"/>
        </w:rPr>
        <w:t xml:space="preserve">error of 5%. </w:t>
      </w:r>
      <w:r>
        <w:rPr>
          <w:rStyle w:val="normaltextrun"/>
          <w:color w:val="000000"/>
        </w:rPr>
        <w:t>Imputed m</w:t>
      </w:r>
      <w:r w:rsidRPr="00F62F86">
        <w:rPr>
          <w:rStyle w:val="normaltextrun"/>
          <w:color w:val="000000"/>
        </w:rPr>
        <w:t>odels were</w:t>
      </w:r>
      <w:r>
        <w:rPr>
          <w:rStyle w:val="normaltextrun"/>
          <w:color w:val="000000"/>
        </w:rPr>
        <w:t xml:space="preserve"> </w:t>
      </w:r>
      <w:r w:rsidRPr="00056E69">
        <w:t xml:space="preserve">analysed separately, and results combined </w:t>
      </w:r>
      <w:r>
        <w:t xml:space="preserve">using Rubin’s rules </w:t>
      </w:r>
      <w:r w:rsidRPr="00056E69">
        <w:t xml:space="preserve">(STATA: </w:t>
      </w:r>
      <w:r w:rsidRPr="00056E69">
        <w:rPr>
          <w:i/>
          <w:iCs/>
        </w:rPr>
        <w:t>mi impute</w:t>
      </w:r>
      <w:r w:rsidRPr="00056E69">
        <w:t xml:space="preserve"> </w:t>
      </w:r>
      <w:r w:rsidRPr="00056E69">
        <w:rPr>
          <w:i/>
          <w:iCs/>
        </w:rPr>
        <w:t>meqrlogit</w:t>
      </w:r>
      <w:r w:rsidRPr="00056E69">
        <w:t>)</w:t>
      </w:r>
      <w:r>
        <w:rPr>
          <w:rStyle w:val="normaltextrun"/>
          <w:color w:val="000000"/>
        </w:rPr>
        <w:t xml:space="preserve">. </w:t>
      </w:r>
      <w:r>
        <w:t>CCA and</w:t>
      </w:r>
      <w:r w:rsidRPr="00B43956">
        <w:t xml:space="preserve"> </w:t>
      </w:r>
      <w:r>
        <w:t>MI results</w:t>
      </w:r>
      <w:r w:rsidRPr="00B43956">
        <w:t xml:space="preserve"> </w:t>
      </w:r>
      <w:r>
        <w:t xml:space="preserve">were analysed for comparability </w:t>
      </w:r>
      <w:r w:rsidRPr="00B43956">
        <w:fldChar w:fldCharType="begin"/>
      </w:r>
      <w:r w:rsidR="00B9334F">
        <w:instrText xml:space="preserve"> ADDIN EN.CITE &lt;EndNote&gt;&lt;Cite&gt;&lt;Author&gt;Hughes&lt;/Author&gt;&lt;Year&gt;2019&lt;/Year&gt;&lt;RecNum&gt;52&lt;/RecNum&gt;&lt;DisplayText&gt;(Hughes et al., 2019)&lt;/DisplayText&gt;&lt;record&gt;&lt;rec-number&gt;52&lt;/rec-number&gt;&lt;foreign-keys&gt;&lt;key app="EN" db-id="ffzvr5fstavwxoe9v04xf0wmp5t50as52da0" timestamp="1731671639" guid="477e66b8-ef82-4427-8645-fee078fbca0d"&gt;52&lt;/key&gt;&lt;/foreign-keys&gt;&lt;ref-type name="Journal Article"&gt;17&lt;/ref-type&gt;&lt;contributors&gt;&lt;authors&gt;&lt;author&gt;Hughes, Rachael A&lt;/author&gt;&lt;author&gt;Heron, Jon&lt;/author&gt;&lt;author&gt;Sterne, Jonathan A C&lt;/author&gt;&lt;author&gt;Tilling, Kate&lt;/author&gt;&lt;/authors&gt;&lt;/contributors&gt;&lt;titles&gt;&lt;title&gt;Accounting for missing data in statistical analyses: multiple imputation is not always the answer&lt;/title&gt;&lt;secondary-title&gt;International Journal of Epidemiology&lt;/secondary-title&gt;&lt;/titles&gt;&lt;periodical&gt;&lt;full-title&gt;International Journal of Epidemiology&lt;/full-title&gt;&lt;/periodical&gt;&lt;pages&gt;1294-1304&lt;/pages&gt;&lt;volume&gt;48&lt;/volume&gt;&lt;number&gt;4&lt;/number&gt;&lt;dates&gt;&lt;year&gt;2019&lt;/year&gt;&lt;/dates&gt;&lt;isbn&gt;0300-5771&lt;/isbn&gt;&lt;urls&gt;&lt;related-urls&gt;&lt;url&gt;https://doi.org/10.1093/ije/dyz032&lt;/url&gt;&lt;/related-urls&gt;&lt;/urls&gt;&lt;electronic-resource-num&gt;10.1093/ije/dyz032&lt;/electronic-resource-num&gt;&lt;access-date&gt;11/11/2020&lt;/access-date&gt;&lt;/record&gt;&lt;/Cite&gt;&lt;/EndNote&gt;</w:instrText>
      </w:r>
      <w:r w:rsidRPr="00B43956">
        <w:fldChar w:fldCharType="separate"/>
      </w:r>
      <w:r w:rsidR="00A77498">
        <w:rPr>
          <w:noProof/>
        </w:rPr>
        <w:t>(Hughes et al., 2019)</w:t>
      </w:r>
      <w:r w:rsidRPr="00B43956">
        <w:fldChar w:fldCharType="end"/>
      </w:r>
      <w:r w:rsidRPr="00B43956">
        <w:t xml:space="preserve">. </w:t>
      </w:r>
    </w:p>
    <w:p w14:paraId="3A51A5C5" w14:textId="77777777" w:rsidR="00AA5608" w:rsidRDefault="00AA5608" w:rsidP="00AA5608">
      <w:pPr>
        <w:pStyle w:val="NoSpacing"/>
        <w:spacing w:line="360" w:lineRule="auto"/>
      </w:pPr>
    </w:p>
    <w:p w14:paraId="6951411E" w14:textId="77777777" w:rsidR="00AA5608" w:rsidRPr="00F33B9D" w:rsidRDefault="00AA5608" w:rsidP="00AA5608">
      <w:pPr>
        <w:pStyle w:val="NoSpacing"/>
        <w:spacing w:line="360" w:lineRule="auto"/>
        <w:rPr>
          <w:bCs/>
        </w:rPr>
      </w:pPr>
      <w:r w:rsidRPr="004F78D0">
        <w:t>Model discrimination was estimated by c-index and variation by intraclass correlation (ICC).</w:t>
      </w:r>
      <w:r w:rsidRPr="00056E69">
        <w:t xml:space="preserve"> </w:t>
      </w:r>
    </w:p>
    <w:p w14:paraId="2FA493D2" w14:textId="77777777" w:rsidR="00AA5608" w:rsidRDefault="00AA5608" w:rsidP="007002BE"/>
    <w:p w14:paraId="13E75540" w14:textId="128922FE" w:rsidR="007356A4" w:rsidRDefault="00AA5608" w:rsidP="007356A4">
      <w:pPr>
        <w:pStyle w:val="Heading4"/>
        <w:spacing w:line="360" w:lineRule="auto"/>
      </w:pPr>
      <w:r>
        <w:t>Sensitivity analysis</w:t>
      </w:r>
    </w:p>
    <w:p w14:paraId="1AE39319" w14:textId="24C7D599" w:rsidR="00AA5608" w:rsidRDefault="00AA5608" w:rsidP="007356A4">
      <w:pPr>
        <w:pStyle w:val="NoSpacing"/>
        <w:spacing w:line="360" w:lineRule="auto"/>
      </w:pPr>
      <w:r>
        <w:t xml:space="preserve">We </w:t>
      </w:r>
      <w:r w:rsidRPr="00056E69">
        <w:t>estimat</w:t>
      </w:r>
      <w:r>
        <w:t>ed</w:t>
      </w:r>
      <w:r w:rsidRPr="00056E69">
        <w:t xml:space="preserve"> the </w:t>
      </w:r>
      <w:r>
        <w:t>e</w:t>
      </w:r>
      <w:r w:rsidRPr="00056E69">
        <w:t>-value</w:t>
      </w:r>
      <w:r>
        <w:t xml:space="preserve"> for key results in the study. E-values can assess the robustness of results where confounding is potentially an issue, such as in an exploratory and observational study like ours. The e-value is the minimum adjusted odds ratio an unmeasured confounder would need to be to explain away significant associations </w:t>
      </w:r>
      <w:r w:rsidRPr="00F84F55">
        <w:t xml:space="preserve">observed in the model </w:t>
      </w:r>
      <w:r w:rsidRPr="00F84F55">
        <w:fldChar w:fldCharType="begin">
          <w:fldData xml:space="preserve">PEVuZE5vdGU+PENpdGU+PEF1dGhvcj5WYW5kZXJXZWVsZTwvQXV0aG9yPjxZZWFyPjIwMTc8L1ll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</w:fldData>
        </w:fldChar>
      </w:r>
      <w:r w:rsidR="00B9334F">
        <w:instrText xml:space="preserve"> ADDIN EN.CITE </w:instrText>
      </w:r>
      <w:r w:rsidR="00B9334F">
        <w:fldChar w:fldCharType="begin">
          <w:fldData xml:space="preserve">PEVuZE5vdGU+PENpdGU+PEF1dGhvcj5WYW5kZXJXZWVsZTwvQXV0aG9yPjxZZWFyPjIwMTc8L1ll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</w:fldData>
        </w:fldChar>
      </w:r>
      <w:r w:rsidR="00B9334F">
        <w:instrText xml:space="preserve"> ADDIN EN.CITE.DATA </w:instrText>
      </w:r>
      <w:r w:rsidR="00B9334F">
        <w:fldChar w:fldCharType="end"/>
      </w:r>
      <w:r w:rsidRPr="00F84F55">
        <w:fldChar w:fldCharType="separate"/>
      </w:r>
      <w:r w:rsidR="003C6F70">
        <w:rPr>
          <w:noProof/>
        </w:rPr>
        <w:t>(Mathur et al., 2018; VanderWeele &amp; Ding, 2017)</w:t>
      </w:r>
      <w:r w:rsidRPr="00F84F55">
        <w:fldChar w:fldCharType="end"/>
      </w:r>
      <w:r w:rsidRPr="00F84F55">
        <w:t xml:space="preserve">. For example, an indicator of a parent’s motivation to stop using drugs is not captured in NDTMS, however it’s a characteristic which could reasonably affect our results. For every statistically significant </w:t>
      </w:r>
      <w:r>
        <w:t xml:space="preserve">estimate of interventions received and successful completion in our study, e-values were calculated to estimate the minimum </w:t>
      </w:r>
      <w:r w:rsidRPr="001B3A3D">
        <w:t xml:space="preserve">strength </w:t>
      </w:r>
      <w:r>
        <w:t xml:space="preserve">of confounder associations required for the resulting adjusted </w:t>
      </w:r>
      <w:r>
        <w:lastRenderedPageBreak/>
        <w:t xml:space="preserve">odds ratios to become nonsignificant, after adjusting for the observed baseline covariates. So, the e-value estimated the strength of association between an unmeasured confounder such as motivation, with our observed characteristics and our significant association. Results </w:t>
      </w:r>
      <w:r w:rsidRPr="001B3A3D">
        <w:t>close to 1 indicat</w:t>
      </w:r>
      <w:r>
        <w:t>ed</w:t>
      </w:r>
      <w:r w:rsidRPr="001B3A3D">
        <w:t xml:space="preserve"> little unmeasured confounding </w:t>
      </w:r>
      <w:r>
        <w:t>were</w:t>
      </w:r>
      <w:r w:rsidRPr="001B3A3D">
        <w:t xml:space="preserve"> necessary</w:t>
      </w:r>
      <w:r>
        <w:t xml:space="preserve"> to render findings nonsignificant</w:t>
      </w:r>
      <w:r w:rsidRPr="001B3A3D">
        <w:t>.</w:t>
      </w:r>
      <w:r>
        <w:t xml:space="preserve"> </w:t>
      </w:r>
      <w:r w:rsidRPr="001B3A3D">
        <w:t xml:space="preserve">E-values were calculated using the ‘EValue’ package in R </w:t>
      </w:r>
      <w:r w:rsidRPr="001B3A3D">
        <w:fldChar w:fldCharType="begin"/>
      </w:r>
      <w:r w:rsidR="00B9334F">
        <w:instrText xml:space="preserve"> ADDIN EN.CITE &lt;EndNote&gt;&lt;Cite&gt;&lt;Author&gt;VanderWeele&lt;/Author&gt;&lt;Year&gt;2017&lt;/Year&gt;&lt;RecNum&gt;65&lt;/RecNum&gt;&lt;DisplayText&gt;(VanderWeele &amp;amp; Ding, 2017)&lt;/DisplayText&gt;&lt;record&gt;&lt;rec-number&gt;65&lt;/rec-number&gt;&lt;foreign-keys&gt;&lt;key app="EN" db-id="ffzvr5fstavwxoe9v04xf0wmp5t50as52da0" timestamp="1731671640" guid="af78d4d2-27d0-4288-9090-ce8ea9655f27"&gt;65&lt;/key&gt;&lt;/foreign-keys&gt;&lt;ref-type name="Journal Article"&gt;17&lt;/ref-type&gt;&lt;contributors&gt;&lt;authors&gt;&lt;author&gt;VanderWeele, T.J.&lt;/author&gt;&lt;author&gt;Ding, P.&lt;/author&gt;&lt;/authors&gt;&lt;/contributors&gt;&lt;titles&gt;&lt;title&gt;Sensitivity Analysis in Observational Research: Introducing the E-Value&lt;/title&gt;&lt;secondary-title&gt;Annals of Internal Medicine&lt;/secondary-title&gt;&lt;/titles&gt;&lt;periodical&gt;&lt;full-title&gt;Annals of Internal Medicine&lt;/full-title&gt;&lt;/periodical&gt;&lt;pages&gt;268-274&lt;/pages&gt;&lt;volume&gt;167&lt;/volume&gt;&lt;number&gt;4&lt;/number&gt;&lt;keywords&gt;&lt;keyword&gt;Ovarian cancer,Motivation,Systematic reviews,Health services research,Confidence intervals,Sensitivity,Health care quality,Observational studies,Upper respiratory tract infections,Statistical models,Maternal health,Social status,Smoking habits,Infants,Q&lt;/keyword&gt;&lt;/keywords&gt;&lt;dates&gt;&lt;year&gt;2017&lt;/year&gt;&lt;/dates&gt;&lt;urls&gt;&lt;related-urls&gt;&lt;url&gt;https://www.acpjournals.org/doi/abs/10.7326/M16-2607&lt;/url&gt;&lt;/related-urls&gt;&lt;/urls&gt;&lt;electronic-resource-num&gt;https://www.acpjournals.org/doi/10.7326/M16-2607&lt;/electronic-resource-num&gt;&lt;/record&gt;&lt;/Cite&gt;&lt;/EndNote&gt;</w:instrText>
      </w:r>
      <w:r w:rsidRPr="001B3A3D">
        <w:fldChar w:fldCharType="separate"/>
      </w:r>
      <w:r w:rsidR="003C6F70">
        <w:rPr>
          <w:noProof/>
        </w:rPr>
        <w:t>(VanderWeele &amp; Ding, 2017)</w:t>
      </w:r>
      <w:r w:rsidRPr="001B3A3D">
        <w:fldChar w:fldCharType="end"/>
      </w:r>
      <w:r>
        <w:t>.</w:t>
      </w:r>
    </w:p>
    <w:p w14:paraId="5610E091" w14:textId="77777777" w:rsidR="00AA5608" w:rsidRPr="00485756" w:rsidRDefault="00AA5608" w:rsidP="00926441"/>
    <w:p w14:paraId="278EE8FF" w14:textId="24D885D0" w:rsidR="00AA5608" w:rsidRDefault="00AA5608" w:rsidP="0029020C">
      <w:pPr>
        <w:pStyle w:val="Heading2"/>
        <w:numPr>
          <w:ilvl w:val="1"/>
          <w:numId w:val="19"/>
        </w:numPr>
        <w:spacing w:after="240" w:line="360" w:lineRule="auto"/>
      </w:pPr>
      <w:bookmarkStart w:id="70" w:name="_Toc189229684"/>
      <w:bookmarkEnd w:id="60"/>
      <w:r w:rsidRPr="00056E69">
        <w:t>R</w:t>
      </w:r>
      <w:r w:rsidR="00926441">
        <w:t>esults</w:t>
      </w:r>
      <w:bookmarkEnd w:id="70"/>
    </w:p>
    <w:p w14:paraId="1C49C376" w14:textId="7FCFDA50" w:rsidR="00AA5608" w:rsidRDefault="00476598" w:rsidP="00AA5608">
      <w:pPr>
        <w:pStyle w:val="NoSpacing"/>
        <w:spacing w:line="360" w:lineRule="auto"/>
      </w:pPr>
      <w:r w:rsidRPr="00476598">
        <w:fldChar w:fldCharType="begin"/>
      </w:r>
      <w:r w:rsidRPr="00476598">
        <w:instrText xml:space="preserve"> REF _Ref176789092 \h  \* MERGEFORMAT </w:instrText>
      </w:r>
      <w:r w:rsidRPr="00476598">
        <w:fldChar w:fldCharType="separate"/>
      </w:r>
      <w:r w:rsidR="00367870" w:rsidRPr="00367870">
        <w:rPr>
          <w:sz w:val="22"/>
          <w:szCs w:val="22"/>
        </w:rPr>
        <w:t xml:space="preserve">Table </w:t>
      </w:r>
      <w:r w:rsidR="00367870" w:rsidRPr="00367870">
        <w:rPr>
          <w:noProof/>
          <w:sz w:val="22"/>
          <w:szCs w:val="22"/>
        </w:rPr>
        <w:t>3.4</w:t>
      </w:r>
      <w:r w:rsidR="00367870" w:rsidRPr="00367870">
        <w:rPr>
          <w:noProof/>
          <w:sz w:val="22"/>
          <w:szCs w:val="22"/>
        </w:rPr>
        <w:noBreakHyphen/>
        <w:t>1</w:t>
      </w:r>
      <w:r w:rsidRPr="00476598">
        <w:fldChar w:fldCharType="end"/>
      </w:r>
      <w:r w:rsidRPr="00476598">
        <w:t xml:space="preserve"> </w:t>
      </w:r>
      <w:r w:rsidR="00AA5608" w:rsidRPr="00476598">
        <w:t>shows the baseline characteristics of the cohort. Most of the sample were</w:t>
      </w:r>
      <w:r w:rsidR="00AA5608">
        <w:t xml:space="preserve"> </w:t>
      </w:r>
      <w:r w:rsidR="00AB7760">
        <w:t>fathers</w:t>
      </w:r>
      <w:r w:rsidR="00AA5608">
        <w:t xml:space="preserve"> (64.2%)</w:t>
      </w:r>
      <w:r>
        <w:t>,</w:t>
      </w:r>
      <w:r w:rsidR="00AA5608">
        <w:t xml:space="preserve"> 3.6% of </w:t>
      </w:r>
      <w:r w:rsidR="00AB7760">
        <w:t>mothers</w:t>
      </w:r>
      <w:r w:rsidR="00AA5608">
        <w:t xml:space="preserve"> were pregnant. Most </w:t>
      </w:r>
      <w:r w:rsidR="00AB7760">
        <w:t>mothers</w:t>
      </w:r>
      <w:r w:rsidR="00AA5608">
        <w:t xml:space="preserve"> were alcohol only users (45.4%), whereas most </w:t>
      </w:r>
      <w:r w:rsidR="00AB7760">
        <w:t>fathers</w:t>
      </w:r>
      <w:r w:rsidR="00AA5608">
        <w:t xml:space="preserve"> in the sample were opiate users (36.8%). A higher proportion of </w:t>
      </w:r>
      <w:r w:rsidR="00AB7760">
        <w:t>mothers</w:t>
      </w:r>
      <w:r w:rsidR="00AA5608">
        <w:t xml:space="preserve"> than </w:t>
      </w:r>
      <w:r w:rsidR="00AB7760">
        <w:t>fathers lived</w:t>
      </w:r>
      <w:r w:rsidR="00AA5608">
        <w:t xml:space="preserve"> with children </w:t>
      </w:r>
      <w:r w:rsidR="00AB7760">
        <w:t>(</w:t>
      </w:r>
      <w:r w:rsidR="00AA5608">
        <w:t xml:space="preserve">44.3% vs 24.5%) and generally </w:t>
      </w:r>
      <w:r w:rsidR="00AB7760">
        <w:t>mothers</w:t>
      </w:r>
      <w:r w:rsidR="00AA5608">
        <w:t xml:space="preserve"> had fewer complex support needs.  For example, a smaller proportion </w:t>
      </w:r>
      <w:r w:rsidR="00754083">
        <w:t xml:space="preserve">of mothers </w:t>
      </w:r>
      <w:r w:rsidR="00AA5608">
        <w:t xml:space="preserve">than </w:t>
      </w:r>
      <w:r w:rsidR="00AB7760">
        <w:t>fathers</w:t>
      </w:r>
      <w:r w:rsidR="00AA5608">
        <w:t xml:space="preserve"> were of no fixed abode (5.9% vs 12.6%), injecting drugs (7.6% vs 10.2%), or </w:t>
      </w:r>
      <w:r w:rsidR="00754083">
        <w:t xml:space="preserve">had </w:t>
      </w:r>
      <w:r w:rsidR="00AA5608">
        <w:t xml:space="preserve">criminal justice referral into treatment (8.8% vs 19.0%). More </w:t>
      </w:r>
      <w:r w:rsidR="00AB7760">
        <w:t>mothers</w:t>
      </w:r>
      <w:r w:rsidR="00AA5608">
        <w:t xml:space="preserve"> than </w:t>
      </w:r>
      <w:r w:rsidR="00AB7760">
        <w:t>fathers</w:t>
      </w:r>
      <w:r w:rsidR="00AA5608">
        <w:t xml:space="preserve">, however, had a mental health problem (55.4% vs 43.6%). </w:t>
      </w:r>
      <w:r w:rsidR="00CE5241" w:rsidRPr="00CE5241">
        <w:fldChar w:fldCharType="begin"/>
      </w:r>
      <w:r w:rsidR="00CE5241" w:rsidRPr="00CE5241">
        <w:instrText xml:space="preserve"> REF _Ref176789092 \h  \* MERGEFORMAT </w:instrText>
      </w:r>
      <w:r w:rsidR="00CE5241" w:rsidRPr="00CE5241">
        <w:fldChar w:fldCharType="separate"/>
      </w:r>
      <w:r w:rsidR="0029020C" w:rsidRPr="0029020C">
        <w:t xml:space="preserve">Table </w:t>
      </w:r>
      <w:r w:rsidR="0029020C" w:rsidRPr="0029020C">
        <w:rPr>
          <w:noProof/>
        </w:rPr>
        <w:t>3.4</w:t>
      </w:r>
      <w:r w:rsidR="0029020C" w:rsidRPr="0029020C">
        <w:rPr>
          <w:noProof/>
        </w:rPr>
        <w:noBreakHyphen/>
        <w:t>1</w:t>
      </w:r>
      <w:r w:rsidR="00CE5241" w:rsidRPr="00CE5241">
        <w:fldChar w:fldCharType="end"/>
      </w:r>
      <w:r w:rsidR="00CE5241" w:rsidRPr="00CE5241">
        <w:t xml:space="preserve"> </w:t>
      </w:r>
      <w:r w:rsidR="00AA5608" w:rsidRPr="00CE5241">
        <w:t>also</w:t>
      </w:r>
      <w:r w:rsidR="00AA5608">
        <w:t xml:space="preserve"> presents the data broken down by </w:t>
      </w:r>
      <w:r w:rsidR="002946F0">
        <w:t>parents living</w:t>
      </w:r>
      <w:r w:rsidR="00AA5608">
        <w:t xml:space="preserve"> with children (LWC) and parents not living with their children (NWC) and shows that a higher proportion of complex support needs are observed among NWC. </w:t>
      </w:r>
    </w:p>
    <w:p w14:paraId="2BA39354" w14:textId="77777777" w:rsidR="0029020C" w:rsidRDefault="0029020C" w:rsidP="00476598">
      <w:pPr>
        <w:pStyle w:val="Caption"/>
        <w:rPr>
          <w:lang w:eastAsia="en-GB"/>
        </w:rPr>
        <w:sectPr w:rsidR="0029020C" w:rsidSect="00495E5A">
          <w:footerReference w:type="default" r:id="rId33"/>
          <w:pgSz w:w="11906" w:h="16838"/>
          <w:pgMar w:top="1440" w:right="1440" w:bottom="1440" w:left="1440" w:header="709" w:footer="709" w:gutter="0"/>
          <w:cols w:space="708"/>
          <w:docGrid w:linePitch="360"/>
        </w:sectPr>
      </w:pPr>
    </w:p>
    <w:p w14:paraId="5D65E160" w14:textId="79BAE314" w:rsidR="00AA5608" w:rsidRPr="00476598" w:rsidRDefault="003544A3" w:rsidP="00476598">
      <w:pPr>
        <w:pStyle w:val="Caption"/>
        <w:rPr>
          <w:rFonts w:cs="Arial"/>
          <w:b w:val="0"/>
          <w:bCs w:val="0"/>
          <w:i/>
          <w:iCs/>
          <w:color w:val="auto"/>
          <w:sz w:val="22"/>
          <w:szCs w:val="22"/>
        </w:rPr>
      </w:pPr>
      <w:bookmarkStart w:id="71" w:name="_Ref176789092"/>
      <w:bookmarkStart w:id="72" w:name="_Ref176789088"/>
      <w:bookmarkStart w:id="73" w:name="_Toc185844989"/>
      <w:r>
        <w:rPr>
          <w:b w:val="0"/>
          <w:bCs w:val="0"/>
          <w:i/>
          <w:iCs/>
          <w:color w:val="auto"/>
          <w:sz w:val="22"/>
          <w:szCs w:val="22"/>
        </w:rPr>
        <w:lastRenderedPageBreak/>
        <w:t>Table</w:t>
      </w:r>
      <w:r w:rsidR="00476598" w:rsidRPr="00476598">
        <w:rPr>
          <w:b w:val="0"/>
          <w:bCs w:val="0"/>
          <w:i/>
          <w:iCs/>
          <w:color w:val="auto"/>
          <w:sz w:val="22"/>
          <w:szCs w:val="22"/>
        </w:rPr>
        <w:t xml:space="preserve"> </w:t>
      </w:r>
      <w:r w:rsidR="00367870">
        <w:rPr>
          <w:b w:val="0"/>
          <w:bCs w:val="0"/>
          <w:i/>
          <w:iCs/>
          <w:color w:val="auto"/>
          <w:sz w:val="22"/>
          <w:szCs w:val="22"/>
        </w:rPr>
        <w:fldChar w:fldCharType="begin"/>
      </w:r>
      <w:r w:rsidR="00367870">
        <w:rPr>
          <w:b w:val="0"/>
          <w:bCs w:val="0"/>
          <w:i/>
          <w:iCs/>
          <w:color w:val="auto"/>
          <w:sz w:val="22"/>
          <w:szCs w:val="22"/>
        </w:rPr>
        <w:instrText xml:space="preserve"> STYLEREF 2 \s </w:instrText>
      </w:r>
      <w:r w:rsidR="00367870">
        <w:rPr>
          <w:b w:val="0"/>
          <w:bCs w:val="0"/>
          <w:i/>
          <w:iCs/>
          <w:color w:val="auto"/>
          <w:sz w:val="22"/>
          <w:szCs w:val="22"/>
        </w:rPr>
        <w:fldChar w:fldCharType="separate"/>
      </w:r>
      <w:r w:rsidR="00367870">
        <w:rPr>
          <w:b w:val="0"/>
          <w:bCs w:val="0"/>
          <w:i/>
          <w:iCs/>
          <w:noProof/>
          <w:color w:val="auto"/>
          <w:sz w:val="22"/>
          <w:szCs w:val="22"/>
        </w:rPr>
        <w:t>3.4</w:t>
      </w:r>
      <w:r w:rsidR="00367870">
        <w:rPr>
          <w:b w:val="0"/>
          <w:bCs w:val="0"/>
          <w:i/>
          <w:iCs/>
          <w:color w:val="auto"/>
          <w:sz w:val="22"/>
          <w:szCs w:val="22"/>
        </w:rPr>
        <w:fldChar w:fldCharType="end"/>
      </w:r>
      <w:r w:rsidR="00367870">
        <w:rPr>
          <w:b w:val="0"/>
          <w:bCs w:val="0"/>
          <w:i/>
          <w:iCs/>
          <w:color w:val="auto"/>
          <w:sz w:val="22"/>
          <w:szCs w:val="22"/>
        </w:rPr>
        <w:noBreakHyphen/>
      </w:r>
      <w:r w:rsidR="00367870">
        <w:rPr>
          <w:b w:val="0"/>
          <w:bCs w:val="0"/>
          <w:i/>
          <w:iCs/>
          <w:color w:val="auto"/>
          <w:sz w:val="22"/>
          <w:szCs w:val="22"/>
        </w:rPr>
        <w:fldChar w:fldCharType="begin"/>
      </w:r>
      <w:r w:rsidR="00367870">
        <w:rPr>
          <w:b w:val="0"/>
          <w:bCs w:val="0"/>
          <w:i/>
          <w:iCs/>
          <w:color w:val="auto"/>
          <w:sz w:val="22"/>
          <w:szCs w:val="22"/>
        </w:rPr>
        <w:instrText xml:space="preserve"> SEQ Table \* ARABIC \s 2 </w:instrText>
      </w:r>
      <w:r w:rsidR="00367870">
        <w:rPr>
          <w:b w:val="0"/>
          <w:bCs w:val="0"/>
          <w:i/>
          <w:iCs/>
          <w:color w:val="auto"/>
          <w:sz w:val="22"/>
          <w:szCs w:val="22"/>
        </w:rPr>
        <w:fldChar w:fldCharType="separate"/>
      </w:r>
      <w:r w:rsidR="00367870">
        <w:rPr>
          <w:b w:val="0"/>
          <w:bCs w:val="0"/>
          <w:i/>
          <w:iCs/>
          <w:noProof/>
          <w:color w:val="auto"/>
          <w:sz w:val="22"/>
          <w:szCs w:val="22"/>
        </w:rPr>
        <w:t>1</w:t>
      </w:r>
      <w:r w:rsidR="00367870">
        <w:rPr>
          <w:b w:val="0"/>
          <w:bCs w:val="0"/>
          <w:i/>
          <w:iCs/>
          <w:color w:val="auto"/>
          <w:sz w:val="22"/>
          <w:szCs w:val="22"/>
        </w:rPr>
        <w:fldChar w:fldCharType="end"/>
      </w:r>
      <w:bookmarkEnd w:id="71"/>
      <w:r w:rsidR="00476598">
        <w:rPr>
          <w:b w:val="0"/>
          <w:bCs w:val="0"/>
          <w:i/>
          <w:iCs/>
          <w:color w:val="auto"/>
          <w:sz w:val="22"/>
          <w:szCs w:val="22"/>
        </w:rPr>
        <w:tab/>
      </w:r>
      <w:r w:rsidR="00AA5608" w:rsidRPr="00476598">
        <w:rPr>
          <w:rFonts w:cs="Arial"/>
          <w:b w:val="0"/>
          <w:bCs w:val="0"/>
          <w:i/>
          <w:iCs/>
          <w:color w:val="auto"/>
          <w:sz w:val="22"/>
          <w:szCs w:val="22"/>
        </w:rPr>
        <w:t>Baseline characteristics</w:t>
      </w:r>
      <w:bookmarkEnd w:id="72"/>
      <w:bookmarkEnd w:id="73"/>
      <w:r w:rsidR="00AA5608" w:rsidRPr="00476598">
        <w:rPr>
          <w:rFonts w:cs="Arial"/>
          <w:b w:val="0"/>
          <w:bCs w:val="0"/>
          <w:i/>
          <w:iCs/>
          <w:color w:val="auto"/>
          <w:sz w:val="22"/>
          <w:szCs w:val="22"/>
        </w:rPr>
        <w:t xml:space="preserve"> </w:t>
      </w:r>
    </w:p>
    <w:p w14:paraId="288402DB" w14:textId="77777777" w:rsidR="00AA5608" w:rsidRPr="00C93E39" w:rsidRDefault="00AA5608" w:rsidP="00AA5608">
      <w:pPr>
        <w:pStyle w:val="paragraph"/>
        <w:spacing w:before="0" w:beforeAutospacing="0" w:after="0" w:afterAutospacing="0"/>
        <w:textAlignment w:val="baseline"/>
        <w:rPr>
          <w:rFonts w:ascii="Arial" w:hAnsi="Arial" w:cs="Arial"/>
          <w:bCs/>
        </w:rPr>
      </w:pPr>
    </w:p>
    <w:tbl>
      <w:tblPr>
        <w:tblW w:w="13540" w:type="dxa"/>
        <w:tblLayout w:type="fixed"/>
        <w:tblLook w:val="04A0" w:firstRow="1" w:lastRow="0" w:firstColumn="1" w:lastColumn="0" w:noHBand="0" w:noVBand="1"/>
      </w:tblPr>
      <w:tblGrid>
        <w:gridCol w:w="3539"/>
        <w:gridCol w:w="1666"/>
        <w:gridCol w:w="1667"/>
        <w:gridCol w:w="1667"/>
        <w:gridCol w:w="1667"/>
        <w:gridCol w:w="1667"/>
        <w:gridCol w:w="1667"/>
      </w:tblGrid>
      <w:tr w:rsidR="00AA5608" w:rsidRPr="00B772CF" w14:paraId="309550FD" w14:textId="77777777" w:rsidTr="00332E40">
        <w:trPr>
          <w:trHeight w:val="300"/>
        </w:trPr>
        <w:tc>
          <w:tcPr>
            <w:tcW w:w="3539" w:type="dxa"/>
            <w:tcBorders>
              <w:right w:val="single" w:sz="4" w:space="0" w:color="auto"/>
            </w:tcBorders>
            <w:shd w:val="clear" w:color="auto" w:fill="auto"/>
            <w:noWrap/>
            <w:vAlign w:val="bottom"/>
            <w:hideMark/>
          </w:tcPr>
          <w:p w14:paraId="6B6E635F" w14:textId="77777777" w:rsidR="00AA5608" w:rsidRPr="008321E4" w:rsidRDefault="00AA5608" w:rsidP="000E494A">
            <w:pPr>
              <w:rPr>
                <w:rFonts w:ascii="Times New Roman" w:eastAsia="Times New Roman" w:hAnsi="Times New Roman" w:cs="Times New Roman"/>
                <w:sz w:val="18"/>
                <w:szCs w:val="18"/>
                <w:lang w:eastAsia="en-GB"/>
              </w:rPr>
            </w:pPr>
          </w:p>
        </w:tc>
        <w:tc>
          <w:tcPr>
            <w:tcW w:w="5000" w:type="dxa"/>
            <w:gridSpan w:val="3"/>
            <w:tcBorders>
              <w:left w:val="single" w:sz="4" w:space="0" w:color="auto"/>
              <w:bottom w:val="single" w:sz="4" w:space="0" w:color="auto"/>
              <w:right w:val="single" w:sz="4" w:space="0" w:color="auto"/>
            </w:tcBorders>
            <w:shd w:val="clear" w:color="auto" w:fill="auto"/>
            <w:noWrap/>
            <w:vAlign w:val="bottom"/>
            <w:hideMark/>
          </w:tcPr>
          <w:p w14:paraId="04E72F39" w14:textId="766FC893" w:rsidR="00AA5608" w:rsidRPr="008321E4" w:rsidRDefault="00AB7760" w:rsidP="000E494A">
            <w:pPr>
              <w:jc w:val="center"/>
              <w:rPr>
                <w:rFonts w:eastAsia="Times New Roman" w:cs="Arial"/>
                <w:color w:val="000000"/>
                <w:sz w:val="18"/>
                <w:szCs w:val="18"/>
                <w:lang w:eastAsia="en-GB"/>
              </w:rPr>
            </w:pPr>
            <w:r>
              <w:rPr>
                <w:rFonts w:eastAsia="Times New Roman" w:cs="Arial"/>
                <w:color w:val="000000"/>
                <w:sz w:val="18"/>
                <w:szCs w:val="18"/>
                <w:lang w:eastAsia="en-GB"/>
              </w:rPr>
              <w:t>Mothers</w:t>
            </w:r>
          </w:p>
        </w:tc>
        <w:tc>
          <w:tcPr>
            <w:tcW w:w="5001" w:type="dxa"/>
            <w:gridSpan w:val="3"/>
            <w:tcBorders>
              <w:left w:val="single" w:sz="4" w:space="0" w:color="auto"/>
              <w:bottom w:val="single" w:sz="4" w:space="0" w:color="auto"/>
            </w:tcBorders>
            <w:shd w:val="clear" w:color="auto" w:fill="auto"/>
            <w:noWrap/>
            <w:vAlign w:val="bottom"/>
            <w:hideMark/>
          </w:tcPr>
          <w:p w14:paraId="340B4CFD" w14:textId="7A85E7F2" w:rsidR="00AA5608" w:rsidRPr="008321E4" w:rsidRDefault="00AB7760" w:rsidP="000E494A">
            <w:pPr>
              <w:jc w:val="center"/>
              <w:rPr>
                <w:rFonts w:eastAsia="Times New Roman" w:cs="Arial"/>
                <w:color w:val="000000"/>
                <w:sz w:val="18"/>
                <w:szCs w:val="18"/>
                <w:lang w:eastAsia="en-GB"/>
              </w:rPr>
            </w:pPr>
            <w:r>
              <w:rPr>
                <w:rFonts w:eastAsia="Times New Roman" w:cs="Arial"/>
                <w:color w:val="000000"/>
                <w:sz w:val="18"/>
                <w:szCs w:val="18"/>
                <w:lang w:eastAsia="en-GB"/>
              </w:rPr>
              <w:t>Fathers</w:t>
            </w:r>
          </w:p>
        </w:tc>
      </w:tr>
      <w:tr w:rsidR="00AA5608" w:rsidRPr="00B772CF" w14:paraId="4F092600" w14:textId="77777777" w:rsidTr="00332E40">
        <w:trPr>
          <w:trHeight w:val="495"/>
        </w:trPr>
        <w:tc>
          <w:tcPr>
            <w:tcW w:w="3539" w:type="dxa"/>
            <w:vMerge w:val="restart"/>
            <w:tcBorders>
              <w:right w:val="single" w:sz="4" w:space="0" w:color="auto"/>
            </w:tcBorders>
            <w:shd w:val="clear" w:color="auto" w:fill="auto"/>
            <w:noWrap/>
            <w:vAlign w:val="center"/>
            <w:hideMark/>
          </w:tcPr>
          <w:p w14:paraId="6B50D3E6"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Baseline characteristics</w:t>
            </w:r>
          </w:p>
        </w:tc>
        <w:tc>
          <w:tcPr>
            <w:tcW w:w="1666" w:type="dxa"/>
            <w:tcBorders>
              <w:top w:val="single" w:sz="4" w:space="0" w:color="auto"/>
              <w:left w:val="single" w:sz="4" w:space="0" w:color="auto"/>
            </w:tcBorders>
            <w:shd w:val="clear" w:color="auto" w:fill="auto"/>
            <w:vAlign w:val="center"/>
            <w:hideMark/>
          </w:tcPr>
          <w:p w14:paraId="16DDFE2B"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Living with children (LWC)</w:t>
            </w:r>
          </w:p>
        </w:tc>
        <w:tc>
          <w:tcPr>
            <w:tcW w:w="1667" w:type="dxa"/>
            <w:tcBorders>
              <w:top w:val="single" w:sz="4" w:space="0" w:color="auto"/>
            </w:tcBorders>
            <w:shd w:val="clear" w:color="auto" w:fill="auto"/>
            <w:vAlign w:val="center"/>
            <w:hideMark/>
          </w:tcPr>
          <w:p w14:paraId="5D6C6267"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Not living with their children (NWC)</w:t>
            </w:r>
          </w:p>
        </w:tc>
        <w:tc>
          <w:tcPr>
            <w:tcW w:w="1667" w:type="dxa"/>
            <w:tcBorders>
              <w:top w:val="single" w:sz="4" w:space="0" w:color="auto"/>
              <w:right w:val="single" w:sz="4" w:space="0" w:color="auto"/>
            </w:tcBorders>
            <w:shd w:val="clear" w:color="auto" w:fill="auto"/>
            <w:noWrap/>
            <w:vAlign w:val="center"/>
            <w:hideMark/>
          </w:tcPr>
          <w:p w14:paraId="2207FEC2"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Overall</w:t>
            </w:r>
          </w:p>
        </w:tc>
        <w:tc>
          <w:tcPr>
            <w:tcW w:w="1667" w:type="dxa"/>
            <w:tcBorders>
              <w:top w:val="single" w:sz="4" w:space="0" w:color="auto"/>
              <w:left w:val="single" w:sz="4" w:space="0" w:color="auto"/>
            </w:tcBorders>
            <w:shd w:val="clear" w:color="auto" w:fill="auto"/>
            <w:vAlign w:val="center"/>
            <w:hideMark/>
          </w:tcPr>
          <w:p w14:paraId="27C51D30"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Living with children (LWC)</w:t>
            </w:r>
          </w:p>
        </w:tc>
        <w:tc>
          <w:tcPr>
            <w:tcW w:w="1667" w:type="dxa"/>
            <w:tcBorders>
              <w:top w:val="single" w:sz="4" w:space="0" w:color="auto"/>
            </w:tcBorders>
            <w:shd w:val="clear" w:color="auto" w:fill="auto"/>
            <w:vAlign w:val="center"/>
            <w:hideMark/>
          </w:tcPr>
          <w:p w14:paraId="4FFD8391"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Not living with their children (NWC)</w:t>
            </w:r>
          </w:p>
        </w:tc>
        <w:tc>
          <w:tcPr>
            <w:tcW w:w="1667" w:type="dxa"/>
            <w:tcBorders>
              <w:top w:val="single" w:sz="4" w:space="0" w:color="auto"/>
            </w:tcBorders>
            <w:shd w:val="clear" w:color="auto" w:fill="auto"/>
            <w:noWrap/>
            <w:vAlign w:val="center"/>
            <w:hideMark/>
          </w:tcPr>
          <w:p w14:paraId="4BAD364E"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Overall</w:t>
            </w:r>
          </w:p>
        </w:tc>
      </w:tr>
      <w:tr w:rsidR="00AA5608" w:rsidRPr="008321E4" w14:paraId="795626D6" w14:textId="77777777" w:rsidTr="00332E40">
        <w:trPr>
          <w:trHeight w:val="300"/>
        </w:trPr>
        <w:tc>
          <w:tcPr>
            <w:tcW w:w="3539" w:type="dxa"/>
            <w:vMerge/>
            <w:tcBorders>
              <w:bottom w:val="single" w:sz="4" w:space="0" w:color="auto"/>
              <w:right w:val="single" w:sz="4" w:space="0" w:color="auto"/>
            </w:tcBorders>
            <w:vAlign w:val="center"/>
            <w:hideMark/>
          </w:tcPr>
          <w:p w14:paraId="2D03BBC5" w14:textId="77777777" w:rsidR="00AA5608" w:rsidRPr="008321E4" w:rsidRDefault="00AA5608" w:rsidP="000E494A">
            <w:pPr>
              <w:rPr>
                <w:rFonts w:eastAsia="Times New Roman" w:cs="Arial"/>
                <w:color w:val="000000"/>
                <w:sz w:val="18"/>
                <w:szCs w:val="18"/>
                <w:lang w:eastAsia="en-GB"/>
              </w:rPr>
            </w:pPr>
          </w:p>
        </w:tc>
        <w:tc>
          <w:tcPr>
            <w:tcW w:w="1666" w:type="dxa"/>
            <w:tcBorders>
              <w:left w:val="single" w:sz="4" w:space="0" w:color="auto"/>
              <w:bottom w:val="single" w:sz="4" w:space="0" w:color="auto"/>
            </w:tcBorders>
            <w:shd w:val="clear" w:color="auto" w:fill="auto"/>
            <w:noWrap/>
            <w:vAlign w:val="center"/>
            <w:hideMark/>
          </w:tcPr>
          <w:p w14:paraId="03475261"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n (%)</w:t>
            </w:r>
          </w:p>
        </w:tc>
        <w:tc>
          <w:tcPr>
            <w:tcW w:w="1667" w:type="dxa"/>
            <w:tcBorders>
              <w:bottom w:val="single" w:sz="4" w:space="0" w:color="auto"/>
            </w:tcBorders>
            <w:shd w:val="clear" w:color="auto" w:fill="auto"/>
            <w:noWrap/>
            <w:vAlign w:val="center"/>
            <w:hideMark/>
          </w:tcPr>
          <w:p w14:paraId="62301699"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n (%)</w:t>
            </w:r>
          </w:p>
        </w:tc>
        <w:tc>
          <w:tcPr>
            <w:tcW w:w="1667" w:type="dxa"/>
            <w:tcBorders>
              <w:bottom w:val="single" w:sz="4" w:space="0" w:color="auto"/>
              <w:right w:val="single" w:sz="4" w:space="0" w:color="auto"/>
            </w:tcBorders>
            <w:shd w:val="clear" w:color="auto" w:fill="auto"/>
            <w:noWrap/>
            <w:vAlign w:val="center"/>
            <w:hideMark/>
          </w:tcPr>
          <w:p w14:paraId="69DFD0BC"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n (%)</w:t>
            </w:r>
          </w:p>
        </w:tc>
        <w:tc>
          <w:tcPr>
            <w:tcW w:w="1667" w:type="dxa"/>
            <w:tcBorders>
              <w:left w:val="single" w:sz="4" w:space="0" w:color="auto"/>
              <w:bottom w:val="single" w:sz="4" w:space="0" w:color="auto"/>
            </w:tcBorders>
            <w:shd w:val="clear" w:color="auto" w:fill="auto"/>
            <w:noWrap/>
            <w:vAlign w:val="center"/>
            <w:hideMark/>
          </w:tcPr>
          <w:p w14:paraId="4A57B561"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n (%)</w:t>
            </w:r>
          </w:p>
        </w:tc>
        <w:tc>
          <w:tcPr>
            <w:tcW w:w="1667" w:type="dxa"/>
            <w:tcBorders>
              <w:bottom w:val="single" w:sz="4" w:space="0" w:color="auto"/>
            </w:tcBorders>
            <w:shd w:val="clear" w:color="auto" w:fill="auto"/>
            <w:noWrap/>
            <w:vAlign w:val="center"/>
            <w:hideMark/>
          </w:tcPr>
          <w:p w14:paraId="21D63876"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n (%)</w:t>
            </w:r>
          </w:p>
        </w:tc>
        <w:tc>
          <w:tcPr>
            <w:tcW w:w="1667" w:type="dxa"/>
            <w:tcBorders>
              <w:bottom w:val="single" w:sz="4" w:space="0" w:color="auto"/>
            </w:tcBorders>
            <w:shd w:val="clear" w:color="auto" w:fill="auto"/>
            <w:noWrap/>
            <w:vAlign w:val="center"/>
            <w:hideMark/>
          </w:tcPr>
          <w:p w14:paraId="3240C1C3" w14:textId="77777777" w:rsidR="00AA5608" w:rsidRPr="008321E4" w:rsidRDefault="00AA5608" w:rsidP="000E494A">
            <w:pPr>
              <w:jc w:val="center"/>
              <w:rPr>
                <w:rFonts w:eastAsia="Times New Roman" w:cs="Arial"/>
                <w:color w:val="000000"/>
                <w:sz w:val="18"/>
                <w:szCs w:val="18"/>
                <w:lang w:eastAsia="en-GB"/>
              </w:rPr>
            </w:pPr>
            <w:r w:rsidRPr="008321E4">
              <w:rPr>
                <w:rFonts w:eastAsia="Times New Roman" w:cs="Arial"/>
                <w:color w:val="000000"/>
                <w:sz w:val="18"/>
                <w:szCs w:val="18"/>
                <w:lang w:eastAsia="en-GB"/>
              </w:rPr>
              <w:t>n (%)</w:t>
            </w:r>
          </w:p>
        </w:tc>
      </w:tr>
      <w:tr w:rsidR="00AA5608" w:rsidRPr="008321E4" w14:paraId="1D6AF1EA" w14:textId="77777777" w:rsidTr="00332E40">
        <w:trPr>
          <w:trHeight w:val="300"/>
        </w:trPr>
        <w:tc>
          <w:tcPr>
            <w:tcW w:w="3539" w:type="dxa"/>
            <w:tcBorders>
              <w:top w:val="single" w:sz="4" w:space="0" w:color="auto"/>
              <w:right w:val="single" w:sz="4" w:space="0" w:color="auto"/>
            </w:tcBorders>
            <w:shd w:val="clear" w:color="auto" w:fill="auto"/>
            <w:noWrap/>
            <w:vAlign w:val="bottom"/>
            <w:hideMark/>
          </w:tcPr>
          <w:p w14:paraId="791CC724" w14:textId="77777777" w:rsidR="00AA5608" w:rsidRPr="008321E4" w:rsidRDefault="00AA5608" w:rsidP="000E494A">
            <w:pPr>
              <w:rPr>
                <w:rFonts w:eastAsia="Times New Roman" w:cs="Arial"/>
                <w:i/>
                <w:iCs/>
                <w:color w:val="000000"/>
                <w:sz w:val="18"/>
                <w:szCs w:val="18"/>
                <w:lang w:eastAsia="en-GB"/>
              </w:rPr>
            </w:pPr>
            <w:r w:rsidRPr="008321E4">
              <w:rPr>
                <w:rFonts w:eastAsia="Times New Roman" w:cs="Arial"/>
                <w:i/>
                <w:iCs/>
                <w:color w:val="000000"/>
                <w:sz w:val="18"/>
                <w:szCs w:val="18"/>
                <w:lang w:eastAsia="en-GB"/>
              </w:rPr>
              <w:t>Sociodemographic</w:t>
            </w:r>
          </w:p>
        </w:tc>
        <w:tc>
          <w:tcPr>
            <w:tcW w:w="1666" w:type="dxa"/>
            <w:tcBorders>
              <w:top w:val="single" w:sz="4" w:space="0" w:color="auto"/>
              <w:left w:val="single" w:sz="4" w:space="0" w:color="auto"/>
            </w:tcBorders>
            <w:shd w:val="clear" w:color="auto" w:fill="auto"/>
            <w:noWrap/>
            <w:vAlign w:val="bottom"/>
            <w:hideMark/>
          </w:tcPr>
          <w:p w14:paraId="6010A364" w14:textId="77777777" w:rsidR="00AA5608" w:rsidRPr="008321E4" w:rsidRDefault="00AA5608" w:rsidP="000E494A">
            <w:pPr>
              <w:rPr>
                <w:rFonts w:eastAsia="Times New Roman" w:cs="Arial"/>
                <w:i/>
                <w:iCs/>
                <w:color w:val="000000"/>
                <w:sz w:val="18"/>
                <w:szCs w:val="18"/>
                <w:lang w:eastAsia="en-GB"/>
              </w:rPr>
            </w:pPr>
          </w:p>
        </w:tc>
        <w:tc>
          <w:tcPr>
            <w:tcW w:w="1667" w:type="dxa"/>
            <w:tcBorders>
              <w:top w:val="single" w:sz="4" w:space="0" w:color="auto"/>
            </w:tcBorders>
            <w:shd w:val="clear" w:color="auto" w:fill="auto"/>
            <w:noWrap/>
            <w:vAlign w:val="bottom"/>
            <w:hideMark/>
          </w:tcPr>
          <w:p w14:paraId="79592225"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top w:val="single" w:sz="4" w:space="0" w:color="auto"/>
              <w:right w:val="single" w:sz="4" w:space="0" w:color="auto"/>
            </w:tcBorders>
            <w:shd w:val="clear" w:color="auto" w:fill="auto"/>
            <w:noWrap/>
            <w:vAlign w:val="bottom"/>
            <w:hideMark/>
          </w:tcPr>
          <w:p w14:paraId="6B7FD814"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top w:val="single" w:sz="4" w:space="0" w:color="auto"/>
              <w:left w:val="single" w:sz="4" w:space="0" w:color="auto"/>
            </w:tcBorders>
            <w:shd w:val="clear" w:color="auto" w:fill="auto"/>
            <w:noWrap/>
            <w:vAlign w:val="bottom"/>
            <w:hideMark/>
          </w:tcPr>
          <w:p w14:paraId="2291742C"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tcBorders>
              <w:top w:val="single" w:sz="4" w:space="0" w:color="auto"/>
            </w:tcBorders>
            <w:shd w:val="clear" w:color="auto" w:fill="auto"/>
            <w:noWrap/>
            <w:vAlign w:val="bottom"/>
            <w:hideMark/>
          </w:tcPr>
          <w:p w14:paraId="41228E08"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top w:val="single" w:sz="4" w:space="0" w:color="auto"/>
            </w:tcBorders>
            <w:shd w:val="clear" w:color="auto" w:fill="auto"/>
            <w:noWrap/>
            <w:vAlign w:val="bottom"/>
            <w:hideMark/>
          </w:tcPr>
          <w:p w14:paraId="65AF9EC6" w14:textId="77777777" w:rsidR="00AA5608" w:rsidRPr="008321E4" w:rsidRDefault="00AA5608" w:rsidP="000E494A">
            <w:pPr>
              <w:rPr>
                <w:rFonts w:ascii="Times New Roman" w:eastAsia="Times New Roman" w:hAnsi="Times New Roman" w:cs="Times New Roman"/>
                <w:sz w:val="18"/>
                <w:szCs w:val="18"/>
                <w:lang w:eastAsia="en-GB"/>
              </w:rPr>
            </w:pPr>
          </w:p>
        </w:tc>
      </w:tr>
      <w:tr w:rsidR="00AA5608" w:rsidRPr="008321E4" w14:paraId="52B78D7A" w14:textId="77777777" w:rsidTr="00332E40">
        <w:trPr>
          <w:trHeight w:val="300"/>
        </w:trPr>
        <w:tc>
          <w:tcPr>
            <w:tcW w:w="3539" w:type="dxa"/>
            <w:tcBorders>
              <w:right w:val="single" w:sz="4" w:space="0" w:color="auto"/>
            </w:tcBorders>
            <w:shd w:val="clear" w:color="auto" w:fill="auto"/>
            <w:noWrap/>
            <w:vAlign w:val="bottom"/>
            <w:hideMark/>
          </w:tcPr>
          <w:p w14:paraId="2ACF6BA3"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Child living arrangements</w:t>
            </w:r>
          </w:p>
        </w:tc>
        <w:tc>
          <w:tcPr>
            <w:tcW w:w="1666" w:type="dxa"/>
            <w:tcBorders>
              <w:left w:val="single" w:sz="4" w:space="0" w:color="auto"/>
            </w:tcBorders>
            <w:shd w:val="clear" w:color="auto" w:fill="auto"/>
            <w:noWrap/>
            <w:vAlign w:val="bottom"/>
            <w:hideMark/>
          </w:tcPr>
          <w:p w14:paraId="72610695"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9,124 (44.3%)</w:t>
            </w:r>
          </w:p>
        </w:tc>
        <w:tc>
          <w:tcPr>
            <w:tcW w:w="1667" w:type="dxa"/>
            <w:shd w:val="clear" w:color="auto" w:fill="auto"/>
            <w:noWrap/>
            <w:vAlign w:val="bottom"/>
            <w:hideMark/>
          </w:tcPr>
          <w:p w14:paraId="0F466F14"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11,473 (55.7%)</w:t>
            </w:r>
          </w:p>
        </w:tc>
        <w:tc>
          <w:tcPr>
            <w:tcW w:w="1667" w:type="dxa"/>
            <w:tcBorders>
              <w:right w:val="single" w:sz="4" w:space="0" w:color="auto"/>
            </w:tcBorders>
            <w:shd w:val="clear" w:color="auto" w:fill="auto"/>
            <w:noWrap/>
            <w:vAlign w:val="bottom"/>
            <w:hideMark/>
          </w:tcPr>
          <w:p w14:paraId="1C2009F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20,597 (35.8%)</w:t>
            </w:r>
          </w:p>
        </w:tc>
        <w:tc>
          <w:tcPr>
            <w:tcW w:w="1667" w:type="dxa"/>
            <w:tcBorders>
              <w:left w:val="single" w:sz="4" w:space="0" w:color="auto"/>
            </w:tcBorders>
            <w:shd w:val="clear" w:color="auto" w:fill="auto"/>
            <w:noWrap/>
            <w:vAlign w:val="bottom"/>
            <w:hideMark/>
          </w:tcPr>
          <w:p w14:paraId="142A1475"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9,037 (24.5%)</w:t>
            </w:r>
          </w:p>
        </w:tc>
        <w:tc>
          <w:tcPr>
            <w:tcW w:w="1667" w:type="dxa"/>
            <w:shd w:val="clear" w:color="auto" w:fill="auto"/>
            <w:noWrap/>
            <w:vAlign w:val="bottom"/>
            <w:hideMark/>
          </w:tcPr>
          <w:p w14:paraId="2D5F7EE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27,895 (75.5%)</w:t>
            </w:r>
          </w:p>
        </w:tc>
        <w:tc>
          <w:tcPr>
            <w:tcW w:w="1667" w:type="dxa"/>
            <w:shd w:val="clear" w:color="auto" w:fill="auto"/>
            <w:noWrap/>
            <w:vAlign w:val="bottom"/>
            <w:hideMark/>
          </w:tcPr>
          <w:p w14:paraId="439553AB"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36,932 (64.2%)</w:t>
            </w:r>
          </w:p>
        </w:tc>
      </w:tr>
      <w:tr w:rsidR="00AA5608" w:rsidRPr="008321E4" w14:paraId="410FFF7B" w14:textId="77777777" w:rsidTr="00332E40">
        <w:trPr>
          <w:trHeight w:val="300"/>
        </w:trPr>
        <w:tc>
          <w:tcPr>
            <w:tcW w:w="3539" w:type="dxa"/>
            <w:tcBorders>
              <w:right w:val="single" w:sz="4" w:space="0" w:color="auto"/>
            </w:tcBorders>
            <w:shd w:val="clear" w:color="auto" w:fill="auto"/>
            <w:noWrap/>
            <w:vAlign w:val="bottom"/>
            <w:hideMark/>
          </w:tcPr>
          <w:p w14:paraId="66BB70A9"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No. of children living with parent:</w:t>
            </w:r>
          </w:p>
        </w:tc>
        <w:tc>
          <w:tcPr>
            <w:tcW w:w="1666" w:type="dxa"/>
            <w:tcBorders>
              <w:left w:val="single" w:sz="4" w:space="0" w:color="auto"/>
            </w:tcBorders>
            <w:shd w:val="clear" w:color="auto" w:fill="auto"/>
            <w:noWrap/>
            <w:vAlign w:val="bottom"/>
            <w:hideMark/>
          </w:tcPr>
          <w:p w14:paraId="3FDE0073" w14:textId="77777777" w:rsidR="00AA5608" w:rsidRPr="008321E4" w:rsidRDefault="00AA5608" w:rsidP="000E494A">
            <w:pPr>
              <w:rPr>
                <w:rFonts w:eastAsia="Times New Roman" w:cs="Arial"/>
                <w:color w:val="000000"/>
                <w:sz w:val="18"/>
                <w:szCs w:val="18"/>
                <w:lang w:eastAsia="en-GB"/>
              </w:rPr>
            </w:pPr>
          </w:p>
        </w:tc>
        <w:tc>
          <w:tcPr>
            <w:tcW w:w="1667" w:type="dxa"/>
            <w:shd w:val="clear" w:color="auto" w:fill="auto"/>
            <w:noWrap/>
            <w:vAlign w:val="bottom"/>
            <w:hideMark/>
          </w:tcPr>
          <w:p w14:paraId="42C41BB0"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right w:val="single" w:sz="4" w:space="0" w:color="auto"/>
            </w:tcBorders>
            <w:shd w:val="clear" w:color="auto" w:fill="auto"/>
            <w:noWrap/>
            <w:vAlign w:val="bottom"/>
            <w:hideMark/>
          </w:tcPr>
          <w:p w14:paraId="7866F597"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left w:val="single" w:sz="4" w:space="0" w:color="auto"/>
            </w:tcBorders>
            <w:shd w:val="clear" w:color="auto" w:fill="auto"/>
            <w:noWrap/>
            <w:vAlign w:val="bottom"/>
            <w:hideMark/>
          </w:tcPr>
          <w:p w14:paraId="20E8AD13"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19447843"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72C66B51" w14:textId="77777777" w:rsidR="00AA5608" w:rsidRPr="008321E4" w:rsidRDefault="00AA5608" w:rsidP="000E494A">
            <w:pPr>
              <w:rPr>
                <w:rFonts w:ascii="Times New Roman" w:eastAsia="Times New Roman" w:hAnsi="Times New Roman" w:cs="Times New Roman"/>
                <w:sz w:val="18"/>
                <w:szCs w:val="18"/>
                <w:lang w:eastAsia="en-GB"/>
              </w:rPr>
            </w:pPr>
          </w:p>
        </w:tc>
      </w:tr>
      <w:tr w:rsidR="00AA5608" w:rsidRPr="008321E4" w14:paraId="101F3D19" w14:textId="77777777" w:rsidTr="00332E40">
        <w:trPr>
          <w:trHeight w:val="300"/>
        </w:trPr>
        <w:tc>
          <w:tcPr>
            <w:tcW w:w="3539" w:type="dxa"/>
            <w:tcBorders>
              <w:right w:val="single" w:sz="4" w:space="0" w:color="auto"/>
            </w:tcBorders>
            <w:shd w:val="clear" w:color="auto" w:fill="auto"/>
            <w:noWrap/>
            <w:vAlign w:val="bottom"/>
            <w:hideMark/>
          </w:tcPr>
          <w:p w14:paraId="1DC8F1AB"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0</w:t>
            </w:r>
          </w:p>
        </w:tc>
        <w:tc>
          <w:tcPr>
            <w:tcW w:w="1666" w:type="dxa"/>
            <w:tcBorders>
              <w:left w:val="single" w:sz="4" w:space="0" w:color="auto"/>
            </w:tcBorders>
            <w:shd w:val="clear" w:color="auto" w:fill="auto"/>
            <w:noWrap/>
            <w:vAlign w:val="bottom"/>
            <w:hideMark/>
          </w:tcPr>
          <w:p w14:paraId="40EBFAB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c>
          <w:tcPr>
            <w:tcW w:w="1667" w:type="dxa"/>
            <w:shd w:val="clear" w:color="auto" w:fill="auto"/>
            <w:noWrap/>
            <w:vAlign w:val="bottom"/>
            <w:hideMark/>
          </w:tcPr>
          <w:p w14:paraId="37FF521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11,473 (100.0%)</w:t>
            </w:r>
          </w:p>
        </w:tc>
        <w:tc>
          <w:tcPr>
            <w:tcW w:w="1667" w:type="dxa"/>
            <w:tcBorders>
              <w:right w:val="single" w:sz="4" w:space="0" w:color="auto"/>
            </w:tcBorders>
            <w:shd w:val="clear" w:color="auto" w:fill="auto"/>
            <w:noWrap/>
            <w:vAlign w:val="bottom"/>
            <w:hideMark/>
          </w:tcPr>
          <w:p w14:paraId="58FE35D8"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11,473 (55.7%)</w:t>
            </w:r>
          </w:p>
        </w:tc>
        <w:tc>
          <w:tcPr>
            <w:tcW w:w="1667" w:type="dxa"/>
            <w:tcBorders>
              <w:left w:val="single" w:sz="4" w:space="0" w:color="auto"/>
            </w:tcBorders>
            <w:shd w:val="clear" w:color="auto" w:fill="auto"/>
            <w:noWrap/>
            <w:vAlign w:val="bottom"/>
            <w:hideMark/>
          </w:tcPr>
          <w:p w14:paraId="2B647D5B"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c>
          <w:tcPr>
            <w:tcW w:w="1667" w:type="dxa"/>
            <w:shd w:val="clear" w:color="auto" w:fill="auto"/>
            <w:noWrap/>
            <w:vAlign w:val="bottom"/>
            <w:hideMark/>
          </w:tcPr>
          <w:p w14:paraId="4929D663"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27,895 (100.0%)</w:t>
            </w:r>
          </w:p>
        </w:tc>
        <w:tc>
          <w:tcPr>
            <w:tcW w:w="1667" w:type="dxa"/>
            <w:shd w:val="clear" w:color="auto" w:fill="auto"/>
            <w:noWrap/>
            <w:vAlign w:val="bottom"/>
            <w:hideMark/>
          </w:tcPr>
          <w:p w14:paraId="651274F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27,895 (75.5%)</w:t>
            </w:r>
          </w:p>
        </w:tc>
      </w:tr>
      <w:tr w:rsidR="00AA5608" w:rsidRPr="008321E4" w14:paraId="62AF904E" w14:textId="77777777" w:rsidTr="00332E40">
        <w:trPr>
          <w:trHeight w:val="300"/>
        </w:trPr>
        <w:tc>
          <w:tcPr>
            <w:tcW w:w="3539" w:type="dxa"/>
            <w:tcBorders>
              <w:right w:val="single" w:sz="4" w:space="0" w:color="auto"/>
            </w:tcBorders>
            <w:shd w:val="clear" w:color="auto" w:fill="auto"/>
            <w:noWrap/>
            <w:vAlign w:val="bottom"/>
            <w:hideMark/>
          </w:tcPr>
          <w:p w14:paraId="19778F1F"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1</w:t>
            </w:r>
          </w:p>
        </w:tc>
        <w:tc>
          <w:tcPr>
            <w:tcW w:w="1666" w:type="dxa"/>
            <w:tcBorders>
              <w:left w:val="single" w:sz="4" w:space="0" w:color="auto"/>
            </w:tcBorders>
            <w:shd w:val="clear" w:color="auto" w:fill="auto"/>
            <w:noWrap/>
            <w:vAlign w:val="bottom"/>
            <w:hideMark/>
          </w:tcPr>
          <w:p w14:paraId="1ABA6417"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4,384 (48.0%)</w:t>
            </w:r>
          </w:p>
        </w:tc>
        <w:tc>
          <w:tcPr>
            <w:tcW w:w="1667" w:type="dxa"/>
            <w:shd w:val="clear" w:color="auto" w:fill="auto"/>
            <w:noWrap/>
            <w:vAlign w:val="bottom"/>
            <w:hideMark/>
          </w:tcPr>
          <w:p w14:paraId="7B9E994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c>
          <w:tcPr>
            <w:tcW w:w="1667" w:type="dxa"/>
            <w:tcBorders>
              <w:right w:val="single" w:sz="4" w:space="0" w:color="auto"/>
            </w:tcBorders>
            <w:shd w:val="clear" w:color="auto" w:fill="auto"/>
            <w:noWrap/>
            <w:vAlign w:val="bottom"/>
            <w:hideMark/>
          </w:tcPr>
          <w:p w14:paraId="0E6BFBBD"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4,384 (21.3%)</w:t>
            </w:r>
          </w:p>
        </w:tc>
        <w:tc>
          <w:tcPr>
            <w:tcW w:w="1667" w:type="dxa"/>
            <w:tcBorders>
              <w:left w:val="single" w:sz="4" w:space="0" w:color="auto"/>
            </w:tcBorders>
            <w:shd w:val="clear" w:color="auto" w:fill="auto"/>
            <w:noWrap/>
            <w:vAlign w:val="bottom"/>
            <w:hideMark/>
          </w:tcPr>
          <w:p w14:paraId="5FA53057"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3,647 (40.4%)</w:t>
            </w:r>
          </w:p>
        </w:tc>
        <w:tc>
          <w:tcPr>
            <w:tcW w:w="1667" w:type="dxa"/>
            <w:shd w:val="clear" w:color="auto" w:fill="auto"/>
            <w:noWrap/>
            <w:vAlign w:val="bottom"/>
            <w:hideMark/>
          </w:tcPr>
          <w:p w14:paraId="5F3C59A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c>
          <w:tcPr>
            <w:tcW w:w="1667" w:type="dxa"/>
            <w:shd w:val="clear" w:color="auto" w:fill="auto"/>
            <w:noWrap/>
            <w:vAlign w:val="bottom"/>
            <w:hideMark/>
          </w:tcPr>
          <w:p w14:paraId="2948A35B"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3,647 (9.9%)</w:t>
            </w:r>
          </w:p>
        </w:tc>
      </w:tr>
      <w:tr w:rsidR="00AA5608" w:rsidRPr="008321E4" w14:paraId="6EEC962D" w14:textId="77777777" w:rsidTr="00332E40">
        <w:trPr>
          <w:trHeight w:val="300"/>
        </w:trPr>
        <w:tc>
          <w:tcPr>
            <w:tcW w:w="3539" w:type="dxa"/>
            <w:tcBorders>
              <w:right w:val="single" w:sz="4" w:space="0" w:color="auto"/>
            </w:tcBorders>
            <w:shd w:val="clear" w:color="auto" w:fill="auto"/>
            <w:noWrap/>
            <w:vAlign w:val="bottom"/>
            <w:hideMark/>
          </w:tcPr>
          <w:p w14:paraId="043FEDA9"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2</w:t>
            </w:r>
          </w:p>
        </w:tc>
        <w:tc>
          <w:tcPr>
            <w:tcW w:w="1666" w:type="dxa"/>
            <w:tcBorders>
              <w:left w:val="single" w:sz="4" w:space="0" w:color="auto"/>
            </w:tcBorders>
            <w:shd w:val="clear" w:color="auto" w:fill="auto"/>
            <w:noWrap/>
            <w:vAlign w:val="bottom"/>
            <w:hideMark/>
          </w:tcPr>
          <w:p w14:paraId="238D206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2,994 (32.8%)</w:t>
            </w:r>
          </w:p>
        </w:tc>
        <w:tc>
          <w:tcPr>
            <w:tcW w:w="1667" w:type="dxa"/>
            <w:shd w:val="clear" w:color="auto" w:fill="auto"/>
            <w:noWrap/>
            <w:vAlign w:val="bottom"/>
            <w:hideMark/>
          </w:tcPr>
          <w:p w14:paraId="78209EC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c>
          <w:tcPr>
            <w:tcW w:w="1667" w:type="dxa"/>
            <w:tcBorders>
              <w:right w:val="single" w:sz="4" w:space="0" w:color="auto"/>
            </w:tcBorders>
            <w:shd w:val="clear" w:color="auto" w:fill="auto"/>
            <w:noWrap/>
            <w:vAlign w:val="bottom"/>
            <w:hideMark/>
          </w:tcPr>
          <w:p w14:paraId="16781B34"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2,994 (14.5%)</w:t>
            </w:r>
          </w:p>
        </w:tc>
        <w:tc>
          <w:tcPr>
            <w:tcW w:w="1667" w:type="dxa"/>
            <w:tcBorders>
              <w:left w:val="single" w:sz="4" w:space="0" w:color="auto"/>
            </w:tcBorders>
            <w:shd w:val="clear" w:color="auto" w:fill="auto"/>
            <w:noWrap/>
            <w:vAlign w:val="bottom"/>
            <w:hideMark/>
          </w:tcPr>
          <w:p w14:paraId="18B8446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3,236 (35.8%)</w:t>
            </w:r>
          </w:p>
        </w:tc>
        <w:tc>
          <w:tcPr>
            <w:tcW w:w="1667" w:type="dxa"/>
            <w:shd w:val="clear" w:color="auto" w:fill="auto"/>
            <w:noWrap/>
            <w:vAlign w:val="bottom"/>
            <w:hideMark/>
          </w:tcPr>
          <w:p w14:paraId="7023F05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c>
          <w:tcPr>
            <w:tcW w:w="1667" w:type="dxa"/>
            <w:shd w:val="clear" w:color="auto" w:fill="auto"/>
            <w:noWrap/>
            <w:vAlign w:val="bottom"/>
            <w:hideMark/>
          </w:tcPr>
          <w:p w14:paraId="2DC80ECD"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3,236 (8.8%)</w:t>
            </w:r>
          </w:p>
        </w:tc>
      </w:tr>
      <w:tr w:rsidR="00AA5608" w:rsidRPr="008321E4" w14:paraId="0AE2E3AA" w14:textId="77777777" w:rsidTr="00332E40">
        <w:trPr>
          <w:trHeight w:val="300"/>
        </w:trPr>
        <w:tc>
          <w:tcPr>
            <w:tcW w:w="3539" w:type="dxa"/>
            <w:tcBorders>
              <w:right w:val="single" w:sz="4" w:space="0" w:color="auto"/>
            </w:tcBorders>
            <w:shd w:val="clear" w:color="auto" w:fill="auto"/>
            <w:noWrap/>
            <w:vAlign w:val="bottom"/>
            <w:hideMark/>
          </w:tcPr>
          <w:p w14:paraId="054A3609"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3+</w:t>
            </w:r>
          </w:p>
        </w:tc>
        <w:tc>
          <w:tcPr>
            <w:tcW w:w="1666" w:type="dxa"/>
            <w:tcBorders>
              <w:left w:val="single" w:sz="4" w:space="0" w:color="auto"/>
            </w:tcBorders>
            <w:shd w:val="clear" w:color="auto" w:fill="auto"/>
            <w:noWrap/>
            <w:vAlign w:val="bottom"/>
            <w:hideMark/>
          </w:tcPr>
          <w:p w14:paraId="0B07AA2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1,746 (19.1%)</w:t>
            </w:r>
          </w:p>
        </w:tc>
        <w:tc>
          <w:tcPr>
            <w:tcW w:w="1667" w:type="dxa"/>
            <w:shd w:val="clear" w:color="auto" w:fill="auto"/>
            <w:noWrap/>
            <w:vAlign w:val="bottom"/>
            <w:hideMark/>
          </w:tcPr>
          <w:p w14:paraId="40173418"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c>
          <w:tcPr>
            <w:tcW w:w="1667" w:type="dxa"/>
            <w:tcBorders>
              <w:right w:val="single" w:sz="4" w:space="0" w:color="auto"/>
            </w:tcBorders>
            <w:shd w:val="clear" w:color="auto" w:fill="auto"/>
            <w:noWrap/>
            <w:vAlign w:val="bottom"/>
            <w:hideMark/>
          </w:tcPr>
          <w:p w14:paraId="553650B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1,746 (8.5%)</w:t>
            </w:r>
          </w:p>
        </w:tc>
        <w:tc>
          <w:tcPr>
            <w:tcW w:w="1667" w:type="dxa"/>
            <w:tcBorders>
              <w:left w:val="single" w:sz="4" w:space="0" w:color="auto"/>
            </w:tcBorders>
            <w:shd w:val="clear" w:color="auto" w:fill="auto"/>
            <w:noWrap/>
            <w:vAlign w:val="bottom"/>
            <w:hideMark/>
          </w:tcPr>
          <w:p w14:paraId="1FC347B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2,154 (23.8%)</w:t>
            </w:r>
          </w:p>
        </w:tc>
        <w:tc>
          <w:tcPr>
            <w:tcW w:w="1667" w:type="dxa"/>
            <w:shd w:val="clear" w:color="auto" w:fill="auto"/>
            <w:noWrap/>
            <w:vAlign w:val="bottom"/>
            <w:hideMark/>
          </w:tcPr>
          <w:p w14:paraId="21A2D2A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c>
          <w:tcPr>
            <w:tcW w:w="1667" w:type="dxa"/>
            <w:shd w:val="clear" w:color="auto" w:fill="auto"/>
            <w:noWrap/>
            <w:vAlign w:val="bottom"/>
            <w:hideMark/>
          </w:tcPr>
          <w:p w14:paraId="7E793493"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2,154 (5.8%)</w:t>
            </w:r>
          </w:p>
        </w:tc>
      </w:tr>
      <w:tr w:rsidR="00AA5608" w:rsidRPr="008321E4" w14:paraId="20073F43" w14:textId="77777777" w:rsidTr="00332E40">
        <w:trPr>
          <w:trHeight w:val="300"/>
        </w:trPr>
        <w:tc>
          <w:tcPr>
            <w:tcW w:w="3539" w:type="dxa"/>
            <w:tcBorders>
              <w:right w:val="single" w:sz="4" w:space="0" w:color="auto"/>
            </w:tcBorders>
            <w:shd w:val="clear" w:color="auto" w:fill="auto"/>
            <w:noWrap/>
            <w:vAlign w:val="bottom"/>
            <w:hideMark/>
          </w:tcPr>
          <w:p w14:paraId="3D44B8C4"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Pregnant</w:t>
            </w:r>
          </w:p>
        </w:tc>
        <w:tc>
          <w:tcPr>
            <w:tcW w:w="1666" w:type="dxa"/>
            <w:tcBorders>
              <w:left w:val="single" w:sz="4" w:space="0" w:color="auto"/>
            </w:tcBorders>
            <w:shd w:val="clear" w:color="auto" w:fill="auto"/>
            <w:noWrap/>
            <w:vAlign w:val="bottom"/>
            <w:hideMark/>
          </w:tcPr>
          <w:p w14:paraId="1071000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267 (36.4%)</w:t>
            </w:r>
          </w:p>
        </w:tc>
        <w:tc>
          <w:tcPr>
            <w:tcW w:w="1667" w:type="dxa"/>
            <w:shd w:val="clear" w:color="auto" w:fill="auto"/>
            <w:noWrap/>
            <w:vAlign w:val="bottom"/>
            <w:hideMark/>
          </w:tcPr>
          <w:p w14:paraId="5A1B220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467 (63.6%)</w:t>
            </w:r>
          </w:p>
        </w:tc>
        <w:tc>
          <w:tcPr>
            <w:tcW w:w="1667" w:type="dxa"/>
            <w:tcBorders>
              <w:right w:val="single" w:sz="4" w:space="0" w:color="auto"/>
            </w:tcBorders>
            <w:shd w:val="clear" w:color="auto" w:fill="auto"/>
            <w:noWrap/>
            <w:vAlign w:val="bottom"/>
            <w:hideMark/>
          </w:tcPr>
          <w:p w14:paraId="5DF52854"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734 (3.6%)</w:t>
            </w:r>
          </w:p>
        </w:tc>
        <w:tc>
          <w:tcPr>
            <w:tcW w:w="1667" w:type="dxa"/>
            <w:tcBorders>
              <w:left w:val="single" w:sz="4" w:space="0" w:color="auto"/>
            </w:tcBorders>
            <w:shd w:val="clear" w:color="auto" w:fill="auto"/>
            <w:noWrap/>
            <w:vAlign w:val="bottom"/>
            <w:hideMark/>
          </w:tcPr>
          <w:p w14:paraId="21190ACA"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c>
          <w:tcPr>
            <w:tcW w:w="1667" w:type="dxa"/>
            <w:shd w:val="clear" w:color="auto" w:fill="auto"/>
            <w:noWrap/>
            <w:vAlign w:val="bottom"/>
            <w:hideMark/>
          </w:tcPr>
          <w:p w14:paraId="58BFACEA"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c>
          <w:tcPr>
            <w:tcW w:w="1667" w:type="dxa"/>
            <w:shd w:val="clear" w:color="auto" w:fill="auto"/>
            <w:noWrap/>
            <w:vAlign w:val="bottom"/>
            <w:hideMark/>
          </w:tcPr>
          <w:p w14:paraId="4C597C6D"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n/a</w:t>
            </w:r>
          </w:p>
        </w:tc>
      </w:tr>
      <w:tr w:rsidR="00AA5608" w:rsidRPr="008321E4" w14:paraId="7FA069FB" w14:textId="77777777" w:rsidTr="00332E40">
        <w:trPr>
          <w:trHeight w:val="300"/>
        </w:trPr>
        <w:tc>
          <w:tcPr>
            <w:tcW w:w="3539" w:type="dxa"/>
            <w:tcBorders>
              <w:right w:val="single" w:sz="4" w:space="0" w:color="auto"/>
            </w:tcBorders>
            <w:shd w:val="clear" w:color="auto" w:fill="auto"/>
            <w:noWrap/>
            <w:vAlign w:val="bottom"/>
            <w:hideMark/>
          </w:tcPr>
          <w:p w14:paraId="5112A2C3"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Age:</w:t>
            </w:r>
          </w:p>
        </w:tc>
        <w:tc>
          <w:tcPr>
            <w:tcW w:w="1666" w:type="dxa"/>
            <w:tcBorders>
              <w:left w:val="single" w:sz="4" w:space="0" w:color="auto"/>
            </w:tcBorders>
            <w:shd w:val="clear" w:color="auto" w:fill="auto"/>
            <w:noWrap/>
            <w:vAlign w:val="bottom"/>
            <w:hideMark/>
          </w:tcPr>
          <w:p w14:paraId="52FB003C" w14:textId="77777777" w:rsidR="00AA5608" w:rsidRPr="008321E4" w:rsidRDefault="00AA5608" w:rsidP="000E494A">
            <w:pPr>
              <w:rPr>
                <w:rFonts w:eastAsia="Times New Roman" w:cs="Arial"/>
                <w:color w:val="000000"/>
                <w:sz w:val="18"/>
                <w:szCs w:val="18"/>
                <w:lang w:eastAsia="en-GB"/>
              </w:rPr>
            </w:pPr>
          </w:p>
        </w:tc>
        <w:tc>
          <w:tcPr>
            <w:tcW w:w="1667" w:type="dxa"/>
            <w:shd w:val="clear" w:color="auto" w:fill="auto"/>
            <w:noWrap/>
            <w:vAlign w:val="bottom"/>
            <w:hideMark/>
          </w:tcPr>
          <w:p w14:paraId="0244DF22"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right w:val="single" w:sz="4" w:space="0" w:color="auto"/>
            </w:tcBorders>
            <w:shd w:val="clear" w:color="auto" w:fill="auto"/>
            <w:noWrap/>
            <w:vAlign w:val="bottom"/>
            <w:hideMark/>
          </w:tcPr>
          <w:p w14:paraId="2730CCF5"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left w:val="single" w:sz="4" w:space="0" w:color="auto"/>
            </w:tcBorders>
            <w:shd w:val="clear" w:color="auto" w:fill="auto"/>
            <w:noWrap/>
            <w:vAlign w:val="bottom"/>
            <w:hideMark/>
          </w:tcPr>
          <w:p w14:paraId="16338FED"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53253510"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557188F8" w14:textId="77777777" w:rsidR="00AA5608" w:rsidRPr="008321E4" w:rsidRDefault="00AA5608" w:rsidP="000E494A">
            <w:pPr>
              <w:rPr>
                <w:rFonts w:ascii="Times New Roman" w:eastAsia="Times New Roman" w:hAnsi="Times New Roman" w:cs="Times New Roman"/>
                <w:sz w:val="18"/>
                <w:szCs w:val="18"/>
                <w:lang w:eastAsia="en-GB"/>
              </w:rPr>
            </w:pPr>
          </w:p>
        </w:tc>
      </w:tr>
      <w:tr w:rsidR="00AA5608" w:rsidRPr="008321E4" w14:paraId="1B35F5EF" w14:textId="77777777" w:rsidTr="00332E40">
        <w:trPr>
          <w:trHeight w:val="300"/>
        </w:trPr>
        <w:tc>
          <w:tcPr>
            <w:tcW w:w="3539" w:type="dxa"/>
            <w:tcBorders>
              <w:right w:val="single" w:sz="4" w:space="0" w:color="auto"/>
            </w:tcBorders>
            <w:shd w:val="clear" w:color="auto" w:fill="auto"/>
            <w:noWrap/>
            <w:vAlign w:val="bottom"/>
            <w:hideMark/>
          </w:tcPr>
          <w:p w14:paraId="480EC4DC"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18-24</w:t>
            </w:r>
          </w:p>
        </w:tc>
        <w:tc>
          <w:tcPr>
            <w:tcW w:w="1666" w:type="dxa"/>
            <w:tcBorders>
              <w:left w:val="single" w:sz="4" w:space="0" w:color="auto"/>
            </w:tcBorders>
            <w:shd w:val="clear" w:color="auto" w:fill="auto"/>
            <w:noWrap/>
            <w:vAlign w:val="bottom"/>
            <w:hideMark/>
          </w:tcPr>
          <w:p w14:paraId="79A2FD5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447 (4.9%)</w:t>
            </w:r>
          </w:p>
        </w:tc>
        <w:tc>
          <w:tcPr>
            <w:tcW w:w="1667" w:type="dxa"/>
            <w:shd w:val="clear" w:color="auto" w:fill="auto"/>
            <w:noWrap/>
            <w:vAlign w:val="bottom"/>
            <w:hideMark/>
          </w:tcPr>
          <w:p w14:paraId="7CDEE9F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540 (4.7%)</w:t>
            </w:r>
          </w:p>
        </w:tc>
        <w:tc>
          <w:tcPr>
            <w:tcW w:w="1667" w:type="dxa"/>
            <w:tcBorders>
              <w:right w:val="single" w:sz="4" w:space="0" w:color="auto"/>
            </w:tcBorders>
            <w:shd w:val="clear" w:color="auto" w:fill="auto"/>
            <w:noWrap/>
            <w:vAlign w:val="bottom"/>
            <w:hideMark/>
          </w:tcPr>
          <w:p w14:paraId="0EC3B66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987 (4.8%)</w:t>
            </w:r>
          </w:p>
        </w:tc>
        <w:tc>
          <w:tcPr>
            <w:tcW w:w="1667" w:type="dxa"/>
            <w:tcBorders>
              <w:left w:val="single" w:sz="4" w:space="0" w:color="auto"/>
            </w:tcBorders>
            <w:shd w:val="clear" w:color="auto" w:fill="auto"/>
            <w:noWrap/>
            <w:vAlign w:val="bottom"/>
            <w:hideMark/>
          </w:tcPr>
          <w:p w14:paraId="05385985"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282 (3.1%)</w:t>
            </w:r>
          </w:p>
        </w:tc>
        <w:tc>
          <w:tcPr>
            <w:tcW w:w="1667" w:type="dxa"/>
            <w:shd w:val="clear" w:color="auto" w:fill="auto"/>
            <w:noWrap/>
            <w:vAlign w:val="bottom"/>
            <w:hideMark/>
          </w:tcPr>
          <w:p w14:paraId="5DCEF238"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990 (3.5%)</w:t>
            </w:r>
          </w:p>
        </w:tc>
        <w:tc>
          <w:tcPr>
            <w:tcW w:w="1667" w:type="dxa"/>
            <w:shd w:val="clear" w:color="auto" w:fill="auto"/>
            <w:noWrap/>
            <w:vAlign w:val="bottom"/>
            <w:hideMark/>
          </w:tcPr>
          <w:p w14:paraId="672F434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1,272 (3.4%)</w:t>
            </w:r>
          </w:p>
        </w:tc>
      </w:tr>
      <w:tr w:rsidR="00AA5608" w:rsidRPr="008321E4" w14:paraId="11BC4651" w14:textId="77777777" w:rsidTr="00332E40">
        <w:trPr>
          <w:trHeight w:val="300"/>
        </w:trPr>
        <w:tc>
          <w:tcPr>
            <w:tcW w:w="3539" w:type="dxa"/>
            <w:tcBorders>
              <w:right w:val="single" w:sz="4" w:space="0" w:color="auto"/>
            </w:tcBorders>
            <w:shd w:val="clear" w:color="auto" w:fill="auto"/>
            <w:noWrap/>
            <w:vAlign w:val="bottom"/>
            <w:hideMark/>
          </w:tcPr>
          <w:p w14:paraId="00288933"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25-34</w:t>
            </w:r>
          </w:p>
        </w:tc>
        <w:tc>
          <w:tcPr>
            <w:tcW w:w="1666" w:type="dxa"/>
            <w:tcBorders>
              <w:left w:val="single" w:sz="4" w:space="0" w:color="auto"/>
            </w:tcBorders>
            <w:shd w:val="clear" w:color="auto" w:fill="auto"/>
            <w:noWrap/>
            <w:vAlign w:val="bottom"/>
            <w:hideMark/>
          </w:tcPr>
          <w:p w14:paraId="2E2425E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2,829 (31.0%)</w:t>
            </w:r>
          </w:p>
        </w:tc>
        <w:tc>
          <w:tcPr>
            <w:tcW w:w="1667" w:type="dxa"/>
            <w:shd w:val="clear" w:color="auto" w:fill="auto"/>
            <w:noWrap/>
            <w:vAlign w:val="bottom"/>
            <w:hideMark/>
          </w:tcPr>
          <w:p w14:paraId="3BCF91A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3,636 (31.7%)</w:t>
            </w:r>
          </w:p>
        </w:tc>
        <w:tc>
          <w:tcPr>
            <w:tcW w:w="1667" w:type="dxa"/>
            <w:tcBorders>
              <w:right w:val="single" w:sz="4" w:space="0" w:color="auto"/>
            </w:tcBorders>
            <w:shd w:val="clear" w:color="auto" w:fill="auto"/>
            <w:noWrap/>
            <w:vAlign w:val="bottom"/>
            <w:hideMark/>
          </w:tcPr>
          <w:p w14:paraId="2513570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6,465 (31.4%)</w:t>
            </w:r>
          </w:p>
        </w:tc>
        <w:tc>
          <w:tcPr>
            <w:tcW w:w="1667" w:type="dxa"/>
            <w:tcBorders>
              <w:left w:val="single" w:sz="4" w:space="0" w:color="auto"/>
            </w:tcBorders>
            <w:shd w:val="clear" w:color="auto" w:fill="auto"/>
            <w:noWrap/>
            <w:vAlign w:val="bottom"/>
            <w:hideMark/>
          </w:tcPr>
          <w:p w14:paraId="71FEC3EA"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2,556 (28.3%)</w:t>
            </w:r>
          </w:p>
        </w:tc>
        <w:tc>
          <w:tcPr>
            <w:tcW w:w="1667" w:type="dxa"/>
            <w:shd w:val="clear" w:color="auto" w:fill="auto"/>
            <w:noWrap/>
            <w:vAlign w:val="bottom"/>
            <w:hideMark/>
          </w:tcPr>
          <w:p w14:paraId="55AEEB6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7,783 (27.9%)</w:t>
            </w:r>
          </w:p>
        </w:tc>
        <w:tc>
          <w:tcPr>
            <w:tcW w:w="1667" w:type="dxa"/>
            <w:shd w:val="clear" w:color="auto" w:fill="auto"/>
            <w:noWrap/>
            <w:vAlign w:val="bottom"/>
            <w:hideMark/>
          </w:tcPr>
          <w:p w14:paraId="328ACBE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10,339 (28.0%)</w:t>
            </w:r>
          </w:p>
        </w:tc>
      </w:tr>
      <w:tr w:rsidR="00AA5608" w:rsidRPr="008321E4" w14:paraId="5F335733" w14:textId="77777777" w:rsidTr="00332E40">
        <w:trPr>
          <w:trHeight w:val="300"/>
        </w:trPr>
        <w:tc>
          <w:tcPr>
            <w:tcW w:w="3539" w:type="dxa"/>
            <w:tcBorders>
              <w:right w:val="single" w:sz="4" w:space="0" w:color="auto"/>
            </w:tcBorders>
            <w:shd w:val="clear" w:color="auto" w:fill="auto"/>
            <w:noWrap/>
            <w:vAlign w:val="bottom"/>
            <w:hideMark/>
          </w:tcPr>
          <w:p w14:paraId="7EE24127"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35-44</w:t>
            </w:r>
          </w:p>
        </w:tc>
        <w:tc>
          <w:tcPr>
            <w:tcW w:w="1666" w:type="dxa"/>
            <w:tcBorders>
              <w:left w:val="single" w:sz="4" w:space="0" w:color="auto"/>
            </w:tcBorders>
            <w:shd w:val="clear" w:color="auto" w:fill="auto"/>
            <w:noWrap/>
            <w:vAlign w:val="bottom"/>
            <w:hideMark/>
          </w:tcPr>
          <w:p w14:paraId="48EA6A0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4,199 (46.0%)</w:t>
            </w:r>
          </w:p>
        </w:tc>
        <w:tc>
          <w:tcPr>
            <w:tcW w:w="1667" w:type="dxa"/>
            <w:shd w:val="clear" w:color="auto" w:fill="auto"/>
            <w:noWrap/>
            <w:vAlign w:val="bottom"/>
            <w:hideMark/>
          </w:tcPr>
          <w:p w14:paraId="63F382B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4,130 (36.0%)</w:t>
            </w:r>
          </w:p>
        </w:tc>
        <w:tc>
          <w:tcPr>
            <w:tcW w:w="1667" w:type="dxa"/>
            <w:tcBorders>
              <w:right w:val="single" w:sz="4" w:space="0" w:color="auto"/>
            </w:tcBorders>
            <w:shd w:val="clear" w:color="auto" w:fill="auto"/>
            <w:noWrap/>
            <w:vAlign w:val="bottom"/>
            <w:hideMark/>
          </w:tcPr>
          <w:p w14:paraId="0FEA61FA"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8,329 (40.4%)</w:t>
            </w:r>
          </w:p>
        </w:tc>
        <w:tc>
          <w:tcPr>
            <w:tcW w:w="1667" w:type="dxa"/>
            <w:tcBorders>
              <w:left w:val="single" w:sz="4" w:space="0" w:color="auto"/>
            </w:tcBorders>
            <w:shd w:val="clear" w:color="auto" w:fill="auto"/>
            <w:noWrap/>
            <w:vAlign w:val="bottom"/>
            <w:hideMark/>
          </w:tcPr>
          <w:p w14:paraId="2DBD6FD7"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4,214 (46.6%)</w:t>
            </w:r>
          </w:p>
        </w:tc>
        <w:tc>
          <w:tcPr>
            <w:tcW w:w="1667" w:type="dxa"/>
            <w:shd w:val="clear" w:color="auto" w:fill="auto"/>
            <w:noWrap/>
            <w:vAlign w:val="bottom"/>
            <w:hideMark/>
          </w:tcPr>
          <w:p w14:paraId="5778518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11,489 (41.2%)</w:t>
            </w:r>
          </w:p>
        </w:tc>
        <w:tc>
          <w:tcPr>
            <w:tcW w:w="1667" w:type="dxa"/>
            <w:shd w:val="clear" w:color="auto" w:fill="auto"/>
            <w:noWrap/>
            <w:vAlign w:val="bottom"/>
            <w:hideMark/>
          </w:tcPr>
          <w:p w14:paraId="3DDCEB15"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15,703 (42.5%)</w:t>
            </w:r>
          </w:p>
        </w:tc>
      </w:tr>
      <w:tr w:rsidR="00AA5608" w:rsidRPr="008321E4" w14:paraId="49935B81" w14:textId="77777777" w:rsidTr="00332E40">
        <w:trPr>
          <w:trHeight w:val="300"/>
        </w:trPr>
        <w:tc>
          <w:tcPr>
            <w:tcW w:w="3539" w:type="dxa"/>
            <w:tcBorders>
              <w:right w:val="single" w:sz="4" w:space="0" w:color="auto"/>
            </w:tcBorders>
            <w:shd w:val="clear" w:color="auto" w:fill="auto"/>
            <w:noWrap/>
            <w:vAlign w:val="bottom"/>
            <w:hideMark/>
          </w:tcPr>
          <w:p w14:paraId="4FA51FCF"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45+</w:t>
            </w:r>
          </w:p>
        </w:tc>
        <w:tc>
          <w:tcPr>
            <w:tcW w:w="1666" w:type="dxa"/>
            <w:tcBorders>
              <w:left w:val="single" w:sz="4" w:space="0" w:color="auto"/>
            </w:tcBorders>
            <w:shd w:val="clear" w:color="auto" w:fill="auto"/>
            <w:noWrap/>
            <w:vAlign w:val="bottom"/>
            <w:hideMark/>
          </w:tcPr>
          <w:p w14:paraId="0CC231B4"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1,649 (18.1%)</w:t>
            </w:r>
          </w:p>
        </w:tc>
        <w:tc>
          <w:tcPr>
            <w:tcW w:w="1667" w:type="dxa"/>
            <w:shd w:val="clear" w:color="auto" w:fill="auto"/>
            <w:noWrap/>
            <w:vAlign w:val="bottom"/>
            <w:hideMark/>
          </w:tcPr>
          <w:p w14:paraId="10F97047"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3,167 (27.6%)</w:t>
            </w:r>
          </w:p>
        </w:tc>
        <w:tc>
          <w:tcPr>
            <w:tcW w:w="1667" w:type="dxa"/>
            <w:tcBorders>
              <w:right w:val="single" w:sz="4" w:space="0" w:color="auto"/>
            </w:tcBorders>
            <w:shd w:val="clear" w:color="auto" w:fill="auto"/>
            <w:noWrap/>
            <w:vAlign w:val="bottom"/>
            <w:hideMark/>
          </w:tcPr>
          <w:p w14:paraId="4C551BE0"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4,816 (23.4%)</w:t>
            </w:r>
          </w:p>
        </w:tc>
        <w:tc>
          <w:tcPr>
            <w:tcW w:w="1667" w:type="dxa"/>
            <w:tcBorders>
              <w:left w:val="single" w:sz="4" w:space="0" w:color="auto"/>
            </w:tcBorders>
            <w:shd w:val="clear" w:color="auto" w:fill="auto"/>
            <w:noWrap/>
            <w:vAlign w:val="bottom"/>
            <w:hideMark/>
          </w:tcPr>
          <w:p w14:paraId="781B302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1,985 (22.0%)</w:t>
            </w:r>
          </w:p>
        </w:tc>
        <w:tc>
          <w:tcPr>
            <w:tcW w:w="1667" w:type="dxa"/>
            <w:shd w:val="clear" w:color="auto" w:fill="auto"/>
            <w:noWrap/>
            <w:vAlign w:val="bottom"/>
            <w:hideMark/>
          </w:tcPr>
          <w:p w14:paraId="4613F2FB"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7,633 (27.4%)</w:t>
            </w:r>
          </w:p>
        </w:tc>
        <w:tc>
          <w:tcPr>
            <w:tcW w:w="1667" w:type="dxa"/>
            <w:shd w:val="clear" w:color="auto" w:fill="auto"/>
            <w:noWrap/>
            <w:vAlign w:val="bottom"/>
            <w:hideMark/>
          </w:tcPr>
          <w:p w14:paraId="065D6FB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9,618 (26.0%)</w:t>
            </w:r>
          </w:p>
        </w:tc>
      </w:tr>
      <w:tr w:rsidR="00AA5608" w:rsidRPr="008321E4" w14:paraId="755CD1C8" w14:textId="77777777" w:rsidTr="00332E40">
        <w:trPr>
          <w:trHeight w:val="300"/>
        </w:trPr>
        <w:tc>
          <w:tcPr>
            <w:tcW w:w="3539" w:type="dxa"/>
            <w:tcBorders>
              <w:right w:val="single" w:sz="4" w:space="0" w:color="auto"/>
            </w:tcBorders>
            <w:shd w:val="clear" w:color="auto" w:fill="auto"/>
            <w:noWrap/>
            <w:vAlign w:val="bottom"/>
            <w:hideMark/>
          </w:tcPr>
          <w:p w14:paraId="352A3B28"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BAME</w:t>
            </w:r>
          </w:p>
        </w:tc>
        <w:tc>
          <w:tcPr>
            <w:tcW w:w="1666" w:type="dxa"/>
            <w:tcBorders>
              <w:left w:val="single" w:sz="4" w:space="0" w:color="auto"/>
            </w:tcBorders>
            <w:shd w:val="clear" w:color="auto" w:fill="auto"/>
            <w:noWrap/>
            <w:vAlign w:val="bottom"/>
            <w:hideMark/>
          </w:tcPr>
          <w:p w14:paraId="302C387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595 (6.7%)</w:t>
            </w:r>
          </w:p>
        </w:tc>
        <w:tc>
          <w:tcPr>
            <w:tcW w:w="1667" w:type="dxa"/>
            <w:shd w:val="clear" w:color="auto" w:fill="auto"/>
            <w:noWrap/>
            <w:vAlign w:val="bottom"/>
            <w:hideMark/>
          </w:tcPr>
          <w:p w14:paraId="2B7ED2E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624 (5.6%)</w:t>
            </w:r>
          </w:p>
        </w:tc>
        <w:tc>
          <w:tcPr>
            <w:tcW w:w="1667" w:type="dxa"/>
            <w:tcBorders>
              <w:right w:val="single" w:sz="4" w:space="0" w:color="auto"/>
            </w:tcBorders>
            <w:shd w:val="clear" w:color="auto" w:fill="auto"/>
            <w:noWrap/>
            <w:vAlign w:val="bottom"/>
            <w:hideMark/>
          </w:tcPr>
          <w:p w14:paraId="3B6E693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1,219 (6.1%)</w:t>
            </w:r>
          </w:p>
        </w:tc>
        <w:tc>
          <w:tcPr>
            <w:tcW w:w="1667" w:type="dxa"/>
            <w:tcBorders>
              <w:left w:val="single" w:sz="4" w:space="0" w:color="auto"/>
            </w:tcBorders>
            <w:shd w:val="clear" w:color="auto" w:fill="auto"/>
            <w:noWrap/>
            <w:vAlign w:val="bottom"/>
            <w:hideMark/>
          </w:tcPr>
          <w:p w14:paraId="15C7801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1,101 (12.6%)</w:t>
            </w:r>
          </w:p>
        </w:tc>
        <w:tc>
          <w:tcPr>
            <w:tcW w:w="1667" w:type="dxa"/>
            <w:shd w:val="clear" w:color="auto" w:fill="auto"/>
            <w:noWrap/>
            <w:vAlign w:val="bottom"/>
            <w:hideMark/>
          </w:tcPr>
          <w:p w14:paraId="218A61D4"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2,520 (9.3%)</w:t>
            </w:r>
          </w:p>
        </w:tc>
        <w:tc>
          <w:tcPr>
            <w:tcW w:w="1667" w:type="dxa"/>
            <w:shd w:val="clear" w:color="auto" w:fill="auto"/>
            <w:noWrap/>
            <w:vAlign w:val="bottom"/>
            <w:hideMark/>
          </w:tcPr>
          <w:p w14:paraId="54D7C992"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3,621 (10.1%)</w:t>
            </w:r>
          </w:p>
        </w:tc>
      </w:tr>
      <w:tr w:rsidR="00AA5608" w:rsidRPr="008321E4" w14:paraId="2D4D92C4" w14:textId="77777777" w:rsidTr="00332E40">
        <w:trPr>
          <w:trHeight w:val="300"/>
        </w:trPr>
        <w:tc>
          <w:tcPr>
            <w:tcW w:w="3539" w:type="dxa"/>
            <w:tcBorders>
              <w:right w:val="single" w:sz="4" w:space="0" w:color="auto"/>
            </w:tcBorders>
            <w:shd w:val="clear" w:color="auto" w:fill="auto"/>
            <w:noWrap/>
            <w:vAlign w:val="bottom"/>
            <w:hideMark/>
          </w:tcPr>
          <w:p w14:paraId="04E8ED81"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In employment, education or training</w:t>
            </w:r>
          </w:p>
        </w:tc>
        <w:tc>
          <w:tcPr>
            <w:tcW w:w="1666" w:type="dxa"/>
            <w:tcBorders>
              <w:left w:val="single" w:sz="4" w:space="0" w:color="auto"/>
            </w:tcBorders>
            <w:shd w:val="clear" w:color="auto" w:fill="auto"/>
            <w:noWrap/>
            <w:vAlign w:val="bottom"/>
            <w:hideMark/>
          </w:tcPr>
          <w:p w14:paraId="76EC2D7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2,932 (35.1%)</w:t>
            </w:r>
          </w:p>
        </w:tc>
        <w:tc>
          <w:tcPr>
            <w:tcW w:w="1667" w:type="dxa"/>
            <w:shd w:val="clear" w:color="auto" w:fill="auto"/>
            <w:noWrap/>
            <w:vAlign w:val="bottom"/>
            <w:hideMark/>
          </w:tcPr>
          <w:p w14:paraId="5D998353"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1,287 (12.2%)</w:t>
            </w:r>
          </w:p>
        </w:tc>
        <w:tc>
          <w:tcPr>
            <w:tcW w:w="1667" w:type="dxa"/>
            <w:tcBorders>
              <w:right w:val="single" w:sz="4" w:space="0" w:color="auto"/>
            </w:tcBorders>
            <w:shd w:val="clear" w:color="auto" w:fill="auto"/>
            <w:noWrap/>
            <w:vAlign w:val="bottom"/>
            <w:hideMark/>
          </w:tcPr>
          <w:p w14:paraId="654FF778"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4,219 (22.3%)</w:t>
            </w:r>
          </w:p>
        </w:tc>
        <w:tc>
          <w:tcPr>
            <w:tcW w:w="1667" w:type="dxa"/>
            <w:tcBorders>
              <w:left w:val="single" w:sz="4" w:space="0" w:color="auto"/>
            </w:tcBorders>
            <w:shd w:val="clear" w:color="auto" w:fill="auto"/>
            <w:noWrap/>
            <w:vAlign w:val="bottom"/>
            <w:hideMark/>
          </w:tcPr>
          <w:p w14:paraId="47D59B2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4,886 (58.0%)</w:t>
            </w:r>
          </w:p>
        </w:tc>
        <w:tc>
          <w:tcPr>
            <w:tcW w:w="1667" w:type="dxa"/>
            <w:shd w:val="clear" w:color="auto" w:fill="auto"/>
            <w:noWrap/>
            <w:vAlign w:val="bottom"/>
            <w:hideMark/>
          </w:tcPr>
          <w:p w14:paraId="68ADD180"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6,049 (23.3%)</w:t>
            </w:r>
          </w:p>
        </w:tc>
        <w:tc>
          <w:tcPr>
            <w:tcW w:w="1667" w:type="dxa"/>
            <w:shd w:val="clear" w:color="auto" w:fill="auto"/>
            <w:noWrap/>
            <w:vAlign w:val="bottom"/>
            <w:hideMark/>
          </w:tcPr>
          <w:p w14:paraId="6F4B0D63"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10,935 (31.8%)</w:t>
            </w:r>
          </w:p>
        </w:tc>
      </w:tr>
      <w:tr w:rsidR="00AA5608" w:rsidRPr="008321E4" w14:paraId="3AACB10E" w14:textId="77777777" w:rsidTr="00332E40">
        <w:trPr>
          <w:trHeight w:val="300"/>
        </w:trPr>
        <w:tc>
          <w:tcPr>
            <w:tcW w:w="3539" w:type="dxa"/>
            <w:tcBorders>
              <w:right w:val="single" w:sz="4" w:space="0" w:color="auto"/>
            </w:tcBorders>
            <w:shd w:val="clear" w:color="auto" w:fill="auto"/>
            <w:noWrap/>
            <w:vAlign w:val="bottom"/>
            <w:hideMark/>
          </w:tcPr>
          <w:p w14:paraId="1404302A"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NFA</w:t>
            </w:r>
          </w:p>
        </w:tc>
        <w:tc>
          <w:tcPr>
            <w:tcW w:w="1666" w:type="dxa"/>
            <w:tcBorders>
              <w:left w:val="single" w:sz="4" w:space="0" w:color="auto"/>
            </w:tcBorders>
            <w:shd w:val="clear" w:color="auto" w:fill="auto"/>
            <w:noWrap/>
            <w:vAlign w:val="bottom"/>
            <w:hideMark/>
          </w:tcPr>
          <w:p w14:paraId="7FB86F4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85 (0.9%)</w:t>
            </w:r>
          </w:p>
        </w:tc>
        <w:tc>
          <w:tcPr>
            <w:tcW w:w="1667" w:type="dxa"/>
            <w:shd w:val="clear" w:color="auto" w:fill="auto"/>
            <w:noWrap/>
            <w:vAlign w:val="bottom"/>
            <w:hideMark/>
          </w:tcPr>
          <w:p w14:paraId="61911310"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1,112 (9.8%)</w:t>
            </w:r>
          </w:p>
        </w:tc>
        <w:tc>
          <w:tcPr>
            <w:tcW w:w="1667" w:type="dxa"/>
            <w:tcBorders>
              <w:right w:val="single" w:sz="4" w:space="0" w:color="auto"/>
            </w:tcBorders>
            <w:shd w:val="clear" w:color="auto" w:fill="auto"/>
            <w:noWrap/>
            <w:vAlign w:val="bottom"/>
            <w:hideMark/>
          </w:tcPr>
          <w:p w14:paraId="15952FC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1,197 (5.9%)</w:t>
            </w:r>
          </w:p>
        </w:tc>
        <w:tc>
          <w:tcPr>
            <w:tcW w:w="1667" w:type="dxa"/>
            <w:tcBorders>
              <w:left w:val="single" w:sz="4" w:space="0" w:color="auto"/>
            </w:tcBorders>
            <w:shd w:val="clear" w:color="auto" w:fill="auto"/>
            <w:noWrap/>
            <w:vAlign w:val="bottom"/>
            <w:hideMark/>
          </w:tcPr>
          <w:p w14:paraId="1757569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103 (1.2%)</w:t>
            </w:r>
          </w:p>
        </w:tc>
        <w:tc>
          <w:tcPr>
            <w:tcW w:w="1667" w:type="dxa"/>
            <w:shd w:val="clear" w:color="auto" w:fill="auto"/>
            <w:noWrap/>
            <w:vAlign w:val="bottom"/>
            <w:hideMark/>
          </w:tcPr>
          <w:p w14:paraId="0CA0A7A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3,487 (12.6%)</w:t>
            </w:r>
          </w:p>
        </w:tc>
        <w:tc>
          <w:tcPr>
            <w:tcW w:w="1667" w:type="dxa"/>
            <w:shd w:val="clear" w:color="auto" w:fill="auto"/>
            <w:noWrap/>
            <w:vAlign w:val="bottom"/>
            <w:hideMark/>
          </w:tcPr>
          <w:p w14:paraId="0A4CAD9A"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3,590 (9.8%)</w:t>
            </w:r>
          </w:p>
        </w:tc>
      </w:tr>
      <w:tr w:rsidR="00AA5608" w:rsidRPr="008321E4" w14:paraId="3488F279" w14:textId="77777777" w:rsidTr="00332E40">
        <w:trPr>
          <w:trHeight w:val="300"/>
        </w:trPr>
        <w:tc>
          <w:tcPr>
            <w:tcW w:w="3539" w:type="dxa"/>
            <w:tcBorders>
              <w:right w:val="single" w:sz="4" w:space="0" w:color="auto"/>
            </w:tcBorders>
            <w:shd w:val="clear" w:color="auto" w:fill="auto"/>
            <w:noWrap/>
            <w:vAlign w:val="bottom"/>
            <w:hideMark/>
          </w:tcPr>
          <w:p w14:paraId="0E114433" w14:textId="77777777" w:rsidR="00AA5608" w:rsidRDefault="00AA5608" w:rsidP="000E494A">
            <w:pPr>
              <w:rPr>
                <w:rFonts w:eastAsia="Times New Roman" w:cs="Arial"/>
                <w:i/>
                <w:iCs/>
                <w:color w:val="000000"/>
                <w:sz w:val="18"/>
                <w:szCs w:val="18"/>
                <w:lang w:eastAsia="en-GB"/>
              </w:rPr>
            </w:pPr>
          </w:p>
          <w:p w14:paraId="47721166" w14:textId="77777777" w:rsidR="00AA5608" w:rsidRPr="008321E4" w:rsidRDefault="00AA5608" w:rsidP="000E494A">
            <w:pPr>
              <w:rPr>
                <w:rFonts w:eastAsia="Times New Roman" w:cs="Arial"/>
                <w:i/>
                <w:iCs/>
                <w:color w:val="000000"/>
                <w:sz w:val="18"/>
                <w:szCs w:val="18"/>
                <w:lang w:eastAsia="en-GB"/>
              </w:rPr>
            </w:pPr>
            <w:r w:rsidRPr="008321E4">
              <w:rPr>
                <w:rFonts w:eastAsia="Times New Roman" w:cs="Arial"/>
                <w:i/>
                <w:iCs/>
                <w:color w:val="000000"/>
                <w:sz w:val="18"/>
                <w:szCs w:val="18"/>
                <w:lang w:eastAsia="en-GB"/>
              </w:rPr>
              <w:t>Clinical</w:t>
            </w:r>
          </w:p>
        </w:tc>
        <w:tc>
          <w:tcPr>
            <w:tcW w:w="1666" w:type="dxa"/>
            <w:tcBorders>
              <w:left w:val="single" w:sz="4" w:space="0" w:color="auto"/>
            </w:tcBorders>
            <w:shd w:val="clear" w:color="auto" w:fill="auto"/>
            <w:noWrap/>
            <w:vAlign w:val="bottom"/>
            <w:hideMark/>
          </w:tcPr>
          <w:p w14:paraId="7E124AB8" w14:textId="77777777" w:rsidR="00AA5608" w:rsidRPr="008321E4" w:rsidRDefault="00AA5608" w:rsidP="000E494A">
            <w:pPr>
              <w:rPr>
                <w:rFonts w:eastAsia="Times New Roman" w:cs="Arial"/>
                <w:i/>
                <w:iCs/>
                <w:color w:val="000000"/>
                <w:sz w:val="18"/>
                <w:szCs w:val="18"/>
                <w:lang w:eastAsia="en-GB"/>
              </w:rPr>
            </w:pPr>
          </w:p>
        </w:tc>
        <w:tc>
          <w:tcPr>
            <w:tcW w:w="1667" w:type="dxa"/>
            <w:shd w:val="clear" w:color="auto" w:fill="auto"/>
            <w:noWrap/>
            <w:vAlign w:val="bottom"/>
            <w:hideMark/>
          </w:tcPr>
          <w:p w14:paraId="1EC97ECA"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right w:val="single" w:sz="4" w:space="0" w:color="auto"/>
            </w:tcBorders>
            <w:shd w:val="clear" w:color="auto" w:fill="auto"/>
            <w:noWrap/>
            <w:vAlign w:val="bottom"/>
            <w:hideMark/>
          </w:tcPr>
          <w:p w14:paraId="3311CE4B"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left w:val="single" w:sz="4" w:space="0" w:color="auto"/>
            </w:tcBorders>
            <w:shd w:val="clear" w:color="auto" w:fill="auto"/>
            <w:noWrap/>
            <w:vAlign w:val="bottom"/>
            <w:hideMark/>
          </w:tcPr>
          <w:p w14:paraId="4D23F4F4"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77790915"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795E5FAA" w14:textId="77777777" w:rsidR="00AA5608" w:rsidRPr="008321E4" w:rsidRDefault="00AA5608" w:rsidP="000E494A">
            <w:pPr>
              <w:rPr>
                <w:rFonts w:ascii="Times New Roman" w:eastAsia="Times New Roman" w:hAnsi="Times New Roman" w:cs="Times New Roman"/>
                <w:sz w:val="18"/>
                <w:szCs w:val="18"/>
                <w:lang w:eastAsia="en-GB"/>
              </w:rPr>
            </w:pPr>
          </w:p>
        </w:tc>
      </w:tr>
      <w:tr w:rsidR="00AA5608" w:rsidRPr="008321E4" w14:paraId="480D23AD" w14:textId="77777777" w:rsidTr="00332E40">
        <w:trPr>
          <w:trHeight w:val="300"/>
        </w:trPr>
        <w:tc>
          <w:tcPr>
            <w:tcW w:w="3539" w:type="dxa"/>
            <w:tcBorders>
              <w:right w:val="single" w:sz="4" w:space="0" w:color="auto"/>
            </w:tcBorders>
            <w:shd w:val="clear" w:color="auto" w:fill="auto"/>
            <w:noWrap/>
            <w:vAlign w:val="bottom"/>
            <w:hideMark/>
          </w:tcPr>
          <w:p w14:paraId="04CACD39"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Substance:</w:t>
            </w:r>
          </w:p>
        </w:tc>
        <w:tc>
          <w:tcPr>
            <w:tcW w:w="1666" w:type="dxa"/>
            <w:tcBorders>
              <w:left w:val="single" w:sz="4" w:space="0" w:color="auto"/>
            </w:tcBorders>
            <w:shd w:val="clear" w:color="auto" w:fill="auto"/>
            <w:noWrap/>
            <w:vAlign w:val="bottom"/>
            <w:hideMark/>
          </w:tcPr>
          <w:p w14:paraId="732FBF33" w14:textId="77777777" w:rsidR="00AA5608" w:rsidRPr="008321E4" w:rsidRDefault="00AA5608" w:rsidP="000E494A">
            <w:pPr>
              <w:rPr>
                <w:rFonts w:eastAsia="Times New Roman" w:cs="Arial"/>
                <w:color w:val="000000"/>
                <w:sz w:val="18"/>
                <w:szCs w:val="18"/>
                <w:lang w:eastAsia="en-GB"/>
              </w:rPr>
            </w:pPr>
          </w:p>
        </w:tc>
        <w:tc>
          <w:tcPr>
            <w:tcW w:w="1667" w:type="dxa"/>
            <w:shd w:val="clear" w:color="auto" w:fill="auto"/>
            <w:noWrap/>
            <w:vAlign w:val="bottom"/>
            <w:hideMark/>
          </w:tcPr>
          <w:p w14:paraId="09C6E9E9"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right w:val="single" w:sz="4" w:space="0" w:color="auto"/>
            </w:tcBorders>
            <w:shd w:val="clear" w:color="auto" w:fill="auto"/>
            <w:noWrap/>
            <w:vAlign w:val="bottom"/>
            <w:hideMark/>
          </w:tcPr>
          <w:p w14:paraId="2F085627"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left w:val="single" w:sz="4" w:space="0" w:color="auto"/>
            </w:tcBorders>
            <w:shd w:val="clear" w:color="auto" w:fill="auto"/>
            <w:noWrap/>
            <w:vAlign w:val="bottom"/>
            <w:hideMark/>
          </w:tcPr>
          <w:p w14:paraId="6DDDED15"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75DD3370"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420B56C9" w14:textId="77777777" w:rsidR="00AA5608" w:rsidRPr="008321E4" w:rsidRDefault="00AA5608" w:rsidP="000E494A">
            <w:pPr>
              <w:rPr>
                <w:rFonts w:ascii="Times New Roman" w:eastAsia="Times New Roman" w:hAnsi="Times New Roman" w:cs="Times New Roman"/>
                <w:sz w:val="18"/>
                <w:szCs w:val="18"/>
                <w:lang w:eastAsia="en-GB"/>
              </w:rPr>
            </w:pPr>
          </w:p>
        </w:tc>
      </w:tr>
      <w:tr w:rsidR="00AA5608" w:rsidRPr="008321E4" w14:paraId="3E3A188A" w14:textId="77777777" w:rsidTr="00332E40">
        <w:trPr>
          <w:trHeight w:val="300"/>
        </w:trPr>
        <w:tc>
          <w:tcPr>
            <w:tcW w:w="3539" w:type="dxa"/>
            <w:tcBorders>
              <w:right w:val="single" w:sz="4" w:space="0" w:color="auto"/>
            </w:tcBorders>
            <w:shd w:val="clear" w:color="auto" w:fill="auto"/>
            <w:noWrap/>
            <w:vAlign w:val="bottom"/>
            <w:hideMark/>
          </w:tcPr>
          <w:p w14:paraId="3B1E88B4"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Non-opiate user (OU) only</w:t>
            </w:r>
          </w:p>
        </w:tc>
        <w:tc>
          <w:tcPr>
            <w:tcW w:w="1666" w:type="dxa"/>
            <w:tcBorders>
              <w:left w:val="single" w:sz="4" w:space="0" w:color="auto"/>
            </w:tcBorders>
            <w:shd w:val="clear" w:color="auto" w:fill="auto"/>
            <w:noWrap/>
            <w:vAlign w:val="bottom"/>
            <w:hideMark/>
          </w:tcPr>
          <w:p w14:paraId="1D6F279A"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1,385 (15.2%)</w:t>
            </w:r>
          </w:p>
        </w:tc>
        <w:tc>
          <w:tcPr>
            <w:tcW w:w="1667" w:type="dxa"/>
            <w:shd w:val="clear" w:color="auto" w:fill="auto"/>
            <w:noWrap/>
            <w:vAlign w:val="bottom"/>
            <w:hideMark/>
          </w:tcPr>
          <w:p w14:paraId="4C4EF9FD"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1,128 (9.8%)</w:t>
            </w:r>
          </w:p>
        </w:tc>
        <w:tc>
          <w:tcPr>
            <w:tcW w:w="1667" w:type="dxa"/>
            <w:tcBorders>
              <w:right w:val="single" w:sz="4" w:space="0" w:color="auto"/>
            </w:tcBorders>
            <w:shd w:val="clear" w:color="auto" w:fill="auto"/>
            <w:noWrap/>
            <w:vAlign w:val="bottom"/>
            <w:hideMark/>
          </w:tcPr>
          <w:p w14:paraId="0CD93DD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2,513 (12.2%)</w:t>
            </w:r>
          </w:p>
        </w:tc>
        <w:tc>
          <w:tcPr>
            <w:tcW w:w="1667" w:type="dxa"/>
            <w:tcBorders>
              <w:left w:val="single" w:sz="4" w:space="0" w:color="auto"/>
            </w:tcBorders>
            <w:shd w:val="clear" w:color="auto" w:fill="auto"/>
            <w:noWrap/>
            <w:vAlign w:val="bottom"/>
            <w:hideMark/>
          </w:tcPr>
          <w:p w14:paraId="052666A2"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1,642 (18.2%)</w:t>
            </w:r>
          </w:p>
        </w:tc>
        <w:tc>
          <w:tcPr>
            <w:tcW w:w="1667" w:type="dxa"/>
            <w:shd w:val="clear" w:color="auto" w:fill="auto"/>
            <w:noWrap/>
            <w:vAlign w:val="bottom"/>
            <w:hideMark/>
          </w:tcPr>
          <w:p w14:paraId="2D3BFC3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3,414 (12.2%)</w:t>
            </w:r>
          </w:p>
        </w:tc>
        <w:tc>
          <w:tcPr>
            <w:tcW w:w="1667" w:type="dxa"/>
            <w:shd w:val="clear" w:color="auto" w:fill="auto"/>
            <w:noWrap/>
            <w:vAlign w:val="bottom"/>
            <w:hideMark/>
          </w:tcPr>
          <w:p w14:paraId="7146A523"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5,056 (13.7%)</w:t>
            </w:r>
          </w:p>
        </w:tc>
      </w:tr>
      <w:tr w:rsidR="00AA5608" w:rsidRPr="008321E4" w14:paraId="609BCB4B" w14:textId="77777777" w:rsidTr="00332E40">
        <w:trPr>
          <w:trHeight w:val="300"/>
        </w:trPr>
        <w:tc>
          <w:tcPr>
            <w:tcW w:w="3539" w:type="dxa"/>
            <w:tcBorders>
              <w:right w:val="single" w:sz="4" w:space="0" w:color="auto"/>
            </w:tcBorders>
            <w:shd w:val="clear" w:color="auto" w:fill="auto"/>
            <w:noWrap/>
            <w:vAlign w:val="bottom"/>
            <w:hideMark/>
          </w:tcPr>
          <w:p w14:paraId="55CC4477"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Alcohol and non-OU</w:t>
            </w:r>
          </w:p>
        </w:tc>
        <w:tc>
          <w:tcPr>
            <w:tcW w:w="1666" w:type="dxa"/>
            <w:tcBorders>
              <w:left w:val="single" w:sz="4" w:space="0" w:color="auto"/>
            </w:tcBorders>
            <w:shd w:val="clear" w:color="auto" w:fill="auto"/>
            <w:noWrap/>
            <w:vAlign w:val="bottom"/>
            <w:hideMark/>
          </w:tcPr>
          <w:p w14:paraId="186B7D5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1,155 (12.7%)</w:t>
            </w:r>
          </w:p>
        </w:tc>
        <w:tc>
          <w:tcPr>
            <w:tcW w:w="1667" w:type="dxa"/>
            <w:shd w:val="clear" w:color="auto" w:fill="auto"/>
            <w:noWrap/>
            <w:vAlign w:val="bottom"/>
            <w:hideMark/>
          </w:tcPr>
          <w:p w14:paraId="6EB56DD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1,145 (10.0%)</w:t>
            </w:r>
          </w:p>
        </w:tc>
        <w:tc>
          <w:tcPr>
            <w:tcW w:w="1667" w:type="dxa"/>
            <w:tcBorders>
              <w:right w:val="single" w:sz="4" w:space="0" w:color="auto"/>
            </w:tcBorders>
            <w:shd w:val="clear" w:color="auto" w:fill="auto"/>
            <w:noWrap/>
            <w:vAlign w:val="bottom"/>
            <w:hideMark/>
          </w:tcPr>
          <w:p w14:paraId="4142CFA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2,300 (11.2%)</w:t>
            </w:r>
          </w:p>
        </w:tc>
        <w:tc>
          <w:tcPr>
            <w:tcW w:w="1667" w:type="dxa"/>
            <w:tcBorders>
              <w:left w:val="single" w:sz="4" w:space="0" w:color="auto"/>
            </w:tcBorders>
            <w:shd w:val="clear" w:color="auto" w:fill="auto"/>
            <w:noWrap/>
            <w:vAlign w:val="bottom"/>
            <w:hideMark/>
          </w:tcPr>
          <w:p w14:paraId="3B243220"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1,506 (16.7%)</w:t>
            </w:r>
          </w:p>
        </w:tc>
        <w:tc>
          <w:tcPr>
            <w:tcW w:w="1667" w:type="dxa"/>
            <w:shd w:val="clear" w:color="auto" w:fill="auto"/>
            <w:noWrap/>
            <w:vAlign w:val="bottom"/>
            <w:hideMark/>
          </w:tcPr>
          <w:p w14:paraId="76A3B8E8"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4,210 (15.1%)</w:t>
            </w:r>
          </w:p>
        </w:tc>
        <w:tc>
          <w:tcPr>
            <w:tcW w:w="1667" w:type="dxa"/>
            <w:shd w:val="clear" w:color="auto" w:fill="auto"/>
            <w:noWrap/>
            <w:vAlign w:val="bottom"/>
            <w:hideMark/>
          </w:tcPr>
          <w:p w14:paraId="01F9A0D5"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5,716 (15.5%)</w:t>
            </w:r>
          </w:p>
        </w:tc>
      </w:tr>
      <w:tr w:rsidR="00AA5608" w:rsidRPr="008321E4" w14:paraId="5E490603" w14:textId="77777777" w:rsidTr="00332E40">
        <w:trPr>
          <w:trHeight w:val="300"/>
        </w:trPr>
        <w:tc>
          <w:tcPr>
            <w:tcW w:w="3539" w:type="dxa"/>
            <w:tcBorders>
              <w:right w:val="single" w:sz="4" w:space="0" w:color="auto"/>
            </w:tcBorders>
            <w:shd w:val="clear" w:color="auto" w:fill="auto"/>
            <w:noWrap/>
            <w:vAlign w:val="bottom"/>
            <w:hideMark/>
          </w:tcPr>
          <w:p w14:paraId="53D2D3C4"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OU</w:t>
            </w:r>
          </w:p>
        </w:tc>
        <w:tc>
          <w:tcPr>
            <w:tcW w:w="1666" w:type="dxa"/>
            <w:tcBorders>
              <w:left w:val="single" w:sz="4" w:space="0" w:color="auto"/>
            </w:tcBorders>
            <w:shd w:val="clear" w:color="auto" w:fill="auto"/>
            <w:noWrap/>
            <w:vAlign w:val="bottom"/>
            <w:hideMark/>
          </w:tcPr>
          <w:p w14:paraId="5A12D6AD"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1,617 (17.7%)</w:t>
            </w:r>
          </w:p>
        </w:tc>
        <w:tc>
          <w:tcPr>
            <w:tcW w:w="1667" w:type="dxa"/>
            <w:shd w:val="clear" w:color="auto" w:fill="auto"/>
            <w:noWrap/>
            <w:vAlign w:val="bottom"/>
            <w:hideMark/>
          </w:tcPr>
          <w:p w14:paraId="1FC287D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4,826 (42.1%)</w:t>
            </w:r>
          </w:p>
        </w:tc>
        <w:tc>
          <w:tcPr>
            <w:tcW w:w="1667" w:type="dxa"/>
            <w:tcBorders>
              <w:right w:val="single" w:sz="4" w:space="0" w:color="auto"/>
            </w:tcBorders>
            <w:shd w:val="clear" w:color="auto" w:fill="auto"/>
            <w:noWrap/>
            <w:vAlign w:val="bottom"/>
            <w:hideMark/>
          </w:tcPr>
          <w:p w14:paraId="04E1E02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6,443 (31.3%)</w:t>
            </w:r>
          </w:p>
        </w:tc>
        <w:tc>
          <w:tcPr>
            <w:tcW w:w="1667" w:type="dxa"/>
            <w:tcBorders>
              <w:left w:val="single" w:sz="4" w:space="0" w:color="auto"/>
            </w:tcBorders>
            <w:shd w:val="clear" w:color="auto" w:fill="auto"/>
            <w:noWrap/>
            <w:vAlign w:val="bottom"/>
            <w:hideMark/>
          </w:tcPr>
          <w:p w14:paraId="68620A78"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1,931 (21.4%)</w:t>
            </w:r>
          </w:p>
        </w:tc>
        <w:tc>
          <w:tcPr>
            <w:tcW w:w="1667" w:type="dxa"/>
            <w:shd w:val="clear" w:color="auto" w:fill="auto"/>
            <w:noWrap/>
            <w:vAlign w:val="bottom"/>
            <w:hideMark/>
          </w:tcPr>
          <w:p w14:paraId="14387B8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11,669 (41.8%)</w:t>
            </w:r>
          </w:p>
        </w:tc>
        <w:tc>
          <w:tcPr>
            <w:tcW w:w="1667" w:type="dxa"/>
            <w:shd w:val="clear" w:color="auto" w:fill="auto"/>
            <w:noWrap/>
            <w:vAlign w:val="bottom"/>
            <w:hideMark/>
          </w:tcPr>
          <w:p w14:paraId="55E8C7E2"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13,600 (36.8%)</w:t>
            </w:r>
          </w:p>
        </w:tc>
      </w:tr>
      <w:tr w:rsidR="00AA5608" w:rsidRPr="008321E4" w14:paraId="5E612DBE" w14:textId="77777777" w:rsidTr="00332E40">
        <w:trPr>
          <w:trHeight w:val="300"/>
        </w:trPr>
        <w:tc>
          <w:tcPr>
            <w:tcW w:w="3539" w:type="dxa"/>
            <w:tcBorders>
              <w:right w:val="single" w:sz="4" w:space="0" w:color="auto"/>
            </w:tcBorders>
            <w:shd w:val="clear" w:color="auto" w:fill="auto"/>
            <w:noWrap/>
            <w:vAlign w:val="bottom"/>
            <w:hideMark/>
          </w:tcPr>
          <w:p w14:paraId="327883EC"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Alcohol only</w:t>
            </w:r>
          </w:p>
        </w:tc>
        <w:tc>
          <w:tcPr>
            <w:tcW w:w="1666" w:type="dxa"/>
            <w:tcBorders>
              <w:left w:val="single" w:sz="4" w:space="0" w:color="auto"/>
            </w:tcBorders>
            <w:shd w:val="clear" w:color="auto" w:fill="auto"/>
            <w:noWrap/>
            <w:vAlign w:val="bottom"/>
            <w:hideMark/>
          </w:tcPr>
          <w:p w14:paraId="5469BE9D"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4,967 (54.4%)</w:t>
            </w:r>
          </w:p>
        </w:tc>
        <w:tc>
          <w:tcPr>
            <w:tcW w:w="1667" w:type="dxa"/>
            <w:shd w:val="clear" w:color="auto" w:fill="auto"/>
            <w:noWrap/>
            <w:vAlign w:val="bottom"/>
            <w:hideMark/>
          </w:tcPr>
          <w:p w14:paraId="77C26A9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4,374 (38.1%)</w:t>
            </w:r>
          </w:p>
        </w:tc>
        <w:tc>
          <w:tcPr>
            <w:tcW w:w="1667" w:type="dxa"/>
            <w:tcBorders>
              <w:right w:val="single" w:sz="4" w:space="0" w:color="auto"/>
            </w:tcBorders>
            <w:shd w:val="clear" w:color="auto" w:fill="auto"/>
            <w:noWrap/>
            <w:vAlign w:val="bottom"/>
            <w:hideMark/>
          </w:tcPr>
          <w:p w14:paraId="78812A94"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9,341 (45.4%)</w:t>
            </w:r>
          </w:p>
        </w:tc>
        <w:tc>
          <w:tcPr>
            <w:tcW w:w="1667" w:type="dxa"/>
            <w:tcBorders>
              <w:left w:val="single" w:sz="4" w:space="0" w:color="auto"/>
            </w:tcBorders>
            <w:shd w:val="clear" w:color="auto" w:fill="auto"/>
            <w:noWrap/>
            <w:vAlign w:val="bottom"/>
            <w:hideMark/>
          </w:tcPr>
          <w:p w14:paraId="0E4B614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3,958 (43.8%)</w:t>
            </w:r>
          </w:p>
        </w:tc>
        <w:tc>
          <w:tcPr>
            <w:tcW w:w="1667" w:type="dxa"/>
            <w:shd w:val="clear" w:color="auto" w:fill="auto"/>
            <w:noWrap/>
            <w:vAlign w:val="bottom"/>
            <w:hideMark/>
          </w:tcPr>
          <w:p w14:paraId="7CDFE82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8,602 (30.8%)</w:t>
            </w:r>
          </w:p>
        </w:tc>
        <w:tc>
          <w:tcPr>
            <w:tcW w:w="1667" w:type="dxa"/>
            <w:shd w:val="clear" w:color="auto" w:fill="auto"/>
            <w:noWrap/>
            <w:vAlign w:val="bottom"/>
            <w:hideMark/>
          </w:tcPr>
          <w:p w14:paraId="34DB5BE5"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12,560 (34.0%)</w:t>
            </w:r>
          </w:p>
        </w:tc>
      </w:tr>
      <w:tr w:rsidR="00AA5608" w:rsidRPr="008321E4" w14:paraId="5B6BCC9C" w14:textId="77777777" w:rsidTr="00332E40">
        <w:trPr>
          <w:trHeight w:val="300"/>
        </w:trPr>
        <w:tc>
          <w:tcPr>
            <w:tcW w:w="3539" w:type="dxa"/>
            <w:tcBorders>
              <w:right w:val="single" w:sz="4" w:space="0" w:color="auto"/>
            </w:tcBorders>
            <w:shd w:val="clear" w:color="auto" w:fill="auto"/>
            <w:noWrap/>
            <w:vAlign w:val="bottom"/>
            <w:hideMark/>
          </w:tcPr>
          <w:p w14:paraId="5124ABC9"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Injector</w:t>
            </w:r>
          </w:p>
        </w:tc>
        <w:tc>
          <w:tcPr>
            <w:tcW w:w="1666" w:type="dxa"/>
            <w:tcBorders>
              <w:left w:val="single" w:sz="4" w:space="0" w:color="auto"/>
            </w:tcBorders>
            <w:shd w:val="clear" w:color="auto" w:fill="auto"/>
            <w:noWrap/>
            <w:vAlign w:val="bottom"/>
            <w:hideMark/>
          </w:tcPr>
          <w:p w14:paraId="06DF2F17"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120 (1.3%)</w:t>
            </w:r>
          </w:p>
        </w:tc>
        <w:tc>
          <w:tcPr>
            <w:tcW w:w="1667" w:type="dxa"/>
            <w:shd w:val="clear" w:color="auto" w:fill="auto"/>
            <w:noWrap/>
            <w:vAlign w:val="bottom"/>
            <w:hideMark/>
          </w:tcPr>
          <w:p w14:paraId="3B1E3C8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1,434 (12.7%)</w:t>
            </w:r>
          </w:p>
        </w:tc>
        <w:tc>
          <w:tcPr>
            <w:tcW w:w="1667" w:type="dxa"/>
            <w:tcBorders>
              <w:right w:val="single" w:sz="4" w:space="0" w:color="auto"/>
            </w:tcBorders>
            <w:shd w:val="clear" w:color="auto" w:fill="auto"/>
            <w:noWrap/>
            <w:vAlign w:val="bottom"/>
            <w:hideMark/>
          </w:tcPr>
          <w:p w14:paraId="1203EEB8"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1,554 (7.6%)</w:t>
            </w:r>
          </w:p>
        </w:tc>
        <w:tc>
          <w:tcPr>
            <w:tcW w:w="1667" w:type="dxa"/>
            <w:tcBorders>
              <w:left w:val="single" w:sz="4" w:space="0" w:color="auto"/>
            </w:tcBorders>
            <w:shd w:val="clear" w:color="auto" w:fill="auto"/>
            <w:noWrap/>
            <w:vAlign w:val="bottom"/>
            <w:hideMark/>
          </w:tcPr>
          <w:p w14:paraId="3BE9B1C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234 (2.6%)</w:t>
            </w:r>
          </w:p>
        </w:tc>
        <w:tc>
          <w:tcPr>
            <w:tcW w:w="1667" w:type="dxa"/>
            <w:shd w:val="clear" w:color="auto" w:fill="auto"/>
            <w:noWrap/>
            <w:vAlign w:val="bottom"/>
            <w:hideMark/>
          </w:tcPr>
          <w:p w14:paraId="0F5519B3"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3,484 (12.6%)</w:t>
            </w:r>
          </w:p>
        </w:tc>
        <w:tc>
          <w:tcPr>
            <w:tcW w:w="1667" w:type="dxa"/>
            <w:shd w:val="clear" w:color="auto" w:fill="auto"/>
            <w:noWrap/>
            <w:vAlign w:val="bottom"/>
            <w:hideMark/>
          </w:tcPr>
          <w:p w14:paraId="4EC7A0A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3,718 (10.2%)</w:t>
            </w:r>
          </w:p>
        </w:tc>
      </w:tr>
      <w:tr w:rsidR="00AA5608" w:rsidRPr="008321E4" w14:paraId="5C72F777" w14:textId="77777777" w:rsidTr="00332E40">
        <w:trPr>
          <w:trHeight w:val="300"/>
        </w:trPr>
        <w:tc>
          <w:tcPr>
            <w:tcW w:w="3539" w:type="dxa"/>
            <w:tcBorders>
              <w:right w:val="single" w:sz="4" w:space="0" w:color="auto"/>
            </w:tcBorders>
            <w:shd w:val="clear" w:color="auto" w:fill="auto"/>
            <w:noWrap/>
            <w:vAlign w:val="bottom"/>
            <w:hideMark/>
          </w:tcPr>
          <w:p w14:paraId="51956C9D"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lastRenderedPageBreak/>
              <w:t>Mental health problem</w:t>
            </w:r>
          </w:p>
        </w:tc>
        <w:tc>
          <w:tcPr>
            <w:tcW w:w="1666" w:type="dxa"/>
            <w:tcBorders>
              <w:left w:val="single" w:sz="4" w:space="0" w:color="auto"/>
            </w:tcBorders>
            <w:shd w:val="clear" w:color="auto" w:fill="auto"/>
            <w:noWrap/>
            <w:vAlign w:val="bottom"/>
            <w:hideMark/>
          </w:tcPr>
          <w:p w14:paraId="6C74AB1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4,192 (50.7%)</w:t>
            </w:r>
          </w:p>
        </w:tc>
        <w:tc>
          <w:tcPr>
            <w:tcW w:w="1667" w:type="dxa"/>
            <w:shd w:val="clear" w:color="auto" w:fill="auto"/>
            <w:noWrap/>
            <w:vAlign w:val="bottom"/>
            <w:hideMark/>
          </w:tcPr>
          <w:p w14:paraId="52D5367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6,274 (59.1%)</w:t>
            </w:r>
          </w:p>
        </w:tc>
        <w:tc>
          <w:tcPr>
            <w:tcW w:w="1667" w:type="dxa"/>
            <w:tcBorders>
              <w:right w:val="single" w:sz="4" w:space="0" w:color="auto"/>
            </w:tcBorders>
            <w:shd w:val="clear" w:color="auto" w:fill="auto"/>
            <w:noWrap/>
            <w:vAlign w:val="bottom"/>
            <w:hideMark/>
          </w:tcPr>
          <w:p w14:paraId="5897AFF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10,466 (55.4%)</w:t>
            </w:r>
          </w:p>
        </w:tc>
        <w:tc>
          <w:tcPr>
            <w:tcW w:w="1667" w:type="dxa"/>
            <w:tcBorders>
              <w:left w:val="single" w:sz="4" w:space="0" w:color="auto"/>
            </w:tcBorders>
            <w:shd w:val="clear" w:color="auto" w:fill="auto"/>
            <w:noWrap/>
            <w:vAlign w:val="bottom"/>
            <w:hideMark/>
          </w:tcPr>
          <w:p w14:paraId="4E46D280"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2,819 (34.2%)</w:t>
            </w:r>
          </w:p>
        </w:tc>
        <w:tc>
          <w:tcPr>
            <w:tcW w:w="1667" w:type="dxa"/>
            <w:shd w:val="clear" w:color="auto" w:fill="auto"/>
            <w:noWrap/>
            <w:vAlign w:val="bottom"/>
            <w:hideMark/>
          </w:tcPr>
          <w:p w14:paraId="0E0659A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12,024 (46.6%)</w:t>
            </w:r>
          </w:p>
        </w:tc>
        <w:tc>
          <w:tcPr>
            <w:tcW w:w="1667" w:type="dxa"/>
            <w:shd w:val="clear" w:color="auto" w:fill="auto"/>
            <w:noWrap/>
            <w:vAlign w:val="bottom"/>
            <w:hideMark/>
          </w:tcPr>
          <w:p w14:paraId="24AB589B"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14,843 (43.6%)</w:t>
            </w:r>
          </w:p>
        </w:tc>
      </w:tr>
      <w:tr w:rsidR="00AA5608" w:rsidRPr="008321E4" w14:paraId="10AB6005" w14:textId="77777777" w:rsidTr="00332E40">
        <w:trPr>
          <w:trHeight w:val="300"/>
        </w:trPr>
        <w:tc>
          <w:tcPr>
            <w:tcW w:w="3539" w:type="dxa"/>
            <w:tcBorders>
              <w:right w:val="single" w:sz="4" w:space="0" w:color="auto"/>
            </w:tcBorders>
            <w:shd w:val="clear" w:color="auto" w:fill="auto"/>
            <w:noWrap/>
            <w:vAlign w:val="bottom"/>
            <w:hideMark/>
          </w:tcPr>
          <w:p w14:paraId="418C832C" w14:textId="77777777" w:rsidR="00AA5608" w:rsidRDefault="00AA5608" w:rsidP="000E494A">
            <w:pPr>
              <w:rPr>
                <w:rFonts w:eastAsia="Times New Roman" w:cs="Arial"/>
                <w:i/>
                <w:iCs/>
                <w:color w:val="000000"/>
                <w:sz w:val="18"/>
                <w:szCs w:val="18"/>
                <w:lang w:eastAsia="en-GB"/>
              </w:rPr>
            </w:pPr>
          </w:p>
          <w:p w14:paraId="4690FAE3" w14:textId="77777777" w:rsidR="00AA5608" w:rsidRPr="008321E4" w:rsidRDefault="00AA5608" w:rsidP="000E494A">
            <w:pPr>
              <w:rPr>
                <w:rFonts w:eastAsia="Times New Roman" w:cs="Arial"/>
                <w:i/>
                <w:iCs/>
                <w:color w:val="000000"/>
                <w:sz w:val="18"/>
                <w:szCs w:val="18"/>
                <w:lang w:eastAsia="en-GB"/>
              </w:rPr>
            </w:pPr>
            <w:r w:rsidRPr="008321E4">
              <w:rPr>
                <w:rFonts w:eastAsia="Times New Roman" w:cs="Arial"/>
                <w:i/>
                <w:iCs/>
                <w:color w:val="000000"/>
                <w:sz w:val="18"/>
                <w:szCs w:val="18"/>
                <w:lang w:eastAsia="en-GB"/>
              </w:rPr>
              <w:t>Treatment exposure</w:t>
            </w:r>
          </w:p>
        </w:tc>
        <w:tc>
          <w:tcPr>
            <w:tcW w:w="1666" w:type="dxa"/>
            <w:tcBorders>
              <w:left w:val="single" w:sz="4" w:space="0" w:color="auto"/>
            </w:tcBorders>
            <w:shd w:val="clear" w:color="auto" w:fill="auto"/>
            <w:noWrap/>
            <w:vAlign w:val="bottom"/>
            <w:hideMark/>
          </w:tcPr>
          <w:p w14:paraId="42F5B061" w14:textId="77777777" w:rsidR="00AA5608" w:rsidRPr="008321E4" w:rsidRDefault="00AA5608" w:rsidP="000E494A">
            <w:pPr>
              <w:rPr>
                <w:rFonts w:eastAsia="Times New Roman" w:cs="Arial"/>
                <w:i/>
                <w:iCs/>
                <w:color w:val="000000"/>
                <w:sz w:val="18"/>
                <w:szCs w:val="18"/>
                <w:lang w:eastAsia="en-GB"/>
              </w:rPr>
            </w:pPr>
          </w:p>
        </w:tc>
        <w:tc>
          <w:tcPr>
            <w:tcW w:w="1667" w:type="dxa"/>
            <w:shd w:val="clear" w:color="auto" w:fill="auto"/>
            <w:noWrap/>
            <w:vAlign w:val="bottom"/>
            <w:hideMark/>
          </w:tcPr>
          <w:p w14:paraId="667C51E0"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right w:val="single" w:sz="4" w:space="0" w:color="auto"/>
            </w:tcBorders>
            <w:shd w:val="clear" w:color="auto" w:fill="auto"/>
            <w:noWrap/>
            <w:vAlign w:val="bottom"/>
            <w:hideMark/>
          </w:tcPr>
          <w:p w14:paraId="4A5DFA02"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tcBorders>
              <w:left w:val="single" w:sz="4" w:space="0" w:color="auto"/>
            </w:tcBorders>
            <w:shd w:val="clear" w:color="auto" w:fill="auto"/>
            <w:noWrap/>
            <w:vAlign w:val="bottom"/>
            <w:hideMark/>
          </w:tcPr>
          <w:p w14:paraId="124CED54"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2C3977BF"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33B3B820" w14:textId="77777777" w:rsidR="00AA5608" w:rsidRPr="008321E4" w:rsidRDefault="00AA5608" w:rsidP="000E494A">
            <w:pPr>
              <w:rPr>
                <w:rFonts w:ascii="Times New Roman" w:eastAsia="Times New Roman" w:hAnsi="Times New Roman" w:cs="Times New Roman"/>
                <w:sz w:val="18"/>
                <w:szCs w:val="18"/>
                <w:lang w:eastAsia="en-GB"/>
              </w:rPr>
            </w:pPr>
          </w:p>
        </w:tc>
      </w:tr>
      <w:tr w:rsidR="00AA5608" w:rsidRPr="008321E4" w14:paraId="3C834DB8" w14:textId="77777777" w:rsidTr="00332E40">
        <w:trPr>
          <w:trHeight w:val="300"/>
        </w:trPr>
        <w:tc>
          <w:tcPr>
            <w:tcW w:w="3539" w:type="dxa"/>
            <w:tcBorders>
              <w:right w:val="single" w:sz="4" w:space="0" w:color="auto"/>
            </w:tcBorders>
            <w:shd w:val="clear" w:color="auto" w:fill="auto"/>
            <w:noWrap/>
            <w:vAlign w:val="bottom"/>
            <w:hideMark/>
          </w:tcPr>
          <w:p w14:paraId="198F62BB"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Criminal justice referral</w:t>
            </w:r>
          </w:p>
        </w:tc>
        <w:tc>
          <w:tcPr>
            <w:tcW w:w="1666" w:type="dxa"/>
            <w:tcBorders>
              <w:left w:val="single" w:sz="4" w:space="0" w:color="auto"/>
            </w:tcBorders>
            <w:shd w:val="clear" w:color="auto" w:fill="auto"/>
            <w:noWrap/>
            <w:vAlign w:val="bottom"/>
            <w:hideMark/>
          </w:tcPr>
          <w:p w14:paraId="2CCB5B47"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255 (2.8%)</w:t>
            </w:r>
          </w:p>
        </w:tc>
        <w:tc>
          <w:tcPr>
            <w:tcW w:w="1667" w:type="dxa"/>
            <w:shd w:val="clear" w:color="auto" w:fill="auto"/>
            <w:noWrap/>
            <w:vAlign w:val="bottom"/>
            <w:hideMark/>
          </w:tcPr>
          <w:p w14:paraId="1079873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1,553 (13.6%)</w:t>
            </w:r>
          </w:p>
        </w:tc>
        <w:tc>
          <w:tcPr>
            <w:tcW w:w="1667" w:type="dxa"/>
            <w:tcBorders>
              <w:right w:val="single" w:sz="4" w:space="0" w:color="auto"/>
            </w:tcBorders>
            <w:shd w:val="clear" w:color="auto" w:fill="auto"/>
            <w:noWrap/>
            <w:vAlign w:val="bottom"/>
            <w:hideMark/>
          </w:tcPr>
          <w:p w14:paraId="2145FDD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1,808 (8.8%)</w:t>
            </w:r>
          </w:p>
        </w:tc>
        <w:tc>
          <w:tcPr>
            <w:tcW w:w="1667" w:type="dxa"/>
            <w:tcBorders>
              <w:left w:val="single" w:sz="4" w:space="0" w:color="auto"/>
            </w:tcBorders>
            <w:shd w:val="clear" w:color="auto" w:fill="auto"/>
            <w:noWrap/>
            <w:vAlign w:val="bottom"/>
            <w:hideMark/>
          </w:tcPr>
          <w:p w14:paraId="1527C9F2"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751 (8.3%)</w:t>
            </w:r>
          </w:p>
        </w:tc>
        <w:tc>
          <w:tcPr>
            <w:tcW w:w="1667" w:type="dxa"/>
            <w:shd w:val="clear" w:color="auto" w:fill="auto"/>
            <w:noWrap/>
            <w:vAlign w:val="bottom"/>
            <w:hideMark/>
          </w:tcPr>
          <w:p w14:paraId="327AFC2B"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6,231 (22.5%)</w:t>
            </w:r>
          </w:p>
        </w:tc>
        <w:tc>
          <w:tcPr>
            <w:tcW w:w="1667" w:type="dxa"/>
            <w:shd w:val="clear" w:color="auto" w:fill="auto"/>
            <w:noWrap/>
            <w:vAlign w:val="bottom"/>
            <w:hideMark/>
          </w:tcPr>
          <w:p w14:paraId="3328BA64"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6,982 (19.0%)</w:t>
            </w:r>
          </w:p>
        </w:tc>
      </w:tr>
      <w:tr w:rsidR="00AA5608" w:rsidRPr="008321E4" w14:paraId="1882FA1C" w14:textId="77777777" w:rsidTr="00332E40">
        <w:trPr>
          <w:trHeight w:val="300"/>
        </w:trPr>
        <w:tc>
          <w:tcPr>
            <w:tcW w:w="3539" w:type="dxa"/>
            <w:tcBorders>
              <w:right w:val="single" w:sz="4" w:space="0" w:color="auto"/>
            </w:tcBorders>
            <w:shd w:val="clear" w:color="auto" w:fill="auto"/>
            <w:noWrap/>
            <w:vAlign w:val="bottom"/>
            <w:hideMark/>
          </w:tcPr>
          <w:p w14:paraId="144958F3"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Days in treatment:</w:t>
            </w:r>
          </w:p>
        </w:tc>
        <w:tc>
          <w:tcPr>
            <w:tcW w:w="1666" w:type="dxa"/>
            <w:tcBorders>
              <w:left w:val="single" w:sz="4" w:space="0" w:color="auto"/>
            </w:tcBorders>
            <w:shd w:val="clear" w:color="auto" w:fill="auto"/>
            <w:noWrap/>
            <w:vAlign w:val="bottom"/>
            <w:hideMark/>
          </w:tcPr>
          <w:p w14:paraId="5CE6123B" w14:textId="77777777" w:rsidR="00AA5608" w:rsidRPr="008321E4" w:rsidRDefault="00AA5608" w:rsidP="000E494A">
            <w:pPr>
              <w:rPr>
                <w:rFonts w:eastAsia="Times New Roman" w:cs="Arial"/>
                <w:color w:val="000000"/>
                <w:sz w:val="18"/>
                <w:szCs w:val="18"/>
                <w:lang w:eastAsia="en-GB"/>
              </w:rPr>
            </w:pPr>
          </w:p>
        </w:tc>
        <w:tc>
          <w:tcPr>
            <w:tcW w:w="1667" w:type="dxa"/>
            <w:shd w:val="clear" w:color="auto" w:fill="auto"/>
            <w:noWrap/>
            <w:vAlign w:val="bottom"/>
            <w:hideMark/>
          </w:tcPr>
          <w:p w14:paraId="015644DE"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right w:val="single" w:sz="4" w:space="0" w:color="auto"/>
            </w:tcBorders>
            <w:shd w:val="clear" w:color="auto" w:fill="auto"/>
            <w:noWrap/>
            <w:vAlign w:val="bottom"/>
            <w:hideMark/>
          </w:tcPr>
          <w:p w14:paraId="659CAD8C"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tcBorders>
              <w:left w:val="single" w:sz="4" w:space="0" w:color="auto"/>
            </w:tcBorders>
            <w:shd w:val="clear" w:color="auto" w:fill="auto"/>
            <w:noWrap/>
            <w:vAlign w:val="bottom"/>
            <w:hideMark/>
          </w:tcPr>
          <w:p w14:paraId="46BAB6D7"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04053964"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5777584A" w14:textId="77777777" w:rsidR="00AA5608" w:rsidRPr="008321E4" w:rsidRDefault="00AA5608" w:rsidP="000E494A">
            <w:pPr>
              <w:rPr>
                <w:rFonts w:ascii="Times New Roman" w:eastAsia="Times New Roman" w:hAnsi="Times New Roman" w:cs="Times New Roman"/>
                <w:sz w:val="18"/>
                <w:szCs w:val="18"/>
                <w:lang w:eastAsia="en-GB"/>
              </w:rPr>
            </w:pPr>
          </w:p>
        </w:tc>
      </w:tr>
      <w:tr w:rsidR="00AA5608" w:rsidRPr="008321E4" w14:paraId="78A2BCC6" w14:textId="77777777" w:rsidTr="00332E40">
        <w:trPr>
          <w:trHeight w:val="300"/>
        </w:trPr>
        <w:tc>
          <w:tcPr>
            <w:tcW w:w="3539" w:type="dxa"/>
            <w:tcBorders>
              <w:right w:val="single" w:sz="4" w:space="0" w:color="auto"/>
            </w:tcBorders>
            <w:shd w:val="clear" w:color="auto" w:fill="auto"/>
            <w:noWrap/>
            <w:vAlign w:val="bottom"/>
            <w:hideMark/>
          </w:tcPr>
          <w:p w14:paraId="73C1B4DF"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&lt;3m</w:t>
            </w:r>
          </w:p>
        </w:tc>
        <w:tc>
          <w:tcPr>
            <w:tcW w:w="1666" w:type="dxa"/>
            <w:tcBorders>
              <w:left w:val="single" w:sz="4" w:space="0" w:color="auto"/>
            </w:tcBorders>
            <w:shd w:val="clear" w:color="auto" w:fill="auto"/>
            <w:noWrap/>
            <w:vAlign w:val="bottom"/>
            <w:hideMark/>
          </w:tcPr>
          <w:p w14:paraId="6944D1C2"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2,415 (26.5%)</w:t>
            </w:r>
          </w:p>
        </w:tc>
        <w:tc>
          <w:tcPr>
            <w:tcW w:w="1667" w:type="dxa"/>
            <w:shd w:val="clear" w:color="auto" w:fill="auto"/>
            <w:noWrap/>
            <w:vAlign w:val="bottom"/>
            <w:hideMark/>
          </w:tcPr>
          <w:p w14:paraId="102FFE55"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2,942 (25.6%)</w:t>
            </w:r>
          </w:p>
        </w:tc>
        <w:tc>
          <w:tcPr>
            <w:tcW w:w="1667" w:type="dxa"/>
            <w:tcBorders>
              <w:right w:val="single" w:sz="4" w:space="0" w:color="auto"/>
            </w:tcBorders>
            <w:shd w:val="clear" w:color="auto" w:fill="auto"/>
            <w:noWrap/>
            <w:vAlign w:val="bottom"/>
            <w:hideMark/>
          </w:tcPr>
          <w:p w14:paraId="1C3CCA37"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5,357 (26.0%)</w:t>
            </w:r>
          </w:p>
        </w:tc>
        <w:tc>
          <w:tcPr>
            <w:tcW w:w="1667" w:type="dxa"/>
            <w:tcBorders>
              <w:left w:val="single" w:sz="4" w:space="0" w:color="auto"/>
            </w:tcBorders>
            <w:shd w:val="clear" w:color="auto" w:fill="auto"/>
            <w:noWrap/>
            <w:vAlign w:val="bottom"/>
            <w:hideMark/>
          </w:tcPr>
          <w:p w14:paraId="63265075"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2,893 (32.0%)</w:t>
            </w:r>
          </w:p>
        </w:tc>
        <w:tc>
          <w:tcPr>
            <w:tcW w:w="1667" w:type="dxa"/>
            <w:shd w:val="clear" w:color="auto" w:fill="auto"/>
            <w:noWrap/>
            <w:vAlign w:val="bottom"/>
            <w:hideMark/>
          </w:tcPr>
          <w:p w14:paraId="4FE9865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8,663 (31.1%)</w:t>
            </w:r>
          </w:p>
        </w:tc>
        <w:tc>
          <w:tcPr>
            <w:tcW w:w="1667" w:type="dxa"/>
            <w:shd w:val="clear" w:color="auto" w:fill="auto"/>
            <w:noWrap/>
            <w:vAlign w:val="bottom"/>
            <w:hideMark/>
          </w:tcPr>
          <w:p w14:paraId="4CD3E91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11,556 (31.3%)</w:t>
            </w:r>
          </w:p>
        </w:tc>
      </w:tr>
      <w:tr w:rsidR="00AA5608" w:rsidRPr="008321E4" w14:paraId="4E9DE73F" w14:textId="77777777" w:rsidTr="00332E40">
        <w:trPr>
          <w:trHeight w:val="300"/>
        </w:trPr>
        <w:tc>
          <w:tcPr>
            <w:tcW w:w="3539" w:type="dxa"/>
            <w:tcBorders>
              <w:right w:val="single" w:sz="4" w:space="0" w:color="auto"/>
            </w:tcBorders>
            <w:shd w:val="clear" w:color="auto" w:fill="auto"/>
            <w:noWrap/>
            <w:vAlign w:val="bottom"/>
            <w:hideMark/>
          </w:tcPr>
          <w:p w14:paraId="1630DD76"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3-6m</w:t>
            </w:r>
          </w:p>
        </w:tc>
        <w:tc>
          <w:tcPr>
            <w:tcW w:w="1666" w:type="dxa"/>
            <w:tcBorders>
              <w:left w:val="single" w:sz="4" w:space="0" w:color="auto"/>
            </w:tcBorders>
            <w:shd w:val="clear" w:color="auto" w:fill="auto"/>
            <w:noWrap/>
            <w:vAlign w:val="bottom"/>
            <w:hideMark/>
          </w:tcPr>
          <w:p w14:paraId="6BACB023"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2,730 (29.9%)</w:t>
            </w:r>
          </w:p>
        </w:tc>
        <w:tc>
          <w:tcPr>
            <w:tcW w:w="1667" w:type="dxa"/>
            <w:shd w:val="clear" w:color="auto" w:fill="auto"/>
            <w:noWrap/>
            <w:vAlign w:val="bottom"/>
            <w:hideMark/>
          </w:tcPr>
          <w:p w14:paraId="5AEE185D"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3,155 (27.5%)</w:t>
            </w:r>
          </w:p>
        </w:tc>
        <w:tc>
          <w:tcPr>
            <w:tcW w:w="1667" w:type="dxa"/>
            <w:tcBorders>
              <w:right w:val="single" w:sz="4" w:space="0" w:color="auto"/>
            </w:tcBorders>
            <w:shd w:val="clear" w:color="auto" w:fill="auto"/>
            <w:noWrap/>
            <w:vAlign w:val="bottom"/>
            <w:hideMark/>
          </w:tcPr>
          <w:p w14:paraId="7B29861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5,885 (28.6%)</w:t>
            </w:r>
          </w:p>
        </w:tc>
        <w:tc>
          <w:tcPr>
            <w:tcW w:w="1667" w:type="dxa"/>
            <w:tcBorders>
              <w:left w:val="single" w:sz="4" w:space="0" w:color="auto"/>
            </w:tcBorders>
            <w:shd w:val="clear" w:color="auto" w:fill="auto"/>
            <w:noWrap/>
            <w:vAlign w:val="bottom"/>
            <w:hideMark/>
          </w:tcPr>
          <w:p w14:paraId="030B210B"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2,869 (31.7%)</w:t>
            </w:r>
          </w:p>
        </w:tc>
        <w:tc>
          <w:tcPr>
            <w:tcW w:w="1667" w:type="dxa"/>
            <w:shd w:val="clear" w:color="auto" w:fill="auto"/>
            <w:noWrap/>
            <w:vAlign w:val="bottom"/>
            <w:hideMark/>
          </w:tcPr>
          <w:p w14:paraId="5CFF451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7,833 (28.1%)</w:t>
            </w:r>
          </w:p>
        </w:tc>
        <w:tc>
          <w:tcPr>
            <w:tcW w:w="1667" w:type="dxa"/>
            <w:shd w:val="clear" w:color="auto" w:fill="auto"/>
            <w:noWrap/>
            <w:vAlign w:val="bottom"/>
            <w:hideMark/>
          </w:tcPr>
          <w:p w14:paraId="480A4FA2"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10,702 (29.0%)</w:t>
            </w:r>
          </w:p>
        </w:tc>
      </w:tr>
      <w:tr w:rsidR="00AA5608" w:rsidRPr="008321E4" w14:paraId="566FF1DD" w14:textId="77777777" w:rsidTr="00332E40">
        <w:trPr>
          <w:trHeight w:val="300"/>
        </w:trPr>
        <w:tc>
          <w:tcPr>
            <w:tcW w:w="3539" w:type="dxa"/>
            <w:tcBorders>
              <w:right w:val="single" w:sz="4" w:space="0" w:color="auto"/>
            </w:tcBorders>
            <w:shd w:val="clear" w:color="auto" w:fill="auto"/>
            <w:noWrap/>
            <w:vAlign w:val="bottom"/>
            <w:hideMark/>
          </w:tcPr>
          <w:p w14:paraId="1ABD3D39"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6-12m</w:t>
            </w:r>
          </w:p>
        </w:tc>
        <w:tc>
          <w:tcPr>
            <w:tcW w:w="1666" w:type="dxa"/>
            <w:tcBorders>
              <w:left w:val="single" w:sz="4" w:space="0" w:color="auto"/>
            </w:tcBorders>
            <w:shd w:val="clear" w:color="auto" w:fill="auto"/>
            <w:noWrap/>
            <w:vAlign w:val="bottom"/>
            <w:hideMark/>
          </w:tcPr>
          <w:p w14:paraId="68E2654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2,070 (22.7%)</w:t>
            </w:r>
          </w:p>
        </w:tc>
        <w:tc>
          <w:tcPr>
            <w:tcW w:w="1667" w:type="dxa"/>
            <w:shd w:val="clear" w:color="auto" w:fill="auto"/>
            <w:noWrap/>
            <w:vAlign w:val="bottom"/>
            <w:hideMark/>
          </w:tcPr>
          <w:p w14:paraId="50556AFB"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2,498 (21.8%)</w:t>
            </w:r>
          </w:p>
        </w:tc>
        <w:tc>
          <w:tcPr>
            <w:tcW w:w="1667" w:type="dxa"/>
            <w:tcBorders>
              <w:right w:val="single" w:sz="4" w:space="0" w:color="auto"/>
            </w:tcBorders>
            <w:shd w:val="clear" w:color="auto" w:fill="auto"/>
            <w:noWrap/>
            <w:vAlign w:val="bottom"/>
            <w:hideMark/>
          </w:tcPr>
          <w:p w14:paraId="77F5EC82"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4,568 (22.2%)</w:t>
            </w:r>
          </w:p>
        </w:tc>
        <w:tc>
          <w:tcPr>
            <w:tcW w:w="1667" w:type="dxa"/>
            <w:tcBorders>
              <w:left w:val="single" w:sz="4" w:space="0" w:color="auto"/>
            </w:tcBorders>
            <w:shd w:val="clear" w:color="auto" w:fill="auto"/>
            <w:noWrap/>
            <w:vAlign w:val="bottom"/>
            <w:hideMark/>
          </w:tcPr>
          <w:p w14:paraId="307F2273"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1,723 (19.1%)</w:t>
            </w:r>
          </w:p>
        </w:tc>
        <w:tc>
          <w:tcPr>
            <w:tcW w:w="1667" w:type="dxa"/>
            <w:shd w:val="clear" w:color="auto" w:fill="auto"/>
            <w:noWrap/>
            <w:vAlign w:val="bottom"/>
            <w:hideMark/>
          </w:tcPr>
          <w:p w14:paraId="18596CE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5,211 (18.7%)</w:t>
            </w:r>
          </w:p>
        </w:tc>
        <w:tc>
          <w:tcPr>
            <w:tcW w:w="1667" w:type="dxa"/>
            <w:shd w:val="clear" w:color="auto" w:fill="auto"/>
            <w:noWrap/>
            <w:vAlign w:val="bottom"/>
            <w:hideMark/>
          </w:tcPr>
          <w:p w14:paraId="39B456BA"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6,934 (18.8%)</w:t>
            </w:r>
          </w:p>
        </w:tc>
      </w:tr>
      <w:tr w:rsidR="00AA5608" w:rsidRPr="008321E4" w14:paraId="72DC93E2" w14:textId="77777777" w:rsidTr="00332E40">
        <w:trPr>
          <w:trHeight w:val="300"/>
        </w:trPr>
        <w:tc>
          <w:tcPr>
            <w:tcW w:w="3539" w:type="dxa"/>
            <w:tcBorders>
              <w:right w:val="single" w:sz="4" w:space="0" w:color="auto"/>
            </w:tcBorders>
            <w:shd w:val="clear" w:color="auto" w:fill="auto"/>
            <w:noWrap/>
            <w:vAlign w:val="bottom"/>
            <w:hideMark/>
          </w:tcPr>
          <w:p w14:paraId="1F9E9264"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12m+</w:t>
            </w:r>
          </w:p>
        </w:tc>
        <w:tc>
          <w:tcPr>
            <w:tcW w:w="1666" w:type="dxa"/>
            <w:tcBorders>
              <w:left w:val="single" w:sz="4" w:space="0" w:color="auto"/>
            </w:tcBorders>
            <w:shd w:val="clear" w:color="auto" w:fill="auto"/>
            <w:noWrap/>
            <w:vAlign w:val="bottom"/>
            <w:hideMark/>
          </w:tcPr>
          <w:p w14:paraId="2162B769"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1,909 (20.9%)</w:t>
            </w:r>
          </w:p>
        </w:tc>
        <w:tc>
          <w:tcPr>
            <w:tcW w:w="1667" w:type="dxa"/>
            <w:shd w:val="clear" w:color="auto" w:fill="auto"/>
            <w:noWrap/>
            <w:vAlign w:val="bottom"/>
            <w:hideMark/>
          </w:tcPr>
          <w:p w14:paraId="6322E9A5"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2,878 (25.1%)</w:t>
            </w:r>
          </w:p>
        </w:tc>
        <w:tc>
          <w:tcPr>
            <w:tcW w:w="1667" w:type="dxa"/>
            <w:tcBorders>
              <w:right w:val="single" w:sz="4" w:space="0" w:color="auto"/>
            </w:tcBorders>
            <w:shd w:val="clear" w:color="auto" w:fill="auto"/>
            <w:noWrap/>
            <w:vAlign w:val="bottom"/>
            <w:hideMark/>
          </w:tcPr>
          <w:p w14:paraId="4D6A491D"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4,787 (23.2%)</w:t>
            </w:r>
          </w:p>
        </w:tc>
        <w:tc>
          <w:tcPr>
            <w:tcW w:w="1667" w:type="dxa"/>
            <w:tcBorders>
              <w:left w:val="single" w:sz="4" w:space="0" w:color="auto"/>
            </w:tcBorders>
            <w:shd w:val="clear" w:color="auto" w:fill="auto"/>
            <w:noWrap/>
            <w:vAlign w:val="bottom"/>
            <w:hideMark/>
          </w:tcPr>
          <w:p w14:paraId="0183C624"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1,552 (17.2%)</w:t>
            </w:r>
          </w:p>
        </w:tc>
        <w:tc>
          <w:tcPr>
            <w:tcW w:w="1667" w:type="dxa"/>
            <w:shd w:val="clear" w:color="auto" w:fill="auto"/>
            <w:noWrap/>
            <w:vAlign w:val="bottom"/>
            <w:hideMark/>
          </w:tcPr>
          <w:p w14:paraId="3754F612"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6,188 (22.2%)</w:t>
            </w:r>
          </w:p>
        </w:tc>
        <w:tc>
          <w:tcPr>
            <w:tcW w:w="1667" w:type="dxa"/>
            <w:shd w:val="clear" w:color="auto" w:fill="auto"/>
            <w:noWrap/>
            <w:vAlign w:val="bottom"/>
            <w:hideMark/>
          </w:tcPr>
          <w:p w14:paraId="5170E3B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7,740 (21.0%)</w:t>
            </w:r>
          </w:p>
        </w:tc>
      </w:tr>
      <w:tr w:rsidR="00AA5608" w:rsidRPr="008321E4" w14:paraId="04883ED3" w14:textId="77777777" w:rsidTr="00332E40">
        <w:trPr>
          <w:trHeight w:val="300"/>
        </w:trPr>
        <w:tc>
          <w:tcPr>
            <w:tcW w:w="3539" w:type="dxa"/>
            <w:tcBorders>
              <w:right w:val="single" w:sz="4" w:space="0" w:color="auto"/>
            </w:tcBorders>
            <w:shd w:val="clear" w:color="auto" w:fill="auto"/>
            <w:noWrap/>
            <w:vAlign w:val="bottom"/>
            <w:hideMark/>
          </w:tcPr>
          <w:p w14:paraId="13222BFB" w14:textId="77777777" w:rsidR="00AA5608" w:rsidRPr="008321E4" w:rsidRDefault="00AA5608" w:rsidP="000E494A">
            <w:pPr>
              <w:rPr>
                <w:rFonts w:eastAsia="Times New Roman" w:cs="Arial"/>
                <w:color w:val="000000"/>
                <w:sz w:val="18"/>
                <w:szCs w:val="18"/>
                <w:lang w:eastAsia="en-GB"/>
              </w:rPr>
            </w:pPr>
            <w:r w:rsidRPr="008321E4">
              <w:rPr>
                <w:rFonts w:eastAsia="Times New Roman" w:cs="Arial"/>
                <w:color w:val="000000"/>
                <w:sz w:val="18"/>
                <w:szCs w:val="18"/>
                <w:lang w:eastAsia="en-GB"/>
              </w:rPr>
              <w:t>Previous treatment:</w:t>
            </w:r>
          </w:p>
        </w:tc>
        <w:tc>
          <w:tcPr>
            <w:tcW w:w="1666" w:type="dxa"/>
            <w:tcBorders>
              <w:left w:val="single" w:sz="4" w:space="0" w:color="auto"/>
            </w:tcBorders>
            <w:shd w:val="clear" w:color="auto" w:fill="auto"/>
            <w:noWrap/>
            <w:vAlign w:val="bottom"/>
            <w:hideMark/>
          </w:tcPr>
          <w:p w14:paraId="20FDFECC" w14:textId="77777777" w:rsidR="00AA5608" w:rsidRPr="008321E4" w:rsidRDefault="00AA5608" w:rsidP="000E494A">
            <w:pPr>
              <w:rPr>
                <w:rFonts w:eastAsia="Times New Roman" w:cs="Arial"/>
                <w:color w:val="000000"/>
                <w:sz w:val="18"/>
                <w:szCs w:val="18"/>
                <w:lang w:eastAsia="en-GB"/>
              </w:rPr>
            </w:pPr>
          </w:p>
        </w:tc>
        <w:tc>
          <w:tcPr>
            <w:tcW w:w="1667" w:type="dxa"/>
            <w:shd w:val="clear" w:color="auto" w:fill="auto"/>
            <w:noWrap/>
            <w:vAlign w:val="bottom"/>
            <w:hideMark/>
          </w:tcPr>
          <w:p w14:paraId="4B249DF1"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tcBorders>
              <w:right w:val="single" w:sz="4" w:space="0" w:color="auto"/>
            </w:tcBorders>
            <w:shd w:val="clear" w:color="auto" w:fill="auto"/>
            <w:noWrap/>
            <w:vAlign w:val="bottom"/>
            <w:hideMark/>
          </w:tcPr>
          <w:p w14:paraId="56CC0B7A"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tcBorders>
              <w:left w:val="single" w:sz="4" w:space="0" w:color="auto"/>
            </w:tcBorders>
            <w:shd w:val="clear" w:color="auto" w:fill="auto"/>
            <w:noWrap/>
            <w:vAlign w:val="bottom"/>
            <w:hideMark/>
          </w:tcPr>
          <w:p w14:paraId="6CE13ADB" w14:textId="77777777" w:rsidR="00AA5608" w:rsidRPr="008321E4" w:rsidRDefault="00AA5608" w:rsidP="000E494A">
            <w:pPr>
              <w:jc w:val="right"/>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179BE736" w14:textId="77777777" w:rsidR="00AA5608" w:rsidRPr="008321E4" w:rsidRDefault="00AA5608" w:rsidP="000E494A">
            <w:pPr>
              <w:rPr>
                <w:rFonts w:ascii="Times New Roman" w:eastAsia="Times New Roman" w:hAnsi="Times New Roman" w:cs="Times New Roman"/>
                <w:sz w:val="18"/>
                <w:szCs w:val="18"/>
                <w:lang w:eastAsia="en-GB"/>
              </w:rPr>
            </w:pPr>
          </w:p>
        </w:tc>
        <w:tc>
          <w:tcPr>
            <w:tcW w:w="1667" w:type="dxa"/>
            <w:shd w:val="clear" w:color="auto" w:fill="auto"/>
            <w:noWrap/>
            <w:vAlign w:val="bottom"/>
            <w:hideMark/>
          </w:tcPr>
          <w:p w14:paraId="5301BBA3" w14:textId="77777777" w:rsidR="00AA5608" w:rsidRPr="008321E4" w:rsidRDefault="00AA5608" w:rsidP="000E494A">
            <w:pPr>
              <w:rPr>
                <w:rFonts w:ascii="Times New Roman" w:eastAsia="Times New Roman" w:hAnsi="Times New Roman" w:cs="Times New Roman"/>
                <w:sz w:val="18"/>
                <w:szCs w:val="18"/>
                <w:lang w:eastAsia="en-GB"/>
              </w:rPr>
            </w:pPr>
          </w:p>
        </w:tc>
      </w:tr>
      <w:tr w:rsidR="00AA5608" w:rsidRPr="008321E4" w14:paraId="6C10F6C1" w14:textId="77777777" w:rsidTr="00332E40">
        <w:trPr>
          <w:trHeight w:val="300"/>
        </w:trPr>
        <w:tc>
          <w:tcPr>
            <w:tcW w:w="3539" w:type="dxa"/>
            <w:tcBorders>
              <w:right w:val="single" w:sz="4" w:space="0" w:color="auto"/>
            </w:tcBorders>
            <w:shd w:val="clear" w:color="auto" w:fill="auto"/>
            <w:noWrap/>
            <w:vAlign w:val="bottom"/>
            <w:hideMark/>
          </w:tcPr>
          <w:p w14:paraId="79DED9A0"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0</w:t>
            </w:r>
          </w:p>
        </w:tc>
        <w:tc>
          <w:tcPr>
            <w:tcW w:w="1666" w:type="dxa"/>
            <w:tcBorders>
              <w:left w:val="single" w:sz="4" w:space="0" w:color="auto"/>
            </w:tcBorders>
            <w:shd w:val="clear" w:color="auto" w:fill="auto"/>
            <w:noWrap/>
            <w:vAlign w:val="bottom"/>
            <w:hideMark/>
          </w:tcPr>
          <w:p w14:paraId="754FB912"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7,531 (82.5%)</w:t>
            </w:r>
          </w:p>
        </w:tc>
        <w:tc>
          <w:tcPr>
            <w:tcW w:w="1667" w:type="dxa"/>
            <w:shd w:val="clear" w:color="auto" w:fill="auto"/>
            <w:noWrap/>
            <w:vAlign w:val="bottom"/>
            <w:hideMark/>
          </w:tcPr>
          <w:p w14:paraId="0E7BE1C0"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7,763 (67.7%)</w:t>
            </w:r>
          </w:p>
        </w:tc>
        <w:tc>
          <w:tcPr>
            <w:tcW w:w="1667" w:type="dxa"/>
            <w:tcBorders>
              <w:right w:val="single" w:sz="4" w:space="0" w:color="auto"/>
            </w:tcBorders>
            <w:shd w:val="clear" w:color="auto" w:fill="auto"/>
            <w:noWrap/>
            <w:vAlign w:val="bottom"/>
            <w:hideMark/>
          </w:tcPr>
          <w:p w14:paraId="4190401E"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15,294 (74.3%)</w:t>
            </w:r>
          </w:p>
        </w:tc>
        <w:tc>
          <w:tcPr>
            <w:tcW w:w="1667" w:type="dxa"/>
            <w:tcBorders>
              <w:left w:val="single" w:sz="4" w:space="0" w:color="auto"/>
            </w:tcBorders>
            <w:shd w:val="clear" w:color="auto" w:fill="auto"/>
            <w:noWrap/>
            <w:vAlign w:val="bottom"/>
            <w:hideMark/>
          </w:tcPr>
          <w:p w14:paraId="55F88FA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7,545 (83.5%)</w:t>
            </w:r>
          </w:p>
        </w:tc>
        <w:tc>
          <w:tcPr>
            <w:tcW w:w="1667" w:type="dxa"/>
            <w:shd w:val="clear" w:color="auto" w:fill="auto"/>
            <w:noWrap/>
            <w:vAlign w:val="bottom"/>
            <w:hideMark/>
          </w:tcPr>
          <w:p w14:paraId="3BAC8BFB"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19,923 (71.4%)</w:t>
            </w:r>
          </w:p>
        </w:tc>
        <w:tc>
          <w:tcPr>
            <w:tcW w:w="1667" w:type="dxa"/>
            <w:shd w:val="clear" w:color="auto" w:fill="auto"/>
            <w:noWrap/>
            <w:vAlign w:val="bottom"/>
            <w:hideMark/>
          </w:tcPr>
          <w:p w14:paraId="6582F57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27,468 (74.4%)</w:t>
            </w:r>
          </w:p>
        </w:tc>
      </w:tr>
      <w:tr w:rsidR="00AA5608" w:rsidRPr="008321E4" w14:paraId="690CEE96" w14:textId="77777777" w:rsidTr="00332E40">
        <w:trPr>
          <w:trHeight w:val="300"/>
        </w:trPr>
        <w:tc>
          <w:tcPr>
            <w:tcW w:w="3539" w:type="dxa"/>
            <w:tcBorders>
              <w:right w:val="single" w:sz="4" w:space="0" w:color="auto"/>
            </w:tcBorders>
            <w:shd w:val="clear" w:color="auto" w:fill="auto"/>
            <w:noWrap/>
            <w:vAlign w:val="bottom"/>
            <w:hideMark/>
          </w:tcPr>
          <w:p w14:paraId="61D74059"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1</w:t>
            </w:r>
          </w:p>
        </w:tc>
        <w:tc>
          <w:tcPr>
            <w:tcW w:w="1666" w:type="dxa"/>
            <w:tcBorders>
              <w:left w:val="single" w:sz="4" w:space="0" w:color="auto"/>
            </w:tcBorders>
            <w:shd w:val="clear" w:color="auto" w:fill="auto"/>
            <w:noWrap/>
            <w:vAlign w:val="bottom"/>
            <w:hideMark/>
          </w:tcPr>
          <w:p w14:paraId="19CC8873"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1,402 (15.4%)</w:t>
            </w:r>
          </w:p>
        </w:tc>
        <w:tc>
          <w:tcPr>
            <w:tcW w:w="1667" w:type="dxa"/>
            <w:shd w:val="clear" w:color="auto" w:fill="auto"/>
            <w:noWrap/>
            <w:vAlign w:val="bottom"/>
            <w:hideMark/>
          </w:tcPr>
          <w:p w14:paraId="569B6FC1"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2,831 (24.7%)</w:t>
            </w:r>
          </w:p>
        </w:tc>
        <w:tc>
          <w:tcPr>
            <w:tcW w:w="1667" w:type="dxa"/>
            <w:tcBorders>
              <w:right w:val="single" w:sz="4" w:space="0" w:color="auto"/>
            </w:tcBorders>
            <w:shd w:val="clear" w:color="auto" w:fill="auto"/>
            <w:noWrap/>
            <w:vAlign w:val="bottom"/>
            <w:hideMark/>
          </w:tcPr>
          <w:p w14:paraId="241B1FFF"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4,233 (20.6%)</w:t>
            </w:r>
          </w:p>
        </w:tc>
        <w:tc>
          <w:tcPr>
            <w:tcW w:w="1667" w:type="dxa"/>
            <w:tcBorders>
              <w:left w:val="single" w:sz="4" w:space="0" w:color="auto"/>
            </w:tcBorders>
            <w:shd w:val="clear" w:color="auto" w:fill="auto"/>
            <w:noWrap/>
            <w:vAlign w:val="bottom"/>
            <w:hideMark/>
          </w:tcPr>
          <w:p w14:paraId="3FA74E28"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1,287 (14.2%)</w:t>
            </w:r>
          </w:p>
        </w:tc>
        <w:tc>
          <w:tcPr>
            <w:tcW w:w="1667" w:type="dxa"/>
            <w:shd w:val="clear" w:color="auto" w:fill="auto"/>
            <w:noWrap/>
            <w:vAlign w:val="bottom"/>
            <w:hideMark/>
          </w:tcPr>
          <w:p w14:paraId="106E2A2D"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6,023 (21.6%)</w:t>
            </w:r>
          </w:p>
        </w:tc>
        <w:tc>
          <w:tcPr>
            <w:tcW w:w="1667" w:type="dxa"/>
            <w:shd w:val="clear" w:color="auto" w:fill="auto"/>
            <w:noWrap/>
            <w:vAlign w:val="bottom"/>
            <w:hideMark/>
          </w:tcPr>
          <w:p w14:paraId="6D54CB6C"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7,310 (19.8%)</w:t>
            </w:r>
          </w:p>
        </w:tc>
      </w:tr>
      <w:tr w:rsidR="00AA5608" w:rsidRPr="008321E4" w14:paraId="5914B161" w14:textId="77777777" w:rsidTr="00332E40">
        <w:trPr>
          <w:trHeight w:val="300"/>
        </w:trPr>
        <w:tc>
          <w:tcPr>
            <w:tcW w:w="3539" w:type="dxa"/>
            <w:tcBorders>
              <w:bottom w:val="single" w:sz="4" w:space="0" w:color="auto"/>
              <w:right w:val="single" w:sz="4" w:space="0" w:color="auto"/>
            </w:tcBorders>
            <w:shd w:val="clear" w:color="auto" w:fill="auto"/>
            <w:noWrap/>
            <w:vAlign w:val="bottom"/>
            <w:hideMark/>
          </w:tcPr>
          <w:p w14:paraId="3029D02D" w14:textId="77777777" w:rsidR="00AA5608" w:rsidRPr="008321E4" w:rsidRDefault="00AA5608" w:rsidP="000E494A">
            <w:pPr>
              <w:ind w:firstLineChars="200" w:firstLine="360"/>
              <w:rPr>
                <w:rFonts w:eastAsia="Times New Roman" w:cs="Arial"/>
                <w:color w:val="000000"/>
                <w:sz w:val="18"/>
                <w:szCs w:val="18"/>
                <w:lang w:eastAsia="en-GB"/>
              </w:rPr>
            </w:pPr>
            <w:r w:rsidRPr="008321E4">
              <w:rPr>
                <w:rFonts w:eastAsia="Times New Roman" w:cs="Arial"/>
                <w:color w:val="000000"/>
                <w:sz w:val="18"/>
                <w:szCs w:val="18"/>
                <w:lang w:eastAsia="en-GB"/>
              </w:rPr>
              <w:t>2+</w:t>
            </w:r>
          </w:p>
        </w:tc>
        <w:tc>
          <w:tcPr>
            <w:tcW w:w="1666" w:type="dxa"/>
            <w:tcBorders>
              <w:left w:val="single" w:sz="4" w:space="0" w:color="auto"/>
              <w:bottom w:val="single" w:sz="4" w:space="0" w:color="auto"/>
            </w:tcBorders>
            <w:shd w:val="clear" w:color="auto" w:fill="auto"/>
            <w:noWrap/>
            <w:vAlign w:val="bottom"/>
            <w:hideMark/>
          </w:tcPr>
          <w:p w14:paraId="4F24267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191 (2.1%)</w:t>
            </w:r>
          </w:p>
        </w:tc>
        <w:tc>
          <w:tcPr>
            <w:tcW w:w="1667" w:type="dxa"/>
            <w:tcBorders>
              <w:bottom w:val="single" w:sz="4" w:space="0" w:color="auto"/>
            </w:tcBorders>
            <w:shd w:val="clear" w:color="auto" w:fill="auto"/>
            <w:noWrap/>
            <w:vAlign w:val="bottom"/>
            <w:hideMark/>
          </w:tcPr>
          <w:p w14:paraId="38E46E1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879 (7.7%)</w:t>
            </w:r>
          </w:p>
        </w:tc>
        <w:tc>
          <w:tcPr>
            <w:tcW w:w="1667" w:type="dxa"/>
            <w:tcBorders>
              <w:bottom w:val="single" w:sz="4" w:space="0" w:color="auto"/>
              <w:right w:val="single" w:sz="4" w:space="0" w:color="auto"/>
            </w:tcBorders>
            <w:shd w:val="clear" w:color="auto" w:fill="auto"/>
            <w:noWrap/>
            <w:vAlign w:val="bottom"/>
            <w:hideMark/>
          </w:tcPr>
          <w:p w14:paraId="2E600714"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1,070 (5.2%)</w:t>
            </w:r>
          </w:p>
        </w:tc>
        <w:tc>
          <w:tcPr>
            <w:tcW w:w="1667" w:type="dxa"/>
            <w:tcBorders>
              <w:left w:val="single" w:sz="4" w:space="0" w:color="auto"/>
              <w:bottom w:val="single" w:sz="4" w:space="0" w:color="auto"/>
            </w:tcBorders>
            <w:shd w:val="clear" w:color="auto" w:fill="auto"/>
            <w:noWrap/>
            <w:vAlign w:val="bottom"/>
            <w:hideMark/>
          </w:tcPr>
          <w:p w14:paraId="34FC4FE0"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205 (2.3%)</w:t>
            </w:r>
          </w:p>
        </w:tc>
        <w:tc>
          <w:tcPr>
            <w:tcW w:w="1667" w:type="dxa"/>
            <w:tcBorders>
              <w:bottom w:val="single" w:sz="4" w:space="0" w:color="auto"/>
            </w:tcBorders>
            <w:shd w:val="clear" w:color="auto" w:fill="auto"/>
            <w:noWrap/>
            <w:vAlign w:val="bottom"/>
            <w:hideMark/>
          </w:tcPr>
          <w:p w14:paraId="4E911466"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1,949 (7.0%)</w:t>
            </w:r>
          </w:p>
        </w:tc>
        <w:tc>
          <w:tcPr>
            <w:tcW w:w="1667" w:type="dxa"/>
            <w:tcBorders>
              <w:bottom w:val="single" w:sz="4" w:space="0" w:color="auto"/>
            </w:tcBorders>
            <w:shd w:val="clear" w:color="auto" w:fill="auto"/>
            <w:noWrap/>
            <w:vAlign w:val="bottom"/>
            <w:hideMark/>
          </w:tcPr>
          <w:p w14:paraId="2EC86698" w14:textId="77777777" w:rsidR="00AA5608" w:rsidRPr="008321E4" w:rsidRDefault="00AA5608" w:rsidP="000E494A">
            <w:pPr>
              <w:jc w:val="right"/>
              <w:rPr>
                <w:rFonts w:eastAsia="Times New Roman" w:cs="Arial"/>
                <w:color w:val="000000"/>
                <w:sz w:val="18"/>
                <w:szCs w:val="18"/>
                <w:lang w:eastAsia="en-GB"/>
              </w:rPr>
            </w:pPr>
            <w:r w:rsidRPr="008321E4">
              <w:rPr>
                <w:rFonts w:eastAsia="Times New Roman" w:cs="Arial"/>
                <w:color w:val="000000"/>
                <w:sz w:val="18"/>
                <w:szCs w:val="18"/>
                <w:lang w:eastAsia="en-GB"/>
              </w:rPr>
              <w:t>2,154 (5.8%)</w:t>
            </w:r>
          </w:p>
        </w:tc>
      </w:tr>
    </w:tbl>
    <w:p w14:paraId="09E5C01E" w14:textId="77777777" w:rsidR="00AA5608" w:rsidRPr="008321E4" w:rsidRDefault="00AA5608" w:rsidP="00AA5608">
      <w:pPr>
        <w:pStyle w:val="NoSpacing"/>
        <w:sectPr w:rsidR="00AA5608" w:rsidRPr="008321E4" w:rsidSect="00AA5608">
          <w:pgSz w:w="16838" w:h="11906" w:orient="landscape"/>
          <w:pgMar w:top="1440" w:right="1440" w:bottom="1440" w:left="1440" w:header="709" w:footer="709" w:gutter="0"/>
          <w:cols w:space="708"/>
          <w:docGrid w:linePitch="360"/>
        </w:sectPr>
      </w:pPr>
    </w:p>
    <w:p w14:paraId="7599C4CC" w14:textId="77777777" w:rsidR="0029020C" w:rsidRDefault="0029020C" w:rsidP="0029020C">
      <w:pPr>
        <w:pStyle w:val="NoSpacing"/>
        <w:spacing w:line="360" w:lineRule="auto"/>
      </w:pPr>
      <w:bookmarkStart w:id="74" w:name="_Ref176789312"/>
      <w:r>
        <w:lastRenderedPageBreak/>
        <w:t>Building on fr</w:t>
      </w:r>
      <w:r w:rsidRPr="008A42AD">
        <w:t xml:space="preserve">om </w:t>
      </w:r>
      <w:r w:rsidRPr="008A42AD">
        <w:fldChar w:fldCharType="begin"/>
      </w:r>
      <w:r w:rsidRPr="008A42AD">
        <w:instrText xml:space="preserve"> REF _Ref176789092 \h  \* MERGEFORMAT </w:instrText>
      </w:r>
      <w:r w:rsidRPr="008A42AD">
        <w:fldChar w:fldCharType="separate"/>
      </w:r>
      <w:r w:rsidRPr="00367870">
        <w:t xml:space="preserve">Table </w:t>
      </w:r>
      <w:r w:rsidRPr="00367870">
        <w:rPr>
          <w:noProof/>
        </w:rPr>
        <w:t>3.4</w:t>
      </w:r>
      <w:r w:rsidRPr="00367870">
        <w:rPr>
          <w:noProof/>
        </w:rPr>
        <w:noBreakHyphen/>
        <w:t>1</w:t>
      </w:r>
      <w:r w:rsidRPr="008A42AD">
        <w:fldChar w:fldCharType="end"/>
      </w:r>
      <w:r w:rsidRPr="008A42AD">
        <w:t xml:space="preserve">, </w:t>
      </w:r>
      <w:r w:rsidRPr="008A42AD">
        <w:fldChar w:fldCharType="begin"/>
      </w:r>
      <w:r w:rsidRPr="008A42AD">
        <w:instrText xml:space="preserve"> REF _Ref176789312 \h  \* MERGEFORMAT </w:instrText>
      </w:r>
      <w:r w:rsidRPr="008A42AD">
        <w:fldChar w:fldCharType="separate"/>
      </w:r>
      <w:r w:rsidRPr="00367870">
        <w:t xml:space="preserve">Table </w:t>
      </w:r>
      <w:r w:rsidRPr="00367870">
        <w:rPr>
          <w:noProof/>
        </w:rPr>
        <w:t>3.4</w:t>
      </w:r>
      <w:r w:rsidRPr="00367870">
        <w:rPr>
          <w:noProof/>
        </w:rPr>
        <w:noBreakHyphen/>
        <w:t>2</w:t>
      </w:r>
      <w:r w:rsidRPr="008A42AD">
        <w:fldChar w:fldCharType="end"/>
      </w:r>
      <w:r w:rsidRPr="008A42AD">
        <w:t xml:space="preserve"> </w:t>
      </w:r>
      <w:r>
        <w:t xml:space="preserve">shows the strength of associations for LWC and NWC, adjusted for baseline characteristics. Among mothers, the LWC subgroup were less likely to be of no fixed abode (aOR=0.14, 95% CI:0.11,0.19, p&lt;0.001), to be injecting (aOR=0.21, 95% CI: 0.16,0.26, p&lt;0.001), or to have a criminal justice referral (aOR=0.31, 95% CI:0.26,0.37, p&lt;0.001) than mothers who were NWC. The same pattern was observed among fathers, although adjusted odds ratios were higher than those observed for mothers. </w:t>
      </w:r>
    </w:p>
    <w:p w14:paraId="271FC484" w14:textId="77777777" w:rsidR="0029020C" w:rsidRDefault="0029020C" w:rsidP="0029020C">
      <w:pPr>
        <w:pStyle w:val="NoSpacing"/>
        <w:spacing w:line="360" w:lineRule="auto"/>
      </w:pPr>
    </w:p>
    <w:p w14:paraId="08C2BFEB" w14:textId="77777777" w:rsidR="0029020C" w:rsidRDefault="0029020C" w:rsidP="0029020C">
      <w:pPr>
        <w:pStyle w:val="NoSpacing"/>
        <w:spacing w:line="360" w:lineRule="auto"/>
      </w:pPr>
      <w:r>
        <w:t>Mothers who were LWC were less likely to have a mental health problem than mothers who were NWC (aOR=0.81, 95% CI:0.75,0.87, p&lt;0.001), as were fathers who were LWC in comparison with fathers who were NWC (aOR=0.77, 95% CI:0.72,0.82, p&lt;0.001).</w:t>
      </w:r>
    </w:p>
    <w:p w14:paraId="77C3ED79" w14:textId="77777777" w:rsidR="0029020C" w:rsidRDefault="0029020C" w:rsidP="00293E75">
      <w:pPr>
        <w:pStyle w:val="Caption"/>
        <w:rPr>
          <w:b w:val="0"/>
          <w:bCs w:val="0"/>
          <w:i/>
          <w:iCs/>
          <w:color w:val="auto"/>
          <w:sz w:val="24"/>
          <w:szCs w:val="24"/>
        </w:rPr>
      </w:pPr>
    </w:p>
    <w:p w14:paraId="1CED5678" w14:textId="77777777" w:rsidR="0029020C" w:rsidRDefault="0029020C" w:rsidP="00293E75">
      <w:pPr>
        <w:pStyle w:val="Caption"/>
        <w:rPr>
          <w:b w:val="0"/>
          <w:bCs w:val="0"/>
          <w:i/>
          <w:iCs/>
          <w:color w:val="auto"/>
          <w:sz w:val="24"/>
          <w:szCs w:val="24"/>
        </w:rPr>
      </w:pPr>
    </w:p>
    <w:p w14:paraId="4E07E543" w14:textId="1D3F3552" w:rsidR="00AA5608" w:rsidRPr="00293E75" w:rsidRDefault="003544A3" w:rsidP="00293E75">
      <w:pPr>
        <w:pStyle w:val="Caption"/>
        <w:rPr>
          <w:rFonts w:cs="Arial"/>
          <w:b w:val="0"/>
          <w:bCs w:val="0"/>
          <w:i/>
          <w:iCs/>
          <w:color w:val="auto"/>
          <w:sz w:val="24"/>
          <w:szCs w:val="24"/>
        </w:rPr>
      </w:pPr>
      <w:bookmarkStart w:id="75" w:name="_Toc185844990"/>
      <w:r>
        <w:rPr>
          <w:b w:val="0"/>
          <w:bCs w:val="0"/>
          <w:i/>
          <w:iCs/>
          <w:color w:val="auto"/>
          <w:sz w:val="24"/>
          <w:szCs w:val="24"/>
        </w:rPr>
        <w:t>Table</w:t>
      </w:r>
      <w:r w:rsidR="00293E75" w:rsidRPr="00293E75">
        <w:rPr>
          <w:b w:val="0"/>
          <w:bCs w:val="0"/>
          <w:i/>
          <w:iCs/>
          <w:color w:val="auto"/>
          <w:sz w:val="24"/>
          <w:szCs w:val="24"/>
        </w:rPr>
        <w:t xml:space="preserv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3.4</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2</w:t>
      </w:r>
      <w:r w:rsidR="00367870">
        <w:rPr>
          <w:b w:val="0"/>
          <w:bCs w:val="0"/>
          <w:i/>
          <w:iCs/>
          <w:color w:val="auto"/>
          <w:sz w:val="24"/>
          <w:szCs w:val="24"/>
        </w:rPr>
        <w:fldChar w:fldCharType="end"/>
      </w:r>
      <w:bookmarkEnd w:id="74"/>
      <w:r w:rsidR="00AA5608" w:rsidRPr="00293E75">
        <w:rPr>
          <w:rFonts w:cs="Arial"/>
          <w:b w:val="0"/>
          <w:bCs w:val="0"/>
          <w:i/>
          <w:iCs/>
          <w:color w:val="auto"/>
          <w:sz w:val="24"/>
          <w:szCs w:val="24"/>
        </w:rPr>
        <w:tab/>
        <w:t xml:space="preserve">Baseline characteristics broken down by sex and child living </w:t>
      </w:r>
      <w:r w:rsidR="00AA5608" w:rsidRPr="00293E75">
        <w:rPr>
          <w:rFonts w:cs="Arial"/>
          <w:b w:val="0"/>
          <w:bCs w:val="0"/>
          <w:i/>
          <w:iCs/>
          <w:color w:val="auto"/>
          <w:sz w:val="24"/>
          <w:szCs w:val="24"/>
        </w:rPr>
        <w:tab/>
      </w:r>
      <w:r w:rsidR="00AA5608" w:rsidRPr="00293E75">
        <w:rPr>
          <w:rFonts w:cs="Arial"/>
          <w:b w:val="0"/>
          <w:bCs w:val="0"/>
          <w:i/>
          <w:iCs/>
          <w:color w:val="auto"/>
          <w:sz w:val="24"/>
          <w:szCs w:val="24"/>
        </w:rPr>
        <w:tab/>
      </w:r>
      <w:r w:rsidR="00AA5608" w:rsidRPr="00293E75">
        <w:rPr>
          <w:rFonts w:cs="Arial"/>
          <w:b w:val="0"/>
          <w:bCs w:val="0"/>
          <w:i/>
          <w:iCs/>
          <w:color w:val="auto"/>
          <w:sz w:val="24"/>
          <w:szCs w:val="24"/>
        </w:rPr>
        <w:tab/>
      </w:r>
      <w:r w:rsidR="00AA5608" w:rsidRPr="00293E75">
        <w:rPr>
          <w:rFonts w:cs="Arial"/>
          <w:b w:val="0"/>
          <w:bCs w:val="0"/>
          <w:i/>
          <w:iCs/>
          <w:color w:val="auto"/>
          <w:sz w:val="24"/>
          <w:szCs w:val="24"/>
        </w:rPr>
        <w:tab/>
        <w:t>arrangements (n=44,473)</w:t>
      </w:r>
      <w:bookmarkEnd w:id="75"/>
    </w:p>
    <w:p w14:paraId="1FF3152E" w14:textId="77777777" w:rsidR="00AA5608" w:rsidRPr="00D26CCE" w:rsidRDefault="00AA5608" w:rsidP="00AA5608">
      <w:pPr>
        <w:pStyle w:val="NoSpacing"/>
      </w:pPr>
    </w:p>
    <w:tbl>
      <w:tblPr>
        <w:tblW w:w="0" w:type="auto"/>
        <w:tblBorders>
          <w:bottom w:val="single" w:sz="4" w:space="0" w:color="auto"/>
        </w:tblBorders>
        <w:tblLook w:val="04A0" w:firstRow="1" w:lastRow="0" w:firstColumn="1" w:lastColumn="0" w:noHBand="0" w:noVBand="1"/>
      </w:tblPr>
      <w:tblGrid>
        <w:gridCol w:w="3251"/>
        <w:gridCol w:w="1640"/>
        <w:gridCol w:w="945"/>
        <w:gridCol w:w="1640"/>
        <w:gridCol w:w="945"/>
      </w:tblGrid>
      <w:tr w:rsidR="00AA5608" w:rsidRPr="00612227" w14:paraId="100E1B41" w14:textId="77777777" w:rsidTr="000E494A">
        <w:trPr>
          <w:trHeight w:val="300"/>
        </w:trPr>
        <w:tc>
          <w:tcPr>
            <w:tcW w:w="0" w:type="auto"/>
            <w:vMerge w:val="restart"/>
            <w:tcBorders>
              <w:bottom w:val="nil"/>
              <w:right w:val="single" w:sz="4" w:space="0" w:color="auto"/>
            </w:tcBorders>
            <w:shd w:val="clear" w:color="auto" w:fill="auto"/>
            <w:noWrap/>
            <w:vAlign w:val="center"/>
            <w:hideMark/>
          </w:tcPr>
          <w:p w14:paraId="4B805762" w14:textId="77777777" w:rsidR="00AA5608" w:rsidRPr="00612227" w:rsidRDefault="00AA5608" w:rsidP="000E494A">
            <w:pPr>
              <w:rPr>
                <w:rFonts w:eastAsia="Times New Roman" w:cs="Arial"/>
                <w:color w:val="000000"/>
                <w:sz w:val="20"/>
                <w:szCs w:val="20"/>
                <w:lang w:eastAsia="en-GB"/>
              </w:rPr>
            </w:pPr>
            <w:r w:rsidRPr="00612227">
              <w:rPr>
                <w:rFonts w:eastAsia="Times New Roman" w:cs="Arial"/>
                <w:color w:val="000000"/>
                <w:sz w:val="20"/>
                <w:szCs w:val="20"/>
                <w:lang w:eastAsia="en-GB"/>
              </w:rPr>
              <w:t>Baseline characteristics</w:t>
            </w:r>
          </w:p>
        </w:tc>
        <w:tc>
          <w:tcPr>
            <w:tcW w:w="0" w:type="auto"/>
            <w:gridSpan w:val="2"/>
            <w:tcBorders>
              <w:left w:val="single" w:sz="4" w:space="0" w:color="auto"/>
              <w:bottom w:val="nil"/>
            </w:tcBorders>
            <w:shd w:val="clear" w:color="auto" w:fill="auto"/>
            <w:vAlign w:val="center"/>
            <w:hideMark/>
          </w:tcPr>
          <w:p w14:paraId="15A523FE" w14:textId="62ECA62A" w:rsidR="00AA5608" w:rsidRPr="00612227" w:rsidRDefault="00AB7760" w:rsidP="000E494A">
            <w:pPr>
              <w:jc w:val="center"/>
              <w:rPr>
                <w:rFonts w:eastAsia="Times New Roman" w:cs="Arial"/>
                <w:color w:val="000000"/>
                <w:sz w:val="20"/>
                <w:szCs w:val="20"/>
                <w:lang w:eastAsia="en-GB"/>
              </w:rPr>
            </w:pPr>
            <w:r>
              <w:rPr>
                <w:rFonts w:eastAsia="Times New Roman" w:cs="Arial"/>
                <w:color w:val="000000"/>
                <w:sz w:val="20"/>
                <w:szCs w:val="20"/>
                <w:lang w:eastAsia="en-GB"/>
              </w:rPr>
              <w:t>Mothers</w:t>
            </w:r>
            <w:r w:rsidR="00AA5608" w:rsidRPr="00612227">
              <w:rPr>
                <w:rFonts w:eastAsia="Times New Roman" w:cs="Arial"/>
                <w:color w:val="000000"/>
                <w:sz w:val="20"/>
                <w:szCs w:val="20"/>
                <w:lang w:eastAsia="en-GB"/>
              </w:rPr>
              <w:t xml:space="preserve"> (n=15,726)</w:t>
            </w:r>
          </w:p>
        </w:tc>
        <w:tc>
          <w:tcPr>
            <w:tcW w:w="0" w:type="auto"/>
            <w:gridSpan w:val="2"/>
            <w:tcBorders>
              <w:bottom w:val="nil"/>
            </w:tcBorders>
            <w:shd w:val="clear" w:color="auto" w:fill="auto"/>
            <w:vAlign w:val="center"/>
            <w:hideMark/>
          </w:tcPr>
          <w:p w14:paraId="7B62957F" w14:textId="3957EFF9" w:rsidR="00AA5608" w:rsidRPr="00612227" w:rsidRDefault="00AB7760" w:rsidP="000E494A">
            <w:pPr>
              <w:jc w:val="center"/>
              <w:rPr>
                <w:rFonts w:eastAsia="Times New Roman" w:cs="Arial"/>
                <w:color w:val="000000"/>
                <w:sz w:val="20"/>
                <w:szCs w:val="20"/>
                <w:lang w:eastAsia="en-GB"/>
              </w:rPr>
            </w:pPr>
            <w:r>
              <w:rPr>
                <w:rFonts w:eastAsia="Times New Roman" w:cs="Arial"/>
                <w:color w:val="000000"/>
                <w:sz w:val="20"/>
                <w:szCs w:val="20"/>
                <w:lang w:eastAsia="en-GB"/>
              </w:rPr>
              <w:t>Fathers</w:t>
            </w:r>
            <w:r w:rsidR="00AA5608" w:rsidRPr="00612227">
              <w:rPr>
                <w:rFonts w:eastAsia="Times New Roman" w:cs="Arial"/>
                <w:color w:val="000000"/>
                <w:sz w:val="20"/>
                <w:szCs w:val="20"/>
                <w:lang w:eastAsia="en-GB"/>
              </w:rPr>
              <w:t xml:space="preserve"> (n=28,747)</w:t>
            </w:r>
          </w:p>
        </w:tc>
      </w:tr>
      <w:tr w:rsidR="00AA5608" w:rsidRPr="00612227" w14:paraId="121436A3" w14:textId="77777777" w:rsidTr="3C22E001">
        <w:trPr>
          <w:trHeight w:val="300"/>
        </w:trPr>
        <w:tc>
          <w:tcPr>
            <w:tcW w:w="0" w:type="auto"/>
            <w:vMerge/>
            <w:vAlign w:val="center"/>
            <w:hideMark/>
          </w:tcPr>
          <w:p w14:paraId="083858AB" w14:textId="77777777" w:rsidR="00AA5608" w:rsidRPr="00612227" w:rsidRDefault="00AA5608" w:rsidP="000E494A">
            <w:pPr>
              <w:rPr>
                <w:rFonts w:eastAsia="Times New Roman" w:cs="Arial"/>
                <w:color w:val="000000"/>
                <w:sz w:val="20"/>
                <w:szCs w:val="20"/>
                <w:lang w:eastAsia="en-GB"/>
              </w:rPr>
            </w:pPr>
          </w:p>
        </w:tc>
        <w:tc>
          <w:tcPr>
            <w:tcW w:w="0" w:type="auto"/>
            <w:gridSpan w:val="2"/>
            <w:tcBorders>
              <w:left w:val="single" w:sz="4" w:space="0" w:color="auto"/>
              <w:bottom w:val="nil"/>
            </w:tcBorders>
            <w:shd w:val="clear" w:color="auto" w:fill="auto"/>
            <w:vAlign w:val="center"/>
            <w:hideMark/>
          </w:tcPr>
          <w:p w14:paraId="74AE599B" w14:textId="77777777" w:rsidR="00AA5608" w:rsidRPr="00612227" w:rsidRDefault="00AA5608" w:rsidP="000E494A">
            <w:pPr>
              <w:jc w:val="center"/>
              <w:rPr>
                <w:rFonts w:eastAsia="Times New Roman" w:cs="Arial"/>
                <w:color w:val="000000"/>
                <w:sz w:val="20"/>
                <w:szCs w:val="20"/>
                <w:lang w:eastAsia="en-GB"/>
              </w:rPr>
            </w:pPr>
            <w:r>
              <w:rPr>
                <w:rFonts w:eastAsia="Times New Roman" w:cs="Arial"/>
                <w:color w:val="000000"/>
                <w:sz w:val="20"/>
                <w:szCs w:val="20"/>
                <w:lang w:eastAsia="en-GB"/>
              </w:rPr>
              <w:t>N</w:t>
            </w:r>
            <w:r w:rsidRPr="00612227">
              <w:rPr>
                <w:rFonts w:eastAsia="Times New Roman" w:cs="Arial"/>
                <w:color w:val="000000"/>
                <w:sz w:val="20"/>
                <w:szCs w:val="20"/>
                <w:lang w:eastAsia="en-GB"/>
              </w:rPr>
              <w:t>WC = reference case</w:t>
            </w:r>
          </w:p>
        </w:tc>
        <w:tc>
          <w:tcPr>
            <w:tcW w:w="0" w:type="auto"/>
            <w:gridSpan w:val="2"/>
            <w:tcBorders>
              <w:bottom w:val="nil"/>
            </w:tcBorders>
            <w:shd w:val="clear" w:color="auto" w:fill="auto"/>
            <w:vAlign w:val="center"/>
            <w:hideMark/>
          </w:tcPr>
          <w:p w14:paraId="5FB08611" w14:textId="77777777" w:rsidR="00AA5608" w:rsidRPr="00612227" w:rsidRDefault="00AA5608" w:rsidP="000E494A">
            <w:pPr>
              <w:jc w:val="center"/>
              <w:rPr>
                <w:rFonts w:eastAsia="Times New Roman" w:cs="Arial"/>
                <w:color w:val="000000"/>
                <w:sz w:val="20"/>
                <w:szCs w:val="20"/>
                <w:lang w:eastAsia="en-GB"/>
              </w:rPr>
            </w:pPr>
            <w:r>
              <w:rPr>
                <w:rFonts w:eastAsia="Times New Roman" w:cs="Arial"/>
                <w:color w:val="000000"/>
                <w:sz w:val="20"/>
                <w:szCs w:val="20"/>
                <w:lang w:eastAsia="en-GB"/>
              </w:rPr>
              <w:t>N</w:t>
            </w:r>
            <w:r w:rsidRPr="00612227">
              <w:rPr>
                <w:rFonts w:eastAsia="Times New Roman" w:cs="Arial"/>
                <w:color w:val="000000"/>
                <w:sz w:val="20"/>
                <w:szCs w:val="20"/>
                <w:lang w:eastAsia="en-GB"/>
              </w:rPr>
              <w:t>WC = reference case</w:t>
            </w:r>
          </w:p>
        </w:tc>
      </w:tr>
      <w:tr w:rsidR="00AA5608" w:rsidRPr="00612227" w14:paraId="75931AFF" w14:textId="77777777" w:rsidTr="3C22E001">
        <w:trPr>
          <w:trHeight w:val="300"/>
        </w:trPr>
        <w:tc>
          <w:tcPr>
            <w:tcW w:w="0" w:type="auto"/>
            <w:vMerge/>
            <w:vAlign w:val="center"/>
            <w:hideMark/>
          </w:tcPr>
          <w:p w14:paraId="2C80B361" w14:textId="77777777" w:rsidR="00AA5608" w:rsidRPr="00612227" w:rsidRDefault="00AA5608" w:rsidP="007E1B3B">
            <w:pPr>
              <w:jc w:val="center"/>
              <w:rPr>
                <w:rFonts w:eastAsia="Times New Roman" w:cs="Arial"/>
                <w:color w:val="000000"/>
                <w:sz w:val="20"/>
                <w:szCs w:val="20"/>
                <w:lang w:eastAsia="en-GB"/>
              </w:rPr>
            </w:pPr>
          </w:p>
        </w:tc>
        <w:tc>
          <w:tcPr>
            <w:tcW w:w="0" w:type="auto"/>
            <w:tcBorders>
              <w:left w:val="single" w:sz="4" w:space="0" w:color="auto"/>
              <w:bottom w:val="nil"/>
            </w:tcBorders>
            <w:shd w:val="clear" w:color="auto" w:fill="auto"/>
            <w:vAlign w:val="bottom"/>
            <w:hideMark/>
          </w:tcPr>
          <w:p w14:paraId="606E5180" w14:textId="77777777" w:rsidR="00AA5608" w:rsidRPr="00612227" w:rsidRDefault="00AA5608" w:rsidP="000E494A">
            <w:pPr>
              <w:jc w:val="right"/>
              <w:rPr>
                <w:rFonts w:eastAsia="Times New Roman" w:cs="Arial"/>
                <w:color w:val="000000"/>
                <w:sz w:val="20"/>
                <w:szCs w:val="20"/>
                <w:lang w:eastAsia="en-GB"/>
              </w:rPr>
            </w:pPr>
            <w:r w:rsidRPr="3C22E001">
              <w:rPr>
                <w:rFonts w:eastAsia="Times New Roman" w:cs="Arial"/>
                <w:color w:val="000000" w:themeColor="text1"/>
                <w:sz w:val="20"/>
                <w:szCs w:val="20"/>
                <w:lang w:eastAsia="en-GB"/>
              </w:rPr>
              <w:t>aOR (95% CI)</w:t>
            </w:r>
          </w:p>
        </w:tc>
        <w:tc>
          <w:tcPr>
            <w:tcW w:w="0" w:type="auto"/>
            <w:tcBorders>
              <w:bottom w:val="nil"/>
            </w:tcBorders>
            <w:shd w:val="clear" w:color="auto" w:fill="auto"/>
            <w:noWrap/>
            <w:vAlign w:val="bottom"/>
            <w:hideMark/>
          </w:tcPr>
          <w:p w14:paraId="03397D5C"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Sig.</w:t>
            </w:r>
          </w:p>
        </w:tc>
        <w:tc>
          <w:tcPr>
            <w:tcW w:w="0" w:type="auto"/>
            <w:tcBorders>
              <w:bottom w:val="nil"/>
            </w:tcBorders>
            <w:shd w:val="clear" w:color="auto" w:fill="auto"/>
            <w:vAlign w:val="bottom"/>
            <w:hideMark/>
          </w:tcPr>
          <w:p w14:paraId="4F8AEE70"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aOR (95% CI)</w:t>
            </w:r>
          </w:p>
        </w:tc>
        <w:tc>
          <w:tcPr>
            <w:tcW w:w="0" w:type="auto"/>
            <w:tcBorders>
              <w:bottom w:val="nil"/>
            </w:tcBorders>
            <w:shd w:val="clear" w:color="auto" w:fill="auto"/>
            <w:noWrap/>
            <w:vAlign w:val="bottom"/>
            <w:hideMark/>
          </w:tcPr>
          <w:p w14:paraId="1FEA2B7D"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Sig.</w:t>
            </w:r>
          </w:p>
        </w:tc>
      </w:tr>
      <w:tr w:rsidR="00AA5608" w:rsidRPr="00612227" w14:paraId="673705CF" w14:textId="77777777" w:rsidTr="000E494A">
        <w:trPr>
          <w:trHeight w:val="300"/>
        </w:trPr>
        <w:tc>
          <w:tcPr>
            <w:tcW w:w="0" w:type="auto"/>
            <w:tcBorders>
              <w:bottom w:val="single" w:sz="4" w:space="0" w:color="auto"/>
              <w:right w:val="single" w:sz="4" w:space="0" w:color="auto"/>
            </w:tcBorders>
            <w:shd w:val="clear" w:color="auto" w:fill="auto"/>
            <w:noWrap/>
            <w:vAlign w:val="bottom"/>
            <w:hideMark/>
          </w:tcPr>
          <w:p w14:paraId="277F9882" w14:textId="77777777" w:rsidR="00AA5608" w:rsidRPr="00612227" w:rsidRDefault="00AA5608" w:rsidP="000E494A">
            <w:pPr>
              <w:jc w:val="right"/>
              <w:rPr>
                <w:rFonts w:eastAsia="Times New Roman" w:cs="Arial"/>
                <w:color w:val="000000"/>
                <w:sz w:val="20"/>
                <w:szCs w:val="20"/>
                <w:lang w:eastAsia="en-GB"/>
              </w:rPr>
            </w:pPr>
          </w:p>
        </w:tc>
        <w:tc>
          <w:tcPr>
            <w:tcW w:w="0" w:type="auto"/>
            <w:tcBorders>
              <w:left w:val="single" w:sz="4" w:space="0" w:color="auto"/>
              <w:bottom w:val="single" w:sz="4" w:space="0" w:color="auto"/>
            </w:tcBorders>
            <w:shd w:val="clear" w:color="auto" w:fill="auto"/>
            <w:noWrap/>
            <w:vAlign w:val="center"/>
            <w:hideMark/>
          </w:tcPr>
          <w:p w14:paraId="650A6E0B"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tcBorders>
              <w:bottom w:val="single" w:sz="4" w:space="0" w:color="auto"/>
            </w:tcBorders>
            <w:shd w:val="clear" w:color="auto" w:fill="auto"/>
            <w:noWrap/>
            <w:vAlign w:val="center"/>
            <w:hideMark/>
          </w:tcPr>
          <w:p w14:paraId="5C2C8C63"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tcBorders>
              <w:bottom w:val="single" w:sz="4" w:space="0" w:color="auto"/>
            </w:tcBorders>
            <w:shd w:val="clear" w:color="auto" w:fill="auto"/>
            <w:noWrap/>
            <w:vAlign w:val="bottom"/>
            <w:hideMark/>
          </w:tcPr>
          <w:p w14:paraId="34129D7D"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tcBorders>
              <w:bottom w:val="single" w:sz="4" w:space="0" w:color="auto"/>
            </w:tcBorders>
            <w:shd w:val="clear" w:color="auto" w:fill="auto"/>
            <w:noWrap/>
            <w:vAlign w:val="bottom"/>
            <w:hideMark/>
          </w:tcPr>
          <w:p w14:paraId="493090FD" w14:textId="77777777" w:rsidR="00AA5608" w:rsidRPr="00612227" w:rsidRDefault="00AA5608" w:rsidP="000E494A">
            <w:pPr>
              <w:jc w:val="right"/>
              <w:rPr>
                <w:rFonts w:ascii="Times New Roman" w:eastAsia="Times New Roman" w:hAnsi="Times New Roman" w:cs="Times New Roman"/>
                <w:sz w:val="20"/>
                <w:szCs w:val="20"/>
                <w:lang w:eastAsia="en-GB"/>
              </w:rPr>
            </w:pPr>
          </w:p>
        </w:tc>
      </w:tr>
      <w:tr w:rsidR="00AA5608" w:rsidRPr="00612227" w14:paraId="55EC5944" w14:textId="77777777" w:rsidTr="000E494A">
        <w:trPr>
          <w:trHeight w:val="300"/>
        </w:trPr>
        <w:tc>
          <w:tcPr>
            <w:tcW w:w="0" w:type="auto"/>
            <w:tcBorders>
              <w:top w:val="single" w:sz="4" w:space="0" w:color="auto"/>
              <w:right w:val="single" w:sz="4" w:space="0" w:color="auto"/>
            </w:tcBorders>
            <w:shd w:val="clear" w:color="auto" w:fill="auto"/>
            <w:noWrap/>
            <w:vAlign w:val="bottom"/>
            <w:hideMark/>
          </w:tcPr>
          <w:p w14:paraId="44E6D67A" w14:textId="77777777" w:rsidR="00AA5608" w:rsidRPr="00612227" w:rsidRDefault="00AA5608" w:rsidP="000E494A">
            <w:pPr>
              <w:rPr>
                <w:rFonts w:eastAsia="Times New Roman" w:cs="Arial"/>
                <w:i/>
                <w:iCs/>
                <w:color w:val="000000"/>
                <w:sz w:val="20"/>
                <w:szCs w:val="20"/>
                <w:lang w:eastAsia="en-GB"/>
              </w:rPr>
            </w:pPr>
            <w:r w:rsidRPr="00612227">
              <w:rPr>
                <w:rFonts w:eastAsia="Times New Roman" w:cs="Arial"/>
                <w:i/>
                <w:iCs/>
                <w:color w:val="000000"/>
                <w:sz w:val="20"/>
                <w:szCs w:val="20"/>
                <w:lang w:eastAsia="en-GB"/>
              </w:rPr>
              <w:t>Socio-demographic</w:t>
            </w:r>
          </w:p>
        </w:tc>
        <w:tc>
          <w:tcPr>
            <w:tcW w:w="0" w:type="auto"/>
            <w:tcBorders>
              <w:top w:val="single" w:sz="4" w:space="0" w:color="auto"/>
              <w:left w:val="single" w:sz="4" w:space="0" w:color="auto"/>
            </w:tcBorders>
            <w:shd w:val="clear" w:color="auto" w:fill="auto"/>
            <w:noWrap/>
            <w:vAlign w:val="center"/>
            <w:hideMark/>
          </w:tcPr>
          <w:p w14:paraId="66BEDEF5" w14:textId="77777777" w:rsidR="00AA5608" w:rsidRPr="00612227" w:rsidRDefault="00AA5608" w:rsidP="000E494A">
            <w:pPr>
              <w:rPr>
                <w:rFonts w:eastAsia="Times New Roman" w:cs="Arial"/>
                <w:i/>
                <w:iCs/>
                <w:color w:val="000000"/>
                <w:sz w:val="20"/>
                <w:szCs w:val="20"/>
                <w:lang w:eastAsia="en-GB"/>
              </w:rPr>
            </w:pPr>
          </w:p>
        </w:tc>
        <w:tc>
          <w:tcPr>
            <w:tcW w:w="0" w:type="auto"/>
            <w:tcBorders>
              <w:top w:val="single" w:sz="4" w:space="0" w:color="auto"/>
            </w:tcBorders>
            <w:shd w:val="clear" w:color="auto" w:fill="auto"/>
            <w:noWrap/>
            <w:vAlign w:val="center"/>
            <w:hideMark/>
          </w:tcPr>
          <w:p w14:paraId="437C58A3"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tcBorders>
              <w:top w:val="single" w:sz="4" w:space="0" w:color="auto"/>
            </w:tcBorders>
            <w:shd w:val="clear" w:color="auto" w:fill="auto"/>
            <w:noWrap/>
            <w:vAlign w:val="bottom"/>
            <w:hideMark/>
          </w:tcPr>
          <w:p w14:paraId="146133D1"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tcBorders>
              <w:top w:val="single" w:sz="4" w:space="0" w:color="auto"/>
            </w:tcBorders>
            <w:shd w:val="clear" w:color="auto" w:fill="auto"/>
            <w:noWrap/>
            <w:vAlign w:val="bottom"/>
            <w:hideMark/>
          </w:tcPr>
          <w:p w14:paraId="700DA127" w14:textId="77777777" w:rsidR="00AA5608" w:rsidRPr="00612227" w:rsidRDefault="00AA5608" w:rsidP="000E494A">
            <w:pPr>
              <w:jc w:val="right"/>
              <w:rPr>
                <w:rFonts w:ascii="Times New Roman" w:eastAsia="Times New Roman" w:hAnsi="Times New Roman" w:cs="Times New Roman"/>
                <w:sz w:val="20"/>
                <w:szCs w:val="20"/>
                <w:lang w:eastAsia="en-GB"/>
              </w:rPr>
            </w:pPr>
          </w:p>
        </w:tc>
      </w:tr>
      <w:tr w:rsidR="00AA5608" w:rsidRPr="00612227" w14:paraId="6C3CD989" w14:textId="77777777" w:rsidTr="000E494A">
        <w:trPr>
          <w:trHeight w:val="300"/>
        </w:trPr>
        <w:tc>
          <w:tcPr>
            <w:tcW w:w="0" w:type="auto"/>
            <w:tcBorders>
              <w:right w:val="single" w:sz="4" w:space="0" w:color="auto"/>
            </w:tcBorders>
            <w:shd w:val="clear" w:color="auto" w:fill="auto"/>
            <w:noWrap/>
            <w:vAlign w:val="bottom"/>
            <w:hideMark/>
          </w:tcPr>
          <w:p w14:paraId="67296888" w14:textId="77777777" w:rsidR="00AA5608" w:rsidRPr="00612227" w:rsidRDefault="00AA5608" w:rsidP="000E494A">
            <w:pPr>
              <w:rPr>
                <w:rFonts w:eastAsia="Times New Roman" w:cs="Arial"/>
                <w:color w:val="000000"/>
                <w:sz w:val="20"/>
                <w:szCs w:val="20"/>
                <w:lang w:eastAsia="en-GB"/>
              </w:rPr>
            </w:pPr>
            <w:r w:rsidRPr="00612227">
              <w:rPr>
                <w:rFonts w:eastAsia="Times New Roman" w:cs="Arial"/>
                <w:color w:val="000000"/>
                <w:sz w:val="20"/>
                <w:szCs w:val="20"/>
                <w:lang w:eastAsia="en-GB"/>
              </w:rPr>
              <w:t>Age:</w:t>
            </w:r>
          </w:p>
        </w:tc>
        <w:tc>
          <w:tcPr>
            <w:tcW w:w="0" w:type="auto"/>
            <w:tcBorders>
              <w:left w:val="single" w:sz="4" w:space="0" w:color="auto"/>
            </w:tcBorders>
            <w:shd w:val="clear" w:color="auto" w:fill="auto"/>
            <w:noWrap/>
            <w:vAlign w:val="bottom"/>
            <w:hideMark/>
          </w:tcPr>
          <w:p w14:paraId="3A9C19A6" w14:textId="77777777" w:rsidR="00AA5608" w:rsidRPr="00612227" w:rsidRDefault="00AA5608" w:rsidP="000E494A">
            <w:pPr>
              <w:rPr>
                <w:rFonts w:eastAsia="Times New Roman" w:cs="Arial"/>
                <w:color w:val="000000"/>
                <w:sz w:val="20"/>
                <w:szCs w:val="20"/>
                <w:lang w:eastAsia="en-GB"/>
              </w:rPr>
            </w:pPr>
          </w:p>
        </w:tc>
        <w:tc>
          <w:tcPr>
            <w:tcW w:w="0" w:type="auto"/>
            <w:shd w:val="clear" w:color="auto" w:fill="auto"/>
            <w:noWrap/>
            <w:vAlign w:val="bottom"/>
            <w:hideMark/>
          </w:tcPr>
          <w:p w14:paraId="1190D2E5"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7BF749A5"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58D13075" w14:textId="77777777" w:rsidR="00AA5608" w:rsidRPr="00612227" w:rsidRDefault="00AA5608" w:rsidP="000E494A">
            <w:pPr>
              <w:jc w:val="right"/>
              <w:rPr>
                <w:rFonts w:ascii="Times New Roman" w:eastAsia="Times New Roman" w:hAnsi="Times New Roman" w:cs="Times New Roman"/>
                <w:sz w:val="20"/>
                <w:szCs w:val="20"/>
                <w:lang w:eastAsia="en-GB"/>
              </w:rPr>
            </w:pPr>
          </w:p>
        </w:tc>
      </w:tr>
      <w:tr w:rsidR="00AA5608" w:rsidRPr="00612227" w14:paraId="48B9209C" w14:textId="77777777" w:rsidTr="000E494A">
        <w:trPr>
          <w:trHeight w:val="300"/>
        </w:trPr>
        <w:tc>
          <w:tcPr>
            <w:tcW w:w="0" w:type="auto"/>
            <w:tcBorders>
              <w:right w:val="single" w:sz="4" w:space="0" w:color="auto"/>
            </w:tcBorders>
            <w:shd w:val="clear" w:color="auto" w:fill="auto"/>
            <w:noWrap/>
            <w:vAlign w:val="bottom"/>
            <w:hideMark/>
          </w:tcPr>
          <w:p w14:paraId="75723F39"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18-24</w:t>
            </w:r>
            <w:r>
              <w:rPr>
                <w:rFonts w:eastAsia="Times New Roman" w:cs="Arial"/>
                <w:color w:val="000000"/>
                <w:sz w:val="20"/>
                <w:szCs w:val="20"/>
                <w:lang w:eastAsia="en-GB"/>
              </w:rPr>
              <w:t>^</w:t>
            </w:r>
          </w:p>
        </w:tc>
        <w:tc>
          <w:tcPr>
            <w:tcW w:w="0" w:type="auto"/>
            <w:tcBorders>
              <w:left w:val="single" w:sz="4" w:space="0" w:color="auto"/>
            </w:tcBorders>
            <w:shd w:val="clear" w:color="auto" w:fill="auto"/>
            <w:noWrap/>
            <w:vAlign w:val="bottom"/>
            <w:hideMark/>
          </w:tcPr>
          <w:p w14:paraId="3AF0619F"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1.00</w:t>
            </w:r>
          </w:p>
        </w:tc>
        <w:tc>
          <w:tcPr>
            <w:tcW w:w="0" w:type="auto"/>
            <w:shd w:val="clear" w:color="auto" w:fill="auto"/>
            <w:noWrap/>
            <w:vAlign w:val="bottom"/>
            <w:hideMark/>
          </w:tcPr>
          <w:p w14:paraId="32DDEA9A" w14:textId="77777777" w:rsidR="00AA5608" w:rsidRPr="00612227" w:rsidRDefault="00AA5608" w:rsidP="000E494A">
            <w:pPr>
              <w:jc w:val="right"/>
              <w:rPr>
                <w:rFonts w:eastAsia="Times New Roman" w:cs="Arial"/>
                <w:color w:val="000000"/>
                <w:sz w:val="20"/>
                <w:szCs w:val="20"/>
                <w:lang w:eastAsia="en-GB"/>
              </w:rPr>
            </w:pPr>
          </w:p>
        </w:tc>
        <w:tc>
          <w:tcPr>
            <w:tcW w:w="0" w:type="auto"/>
            <w:shd w:val="clear" w:color="auto" w:fill="auto"/>
            <w:noWrap/>
            <w:vAlign w:val="bottom"/>
            <w:hideMark/>
          </w:tcPr>
          <w:p w14:paraId="067DE79F"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1.00</w:t>
            </w:r>
          </w:p>
        </w:tc>
        <w:tc>
          <w:tcPr>
            <w:tcW w:w="0" w:type="auto"/>
            <w:shd w:val="clear" w:color="auto" w:fill="auto"/>
            <w:noWrap/>
            <w:vAlign w:val="bottom"/>
            <w:hideMark/>
          </w:tcPr>
          <w:p w14:paraId="272B71CA" w14:textId="77777777" w:rsidR="00AA5608" w:rsidRPr="00612227" w:rsidRDefault="00AA5608" w:rsidP="000E494A">
            <w:pPr>
              <w:jc w:val="right"/>
              <w:rPr>
                <w:rFonts w:eastAsia="Times New Roman" w:cs="Arial"/>
                <w:color w:val="000000"/>
                <w:sz w:val="20"/>
                <w:szCs w:val="20"/>
                <w:lang w:eastAsia="en-GB"/>
              </w:rPr>
            </w:pPr>
          </w:p>
        </w:tc>
      </w:tr>
      <w:tr w:rsidR="00AA5608" w:rsidRPr="00612227" w14:paraId="5E856F12" w14:textId="77777777" w:rsidTr="000E494A">
        <w:trPr>
          <w:trHeight w:val="300"/>
        </w:trPr>
        <w:tc>
          <w:tcPr>
            <w:tcW w:w="0" w:type="auto"/>
            <w:tcBorders>
              <w:right w:val="single" w:sz="4" w:space="0" w:color="auto"/>
            </w:tcBorders>
            <w:shd w:val="clear" w:color="auto" w:fill="auto"/>
            <w:noWrap/>
            <w:vAlign w:val="bottom"/>
            <w:hideMark/>
          </w:tcPr>
          <w:p w14:paraId="0124CC6E"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25-34</w:t>
            </w:r>
          </w:p>
        </w:tc>
        <w:tc>
          <w:tcPr>
            <w:tcW w:w="0" w:type="auto"/>
            <w:tcBorders>
              <w:left w:val="single" w:sz="4" w:space="0" w:color="auto"/>
            </w:tcBorders>
            <w:shd w:val="clear" w:color="auto" w:fill="auto"/>
            <w:noWrap/>
            <w:vAlign w:val="bottom"/>
            <w:hideMark/>
          </w:tcPr>
          <w:p w14:paraId="7BC33D92"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1.25 (1.03-1.51)</w:t>
            </w:r>
          </w:p>
        </w:tc>
        <w:tc>
          <w:tcPr>
            <w:tcW w:w="0" w:type="auto"/>
            <w:shd w:val="clear" w:color="auto" w:fill="auto"/>
            <w:noWrap/>
            <w:vAlign w:val="bottom"/>
            <w:hideMark/>
          </w:tcPr>
          <w:p w14:paraId="0C1E114A"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p&lt;0.05</w:t>
            </w:r>
          </w:p>
        </w:tc>
        <w:tc>
          <w:tcPr>
            <w:tcW w:w="0" w:type="auto"/>
            <w:shd w:val="clear" w:color="auto" w:fill="auto"/>
            <w:noWrap/>
            <w:vAlign w:val="bottom"/>
            <w:hideMark/>
          </w:tcPr>
          <w:p w14:paraId="7889FDA6"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1.27 (1.05-1.53)</w:t>
            </w:r>
          </w:p>
        </w:tc>
        <w:tc>
          <w:tcPr>
            <w:tcW w:w="0" w:type="auto"/>
            <w:shd w:val="clear" w:color="auto" w:fill="auto"/>
            <w:noWrap/>
            <w:vAlign w:val="bottom"/>
            <w:hideMark/>
          </w:tcPr>
          <w:p w14:paraId="60D4CB3B"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p&lt;0.05</w:t>
            </w:r>
          </w:p>
        </w:tc>
      </w:tr>
      <w:tr w:rsidR="00AA5608" w:rsidRPr="00612227" w14:paraId="3D25DC9C" w14:textId="77777777" w:rsidTr="000E494A">
        <w:trPr>
          <w:trHeight w:val="300"/>
        </w:trPr>
        <w:tc>
          <w:tcPr>
            <w:tcW w:w="0" w:type="auto"/>
            <w:tcBorders>
              <w:right w:val="single" w:sz="4" w:space="0" w:color="auto"/>
            </w:tcBorders>
            <w:shd w:val="clear" w:color="auto" w:fill="auto"/>
            <w:noWrap/>
            <w:vAlign w:val="bottom"/>
            <w:hideMark/>
          </w:tcPr>
          <w:p w14:paraId="4003012C"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35-44</w:t>
            </w:r>
          </w:p>
        </w:tc>
        <w:tc>
          <w:tcPr>
            <w:tcW w:w="0" w:type="auto"/>
            <w:tcBorders>
              <w:left w:val="single" w:sz="4" w:space="0" w:color="auto"/>
            </w:tcBorders>
            <w:shd w:val="clear" w:color="auto" w:fill="auto"/>
            <w:noWrap/>
            <w:vAlign w:val="bottom"/>
            <w:hideMark/>
          </w:tcPr>
          <w:p w14:paraId="4E50C395"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1.46 (1.21-1.76)</w:t>
            </w:r>
          </w:p>
        </w:tc>
        <w:tc>
          <w:tcPr>
            <w:tcW w:w="0" w:type="auto"/>
            <w:shd w:val="clear" w:color="auto" w:fill="auto"/>
            <w:noWrap/>
            <w:vAlign w:val="bottom"/>
            <w:hideMark/>
          </w:tcPr>
          <w:p w14:paraId="0B6C19BA"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c>
          <w:tcPr>
            <w:tcW w:w="0" w:type="auto"/>
            <w:shd w:val="clear" w:color="auto" w:fill="auto"/>
            <w:noWrap/>
            <w:vAlign w:val="bottom"/>
            <w:hideMark/>
          </w:tcPr>
          <w:p w14:paraId="4D23ABF1"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1.52 (1.26-1.83)</w:t>
            </w:r>
          </w:p>
        </w:tc>
        <w:tc>
          <w:tcPr>
            <w:tcW w:w="0" w:type="auto"/>
            <w:shd w:val="clear" w:color="auto" w:fill="auto"/>
            <w:noWrap/>
            <w:vAlign w:val="bottom"/>
            <w:hideMark/>
          </w:tcPr>
          <w:p w14:paraId="6C881F4E"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r w:rsidR="00AA5608" w:rsidRPr="00612227" w14:paraId="10F8EE42" w14:textId="77777777" w:rsidTr="000E494A">
        <w:trPr>
          <w:trHeight w:val="300"/>
        </w:trPr>
        <w:tc>
          <w:tcPr>
            <w:tcW w:w="0" w:type="auto"/>
            <w:tcBorders>
              <w:right w:val="single" w:sz="4" w:space="0" w:color="auto"/>
            </w:tcBorders>
            <w:shd w:val="clear" w:color="auto" w:fill="auto"/>
            <w:noWrap/>
            <w:vAlign w:val="bottom"/>
            <w:hideMark/>
          </w:tcPr>
          <w:p w14:paraId="708D2E73"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45+</w:t>
            </w:r>
          </w:p>
        </w:tc>
        <w:tc>
          <w:tcPr>
            <w:tcW w:w="0" w:type="auto"/>
            <w:tcBorders>
              <w:left w:val="single" w:sz="4" w:space="0" w:color="auto"/>
            </w:tcBorders>
            <w:shd w:val="clear" w:color="auto" w:fill="auto"/>
            <w:noWrap/>
            <w:vAlign w:val="bottom"/>
            <w:hideMark/>
          </w:tcPr>
          <w:p w14:paraId="733BF38D"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0.48 (0.40-0.59)</w:t>
            </w:r>
          </w:p>
        </w:tc>
        <w:tc>
          <w:tcPr>
            <w:tcW w:w="0" w:type="auto"/>
            <w:shd w:val="clear" w:color="auto" w:fill="auto"/>
            <w:noWrap/>
            <w:vAlign w:val="bottom"/>
            <w:hideMark/>
          </w:tcPr>
          <w:p w14:paraId="5DFB5923"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c>
          <w:tcPr>
            <w:tcW w:w="0" w:type="auto"/>
            <w:shd w:val="clear" w:color="auto" w:fill="auto"/>
            <w:noWrap/>
            <w:vAlign w:val="bottom"/>
            <w:hideMark/>
          </w:tcPr>
          <w:p w14:paraId="0E9789BB"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0.87 (0.71-1.06)</w:t>
            </w:r>
          </w:p>
        </w:tc>
        <w:tc>
          <w:tcPr>
            <w:tcW w:w="0" w:type="auto"/>
            <w:shd w:val="clear" w:color="auto" w:fill="auto"/>
            <w:noWrap/>
            <w:vAlign w:val="bottom"/>
            <w:hideMark/>
          </w:tcPr>
          <w:p w14:paraId="668B81A1"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ns</w:t>
            </w:r>
          </w:p>
        </w:tc>
      </w:tr>
      <w:tr w:rsidR="00AA5608" w:rsidRPr="00612227" w14:paraId="4D15B270" w14:textId="77777777" w:rsidTr="000E494A">
        <w:trPr>
          <w:trHeight w:val="300"/>
        </w:trPr>
        <w:tc>
          <w:tcPr>
            <w:tcW w:w="0" w:type="auto"/>
            <w:tcBorders>
              <w:right w:val="single" w:sz="4" w:space="0" w:color="auto"/>
            </w:tcBorders>
            <w:shd w:val="clear" w:color="auto" w:fill="auto"/>
            <w:noWrap/>
            <w:vAlign w:val="bottom"/>
            <w:hideMark/>
          </w:tcPr>
          <w:p w14:paraId="38D91B9D" w14:textId="77777777" w:rsidR="00AA5608" w:rsidRPr="00612227" w:rsidRDefault="00AA5608" w:rsidP="000E494A">
            <w:pPr>
              <w:rPr>
                <w:rFonts w:eastAsia="Times New Roman" w:cs="Arial"/>
                <w:color w:val="000000"/>
                <w:sz w:val="20"/>
                <w:szCs w:val="20"/>
                <w:lang w:eastAsia="en-GB"/>
              </w:rPr>
            </w:pPr>
            <w:r w:rsidRPr="00612227">
              <w:rPr>
                <w:rFonts w:eastAsia="Times New Roman" w:cs="Arial"/>
                <w:color w:val="000000"/>
                <w:sz w:val="20"/>
                <w:szCs w:val="20"/>
                <w:lang w:eastAsia="en-GB"/>
              </w:rPr>
              <w:t>BAME</w:t>
            </w:r>
          </w:p>
        </w:tc>
        <w:tc>
          <w:tcPr>
            <w:tcW w:w="0" w:type="auto"/>
            <w:tcBorders>
              <w:left w:val="single" w:sz="4" w:space="0" w:color="auto"/>
            </w:tcBorders>
            <w:shd w:val="clear" w:color="auto" w:fill="auto"/>
            <w:noWrap/>
            <w:vAlign w:val="bottom"/>
            <w:hideMark/>
          </w:tcPr>
          <w:p w14:paraId="7C05345E"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1.20 (1.03-1.40)</w:t>
            </w:r>
          </w:p>
        </w:tc>
        <w:tc>
          <w:tcPr>
            <w:tcW w:w="0" w:type="auto"/>
            <w:shd w:val="clear" w:color="auto" w:fill="auto"/>
            <w:noWrap/>
            <w:vAlign w:val="bottom"/>
            <w:hideMark/>
          </w:tcPr>
          <w:p w14:paraId="6EB6EE49"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p&lt;0.05</w:t>
            </w:r>
          </w:p>
        </w:tc>
        <w:tc>
          <w:tcPr>
            <w:tcW w:w="0" w:type="auto"/>
            <w:shd w:val="clear" w:color="auto" w:fill="auto"/>
            <w:noWrap/>
            <w:vAlign w:val="bottom"/>
            <w:hideMark/>
          </w:tcPr>
          <w:p w14:paraId="7AE05556"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1.36 (1.23-1.51)</w:t>
            </w:r>
          </w:p>
        </w:tc>
        <w:tc>
          <w:tcPr>
            <w:tcW w:w="0" w:type="auto"/>
            <w:shd w:val="clear" w:color="auto" w:fill="auto"/>
            <w:noWrap/>
            <w:vAlign w:val="bottom"/>
            <w:hideMark/>
          </w:tcPr>
          <w:p w14:paraId="0B36B6F6"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r w:rsidR="00AA5608" w:rsidRPr="00612227" w14:paraId="5B1CA2C0" w14:textId="77777777" w:rsidTr="000E494A">
        <w:trPr>
          <w:trHeight w:val="300"/>
        </w:trPr>
        <w:tc>
          <w:tcPr>
            <w:tcW w:w="0" w:type="auto"/>
            <w:tcBorders>
              <w:right w:val="single" w:sz="4" w:space="0" w:color="auto"/>
            </w:tcBorders>
            <w:shd w:val="clear" w:color="auto" w:fill="auto"/>
            <w:noWrap/>
            <w:vAlign w:val="bottom"/>
            <w:hideMark/>
          </w:tcPr>
          <w:p w14:paraId="546B5FEF" w14:textId="77777777" w:rsidR="00AA5608" w:rsidRPr="00612227" w:rsidRDefault="00AA5608" w:rsidP="000E494A">
            <w:pPr>
              <w:rPr>
                <w:rFonts w:eastAsia="Times New Roman" w:cs="Arial"/>
                <w:color w:val="000000"/>
                <w:sz w:val="20"/>
                <w:szCs w:val="20"/>
                <w:lang w:eastAsia="en-GB"/>
              </w:rPr>
            </w:pPr>
            <w:r>
              <w:rPr>
                <w:rFonts w:eastAsia="Times New Roman" w:cs="Arial"/>
                <w:color w:val="000000"/>
                <w:sz w:val="20"/>
                <w:szCs w:val="20"/>
                <w:lang w:eastAsia="en-GB"/>
              </w:rPr>
              <w:t>Employment, education or training</w:t>
            </w:r>
          </w:p>
        </w:tc>
        <w:tc>
          <w:tcPr>
            <w:tcW w:w="0" w:type="auto"/>
            <w:tcBorders>
              <w:left w:val="single" w:sz="4" w:space="0" w:color="auto"/>
            </w:tcBorders>
            <w:shd w:val="clear" w:color="auto" w:fill="auto"/>
            <w:noWrap/>
            <w:vAlign w:val="bottom"/>
            <w:hideMark/>
          </w:tcPr>
          <w:p w14:paraId="364C2738"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2.21 (2.01-2.44)</w:t>
            </w:r>
          </w:p>
        </w:tc>
        <w:tc>
          <w:tcPr>
            <w:tcW w:w="0" w:type="auto"/>
            <w:shd w:val="clear" w:color="auto" w:fill="auto"/>
            <w:noWrap/>
            <w:vAlign w:val="bottom"/>
            <w:hideMark/>
          </w:tcPr>
          <w:p w14:paraId="22896F8E"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c>
          <w:tcPr>
            <w:tcW w:w="0" w:type="auto"/>
            <w:shd w:val="clear" w:color="auto" w:fill="auto"/>
            <w:noWrap/>
            <w:vAlign w:val="bottom"/>
            <w:hideMark/>
          </w:tcPr>
          <w:p w14:paraId="0D8956C2"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2.51 (2.34-2.69)</w:t>
            </w:r>
          </w:p>
        </w:tc>
        <w:tc>
          <w:tcPr>
            <w:tcW w:w="0" w:type="auto"/>
            <w:shd w:val="clear" w:color="auto" w:fill="auto"/>
            <w:noWrap/>
            <w:vAlign w:val="bottom"/>
            <w:hideMark/>
          </w:tcPr>
          <w:p w14:paraId="68D1FE7B"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r w:rsidR="00AA5608" w:rsidRPr="00612227" w14:paraId="6C36CD3C" w14:textId="77777777" w:rsidTr="000E494A">
        <w:trPr>
          <w:trHeight w:val="300"/>
        </w:trPr>
        <w:tc>
          <w:tcPr>
            <w:tcW w:w="0" w:type="auto"/>
            <w:tcBorders>
              <w:right w:val="single" w:sz="4" w:space="0" w:color="auto"/>
            </w:tcBorders>
            <w:shd w:val="clear" w:color="auto" w:fill="auto"/>
            <w:noWrap/>
            <w:vAlign w:val="bottom"/>
            <w:hideMark/>
          </w:tcPr>
          <w:p w14:paraId="749C996E" w14:textId="77777777" w:rsidR="00AA5608" w:rsidRPr="00612227" w:rsidRDefault="00AA5608" w:rsidP="000E494A">
            <w:pPr>
              <w:rPr>
                <w:rFonts w:eastAsia="Times New Roman" w:cs="Arial"/>
                <w:color w:val="000000"/>
                <w:sz w:val="20"/>
                <w:szCs w:val="20"/>
                <w:lang w:eastAsia="en-GB"/>
              </w:rPr>
            </w:pPr>
            <w:r w:rsidRPr="00612227">
              <w:rPr>
                <w:rFonts w:eastAsia="Times New Roman" w:cs="Arial"/>
                <w:color w:val="000000"/>
                <w:sz w:val="20"/>
                <w:szCs w:val="20"/>
                <w:lang w:eastAsia="en-GB"/>
              </w:rPr>
              <w:t>NFA</w:t>
            </w:r>
          </w:p>
        </w:tc>
        <w:tc>
          <w:tcPr>
            <w:tcW w:w="0" w:type="auto"/>
            <w:tcBorders>
              <w:left w:val="single" w:sz="4" w:space="0" w:color="auto"/>
            </w:tcBorders>
            <w:shd w:val="clear" w:color="auto" w:fill="auto"/>
            <w:noWrap/>
            <w:vAlign w:val="bottom"/>
            <w:hideMark/>
          </w:tcPr>
          <w:p w14:paraId="36B71091"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0.14 (0.11-0.19)</w:t>
            </w:r>
          </w:p>
        </w:tc>
        <w:tc>
          <w:tcPr>
            <w:tcW w:w="0" w:type="auto"/>
            <w:shd w:val="clear" w:color="auto" w:fill="auto"/>
            <w:noWrap/>
            <w:vAlign w:val="bottom"/>
            <w:hideMark/>
          </w:tcPr>
          <w:p w14:paraId="28034B0A"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c>
          <w:tcPr>
            <w:tcW w:w="0" w:type="auto"/>
            <w:shd w:val="clear" w:color="auto" w:fill="auto"/>
            <w:noWrap/>
            <w:vAlign w:val="bottom"/>
            <w:hideMark/>
          </w:tcPr>
          <w:p w14:paraId="21629999"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0.12 (0.10-0.16)</w:t>
            </w:r>
          </w:p>
        </w:tc>
        <w:tc>
          <w:tcPr>
            <w:tcW w:w="0" w:type="auto"/>
            <w:shd w:val="clear" w:color="auto" w:fill="auto"/>
            <w:noWrap/>
            <w:vAlign w:val="bottom"/>
            <w:hideMark/>
          </w:tcPr>
          <w:p w14:paraId="5EAB49B0"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r w:rsidR="00AA5608" w:rsidRPr="00612227" w14:paraId="4104DDCC" w14:textId="77777777" w:rsidTr="000E494A">
        <w:trPr>
          <w:trHeight w:val="300"/>
        </w:trPr>
        <w:tc>
          <w:tcPr>
            <w:tcW w:w="0" w:type="auto"/>
            <w:tcBorders>
              <w:right w:val="single" w:sz="4" w:space="0" w:color="auto"/>
            </w:tcBorders>
            <w:shd w:val="clear" w:color="auto" w:fill="auto"/>
            <w:noWrap/>
            <w:vAlign w:val="bottom"/>
            <w:hideMark/>
          </w:tcPr>
          <w:p w14:paraId="0D6C7102" w14:textId="77777777" w:rsidR="00AA5608" w:rsidRDefault="00AA5608" w:rsidP="000E494A">
            <w:pPr>
              <w:rPr>
                <w:rFonts w:eastAsia="Times New Roman" w:cs="Arial"/>
                <w:i/>
                <w:iCs/>
                <w:color w:val="000000"/>
                <w:sz w:val="20"/>
                <w:szCs w:val="20"/>
                <w:lang w:eastAsia="en-GB"/>
              </w:rPr>
            </w:pPr>
          </w:p>
          <w:p w14:paraId="14381719" w14:textId="77777777" w:rsidR="00AA5608" w:rsidRPr="00612227" w:rsidRDefault="00AA5608" w:rsidP="000E494A">
            <w:pPr>
              <w:rPr>
                <w:rFonts w:eastAsia="Times New Roman" w:cs="Arial"/>
                <w:i/>
                <w:iCs/>
                <w:color w:val="000000"/>
                <w:sz w:val="20"/>
                <w:szCs w:val="20"/>
                <w:lang w:eastAsia="en-GB"/>
              </w:rPr>
            </w:pPr>
            <w:r w:rsidRPr="00612227">
              <w:rPr>
                <w:rFonts w:eastAsia="Times New Roman" w:cs="Arial"/>
                <w:i/>
                <w:iCs/>
                <w:color w:val="000000"/>
                <w:sz w:val="20"/>
                <w:szCs w:val="20"/>
                <w:lang w:eastAsia="en-GB"/>
              </w:rPr>
              <w:t>Clinical</w:t>
            </w:r>
          </w:p>
        </w:tc>
        <w:tc>
          <w:tcPr>
            <w:tcW w:w="0" w:type="auto"/>
            <w:tcBorders>
              <w:left w:val="single" w:sz="4" w:space="0" w:color="auto"/>
            </w:tcBorders>
            <w:shd w:val="clear" w:color="auto" w:fill="auto"/>
            <w:noWrap/>
            <w:vAlign w:val="bottom"/>
            <w:hideMark/>
          </w:tcPr>
          <w:p w14:paraId="46DAC47E" w14:textId="77777777" w:rsidR="00AA5608" w:rsidRPr="00612227" w:rsidRDefault="00AA5608" w:rsidP="000E494A">
            <w:pPr>
              <w:rPr>
                <w:rFonts w:eastAsia="Times New Roman" w:cs="Arial"/>
                <w:i/>
                <w:iCs/>
                <w:color w:val="000000"/>
                <w:sz w:val="20"/>
                <w:szCs w:val="20"/>
                <w:lang w:eastAsia="en-GB"/>
              </w:rPr>
            </w:pPr>
          </w:p>
        </w:tc>
        <w:tc>
          <w:tcPr>
            <w:tcW w:w="0" w:type="auto"/>
            <w:shd w:val="clear" w:color="auto" w:fill="auto"/>
            <w:noWrap/>
            <w:vAlign w:val="bottom"/>
            <w:hideMark/>
          </w:tcPr>
          <w:p w14:paraId="51B0E845"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0ACB7862"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3AD60EDC" w14:textId="77777777" w:rsidR="00AA5608" w:rsidRPr="00612227" w:rsidRDefault="00AA5608" w:rsidP="000E494A">
            <w:pPr>
              <w:jc w:val="right"/>
              <w:rPr>
                <w:rFonts w:ascii="Times New Roman" w:eastAsia="Times New Roman" w:hAnsi="Times New Roman" w:cs="Times New Roman"/>
                <w:sz w:val="20"/>
                <w:szCs w:val="20"/>
                <w:lang w:eastAsia="en-GB"/>
              </w:rPr>
            </w:pPr>
          </w:p>
        </w:tc>
      </w:tr>
      <w:tr w:rsidR="00AA5608" w:rsidRPr="00612227" w14:paraId="4A69AFA3" w14:textId="77777777" w:rsidTr="000E494A">
        <w:trPr>
          <w:trHeight w:val="300"/>
        </w:trPr>
        <w:tc>
          <w:tcPr>
            <w:tcW w:w="0" w:type="auto"/>
            <w:tcBorders>
              <w:right w:val="single" w:sz="4" w:space="0" w:color="auto"/>
            </w:tcBorders>
            <w:shd w:val="clear" w:color="auto" w:fill="auto"/>
            <w:noWrap/>
            <w:vAlign w:val="bottom"/>
            <w:hideMark/>
          </w:tcPr>
          <w:p w14:paraId="72BDA6B6" w14:textId="77777777" w:rsidR="00AA5608" w:rsidRPr="00612227" w:rsidRDefault="00AA5608" w:rsidP="000E494A">
            <w:pPr>
              <w:rPr>
                <w:rFonts w:eastAsia="Times New Roman" w:cs="Arial"/>
                <w:color w:val="000000"/>
                <w:sz w:val="20"/>
                <w:szCs w:val="20"/>
                <w:lang w:eastAsia="en-GB"/>
              </w:rPr>
            </w:pPr>
            <w:r w:rsidRPr="00612227">
              <w:rPr>
                <w:rFonts w:eastAsia="Times New Roman" w:cs="Arial"/>
                <w:color w:val="000000"/>
                <w:sz w:val="20"/>
                <w:szCs w:val="20"/>
                <w:lang w:eastAsia="en-GB"/>
              </w:rPr>
              <w:t>Substance:</w:t>
            </w:r>
          </w:p>
        </w:tc>
        <w:tc>
          <w:tcPr>
            <w:tcW w:w="0" w:type="auto"/>
            <w:tcBorders>
              <w:left w:val="single" w:sz="4" w:space="0" w:color="auto"/>
            </w:tcBorders>
            <w:shd w:val="clear" w:color="auto" w:fill="auto"/>
            <w:noWrap/>
            <w:vAlign w:val="bottom"/>
            <w:hideMark/>
          </w:tcPr>
          <w:p w14:paraId="70B17885" w14:textId="77777777" w:rsidR="00AA5608" w:rsidRPr="00612227" w:rsidRDefault="00AA5608" w:rsidP="000E494A">
            <w:pPr>
              <w:rPr>
                <w:rFonts w:eastAsia="Times New Roman" w:cs="Arial"/>
                <w:color w:val="000000"/>
                <w:sz w:val="20"/>
                <w:szCs w:val="20"/>
                <w:lang w:eastAsia="en-GB"/>
              </w:rPr>
            </w:pPr>
          </w:p>
        </w:tc>
        <w:tc>
          <w:tcPr>
            <w:tcW w:w="0" w:type="auto"/>
            <w:shd w:val="clear" w:color="auto" w:fill="auto"/>
            <w:noWrap/>
            <w:vAlign w:val="bottom"/>
            <w:hideMark/>
          </w:tcPr>
          <w:p w14:paraId="63696F70"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5EE515E5"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1585D5D9" w14:textId="77777777" w:rsidR="00AA5608" w:rsidRPr="00612227" w:rsidRDefault="00AA5608" w:rsidP="000E494A">
            <w:pPr>
              <w:jc w:val="right"/>
              <w:rPr>
                <w:rFonts w:ascii="Times New Roman" w:eastAsia="Times New Roman" w:hAnsi="Times New Roman" w:cs="Times New Roman"/>
                <w:sz w:val="20"/>
                <w:szCs w:val="20"/>
                <w:lang w:eastAsia="en-GB"/>
              </w:rPr>
            </w:pPr>
          </w:p>
        </w:tc>
      </w:tr>
      <w:tr w:rsidR="00AA5608" w:rsidRPr="00612227" w14:paraId="1CE5DEFE" w14:textId="77777777" w:rsidTr="000E494A">
        <w:trPr>
          <w:trHeight w:val="300"/>
        </w:trPr>
        <w:tc>
          <w:tcPr>
            <w:tcW w:w="0" w:type="auto"/>
            <w:tcBorders>
              <w:right w:val="single" w:sz="4" w:space="0" w:color="auto"/>
            </w:tcBorders>
            <w:shd w:val="clear" w:color="auto" w:fill="auto"/>
            <w:noWrap/>
            <w:vAlign w:val="bottom"/>
            <w:hideMark/>
          </w:tcPr>
          <w:p w14:paraId="5383D6D5"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Non-opiate user (OU) only</w:t>
            </w:r>
            <w:r>
              <w:rPr>
                <w:rFonts w:eastAsia="Times New Roman" w:cs="Arial"/>
                <w:color w:val="000000"/>
                <w:sz w:val="20"/>
                <w:szCs w:val="20"/>
                <w:lang w:eastAsia="en-GB"/>
              </w:rPr>
              <w:t>^</w:t>
            </w:r>
          </w:p>
        </w:tc>
        <w:tc>
          <w:tcPr>
            <w:tcW w:w="0" w:type="auto"/>
            <w:tcBorders>
              <w:left w:val="single" w:sz="4" w:space="0" w:color="auto"/>
            </w:tcBorders>
            <w:shd w:val="clear" w:color="auto" w:fill="auto"/>
            <w:noWrap/>
            <w:vAlign w:val="bottom"/>
            <w:hideMark/>
          </w:tcPr>
          <w:p w14:paraId="03D58253"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1.00</w:t>
            </w:r>
          </w:p>
        </w:tc>
        <w:tc>
          <w:tcPr>
            <w:tcW w:w="0" w:type="auto"/>
            <w:shd w:val="clear" w:color="auto" w:fill="auto"/>
            <w:noWrap/>
            <w:vAlign w:val="bottom"/>
            <w:hideMark/>
          </w:tcPr>
          <w:p w14:paraId="30F54E92" w14:textId="77777777" w:rsidR="00AA5608" w:rsidRPr="00612227" w:rsidRDefault="00AA5608" w:rsidP="000E494A">
            <w:pPr>
              <w:jc w:val="right"/>
              <w:rPr>
                <w:rFonts w:eastAsia="Times New Roman" w:cs="Arial"/>
                <w:color w:val="000000"/>
                <w:sz w:val="20"/>
                <w:szCs w:val="20"/>
                <w:lang w:eastAsia="en-GB"/>
              </w:rPr>
            </w:pPr>
          </w:p>
        </w:tc>
        <w:tc>
          <w:tcPr>
            <w:tcW w:w="0" w:type="auto"/>
            <w:shd w:val="clear" w:color="auto" w:fill="auto"/>
            <w:noWrap/>
            <w:vAlign w:val="bottom"/>
            <w:hideMark/>
          </w:tcPr>
          <w:p w14:paraId="4DD3F527"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1.00</w:t>
            </w:r>
          </w:p>
        </w:tc>
        <w:tc>
          <w:tcPr>
            <w:tcW w:w="0" w:type="auto"/>
            <w:shd w:val="clear" w:color="auto" w:fill="auto"/>
            <w:noWrap/>
            <w:vAlign w:val="bottom"/>
            <w:hideMark/>
          </w:tcPr>
          <w:p w14:paraId="5770C942" w14:textId="77777777" w:rsidR="00AA5608" w:rsidRPr="00612227" w:rsidRDefault="00AA5608" w:rsidP="000E494A">
            <w:pPr>
              <w:jc w:val="right"/>
              <w:rPr>
                <w:rFonts w:eastAsia="Times New Roman" w:cs="Arial"/>
                <w:color w:val="000000"/>
                <w:sz w:val="20"/>
                <w:szCs w:val="20"/>
                <w:lang w:eastAsia="en-GB"/>
              </w:rPr>
            </w:pPr>
          </w:p>
        </w:tc>
      </w:tr>
      <w:tr w:rsidR="00AA5608" w:rsidRPr="00612227" w14:paraId="359C18BC" w14:textId="77777777" w:rsidTr="000E494A">
        <w:trPr>
          <w:trHeight w:val="300"/>
        </w:trPr>
        <w:tc>
          <w:tcPr>
            <w:tcW w:w="0" w:type="auto"/>
            <w:tcBorders>
              <w:right w:val="single" w:sz="4" w:space="0" w:color="auto"/>
            </w:tcBorders>
            <w:shd w:val="clear" w:color="auto" w:fill="auto"/>
            <w:noWrap/>
            <w:vAlign w:val="bottom"/>
            <w:hideMark/>
          </w:tcPr>
          <w:p w14:paraId="39A86CF9"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Alcohol and non-OU</w:t>
            </w:r>
          </w:p>
        </w:tc>
        <w:tc>
          <w:tcPr>
            <w:tcW w:w="0" w:type="auto"/>
            <w:tcBorders>
              <w:left w:val="single" w:sz="4" w:space="0" w:color="auto"/>
            </w:tcBorders>
            <w:shd w:val="clear" w:color="auto" w:fill="auto"/>
            <w:noWrap/>
            <w:vAlign w:val="bottom"/>
            <w:hideMark/>
          </w:tcPr>
          <w:p w14:paraId="0D6956DD"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0.81 (0.70-0.94)</w:t>
            </w:r>
          </w:p>
        </w:tc>
        <w:tc>
          <w:tcPr>
            <w:tcW w:w="0" w:type="auto"/>
            <w:shd w:val="clear" w:color="auto" w:fill="auto"/>
            <w:noWrap/>
            <w:vAlign w:val="bottom"/>
            <w:hideMark/>
          </w:tcPr>
          <w:p w14:paraId="1D361DED"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p&lt;0.01</w:t>
            </w:r>
          </w:p>
        </w:tc>
        <w:tc>
          <w:tcPr>
            <w:tcW w:w="0" w:type="auto"/>
            <w:shd w:val="clear" w:color="auto" w:fill="auto"/>
            <w:noWrap/>
            <w:vAlign w:val="bottom"/>
            <w:hideMark/>
          </w:tcPr>
          <w:p w14:paraId="4026C512"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0.77 (0.70-0.86)</w:t>
            </w:r>
          </w:p>
        </w:tc>
        <w:tc>
          <w:tcPr>
            <w:tcW w:w="0" w:type="auto"/>
            <w:shd w:val="clear" w:color="auto" w:fill="auto"/>
            <w:noWrap/>
            <w:vAlign w:val="bottom"/>
            <w:hideMark/>
          </w:tcPr>
          <w:p w14:paraId="2A631151"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r w:rsidR="00AA5608" w:rsidRPr="00612227" w14:paraId="6EC6C4BE" w14:textId="77777777" w:rsidTr="000E494A">
        <w:trPr>
          <w:trHeight w:val="300"/>
        </w:trPr>
        <w:tc>
          <w:tcPr>
            <w:tcW w:w="0" w:type="auto"/>
            <w:tcBorders>
              <w:right w:val="single" w:sz="4" w:space="0" w:color="auto"/>
            </w:tcBorders>
            <w:shd w:val="clear" w:color="auto" w:fill="auto"/>
            <w:noWrap/>
            <w:vAlign w:val="bottom"/>
            <w:hideMark/>
          </w:tcPr>
          <w:p w14:paraId="406DA2A3"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OU</w:t>
            </w:r>
          </w:p>
        </w:tc>
        <w:tc>
          <w:tcPr>
            <w:tcW w:w="0" w:type="auto"/>
            <w:tcBorders>
              <w:left w:val="single" w:sz="4" w:space="0" w:color="auto"/>
            </w:tcBorders>
            <w:shd w:val="clear" w:color="auto" w:fill="auto"/>
            <w:noWrap/>
            <w:vAlign w:val="bottom"/>
            <w:hideMark/>
          </w:tcPr>
          <w:p w14:paraId="490525D9"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0.43 (0.37-0.49)</w:t>
            </w:r>
          </w:p>
        </w:tc>
        <w:tc>
          <w:tcPr>
            <w:tcW w:w="0" w:type="auto"/>
            <w:shd w:val="clear" w:color="auto" w:fill="auto"/>
            <w:noWrap/>
            <w:vAlign w:val="bottom"/>
            <w:hideMark/>
          </w:tcPr>
          <w:p w14:paraId="6589DF7B"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c>
          <w:tcPr>
            <w:tcW w:w="0" w:type="auto"/>
            <w:shd w:val="clear" w:color="auto" w:fill="auto"/>
            <w:noWrap/>
            <w:vAlign w:val="bottom"/>
            <w:hideMark/>
          </w:tcPr>
          <w:p w14:paraId="754F4FDE"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0.60 (0.54-0.67)</w:t>
            </w:r>
          </w:p>
        </w:tc>
        <w:tc>
          <w:tcPr>
            <w:tcW w:w="0" w:type="auto"/>
            <w:shd w:val="clear" w:color="auto" w:fill="auto"/>
            <w:noWrap/>
            <w:vAlign w:val="bottom"/>
            <w:hideMark/>
          </w:tcPr>
          <w:p w14:paraId="7EB7DDD9"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r w:rsidR="00AA5608" w:rsidRPr="00612227" w14:paraId="6C4B7E3F" w14:textId="77777777" w:rsidTr="000E494A">
        <w:trPr>
          <w:trHeight w:val="300"/>
        </w:trPr>
        <w:tc>
          <w:tcPr>
            <w:tcW w:w="0" w:type="auto"/>
            <w:tcBorders>
              <w:right w:val="single" w:sz="4" w:space="0" w:color="auto"/>
            </w:tcBorders>
            <w:shd w:val="clear" w:color="auto" w:fill="auto"/>
            <w:noWrap/>
            <w:vAlign w:val="bottom"/>
            <w:hideMark/>
          </w:tcPr>
          <w:p w14:paraId="5A76910D"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Alcohol only</w:t>
            </w:r>
          </w:p>
        </w:tc>
        <w:tc>
          <w:tcPr>
            <w:tcW w:w="0" w:type="auto"/>
            <w:tcBorders>
              <w:left w:val="single" w:sz="4" w:space="0" w:color="auto"/>
            </w:tcBorders>
            <w:shd w:val="clear" w:color="auto" w:fill="auto"/>
            <w:noWrap/>
            <w:vAlign w:val="bottom"/>
            <w:hideMark/>
          </w:tcPr>
          <w:p w14:paraId="11A78C72"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0.95 (0.84-1.07)</w:t>
            </w:r>
          </w:p>
        </w:tc>
        <w:tc>
          <w:tcPr>
            <w:tcW w:w="0" w:type="auto"/>
            <w:shd w:val="clear" w:color="auto" w:fill="auto"/>
            <w:noWrap/>
            <w:vAlign w:val="bottom"/>
            <w:hideMark/>
          </w:tcPr>
          <w:p w14:paraId="63C3BA64"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ns</w:t>
            </w:r>
          </w:p>
        </w:tc>
        <w:tc>
          <w:tcPr>
            <w:tcW w:w="0" w:type="auto"/>
            <w:shd w:val="clear" w:color="auto" w:fill="auto"/>
            <w:noWrap/>
            <w:vAlign w:val="bottom"/>
            <w:hideMark/>
          </w:tcPr>
          <w:p w14:paraId="66D28B62"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0.98 (0.89-1.08)</w:t>
            </w:r>
          </w:p>
        </w:tc>
        <w:tc>
          <w:tcPr>
            <w:tcW w:w="0" w:type="auto"/>
            <w:shd w:val="clear" w:color="auto" w:fill="auto"/>
            <w:noWrap/>
            <w:vAlign w:val="bottom"/>
            <w:hideMark/>
          </w:tcPr>
          <w:p w14:paraId="363A0E83"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ns</w:t>
            </w:r>
          </w:p>
        </w:tc>
      </w:tr>
      <w:tr w:rsidR="00AA5608" w:rsidRPr="00612227" w14:paraId="5405232F" w14:textId="77777777" w:rsidTr="000E494A">
        <w:trPr>
          <w:trHeight w:val="300"/>
        </w:trPr>
        <w:tc>
          <w:tcPr>
            <w:tcW w:w="0" w:type="auto"/>
            <w:tcBorders>
              <w:right w:val="single" w:sz="4" w:space="0" w:color="auto"/>
            </w:tcBorders>
            <w:shd w:val="clear" w:color="auto" w:fill="auto"/>
            <w:noWrap/>
            <w:vAlign w:val="bottom"/>
            <w:hideMark/>
          </w:tcPr>
          <w:p w14:paraId="27371BBE" w14:textId="77777777" w:rsidR="00AA5608" w:rsidRPr="00612227" w:rsidRDefault="00AA5608" w:rsidP="000E494A">
            <w:pPr>
              <w:rPr>
                <w:rFonts w:eastAsia="Times New Roman" w:cs="Arial"/>
                <w:color w:val="000000"/>
                <w:sz w:val="20"/>
                <w:szCs w:val="20"/>
                <w:lang w:eastAsia="en-GB"/>
              </w:rPr>
            </w:pPr>
            <w:r w:rsidRPr="00612227">
              <w:rPr>
                <w:rFonts w:eastAsia="Times New Roman" w:cs="Arial"/>
                <w:color w:val="000000"/>
                <w:sz w:val="20"/>
                <w:szCs w:val="20"/>
                <w:lang w:eastAsia="en-GB"/>
              </w:rPr>
              <w:t>Injector</w:t>
            </w:r>
          </w:p>
        </w:tc>
        <w:tc>
          <w:tcPr>
            <w:tcW w:w="0" w:type="auto"/>
            <w:tcBorders>
              <w:left w:val="single" w:sz="4" w:space="0" w:color="auto"/>
            </w:tcBorders>
            <w:shd w:val="clear" w:color="auto" w:fill="auto"/>
            <w:noWrap/>
            <w:vAlign w:val="bottom"/>
            <w:hideMark/>
          </w:tcPr>
          <w:p w14:paraId="08300E63"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0.21 (0.16-0.26)</w:t>
            </w:r>
          </w:p>
        </w:tc>
        <w:tc>
          <w:tcPr>
            <w:tcW w:w="0" w:type="auto"/>
            <w:shd w:val="clear" w:color="auto" w:fill="auto"/>
            <w:noWrap/>
            <w:vAlign w:val="bottom"/>
            <w:hideMark/>
          </w:tcPr>
          <w:p w14:paraId="36A48E95"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c>
          <w:tcPr>
            <w:tcW w:w="0" w:type="auto"/>
            <w:shd w:val="clear" w:color="auto" w:fill="auto"/>
            <w:noWrap/>
            <w:vAlign w:val="bottom"/>
            <w:hideMark/>
          </w:tcPr>
          <w:p w14:paraId="61FEC0D2"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0.35 (0.30-0.42)</w:t>
            </w:r>
          </w:p>
        </w:tc>
        <w:tc>
          <w:tcPr>
            <w:tcW w:w="0" w:type="auto"/>
            <w:shd w:val="clear" w:color="auto" w:fill="auto"/>
            <w:noWrap/>
            <w:vAlign w:val="bottom"/>
            <w:hideMark/>
          </w:tcPr>
          <w:p w14:paraId="05381834"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r w:rsidR="00AA5608" w:rsidRPr="00612227" w14:paraId="2E9A6FD5" w14:textId="77777777" w:rsidTr="000E494A">
        <w:trPr>
          <w:trHeight w:val="300"/>
        </w:trPr>
        <w:tc>
          <w:tcPr>
            <w:tcW w:w="0" w:type="auto"/>
            <w:tcBorders>
              <w:right w:val="single" w:sz="4" w:space="0" w:color="auto"/>
            </w:tcBorders>
            <w:shd w:val="clear" w:color="auto" w:fill="auto"/>
            <w:noWrap/>
            <w:vAlign w:val="bottom"/>
            <w:hideMark/>
          </w:tcPr>
          <w:p w14:paraId="6423A6ED" w14:textId="77777777" w:rsidR="00AA5608" w:rsidRPr="00612227" w:rsidRDefault="00AA5608" w:rsidP="000E494A">
            <w:pPr>
              <w:rPr>
                <w:rFonts w:eastAsia="Times New Roman" w:cs="Arial"/>
                <w:color w:val="000000"/>
                <w:sz w:val="20"/>
                <w:szCs w:val="20"/>
                <w:lang w:eastAsia="en-GB"/>
              </w:rPr>
            </w:pPr>
            <w:r w:rsidRPr="00612227">
              <w:rPr>
                <w:rFonts w:eastAsia="Times New Roman" w:cs="Arial"/>
                <w:color w:val="000000"/>
                <w:sz w:val="20"/>
                <w:szCs w:val="20"/>
                <w:lang w:eastAsia="en-GB"/>
              </w:rPr>
              <w:t>Mental health problem</w:t>
            </w:r>
          </w:p>
        </w:tc>
        <w:tc>
          <w:tcPr>
            <w:tcW w:w="0" w:type="auto"/>
            <w:tcBorders>
              <w:left w:val="single" w:sz="4" w:space="0" w:color="auto"/>
            </w:tcBorders>
            <w:shd w:val="clear" w:color="auto" w:fill="auto"/>
            <w:noWrap/>
            <w:vAlign w:val="bottom"/>
            <w:hideMark/>
          </w:tcPr>
          <w:p w14:paraId="46C7BEAB"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0.81 (0.75-0.87)</w:t>
            </w:r>
          </w:p>
        </w:tc>
        <w:tc>
          <w:tcPr>
            <w:tcW w:w="0" w:type="auto"/>
            <w:shd w:val="clear" w:color="auto" w:fill="auto"/>
            <w:noWrap/>
            <w:vAlign w:val="bottom"/>
            <w:hideMark/>
          </w:tcPr>
          <w:p w14:paraId="77EA8786"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c>
          <w:tcPr>
            <w:tcW w:w="0" w:type="auto"/>
            <w:shd w:val="clear" w:color="auto" w:fill="auto"/>
            <w:noWrap/>
            <w:vAlign w:val="bottom"/>
            <w:hideMark/>
          </w:tcPr>
          <w:p w14:paraId="7B5E24F9"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0.77 (0.72-0.82)</w:t>
            </w:r>
          </w:p>
        </w:tc>
        <w:tc>
          <w:tcPr>
            <w:tcW w:w="0" w:type="auto"/>
            <w:shd w:val="clear" w:color="auto" w:fill="auto"/>
            <w:noWrap/>
            <w:vAlign w:val="bottom"/>
            <w:hideMark/>
          </w:tcPr>
          <w:p w14:paraId="65BD6A0D"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r w:rsidR="00AA5608" w:rsidRPr="00612227" w14:paraId="58A7D072" w14:textId="77777777" w:rsidTr="000E494A">
        <w:trPr>
          <w:trHeight w:val="300"/>
        </w:trPr>
        <w:tc>
          <w:tcPr>
            <w:tcW w:w="0" w:type="auto"/>
            <w:tcBorders>
              <w:right w:val="single" w:sz="4" w:space="0" w:color="auto"/>
            </w:tcBorders>
            <w:shd w:val="clear" w:color="auto" w:fill="auto"/>
            <w:noWrap/>
            <w:vAlign w:val="bottom"/>
            <w:hideMark/>
          </w:tcPr>
          <w:p w14:paraId="75C10290" w14:textId="77777777" w:rsidR="00AA5608" w:rsidRDefault="00AA5608" w:rsidP="000E494A">
            <w:pPr>
              <w:rPr>
                <w:rFonts w:eastAsia="Times New Roman" w:cs="Arial"/>
                <w:i/>
                <w:iCs/>
                <w:color w:val="000000"/>
                <w:sz w:val="20"/>
                <w:szCs w:val="20"/>
                <w:lang w:eastAsia="en-GB"/>
              </w:rPr>
            </w:pPr>
          </w:p>
          <w:p w14:paraId="088C3365" w14:textId="77777777" w:rsidR="00AA5608" w:rsidRPr="00612227" w:rsidRDefault="00AA5608" w:rsidP="000E494A">
            <w:pPr>
              <w:rPr>
                <w:rFonts w:eastAsia="Times New Roman" w:cs="Arial"/>
                <w:i/>
                <w:iCs/>
                <w:color w:val="000000"/>
                <w:sz w:val="20"/>
                <w:szCs w:val="20"/>
                <w:lang w:eastAsia="en-GB"/>
              </w:rPr>
            </w:pPr>
            <w:r w:rsidRPr="00612227">
              <w:rPr>
                <w:rFonts w:eastAsia="Times New Roman" w:cs="Arial"/>
                <w:i/>
                <w:iCs/>
                <w:color w:val="000000"/>
                <w:sz w:val="20"/>
                <w:szCs w:val="20"/>
                <w:lang w:eastAsia="en-GB"/>
              </w:rPr>
              <w:t>Treatment exposure</w:t>
            </w:r>
          </w:p>
        </w:tc>
        <w:tc>
          <w:tcPr>
            <w:tcW w:w="0" w:type="auto"/>
            <w:tcBorders>
              <w:left w:val="single" w:sz="4" w:space="0" w:color="auto"/>
            </w:tcBorders>
            <w:shd w:val="clear" w:color="auto" w:fill="auto"/>
            <w:noWrap/>
            <w:vAlign w:val="bottom"/>
            <w:hideMark/>
          </w:tcPr>
          <w:p w14:paraId="059C5E85" w14:textId="77777777" w:rsidR="00AA5608" w:rsidRPr="00612227" w:rsidRDefault="00AA5608" w:rsidP="000E494A">
            <w:pPr>
              <w:rPr>
                <w:rFonts w:eastAsia="Times New Roman" w:cs="Arial"/>
                <w:i/>
                <w:iCs/>
                <w:color w:val="000000"/>
                <w:sz w:val="20"/>
                <w:szCs w:val="20"/>
                <w:lang w:eastAsia="en-GB"/>
              </w:rPr>
            </w:pPr>
          </w:p>
        </w:tc>
        <w:tc>
          <w:tcPr>
            <w:tcW w:w="0" w:type="auto"/>
            <w:shd w:val="clear" w:color="auto" w:fill="auto"/>
            <w:noWrap/>
            <w:vAlign w:val="bottom"/>
            <w:hideMark/>
          </w:tcPr>
          <w:p w14:paraId="5AE2C9F7"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496AE4AB"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24D34917" w14:textId="77777777" w:rsidR="00AA5608" w:rsidRPr="00612227" w:rsidRDefault="00AA5608" w:rsidP="000E494A">
            <w:pPr>
              <w:jc w:val="right"/>
              <w:rPr>
                <w:rFonts w:ascii="Times New Roman" w:eastAsia="Times New Roman" w:hAnsi="Times New Roman" w:cs="Times New Roman"/>
                <w:sz w:val="20"/>
                <w:szCs w:val="20"/>
                <w:lang w:eastAsia="en-GB"/>
              </w:rPr>
            </w:pPr>
          </w:p>
        </w:tc>
      </w:tr>
      <w:tr w:rsidR="00AA5608" w:rsidRPr="00612227" w14:paraId="66599495" w14:textId="77777777" w:rsidTr="000E494A">
        <w:trPr>
          <w:trHeight w:val="300"/>
        </w:trPr>
        <w:tc>
          <w:tcPr>
            <w:tcW w:w="0" w:type="auto"/>
            <w:tcBorders>
              <w:right w:val="single" w:sz="4" w:space="0" w:color="auto"/>
            </w:tcBorders>
            <w:shd w:val="clear" w:color="auto" w:fill="auto"/>
            <w:noWrap/>
            <w:vAlign w:val="bottom"/>
            <w:hideMark/>
          </w:tcPr>
          <w:p w14:paraId="38F47E21" w14:textId="77777777" w:rsidR="00AA5608" w:rsidRPr="00612227" w:rsidRDefault="00AA5608" w:rsidP="000E494A">
            <w:pPr>
              <w:rPr>
                <w:rFonts w:eastAsia="Times New Roman" w:cs="Arial"/>
                <w:color w:val="000000"/>
                <w:sz w:val="20"/>
                <w:szCs w:val="20"/>
                <w:lang w:eastAsia="en-GB"/>
              </w:rPr>
            </w:pPr>
            <w:r w:rsidRPr="00612227">
              <w:rPr>
                <w:rFonts w:eastAsia="Times New Roman" w:cs="Arial"/>
                <w:color w:val="000000"/>
                <w:sz w:val="20"/>
                <w:szCs w:val="20"/>
                <w:lang w:eastAsia="en-GB"/>
              </w:rPr>
              <w:t>Criminal justice referral</w:t>
            </w:r>
          </w:p>
        </w:tc>
        <w:tc>
          <w:tcPr>
            <w:tcW w:w="0" w:type="auto"/>
            <w:tcBorders>
              <w:left w:val="single" w:sz="4" w:space="0" w:color="auto"/>
            </w:tcBorders>
            <w:shd w:val="clear" w:color="auto" w:fill="auto"/>
            <w:noWrap/>
            <w:vAlign w:val="bottom"/>
            <w:hideMark/>
          </w:tcPr>
          <w:p w14:paraId="1697943A"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0.31 (0.26-0.37)</w:t>
            </w:r>
          </w:p>
        </w:tc>
        <w:tc>
          <w:tcPr>
            <w:tcW w:w="0" w:type="auto"/>
            <w:shd w:val="clear" w:color="auto" w:fill="auto"/>
            <w:noWrap/>
            <w:vAlign w:val="bottom"/>
            <w:hideMark/>
          </w:tcPr>
          <w:p w14:paraId="501E3F8C"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c>
          <w:tcPr>
            <w:tcW w:w="0" w:type="auto"/>
            <w:shd w:val="clear" w:color="auto" w:fill="auto"/>
            <w:noWrap/>
            <w:vAlign w:val="bottom"/>
            <w:hideMark/>
          </w:tcPr>
          <w:p w14:paraId="3378CCD4"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0.48 (0.43-0.53)</w:t>
            </w:r>
          </w:p>
        </w:tc>
        <w:tc>
          <w:tcPr>
            <w:tcW w:w="0" w:type="auto"/>
            <w:shd w:val="clear" w:color="auto" w:fill="auto"/>
            <w:noWrap/>
            <w:vAlign w:val="bottom"/>
            <w:hideMark/>
          </w:tcPr>
          <w:p w14:paraId="3C56BB3B"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r w:rsidR="00AA5608" w:rsidRPr="00612227" w14:paraId="08857724" w14:textId="77777777" w:rsidTr="000E494A">
        <w:trPr>
          <w:trHeight w:val="300"/>
        </w:trPr>
        <w:tc>
          <w:tcPr>
            <w:tcW w:w="0" w:type="auto"/>
            <w:tcBorders>
              <w:right w:val="single" w:sz="4" w:space="0" w:color="auto"/>
            </w:tcBorders>
            <w:shd w:val="clear" w:color="auto" w:fill="auto"/>
            <w:noWrap/>
            <w:vAlign w:val="bottom"/>
            <w:hideMark/>
          </w:tcPr>
          <w:p w14:paraId="15A60347" w14:textId="77777777" w:rsidR="00AA5608" w:rsidRPr="00612227" w:rsidRDefault="00AA5608" w:rsidP="000E494A">
            <w:pPr>
              <w:rPr>
                <w:rFonts w:eastAsia="Times New Roman" w:cs="Arial"/>
                <w:color w:val="000000"/>
                <w:sz w:val="20"/>
                <w:szCs w:val="20"/>
                <w:lang w:eastAsia="en-GB"/>
              </w:rPr>
            </w:pPr>
            <w:r w:rsidRPr="00612227">
              <w:rPr>
                <w:rFonts w:eastAsia="Times New Roman" w:cs="Arial"/>
                <w:color w:val="000000"/>
                <w:sz w:val="20"/>
                <w:szCs w:val="20"/>
                <w:lang w:eastAsia="en-GB"/>
              </w:rPr>
              <w:lastRenderedPageBreak/>
              <w:t>Days in treatment:</w:t>
            </w:r>
          </w:p>
        </w:tc>
        <w:tc>
          <w:tcPr>
            <w:tcW w:w="0" w:type="auto"/>
            <w:tcBorders>
              <w:left w:val="single" w:sz="4" w:space="0" w:color="auto"/>
            </w:tcBorders>
            <w:shd w:val="clear" w:color="auto" w:fill="auto"/>
            <w:noWrap/>
            <w:vAlign w:val="bottom"/>
            <w:hideMark/>
          </w:tcPr>
          <w:p w14:paraId="1CD88AE5" w14:textId="77777777" w:rsidR="00AA5608" w:rsidRPr="00612227" w:rsidRDefault="00AA5608" w:rsidP="000E494A">
            <w:pPr>
              <w:rPr>
                <w:rFonts w:eastAsia="Times New Roman" w:cs="Arial"/>
                <w:color w:val="000000"/>
                <w:sz w:val="20"/>
                <w:szCs w:val="20"/>
                <w:lang w:eastAsia="en-GB"/>
              </w:rPr>
            </w:pPr>
          </w:p>
        </w:tc>
        <w:tc>
          <w:tcPr>
            <w:tcW w:w="0" w:type="auto"/>
            <w:shd w:val="clear" w:color="auto" w:fill="auto"/>
            <w:noWrap/>
            <w:vAlign w:val="bottom"/>
            <w:hideMark/>
          </w:tcPr>
          <w:p w14:paraId="3A552D56"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70B91448"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074BF869" w14:textId="77777777" w:rsidR="00AA5608" w:rsidRPr="00612227" w:rsidRDefault="00AA5608" w:rsidP="000E494A">
            <w:pPr>
              <w:jc w:val="right"/>
              <w:rPr>
                <w:rFonts w:ascii="Times New Roman" w:eastAsia="Times New Roman" w:hAnsi="Times New Roman" w:cs="Times New Roman"/>
                <w:sz w:val="20"/>
                <w:szCs w:val="20"/>
                <w:lang w:eastAsia="en-GB"/>
              </w:rPr>
            </w:pPr>
          </w:p>
        </w:tc>
      </w:tr>
      <w:tr w:rsidR="00AA5608" w:rsidRPr="00612227" w14:paraId="2145513A" w14:textId="77777777" w:rsidTr="000E494A">
        <w:trPr>
          <w:trHeight w:val="300"/>
        </w:trPr>
        <w:tc>
          <w:tcPr>
            <w:tcW w:w="0" w:type="auto"/>
            <w:tcBorders>
              <w:right w:val="single" w:sz="4" w:space="0" w:color="auto"/>
            </w:tcBorders>
            <w:shd w:val="clear" w:color="auto" w:fill="auto"/>
            <w:noWrap/>
            <w:vAlign w:val="bottom"/>
            <w:hideMark/>
          </w:tcPr>
          <w:p w14:paraId="03384CE4"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&lt;3m</w:t>
            </w:r>
            <w:r>
              <w:rPr>
                <w:rFonts w:eastAsia="Times New Roman" w:cs="Arial"/>
                <w:color w:val="000000"/>
                <w:sz w:val="20"/>
                <w:szCs w:val="20"/>
                <w:lang w:eastAsia="en-GB"/>
              </w:rPr>
              <w:t>^</w:t>
            </w:r>
          </w:p>
        </w:tc>
        <w:tc>
          <w:tcPr>
            <w:tcW w:w="0" w:type="auto"/>
            <w:tcBorders>
              <w:left w:val="single" w:sz="4" w:space="0" w:color="auto"/>
            </w:tcBorders>
            <w:shd w:val="clear" w:color="auto" w:fill="auto"/>
            <w:noWrap/>
            <w:vAlign w:val="bottom"/>
            <w:hideMark/>
          </w:tcPr>
          <w:p w14:paraId="21EA6BC5"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1.00</w:t>
            </w:r>
          </w:p>
        </w:tc>
        <w:tc>
          <w:tcPr>
            <w:tcW w:w="0" w:type="auto"/>
            <w:shd w:val="clear" w:color="auto" w:fill="auto"/>
            <w:noWrap/>
            <w:vAlign w:val="bottom"/>
            <w:hideMark/>
          </w:tcPr>
          <w:p w14:paraId="39352D1A" w14:textId="77777777" w:rsidR="00AA5608" w:rsidRPr="00612227" w:rsidRDefault="00AA5608" w:rsidP="000E494A">
            <w:pPr>
              <w:jc w:val="right"/>
              <w:rPr>
                <w:rFonts w:eastAsia="Times New Roman" w:cs="Arial"/>
                <w:color w:val="000000"/>
                <w:sz w:val="20"/>
                <w:szCs w:val="20"/>
                <w:lang w:eastAsia="en-GB"/>
              </w:rPr>
            </w:pPr>
          </w:p>
        </w:tc>
        <w:tc>
          <w:tcPr>
            <w:tcW w:w="0" w:type="auto"/>
            <w:shd w:val="clear" w:color="auto" w:fill="auto"/>
            <w:noWrap/>
            <w:vAlign w:val="bottom"/>
            <w:hideMark/>
          </w:tcPr>
          <w:p w14:paraId="48100255"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1.00</w:t>
            </w:r>
          </w:p>
        </w:tc>
        <w:tc>
          <w:tcPr>
            <w:tcW w:w="0" w:type="auto"/>
            <w:shd w:val="clear" w:color="auto" w:fill="auto"/>
            <w:noWrap/>
            <w:vAlign w:val="bottom"/>
            <w:hideMark/>
          </w:tcPr>
          <w:p w14:paraId="29364016" w14:textId="77777777" w:rsidR="00AA5608" w:rsidRPr="00612227" w:rsidRDefault="00AA5608" w:rsidP="000E494A">
            <w:pPr>
              <w:jc w:val="right"/>
              <w:rPr>
                <w:rFonts w:eastAsia="Times New Roman" w:cs="Arial"/>
                <w:color w:val="000000"/>
                <w:sz w:val="20"/>
                <w:szCs w:val="20"/>
                <w:lang w:eastAsia="en-GB"/>
              </w:rPr>
            </w:pPr>
          </w:p>
        </w:tc>
      </w:tr>
      <w:tr w:rsidR="00AA5608" w:rsidRPr="00612227" w14:paraId="414E3FFA" w14:textId="77777777" w:rsidTr="000E494A">
        <w:trPr>
          <w:trHeight w:val="300"/>
        </w:trPr>
        <w:tc>
          <w:tcPr>
            <w:tcW w:w="0" w:type="auto"/>
            <w:tcBorders>
              <w:right w:val="single" w:sz="4" w:space="0" w:color="auto"/>
            </w:tcBorders>
            <w:shd w:val="clear" w:color="auto" w:fill="auto"/>
            <w:noWrap/>
            <w:vAlign w:val="bottom"/>
            <w:hideMark/>
          </w:tcPr>
          <w:p w14:paraId="7B49F19D"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3-6m</w:t>
            </w:r>
          </w:p>
        </w:tc>
        <w:tc>
          <w:tcPr>
            <w:tcW w:w="0" w:type="auto"/>
            <w:tcBorders>
              <w:left w:val="single" w:sz="4" w:space="0" w:color="auto"/>
            </w:tcBorders>
            <w:shd w:val="clear" w:color="auto" w:fill="auto"/>
            <w:noWrap/>
            <w:vAlign w:val="bottom"/>
            <w:hideMark/>
          </w:tcPr>
          <w:p w14:paraId="5EC7022E"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1.07 (0.97-1.18)</w:t>
            </w:r>
          </w:p>
        </w:tc>
        <w:tc>
          <w:tcPr>
            <w:tcW w:w="0" w:type="auto"/>
            <w:shd w:val="clear" w:color="auto" w:fill="auto"/>
            <w:noWrap/>
            <w:vAlign w:val="bottom"/>
            <w:hideMark/>
          </w:tcPr>
          <w:p w14:paraId="13AB7927"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ns</w:t>
            </w:r>
          </w:p>
        </w:tc>
        <w:tc>
          <w:tcPr>
            <w:tcW w:w="0" w:type="auto"/>
            <w:shd w:val="clear" w:color="auto" w:fill="auto"/>
            <w:noWrap/>
            <w:vAlign w:val="bottom"/>
            <w:hideMark/>
          </w:tcPr>
          <w:p w14:paraId="345389DC"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1.06 (0.98-1.14)</w:t>
            </w:r>
          </w:p>
        </w:tc>
        <w:tc>
          <w:tcPr>
            <w:tcW w:w="0" w:type="auto"/>
            <w:shd w:val="clear" w:color="auto" w:fill="auto"/>
            <w:noWrap/>
            <w:vAlign w:val="bottom"/>
            <w:hideMark/>
          </w:tcPr>
          <w:p w14:paraId="03DC9BB6"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ns</w:t>
            </w:r>
          </w:p>
        </w:tc>
      </w:tr>
      <w:tr w:rsidR="00AA5608" w:rsidRPr="00612227" w14:paraId="28F857A0" w14:textId="77777777" w:rsidTr="000E494A">
        <w:trPr>
          <w:trHeight w:val="300"/>
        </w:trPr>
        <w:tc>
          <w:tcPr>
            <w:tcW w:w="0" w:type="auto"/>
            <w:tcBorders>
              <w:right w:val="single" w:sz="4" w:space="0" w:color="auto"/>
            </w:tcBorders>
            <w:shd w:val="clear" w:color="auto" w:fill="auto"/>
            <w:noWrap/>
            <w:vAlign w:val="bottom"/>
            <w:hideMark/>
          </w:tcPr>
          <w:p w14:paraId="71F92FC3"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6-12m</w:t>
            </w:r>
          </w:p>
        </w:tc>
        <w:tc>
          <w:tcPr>
            <w:tcW w:w="0" w:type="auto"/>
            <w:tcBorders>
              <w:left w:val="single" w:sz="4" w:space="0" w:color="auto"/>
            </w:tcBorders>
            <w:shd w:val="clear" w:color="auto" w:fill="auto"/>
            <w:noWrap/>
            <w:vAlign w:val="bottom"/>
            <w:hideMark/>
          </w:tcPr>
          <w:p w14:paraId="7FAA32CA"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1.12 (1.01-1.25)</w:t>
            </w:r>
          </w:p>
        </w:tc>
        <w:tc>
          <w:tcPr>
            <w:tcW w:w="0" w:type="auto"/>
            <w:shd w:val="clear" w:color="auto" w:fill="auto"/>
            <w:noWrap/>
            <w:vAlign w:val="bottom"/>
            <w:hideMark/>
          </w:tcPr>
          <w:p w14:paraId="3F6B5F67"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ns</w:t>
            </w:r>
          </w:p>
        </w:tc>
        <w:tc>
          <w:tcPr>
            <w:tcW w:w="0" w:type="auto"/>
            <w:shd w:val="clear" w:color="auto" w:fill="auto"/>
            <w:noWrap/>
            <w:vAlign w:val="bottom"/>
            <w:hideMark/>
          </w:tcPr>
          <w:p w14:paraId="1537BB2D"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1.11 (1.02-1.22)</w:t>
            </w:r>
          </w:p>
        </w:tc>
        <w:tc>
          <w:tcPr>
            <w:tcW w:w="0" w:type="auto"/>
            <w:shd w:val="clear" w:color="auto" w:fill="auto"/>
            <w:noWrap/>
            <w:vAlign w:val="bottom"/>
            <w:hideMark/>
          </w:tcPr>
          <w:p w14:paraId="16146F23"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p&lt;0.05</w:t>
            </w:r>
          </w:p>
        </w:tc>
      </w:tr>
      <w:tr w:rsidR="00AA5608" w:rsidRPr="00612227" w14:paraId="28AF4007" w14:textId="77777777" w:rsidTr="000E494A">
        <w:trPr>
          <w:trHeight w:val="300"/>
        </w:trPr>
        <w:tc>
          <w:tcPr>
            <w:tcW w:w="0" w:type="auto"/>
            <w:tcBorders>
              <w:right w:val="single" w:sz="4" w:space="0" w:color="auto"/>
            </w:tcBorders>
            <w:shd w:val="clear" w:color="auto" w:fill="auto"/>
            <w:noWrap/>
            <w:vAlign w:val="bottom"/>
            <w:hideMark/>
          </w:tcPr>
          <w:p w14:paraId="5A465AA8"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12m+</w:t>
            </w:r>
          </w:p>
        </w:tc>
        <w:tc>
          <w:tcPr>
            <w:tcW w:w="0" w:type="auto"/>
            <w:tcBorders>
              <w:left w:val="single" w:sz="4" w:space="0" w:color="auto"/>
            </w:tcBorders>
            <w:shd w:val="clear" w:color="auto" w:fill="auto"/>
            <w:noWrap/>
            <w:vAlign w:val="bottom"/>
            <w:hideMark/>
          </w:tcPr>
          <w:p w14:paraId="5810CE73"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1.26 (1.13-1.42)</w:t>
            </w:r>
          </w:p>
        </w:tc>
        <w:tc>
          <w:tcPr>
            <w:tcW w:w="0" w:type="auto"/>
            <w:shd w:val="clear" w:color="auto" w:fill="auto"/>
            <w:noWrap/>
            <w:vAlign w:val="bottom"/>
            <w:hideMark/>
          </w:tcPr>
          <w:p w14:paraId="17CCEF71"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ns</w:t>
            </w:r>
          </w:p>
        </w:tc>
        <w:tc>
          <w:tcPr>
            <w:tcW w:w="0" w:type="auto"/>
            <w:shd w:val="clear" w:color="auto" w:fill="auto"/>
            <w:noWrap/>
            <w:vAlign w:val="bottom"/>
            <w:hideMark/>
          </w:tcPr>
          <w:p w14:paraId="2C0A777A"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1.17 (1.05-1.29)</w:t>
            </w:r>
          </w:p>
        </w:tc>
        <w:tc>
          <w:tcPr>
            <w:tcW w:w="0" w:type="auto"/>
            <w:shd w:val="clear" w:color="auto" w:fill="auto"/>
            <w:noWrap/>
            <w:vAlign w:val="bottom"/>
            <w:hideMark/>
          </w:tcPr>
          <w:p w14:paraId="28964A5B"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p&lt;0.01</w:t>
            </w:r>
          </w:p>
        </w:tc>
      </w:tr>
      <w:tr w:rsidR="00AA5608" w:rsidRPr="00612227" w14:paraId="2226ED13" w14:textId="77777777" w:rsidTr="000E494A">
        <w:trPr>
          <w:trHeight w:val="300"/>
        </w:trPr>
        <w:tc>
          <w:tcPr>
            <w:tcW w:w="0" w:type="auto"/>
            <w:tcBorders>
              <w:right w:val="single" w:sz="4" w:space="0" w:color="auto"/>
            </w:tcBorders>
            <w:shd w:val="clear" w:color="auto" w:fill="auto"/>
            <w:noWrap/>
            <w:vAlign w:val="bottom"/>
            <w:hideMark/>
          </w:tcPr>
          <w:p w14:paraId="66382482" w14:textId="77777777" w:rsidR="00AA5608" w:rsidRPr="00612227" w:rsidRDefault="00AA5608" w:rsidP="000E494A">
            <w:pPr>
              <w:rPr>
                <w:rFonts w:eastAsia="Times New Roman" w:cs="Arial"/>
                <w:color w:val="000000"/>
                <w:sz w:val="20"/>
                <w:szCs w:val="20"/>
                <w:lang w:eastAsia="en-GB"/>
              </w:rPr>
            </w:pPr>
            <w:r w:rsidRPr="00612227">
              <w:rPr>
                <w:rFonts w:eastAsia="Times New Roman" w:cs="Arial"/>
                <w:color w:val="000000"/>
                <w:sz w:val="20"/>
                <w:szCs w:val="20"/>
                <w:lang w:eastAsia="en-GB"/>
              </w:rPr>
              <w:t>Previous treatment:</w:t>
            </w:r>
          </w:p>
        </w:tc>
        <w:tc>
          <w:tcPr>
            <w:tcW w:w="0" w:type="auto"/>
            <w:tcBorders>
              <w:left w:val="single" w:sz="4" w:space="0" w:color="auto"/>
            </w:tcBorders>
            <w:shd w:val="clear" w:color="auto" w:fill="auto"/>
            <w:noWrap/>
            <w:vAlign w:val="bottom"/>
            <w:hideMark/>
          </w:tcPr>
          <w:p w14:paraId="12DD7282" w14:textId="77777777" w:rsidR="00AA5608" w:rsidRPr="00612227" w:rsidRDefault="00AA5608" w:rsidP="000E494A">
            <w:pPr>
              <w:rPr>
                <w:rFonts w:eastAsia="Times New Roman" w:cs="Arial"/>
                <w:color w:val="000000"/>
                <w:sz w:val="20"/>
                <w:szCs w:val="20"/>
                <w:lang w:eastAsia="en-GB"/>
              </w:rPr>
            </w:pPr>
          </w:p>
        </w:tc>
        <w:tc>
          <w:tcPr>
            <w:tcW w:w="0" w:type="auto"/>
            <w:shd w:val="clear" w:color="auto" w:fill="auto"/>
            <w:noWrap/>
            <w:vAlign w:val="bottom"/>
            <w:hideMark/>
          </w:tcPr>
          <w:p w14:paraId="547EB28D"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1B94B673"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33280A7B" w14:textId="77777777" w:rsidR="00AA5608" w:rsidRPr="00612227" w:rsidRDefault="00AA5608" w:rsidP="000E494A">
            <w:pPr>
              <w:jc w:val="right"/>
              <w:rPr>
                <w:rFonts w:ascii="Times New Roman" w:eastAsia="Times New Roman" w:hAnsi="Times New Roman" w:cs="Times New Roman"/>
                <w:sz w:val="20"/>
                <w:szCs w:val="20"/>
                <w:lang w:eastAsia="en-GB"/>
              </w:rPr>
            </w:pPr>
          </w:p>
        </w:tc>
      </w:tr>
      <w:tr w:rsidR="00AA5608" w:rsidRPr="00612227" w14:paraId="188F3475" w14:textId="77777777" w:rsidTr="000E494A">
        <w:trPr>
          <w:trHeight w:val="300"/>
        </w:trPr>
        <w:tc>
          <w:tcPr>
            <w:tcW w:w="0" w:type="auto"/>
            <w:tcBorders>
              <w:right w:val="single" w:sz="4" w:space="0" w:color="auto"/>
            </w:tcBorders>
            <w:shd w:val="clear" w:color="auto" w:fill="auto"/>
            <w:noWrap/>
            <w:vAlign w:val="bottom"/>
            <w:hideMark/>
          </w:tcPr>
          <w:p w14:paraId="4A61A3F4"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0</w:t>
            </w:r>
            <w:r>
              <w:rPr>
                <w:rFonts w:eastAsia="Times New Roman" w:cs="Arial"/>
                <w:color w:val="000000"/>
                <w:sz w:val="20"/>
                <w:szCs w:val="20"/>
                <w:lang w:eastAsia="en-GB"/>
              </w:rPr>
              <w:t>^</w:t>
            </w:r>
          </w:p>
        </w:tc>
        <w:tc>
          <w:tcPr>
            <w:tcW w:w="0" w:type="auto"/>
            <w:tcBorders>
              <w:left w:val="single" w:sz="4" w:space="0" w:color="auto"/>
            </w:tcBorders>
            <w:shd w:val="clear" w:color="auto" w:fill="auto"/>
            <w:noWrap/>
            <w:vAlign w:val="bottom"/>
            <w:hideMark/>
          </w:tcPr>
          <w:p w14:paraId="1EDBAE5F"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1.00</w:t>
            </w:r>
          </w:p>
        </w:tc>
        <w:tc>
          <w:tcPr>
            <w:tcW w:w="0" w:type="auto"/>
            <w:shd w:val="clear" w:color="auto" w:fill="auto"/>
            <w:noWrap/>
            <w:vAlign w:val="bottom"/>
            <w:hideMark/>
          </w:tcPr>
          <w:p w14:paraId="6CBD271C" w14:textId="77777777" w:rsidR="00AA5608" w:rsidRPr="00612227" w:rsidRDefault="00AA5608" w:rsidP="000E494A">
            <w:pPr>
              <w:jc w:val="right"/>
              <w:rPr>
                <w:rFonts w:eastAsia="Times New Roman" w:cs="Arial"/>
                <w:color w:val="000000"/>
                <w:sz w:val="20"/>
                <w:szCs w:val="20"/>
                <w:lang w:eastAsia="en-GB"/>
              </w:rPr>
            </w:pPr>
          </w:p>
        </w:tc>
        <w:tc>
          <w:tcPr>
            <w:tcW w:w="0" w:type="auto"/>
            <w:shd w:val="clear" w:color="auto" w:fill="auto"/>
            <w:noWrap/>
            <w:vAlign w:val="bottom"/>
            <w:hideMark/>
          </w:tcPr>
          <w:p w14:paraId="2F924AA5" w14:textId="77777777" w:rsidR="00AA5608" w:rsidRPr="00612227" w:rsidRDefault="00AA5608" w:rsidP="000E494A">
            <w:pPr>
              <w:jc w:val="right"/>
              <w:rPr>
                <w:rFonts w:ascii="Times New Roman" w:eastAsia="Times New Roman" w:hAnsi="Times New Roman" w:cs="Times New Roman"/>
                <w:sz w:val="20"/>
                <w:szCs w:val="20"/>
                <w:lang w:eastAsia="en-GB"/>
              </w:rPr>
            </w:pPr>
          </w:p>
        </w:tc>
        <w:tc>
          <w:tcPr>
            <w:tcW w:w="0" w:type="auto"/>
            <w:shd w:val="clear" w:color="auto" w:fill="auto"/>
            <w:noWrap/>
            <w:vAlign w:val="bottom"/>
            <w:hideMark/>
          </w:tcPr>
          <w:p w14:paraId="1A465DF5" w14:textId="77777777" w:rsidR="00AA5608" w:rsidRPr="00612227" w:rsidRDefault="00AA5608" w:rsidP="000E494A">
            <w:pPr>
              <w:jc w:val="right"/>
              <w:rPr>
                <w:rFonts w:ascii="Times New Roman" w:eastAsia="Times New Roman" w:hAnsi="Times New Roman" w:cs="Times New Roman"/>
                <w:sz w:val="20"/>
                <w:szCs w:val="20"/>
                <w:lang w:eastAsia="en-GB"/>
              </w:rPr>
            </w:pPr>
          </w:p>
        </w:tc>
      </w:tr>
      <w:tr w:rsidR="00AA5608" w:rsidRPr="00612227" w14:paraId="6E97C143" w14:textId="77777777" w:rsidTr="000E494A">
        <w:trPr>
          <w:trHeight w:val="300"/>
        </w:trPr>
        <w:tc>
          <w:tcPr>
            <w:tcW w:w="0" w:type="auto"/>
            <w:tcBorders>
              <w:right w:val="single" w:sz="4" w:space="0" w:color="auto"/>
            </w:tcBorders>
            <w:shd w:val="clear" w:color="auto" w:fill="auto"/>
            <w:noWrap/>
            <w:vAlign w:val="bottom"/>
            <w:hideMark/>
          </w:tcPr>
          <w:p w14:paraId="48DC25AD"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1</w:t>
            </w:r>
          </w:p>
        </w:tc>
        <w:tc>
          <w:tcPr>
            <w:tcW w:w="0" w:type="auto"/>
            <w:tcBorders>
              <w:left w:val="single" w:sz="4" w:space="0" w:color="auto"/>
            </w:tcBorders>
            <w:shd w:val="clear" w:color="auto" w:fill="auto"/>
            <w:noWrap/>
            <w:vAlign w:val="bottom"/>
            <w:hideMark/>
          </w:tcPr>
          <w:p w14:paraId="409E2807"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0.58 (0.53-0.64)</w:t>
            </w:r>
          </w:p>
        </w:tc>
        <w:tc>
          <w:tcPr>
            <w:tcW w:w="0" w:type="auto"/>
            <w:shd w:val="clear" w:color="auto" w:fill="auto"/>
            <w:noWrap/>
            <w:vAlign w:val="bottom"/>
            <w:hideMark/>
          </w:tcPr>
          <w:p w14:paraId="0E7267A4"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c>
          <w:tcPr>
            <w:tcW w:w="0" w:type="auto"/>
            <w:shd w:val="clear" w:color="auto" w:fill="auto"/>
            <w:noWrap/>
            <w:vAlign w:val="bottom"/>
            <w:hideMark/>
          </w:tcPr>
          <w:p w14:paraId="55FEC2E9"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0.75 (0.69-0.81)</w:t>
            </w:r>
          </w:p>
        </w:tc>
        <w:tc>
          <w:tcPr>
            <w:tcW w:w="0" w:type="auto"/>
            <w:shd w:val="clear" w:color="auto" w:fill="auto"/>
            <w:noWrap/>
            <w:vAlign w:val="bottom"/>
            <w:hideMark/>
          </w:tcPr>
          <w:p w14:paraId="298857A9"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r w:rsidR="00AA5608" w:rsidRPr="00612227" w14:paraId="72995F1B" w14:textId="77777777" w:rsidTr="000E494A">
        <w:trPr>
          <w:trHeight w:val="300"/>
        </w:trPr>
        <w:tc>
          <w:tcPr>
            <w:tcW w:w="0" w:type="auto"/>
            <w:tcBorders>
              <w:bottom w:val="single" w:sz="4" w:space="0" w:color="auto"/>
              <w:right w:val="single" w:sz="4" w:space="0" w:color="auto"/>
            </w:tcBorders>
            <w:shd w:val="clear" w:color="auto" w:fill="auto"/>
            <w:noWrap/>
            <w:vAlign w:val="bottom"/>
            <w:hideMark/>
          </w:tcPr>
          <w:p w14:paraId="4EDE237F" w14:textId="77777777" w:rsidR="00AA5608" w:rsidRPr="00612227" w:rsidRDefault="00AA5608" w:rsidP="000E494A">
            <w:pPr>
              <w:ind w:firstLineChars="200" w:firstLine="400"/>
              <w:rPr>
                <w:rFonts w:eastAsia="Times New Roman" w:cs="Arial"/>
                <w:color w:val="000000"/>
                <w:sz w:val="20"/>
                <w:szCs w:val="20"/>
                <w:lang w:eastAsia="en-GB"/>
              </w:rPr>
            </w:pPr>
            <w:r w:rsidRPr="00612227">
              <w:rPr>
                <w:rFonts w:eastAsia="Times New Roman" w:cs="Arial"/>
                <w:color w:val="000000"/>
                <w:sz w:val="20"/>
                <w:szCs w:val="20"/>
                <w:lang w:eastAsia="en-GB"/>
              </w:rPr>
              <w:t>2+</w:t>
            </w:r>
          </w:p>
        </w:tc>
        <w:tc>
          <w:tcPr>
            <w:tcW w:w="0" w:type="auto"/>
            <w:tcBorders>
              <w:left w:val="single" w:sz="4" w:space="0" w:color="auto"/>
            </w:tcBorders>
            <w:shd w:val="clear" w:color="auto" w:fill="auto"/>
            <w:noWrap/>
            <w:vAlign w:val="bottom"/>
            <w:hideMark/>
          </w:tcPr>
          <w:p w14:paraId="3B04983A"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0.37 (0.30-0.45)</w:t>
            </w:r>
          </w:p>
        </w:tc>
        <w:tc>
          <w:tcPr>
            <w:tcW w:w="0" w:type="auto"/>
            <w:shd w:val="clear" w:color="auto" w:fill="auto"/>
            <w:noWrap/>
            <w:vAlign w:val="bottom"/>
            <w:hideMark/>
          </w:tcPr>
          <w:p w14:paraId="3A50C1C9"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c>
          <w:tcPr>
            <w:tcW w:w="0" w:type="auto"/>
            <w:shd w:val="clear" w:color="auto" w:fill="auto"/>
            <w:noWrap/>
            <w:vAlign w:val="bottom"/>
            <w:hideMark/>
          </w:tcPr>
          <w:p w14:paraId="47271842"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0.57 (0.48-0.68)</w:t>
            </w:r>
          </w:p>
        </w:tc>
        <w:tc>
          <w:tcPr>
            <w:tcW w:w="0" w:type="auto"/>
            <w:shd w:val="clear" w:color="auto" w:fill="auto"/>
            <w:noWrap/>
            <w:vAlign w:val="bottom"/>
            <w:hideMark/>
          </w:tcPr>
          <w:p w14:paraId="41DA6675" w14:textId="77777777" w:rsidR="00AA5608" w:rsidRPr="00612227" w:rsidRDefault="00AA5608" w:rsidP="000E494A">
            <w:pPr>
              <w:jc w:val="right"/>
              <w:rPr>
                <w:rFonts w:eastAsia="Times New Roman" w:cs="Arial"/>
                <w:color w:val="000000"/>
                <w:sz w:val="20"/>
                <w:szCs w:val="20"/>
                <w:lang w:eastAsia="en-GB"/>
              </w:rPr>
            </w:pPr>
            <w:r w:rsidRPr="00612227">
              <w:rPr>
                <w:rFonts w:eastAsia="Times New Roman" w:cs="Arial"/>
                <w:color w:val="000000"/>
                <w:sz w:val="20"/>
                <w:szCs w:val="20"/>
                <w:lang w:eastAsia="en-GB"/>
              </w:rPr>
              <w:t>p&lt;0.001</w:t>
            </w:r>
          </w:p>
        </w:tc>
      </w:tr>
    </w:tbl>
    <w:p w14:paraId="0EA3971E" w14:textId="7B69A0CE" w:rsidR="00AA5608" w:rsidRPr="00AA5608" w:rsidRDefault="00AA5608" w:rsidP="00AA5608">
      <w:pPr>
        <w:pStyle w:val="paragraph"/>
        <w:spacing w:before="0" w:beforeAutospacing="0"/>
        <w:textAlignment w:val="baseline"/>
        <w:rPr>
          <w:rFonts w:ascii="Arial" w:hAnsi="Arial" w:cs="Arial"/>
          <w:i/>
          <w:iCs/>
          <w:sz w:val="18"/>
          <w:szCs w:val="18"/>
        </w:rPr>
      </w:pPr>
      <w:r w:rsidRPr="00162FDD">
        <w:rPr>
          <w:rFonts w:ascii="Arial" w:hAnsi="Arial" w:cs="Arial"/>
          <w:i/>
          <w:iCs/>
          <w:sz w:val="18"/>
          <w:szCs w:val="18"/>
        </w:rPr>
        <w:t xml:space="preserve">^ Reference case. Statistical outputs derived from multilevel mixed effect regression models on complete case data (n=44,473) for </w:t>
      </w:r>
      <w:r w:rsidR="00AB7760">
        <w:rPr>
          <w:rFonts w:ascii="Arial" w:hAnsi="Arial" w:cs="Arial"/>
          <w:i/>
          <w:iCs/>
          <w:sz w:val="18"/>
          <w:szCs w:val="18"/>
        </w:rPr>
        <w:t>mothers</w:t>
      </w:r>
      <w:r w:rsidRPr="00162FDD">
        <w:rPr>
          <w:rFonts w:ascii="Arial" w:hAnsi="Arial" w:cs="Arial"/>
          <w:i/>
          <w:iCs/>
          <w:sz w:val="18"/>
          <w:szCs w:val="18"/>
        </w:rPr>
        <w:t xml:space="preserve"> and </w:t>
      </w:r>
      <w:r w:rsidR="00EA4EDA">
        <w:rPr>
          <w:rFonts w:ascii="Arial" w:hAnsi="Arial" w:cs="Arial"/>
          <w:i/>
          <w:iCs/>
          <w:sz w:val="18"/>
          <w:szCs w:val="18"/>
        </w:rPr>
        <w:t>fathers</w:t>
      </w:r>
      <w:r w:rsidRPr="00162FDD">
        <w:rPr>
          <w:rFonts w:ascii="Arial" w:hAnsi="Arial" w:cs="Arial"/>
          <w:i/>
          <w:iCs/>
          <w:sz w:val="18"/>
          <w:szCs w:val="18"/>
        </w:rPr>
        <w:t xml:space="preserve">, with 150 groups representing English local authorities. </w:t>
      </w:r>
      <w:r w:rsidR="00AB7760">
        <w:rPr>
          <w:rFonts w:ascii="Arial" w:hAnsi="Arial" w:cs="Arial"/>
          <w:i/>
          <w:iCs/>
          <w:sz w:val="18"/>
          <w:szCs w:val="18"/>
        </w:rPr>
        <w:t>Mothers</w:t>
      </w:r>
      <w:r w:rsidRPr="00162FDD">
        <w:rPr>
          <w:rFonts w:ascii="Arial" w:hAnsi="Arial" w:cs="Arial"/>
          <w:i/>
          <w:iCs/>
          <w:sz w:val="18"/>
          <w:szCs w:val="18"/>
        </w:rPr>
        <w:t xml:space="preserve"> Wald X2 (20) = 2,548.17; Men Wald X2 (19) = 3,437.12 </w:t>
      </w:r>
    </w:p>
    <w:p w14:paraId="63DF173E" w14:textId="5BE280DA" w:rsidR="65A068CB" w:rsidRDefault="65A068CB" w:rsidP="65A068CB">
      <w:pPr>
        <w:pStyle w:val="NoSpacing"/>
        <w:spacing w:line="360" w:lineRule="auto"/>
      </w:pPr>
    </w:p>
    <w:p w14:paraId="1EC3E437" w14:textId="1E4AF2D4" w:rsidR="00495E5A" w:rsidRPr="00E04898" w:rsidRDefault="00495E5A" w:rsidP="00495E5A">
      <w:pPr>
        <w:pStyle w:val="NoSpacing"/>
        <w:spacing w:line="360" w:lineRule="auto"/>
        <w:rPr>
          <w:bCs/>
        </w:rPr>
      </w:pPr>
      <w:r w:rsidRPr="009B1593">
        <w:fldChar w:fldCharType="begin"/>
      </w:r>
      <w:r w:rsidRPr="009B1593">
        <w:instrText xml:space="preserve"> REF _Ref176789535 \h  \* MERGEFORMAT </w:instrText>
      </w:r>
      <w:r w:rsidRPr="009B1593">
        <w:fldChar w:fldCharType="separate"/>
      </w:r>
      <w:r w:rsidRPr="00AF1739">
        <w:t xml:space="preserve">Table </w:t>
      </w:r>
      <w:r w:rsidRPr="00AF1739">
        <w:rPr>
          <w:noProof/>
        </w:rPr>
        <w:t>3.4</w:t>
      </w:r>
      <w:r w:rsidRPr="00AF1739">
        <w:rPr>
          <w:noProof/>
        </w:rPr>
        <w:noBreakHyphen/>
        <w:t>3</w:t>
      </w:r>
      <w:r w:rsidRPr="009B1593">
        <w:fldChar w:fldCharType="end"/>
      </w:r>
      <w:r w:rsidRPr="009B1593">
        <w:t xml:space="preserve"> shows the proportions and adjusted odds ratios</w:t>
      </w:r>
      <w:r>
        <w:t xml:space="preserve"> (aORs)</w:t>
      </w:r>
      <w:r w:rsidRPr="009B1593">
        <w:t xml:space="preserve"> of receiving treatment</w:t>
      </w:r>
      <w:r>
        <w:rPr>
          <w:bCs/>
        </w:rPr>
        <w:t xml:space="preserve"> </w:t>
      </w:r>
      <w:r w:rsidR="00545D7B">
        <w:rPr>
          <w:bCs/>
        </w:rPr>
        <w:t>plus</w:t>
      </w:r>
      <w:r>
        <w:rPr>
          <w:bCs/>
        </w:rPr>
        <w:t xml:space="preserve"> targeted prevention in the form of parenting and/or family recovery support offered by treatment services, as well as targeted prevention in the form of ‘early help’, and statutory child welfare interventions. The proportion of people receiving parenting and/or family recovery support was low among both sexes, although a higher proportion of mothers than fathers received the intervention compared with no support, with mothers living with children having the highest proportion (13.7%). The proportion of people receiving targeted prevention and statutory child welfare support was relatively higher. Similarly, a higher proportion of mothers than fathers received child welfare </w:t>
      </w:r>
      <w:r w:rsidRPr="00E04898">
        <w:rPr>
          <w:bCs/>
        </w:rPr>
        <w:t xml:space="preserve">support compared with no support, with </w:t>
      </w:r>
      <w:r>
        <w:rPr>
          <w:bCs/>
        </w:rPr>
        <w:t>mothers</w:t>
      </w:r>
      <w:r w:rsidRPr="00E04898">
        <w:rPr>
          <w:bCs/>
        </w:rPr>
        <w:t xml:space="preserve"> living with children having the highest proportion (36.2%).</w:t>
      </w:r>
    </w:p>
    <w:p w14:paraId="5C16D93C" w14:textId="77777777" w:rsidR="00495E5A" w:rsidRPr="00E04898" w:rsidRDefault="00495E5A" w:rsidP="00495E5A">
      <w:pPr>
        <w:pStyle w:val="NoSpacing"/>
        <w:spacing w:line="360" w:lineRule="auto"/>
        <w:rPr>
          <w:bCs/>
        </w:rPr>
      </w:pPr>
    </w:p>
    <w:p w14:paraId="7398C908" w14:textId="77777777" w:rsidR="00495E5A" w:rsidRDefault="00495E5A" w:rsidP="00FD004E">
      <w:pPr>
        <w:spacing w:line="360" w:lineRule="auto"/>
        <w:rPr>
          <w:rFonts w:cs="Arial"/>
          <w:bCs/>
        </w:rPr>
      </w:pPr>
      <w:r w:rsidRPr="00E04898">
        <w:rPr>
          <w:rFonts w:cs="Arial"/>
          <w:bCs/>
        </w:rPr>
        <w:t>The following findings were all statistically significant at p&lt;0.001. Compared with parents who were NWC, LWC</w:t>
      </w:r>
      <w:r>
        <w:rPr>
          <w:rFonts w:cs="Arial"/>
          <w:bCs/>
        </w:rPr>
        <w:t>s</w:t>
      </w:r>
      <w:r w:rsidRPr="00E04898">
        <w:rPr>
          <w:rFonts w:cs="Arial"/>
          <w:bCs/>
        </w:rPr>
        <w:t xml:space="preserve"> were associated with higher odds of receiving </w:t>
      </w:r>
      <w:r>
        <w:rPr>
          <w:rFonts w:cs="Arial"/>
          <w:bCs/>
        </w:rPr>
        <w:t>parenting and/or family</w:t>
      </w:r>
      <w:r w:rsidRPr="00E04898">
        <w:rPr>
          <w:rFonts w:cs="Arial"/>
          <w:bCs/>
        </w:rPr>
        <w:t xml:space="preserve"> recovery support (</w:t>
      </w:r>
      <w:r>
        <w:rPr>
          <w:rFonts w:cs="Arial"/>
          <w:bCs/>
        </w:rPr>
        <w:t>mothers</w:t>
      </w:r>
      <w:r w:rsidRPr="00E04898">
        <w:rPr>
          <w:rFonts w:cs="Arial"/>
          <w:bCs/>
        </w:rPr>
        <w:t xml:space="preserve"> aOR=1.76, 95% CI: 1.55,2.00, E=1.98; </w:t>
      </w:r>
      <w:r>
        <w:rPr>
          <w:rFonts w:cs="Arial"/>
          <w:bCs/>
        </w:rPr>
        <w:t>fathers aOR</w:t>
      </w:r>
      <w:r w:rsidRPr="00E04898">
        <w:rPr>
          <w:rFonts w:cs="Arial"/>
          <w:bCs/>
        </w:rPr>
        <w:t>=1.43, 95% CI: 1.26,1.62, E=1.68) and of children being on child in need and child protection plans (</w:t>
      </w:r>
      <w:r>
        <w:rPr>
          <w:rFonts w:cs="Arial"/>
          <w:bCs/>
        </w:rPr>
        <w:t>mothers</w:t>
      </w:r>
      <w:r w:rsidRPr="00E04898">
        <w:rPr>
          <w:rFonts w:cs="Arial"/>
          <w:bCs/>
        </w:rPr>
        <w:t xml:space="preserve"> child in need aOR=3.63, 95% CI:2.97,4.43, E=3.22, </w:t>
      </w:r>
      <w:r>
        <w:rPr>
          <w:rFonts w:cs="Arial"/>
          <w:bCs/>
        </w:rPr>
        <w:t>fathers</w:t>
      </w:r>
      <w:r w:rsidRPr="00E04898">
        <w:rPr>
          <w:rFonts w:cs="Arial"/>
          <w:bCs/>
        </w:rPr>
        <w:t xml:space="preserve"> child in need aOR=2.97, 95% CI: 2.43,3.63 E=2.84; </w:t>
      </w:r>
      <w:r>
        <w:rPr>
          <w:rFonts w:cs="Arial"/>
          <w:bCs/>
        </w:rPr>
        <w:t>mothers</w:t>
      </w:r>
      <w:r w:rsidRPr="00E04898">
        <w:rPr>
          <w:rFonts w:cs="Arial"/>
          <w:bCs/>
        </w:rPr>
        <w:t xml:space="preserve"> child protection aOR=2.09, 95% CI: 1.80,2.42, E=2.25, </w:t>
      </w:r>
      <w:r>
        <w:rPr>
          <w:rFonts w:cs="Arial"/>
          <w:bCs/>
        </w:rPr>
        <w:t>fathers</w:t>
      </w:r>
      <w:r w:rsidRPr="00E04898">
        <w:rPr>
          <w:rFonts w:cs="Arial"/>
          <w:bCs/>
        </w:rPr>
        <w:t xml:space="preserve"> child protection aOR=2.00, 95% CI: 1.72,2.33, E=2.18). </w:t>
      </w:r>
    </w:p>
    <w:p w14:paraId="476529DF" w14:textId="77777777" w:rsidR="00495E5A" w:rsidRDefault="00495E5A" w:rsidP="0042328C">
      <w:pPr>
        <w:pStyle w:val="NoSpacing"/>
        <w:spacing w:line="360" w:lineRule="auto"/>
      </w:pPr>
    </w:p>
    <w:p w14:paraId="524ACAC0" w14:textId="579EF3CA" w:rsidR="00495E5A" w:rsidRPr="00495E5A" w:rsidRDefault="00495E5A" w:rsidP="0042328C">
      <w:pPr>
        <w:pStyle w:val="NoSpacing"/>
        <w:spacing w:line="360" w:lineRule="auto"/>
      </w:pPr>
      <w:r w:rsidRPr="00E04898">
        <w:rPr>
          <w:bCs/>
        </w:rPr>
        <w:t xml:space="preserve">Being LWC was also associated with being more likely to receive early help than NWC, with </w:t>
      </w:r>
      <w:r>
        <w:rPr>
          <w:bCs/>
        </w:rPr>
        <w:t>mothers</w:t>
      </w:r>
      <w:r w:rsidRPr="00E04898">
        <w:rPr>
          <w:bCs/>
        </w:rPr>
        <w:t xml:space="preserve"> being more statistically likely than </w:t>
      </w:r>
      <w:r>
        <w:rPr>
          <w:bCs/>
        </w:rPr>
        <w:t>fathers (</w:t>
      </w:r>
      <w:r w:rsidRPr="00E04898">
        <w:rPr>
          <w:bCs/>
        </w:rPr>
        <w:t xml:space="preserve">aOR=5.62, 95% CI: 4.52,6.99, E=4.17 vs aOR = 3.26, 95% CI: 2.71,3.94, E=3.01), and being LWC was </w:t>
      </w:r>
      <w:r w:rsidRPr="00E04898">
        <w:rPr>
          <w:bCs/>
        </w:rPr>
        <w:lastRenderedPageBreak/>
        <w:t xml:space="preserve">associated with being less likely to have a child in care, with </w:t>
      </w:r>
      <w:r>
        <w:rPr>
          <w:bCs/>
        </w:rPr>
        <w:t>mothers</w:t>
      </w:r>
      <w:r w:rsidRPr="00E04898">
        <w:rPr>
          <w:bCs/>
        </w:rPr>
        <w:t xml:space="preserve"> being statistically less likely than men  (aOR=0.17, 95% CI: 0.13,0.21, E=4.28 vs aOR = 0.33, 95% CI:0.23,0.48, E=2.88).</w:t>
      </w:r>
    </w:p>
    <w:p w14:paraId="2F5E8F81" w14:textId="77777777" w:rsidR="00495E5A" w:rsidRPr="0029020C" w:rsidRDefault="00495E5A" w:rsidP="00495E5A">
      <w:pPr>
        <w:spacing w:line="360" w:lineRule="auto"/>
      </w:pPr>
    </w:p>
    <w:p w14:paraId="59B41783" w14:textId="3C526963" w:rsidR="00495E5A" w:rsidRPr="007375D0" w:rsidRDefault="00495E5A" w:rsidP="00495E5A">
      <w:pPr>
        <w:pStyle w:val="NoSpacing"/>
        <w:spacing w:line="360" w:lineRule="auto"/>
      </w:pPr>
      <w:r>
        <w:t xml:space="preserve">After negative multi-collinearity screening for all baseline characteristics, the results of the multiple imputation exploratory analysis of the association </w:t>
      </w:r>
      <w:r>
        <w:rPr>
          <w:bCs/>
        </w:rPr>
        <w:t xml:space="preserve">between successful completion of treatment and treatment </w:t>
      </w:r>
      <w:r w:rsidR="00545D7B">
        <w:rPr>
          <w:bCs/>
        </w:rPr>
        <w:t>plus</w:t>
      </w:r>
      <w:r>
        <w:rPr>
          <w:bCs/>
        </w:rPr>
        <w:t xml:space="preserve"> parenting and/or family or child welfare interventions, adjusted for baseline characteristics, can be seen in </w:t>
      </w:r>
      <w:r w:rsidRPr="00802446">
        <w:rPr>
          <w:bCs/>
          <w:highlight w:val="yellow"/>
        </w:rPr>
        <w:fldChar w:fldCharType="begin"/>
      </w:r>
      <w:r w:rsidRPr="00802446">
        <w:rPr>
          <w:bCs/>
        </w:rPr>
        <w:instrText xml:space="preserve"> REF _Ref176789756 \h </w:instrText>
      </w:r>
      <w:r w:rsidRPr="00802446">
        <w:rPr>
          <w:bCs/>
          <w:highlight w:val="yellow"/>
        </w:rPr>
        <w:instrText xml:space="preserve"> \* MERGEFORMAT </w:instrText>
      </w:r>
      <w:r w:rsidRPr="00802446">
        <w:rPr>
          <w:bCs/>
          <w:highlight w:val="yellow"/>
        </w:rPr>
      </w:r>
      <w:r w:rsidRPr="00802446">
        <w:rPr>
          <w:bCs/>
          <w:highlight w:val="yellow"/>
        </w:rPr>
        <w:fldChar w:fldCharType="separate"/>
      </w:r>
      <w:r w:rsidRPr="00495E5A">
        <w:rPr>
          <w:bCs/>
        </w:rPr>
        <w:t xml:space="preserve">Table </w:t>
      </w:r>
      <w:r w:rsidRPr="00495E5A">
        <w:rPr>
          <w:bCs/>
          <w:noProof/>
        </w:rPr>
        <w:t>3.4</w:t>
      </w:r>
      <w:r w:rsidRPr="00495E5A">
        <w:rPr>
          <w:bCs/>
          <w:noProof/>
        </w:rPr>
        <w:noBreakHyphen/>
        <w:t>4</w:t>
      </w:r>
      <w:r w:rsidRPr="00802446">
        <w:rPr>
          <w:bCs/>
          <w:highlight w:val="yellow"/>
        </w:rPr>
        <w:fldChar w:fldCharType="end"/>
      </w:r>
      <w:r w:rsidRPr="00802446">
        <w:rPr>
          <w:bCs/>
        </w:rPr>
        <w:t>. Irrespective of sex or whether adults were LWC or NWC, recovery</w:t>
      </w:r>
      <w:r>
        <w:rPr>
          <w:bCs/>
        </w:rPr>
        <w:t xml:space="preserve"> support in the form of parenting and/or family recovery support was significantly associated with successful completion of treatment (mothers LWC aOR=1.66, 95% CI: 1.60,1.72, E=2.71; men LWC aOR=1.45, 95% CI: 1.17,1.78, E=2.26; mothers NWC aOR=1.55, 95% CI: 1.28,1.86, E=2.47; men NWC aOR=1.44, 95% CI: 1.25,1.66, E=2.24).</w:t>
      </w:r>
    </w:p>
    <w:p w14:paraId="701B5C31" w14:textId="77777777" w:rsidR="00AA5608" w:rsidRDefault="00AA5608" w:rsidP="00AA5608">
      <w:pPr>
        <w:pStyle w:val="NoSpacing"/>
        <w:spacing w:line="360" w:lineRule="auto"/>
      </w:pPr>
    </w:p>
    <w:p w14:paraId="64ACC979" w14:textId="47DBE667" w:rsidR="00AA5608" w:rsidRDefault="00AA5608" w:rsidP="00AA5608">
      <w:pPr>
        <w:pStyle w:val="NoSpacing"/>
        <w:spacing w:line="360" w:lineRule="auto"/>
      </w:pPr>
      <w:r>
        <w:t xml:space="preserve">Compared with no child welfare support, </w:t>
      </w:r>
      <w:r w:rsidR="00AB7760">
        <w:t>mothers</w:t>
      </w:r>
      <w:r>
        <w:t xml:space="preserve"> living with children were signific</w:t>
      </w:r>
      <w:r w:rsidRPr="00DF032B">
        <w:t xml:space="preserve">antly less likely to successfully complete treatment if they received early help (aOR=0.88, 95% CI: 0.84,0.91, p&lt;0.001, E=1.53), or had a child in care (aOR=0.90, </w:t>
      </w:r>
      <w:r w:rsidRPr="00075C2D">
        <w:t>95% CI: 0.83,0.97, p&lt;0.01, E=1.46), but more likely if they had a child on a child in need plan (aOR=1.18, 95% CI: 1.13-1.22, p&lt;0.001, E=1.64)</w:t>
      </w:r>
      <w:r>
        <w:t>.</w:t>
      </w:r>
    </w:p>
    <w:p w14:paraId="53BA10FB" w14:textId="77777777" w:rsidR="00AA5608" w:rsidRDefault="00AA5608" w:rsidP="00AA5608">
      <w:pPr>
        <w:pStyle w:val="NoSpacing"/>
        <w:spacing w:line="360" w:lineRule="auto"/>
      </w:pPr>
    </w:p>
    <w:p w14:paraId="242A47D9" w14:textId="01E40C86" w:rsidR="00AA5608" w:rsidRDefault="00AB7760" w:rsidP="00AA5608">
      <w:pPr>
        <w:pStyle w:val="NoSpacing"/>
        <w:spacing w:line="360" w:lineRule="auto"/>
      </w:pPr>
      <w:r>
        <w:t>Mothers</w:t>
      </w:r>
      <w:r w:rsidR="00AA5608">
        <w:t xml:space="preserve"> who were NWC were significantly more likely to successfully complete treatment if they had a child on a child protection plan (aOR=1.22, 95% CI: </w:t>
      </w:r>
      <w:r w:rsidR="00AA5608" w:rsidRPr="003336B2">
        <w:t xml:space="preserve">1.02,1.45, p&lt;0.05, E=1.74). </w:t>
      </w:r>
      <w:r w:rsidR="00802446">
        <w:t>Fathers</w:t>
      </w:r>
      <w:r w:rsidR="00AA5608" w:rsidRPr="003336B2">
        <w:t xml:space="preserve"> who were NWC were also more likely to successfully complete if they had a child on a child protection (aOR=1.27, 95% CI: 1.10,1.46, p&lt;0.05, E=1.86), as well as if they were receiving early help support (aOR=1.42, 95% CI: 1.10,1.84, p&lt;0.01, E=2.19).</w:t>
      </w:r>
      <w:r w:rsidR="00AA5608">
        <w:t xml:space="preserve"> </w:t>
      </w:r>
    </w:p>
    <w:p w14:paraId="0513216F" w14:textId="77777777" w:rsidR="00AA5608" w:rsidRPr="00C463E6" w:rsidRDefault="00AA5608" w:rsidP="00AA5608">
      <w:pPr>
        <w:pStyle w:val="NoSpacing"/>
        <w:sectPr w:rsidR="00AA5608" w:rsidRPr="00C463E6" w:rsidSect="00AA5608">
          <w:pgSz w:w="11906" w:h="16838"/>
          <w:pgMar w:top="1440" w:right="1440" w:bottom="1440" w:left="1440" w:header="709" w:footer="709" w:gutter="0"/>
          <w:cols w:space="708"/>
          <w:docGrid w:linePitch="360"/>
        </w:sectPr>
      </w:pPr>
    </w:p>
    <w:p w14:paraId="49F64B62" w14:textId="39AE8128" w:rsidR="00AA5608" w:rsidRDefault="003544A3" w:rsidP="009D4014">
      <w:pPr>
        <w:pStyle w:val="Caption"/>
        <w:keepNext/>
        <w:rPr>
          <w:rFonts w:cs="Arial"/>
          <w:b w:val="0"/>
          <w:bCs w:val="0"/>
          <w:i/>
          <w:iCs/>
          <w:color w:val="auto"/>
          <w:sz w:val="24"/>
          <w:szCs w:val="24"/>
        </w:rPr>
      </w:pPr>
      <w:bookmarkStart w:id="76" w:name="_Ref176789535"/>
      <w:bookmarkStart w:id="77" w:name="_Toc185844991"/>
      <w:r>
        <w:rPr>
          <w:b w:val="0"/>
          <w:bCs w:val="0"/>
          <w:i/>
          <w:iCs/>
          <w:color w:val="auto"/>
          <w:sz w:val="24"/>
          <w:szCs w:val="24"/>
        </w:rPr>
        <w:lastRenderedPageBreak/>
        <w:t>Table</w:t>
      </w:r>
      <w:r w:rsidR="009D4014" w:rsidRPr="009D4014">
        <w:rPr>
          <w:b w:val="0"/>
          <w:bCs w:val="0"/>
          <w:i/>
          <w:iCs/>
          <w:color w:val="auto"/>
          <w:sz w:val="24"/>
          <w:szCs w:val="24"/>
        </w:rPr>
        <w:t xml:space="preserv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3.4</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3</w:t>
      </w:r>
      <w:r w:rsidR="00367870">
        <w:rPr>
          <w:b w:val="0"/>
          <w:bCs w:val="0"/>
          <w:i/>
          <w:iCs/>
          <w:color w:val="auto"/>
          <w:sz w:val="24"/>
          <w:szCs w:val="24"/>
        </w:rPr>
        <w:fldChar w:fldCharType="end"/>
      </w:r>
      <w:bookmarkEnd w:id="76"/>
      <w:r w:rsidR="009D4014" w:rsidRPr="009D4014">
        <w:rPr>
          <w:b w:val="0"/>
          <w:bCs w:val="0"/>
          <w:i/>
          <w:iCs/>
          <w:color w:val="auto"/>
          <w:sz w:val="24"/>
          <w:szCs w:val="24"/>
        </w:rPr>
        <w:tab/>
      </w:r>
      <w:r w:rsidR="00AA5608" w:rsidRPr="009D4014">
        <w:rPr>
          <w:rFonts w:cs="Arial"/>
          <w:b w:val="0"/>
          <w:bCs w:val="0"/>
          <w:i/>
          <w:iCs/>
          <w:color w:val="auto"/>
          <w:sz w:val="24"/>
          <w:szCs w:val="24"/>
        </w:rPr>
        <w:t xml:space="preserve">Exploratory analysis of the association between living with children and receiving parenting/ child welfare </w:t>
      </w:r>
      <w:r w:rsidR="00AA5608" w:rsidRPr="009D4014">
        <w:rPr>
          <w:rFonts w:cs="Arial"/>
          <w:b w:val="0"/>
          <w:bCs w:val="0"/>
          <w:i/>
          <w:iCs/>
          <w:color w:val="auto"/>
          <w:sz w:val="24"/>
          <w:szCs w:val="24"/>
        </w:rPr>
        <w:tab/>
      </w:r>
      <w:r w:rsidR="00AA5608" w:rsidRPr="009D4014">
        <w:rPr>
          <w:rFonts w:cs="Arial"/>
          <w:b w:val="0"/>
          <w:bCs w:val="0"/>
          <w:i/>
          <w:iCs/>
          <w:color w:val="auto"/>
          <w:sz w:val="24"/>
          <w:szCs w:val="24"/>
        </w:rPr>
        <w:tab/>
      </w:r>
      <w:r w:rsidR="00AA5608" w:rsidRPr="009D4014">
        <w:rPr>
          <w:rFonts w:cs="Arial"/>
          <w:b w:val="0"/>
          <w:bCs w:val="0"/>
          <w:i/>
          <w:iCs/>
          <w:color w:val="auto"/>
          <w:sz w:val="24"/>
          <w:szCs w:val="24"/>
        </w:rPr>
        <w:tab/>
      </w:r>
      <w:r w:rsidR="00AA5608" w:rsidRPr="009D4014">
        <w:rPr>
          <w:rFonts w:cs="Arial"/>
          <w:b w:val="0"/>
          <w:bCs w:val="0"/>
          <w:i/>
          <w:iCs/>
          <w:color w:val="auto"/>
          <w:sz w:val="24"/>
          <w:szCs w:val="24"/>
        </w:rPr>
        <w:tab/>
        <w:t>interventions, broken down by sex and adjusted for baseline characteristics (n=44,473)</w:t>
      </w:r>
      <w:bookmarkEnd w:id="77"/>
    </w:p>
    <w:p w14:paraId="7F67A0AA" w14:textId="77777777" w:rsidR="009D4014" w:rsidRPr="009D4014" w:rsidRDefault="009D4014" w:rsidP="009D4014"/>
    <w:tbl>
      <w:tblPr>
        <w:tblW w:w="5080" w:type="pct"/>
        <w:tblLayout w:type="fixed"/>
        <w:tblLook w:val="04A0" w:firstRow="1" w:lastRow="0" w:firstColumn="1" w:lastColumn="0" w:noHBand="0" w:noVBand="1"/>
      </w:tblPr>
      <w:tblGrid>
        <w:gridCol w:w="2263"/>
        <w:gridCol w:w="1276"/>
        <w:gridCol w:w="1276"/>
        <w:gridCol w:w="1421"/>
        <w:gridCol w:w="851"/>
        <w:gridCol w:w="993"/>
        <w:gridCol w:w="1276"/>
        <w:gridCol w:w="1421"/>
        <w:gridCol w:w="1418"/>
        <w:gridCol w:w="854"/>
        <w:gridCol w:w="1132"/>
      </w:tblGrid>
      <w:tr w:rsidR="00AA5608" w:rsidRPr="00D306E6" w14:paraId="05AB1989" w14:textId="77777777" w:rsidTr="000E494A">
        <w:trPr>
          <w:trHeight w:val="306"/>
        </w:trPr>
        <w:tc>
          <w:tcPr>
            <w:tcW w:w="798" w:type="pct"/>
            <w:vMerge w:val="restart"/>
            <w:tcBorders>
              <w:bottom w:val="single" w:sz="4" w:space="0" w:color="auto"/>
              <w:right w:val="single" w:sz="4" w:space="0" w:color="auto"/>
            </w:tcBorders>
            <w:shd w:val="clear" w:color="auto" w:fill="auto"/>
            <w:noWrap/>
            <w:vAlign w:val="center"/>
            <w:hideMark/>
          </w:tcPr>
          <w:p w14:paraId="08B6C0F4" w14:textId="77777777" w:rsidR="00AA5608" w:rsidRPr="00D306E6" w:rsidRDefault="00AA5608" w:rsidP="000E494A">
            <w:pPr>
              <w:rPr>
                <w:rFonts w:eastAsia="Times New Roman" w:cs="Arial"/>
                <w:color w:val="000000"/>
                <w:sz w:val="16"/>
                <w:szCs w:val="16"/>
                <w:lang w:eastAsia="en-GB"/>
              </w:rPr>
            </w:pPr>
            <w:r w:rsidRPr="00D306E6">
              <w:rPr>
                <w:rFonts w:eastAsia="Times New Roman" w:cs="Arial"/>
                <w:color w:val="000000"/>
                <w:sz w:val="16"/>
                <w:szCs w:val="16"/>
                <w:lang w:eastAsia="en-GB"/>
              </w:rPr>
              <w:t>Interventions</w:t>
            </w:r>
          </w:p>
        </w:tc>
        <w:tc>
          <w:tcPr>
            <w:tcW w:w="2051" w:type="pct"/>
            <w:gridSpan w:val="5"/>
            <w:tcBorders>
              <w:left w:val="single" w:sz="4" w:space="0" w:color="auto"/>
              <w:bottom w:val="single" w:sz="4" w:space="0" w:color="auto"/>
            </w:tcBorders>
            <w:shd w:val="clear" w:color="auto" w:fill="auto"/>
            <w:noWrap/>
            <w:vAlign w:val="bottom"/>
            <w:hideMark/>
          </w:tcPr>
          <w:p w14:paraId="6614F5A7" w14:textId="70DB61E5" w:rsidR="00AA5608" w:rsidRPr="00D306E6" w:rsidRDefault="00AB7760" w:rsidP="000E494A">
            <w:pPr>
              <w:jc w:val="center"/>
              <w:rPr>
                <w:rFonts w:eastAsia="Times New Roman" w:cs="Arial"/>
                <w:color w:val="000000"/>
                <w:sz w:val="16"/>
                <w:szCs w:val="16"/>
                <w:lang w:eastAsia="en-GB"/>
              </w:rPr>
            </w:pPr>
            <w:r>
              <w:rPr>
                <w:rFonts w:eastAsia="Times New Roman" w:cs="Arial"/>
                <w:color w:val="000000"/>
                <w:sz w:val="16"/>
                <w:szCs w:val="16"/>
                <w:lang w:eastAsia="en-GB"/>
              </w:rPr>
              <w:t>Mothers</w:t>
            </w:r>
            <w:r w:rsidR="00AA5608" w:rsidRPr="00D306E6">
              <w:rPr>
                <w:rFonts w:eastAsia="Times New Roman" w:cs="Arial"/>
                <w:color w:val="000000"/>
                <w:sz w:val="16"/>
                <w:szCs w:val="16"/>
                <w:lang w:eastAsia="en-GB"/>
              </w:rPr>
              <w:t xml:space="preserve"> (n=15,726)</w:t>
            </w:r>
          </w:p>
        </w:tc>
        <w:tc>
          <w:tcPr>
            <w:tcW w:w="2151" w:type="pct"/>
            <w:gridSpan w:val="5"/>
            <w:tcBorders>
              <w:left w:val="nil"/>
              <w:bottom w:val="single" w:sz="4" w:space="0" w:color="auto"/>
            </w:tcBorders>
            <w:shd w:val="clear" w:color="auto" w:fill="auto"/>
            <w:noWrap/>
            <w:vAlign w:val="bottom"/>
            <w:hideMark/>
          </w:tcPr>
          <w:p w14:paraId="4D20FD88" w14:textId="4C7761CF" w:rsidR="00AA5608" w:rsidRPr="00D306E6" w:rsidRDefault="00AB7760" w:rsidP="000E494A">
            <w:pPr>
              <w:jc w:val="center"/>
              <w:rPr>
                <w:rFonts w:eastAsia="Times New Roman" w:cs="Arial"/>
                <w:color w:val="000000"/>
                <w:sz w:val="16"/>
                <w:szCs w:val="16"/>
                <w:lang w:eastAsia="en-GB"/>
              </w:rPr>
            </w:pPr>
            <w:r>
              <w:rPr>
                <w:rFonts w:eastAsia="Times New Roman" w:cs="Arial"/>
                <w:color w:val="000000"/>
                <w:sz w:val="16"/>
                <w:szCs w:val="16"/>
                <w:lang w:eastAsia="en-GB"/>
              </w:rPr>
              <w:t>Fathers (</w:t>
            </w:r>
            <w:r w:rsidR="00AA5608">
              <w:rPr>
                <w:rFonts w:eastAsia="Times New Roman" w:cs="Arial"/>
                <w:color w:val="000000"/>
                <w:sz w:val="16"/>
                <w:szCs w:val="16"/>
                <w:lang w:eastAsia="en-GB"/>
              </w:rPr>
              <w:t>n=</w:t>
            </w:r>
            <w:r w:rsidR="00AA5608" w:rsidRPr="00D306E6">
              <w:rPr>
                <w:rFonts w:eastAsia="Times New Roman" w:cs="Arial"/>
                <w:color w:val="000000"/>
                <w:sz w:val="16"/>
                <w:szCs w:val="16"/>
                <w:lang w:eastAsia="en-GB"/>
              </w:rPr>
              <w:t>28,747)</w:t>
            </w:r>
          </w:p>
        </w:tc>
      </w:tr>
      <w:tr w:rsidR="00AA5608" w:rsidRPr="00D306E6" w14:paraId="11CB17F4" w14:textId="77777777" w:rsidTr="000E494A">
        <w:trPr>
          <w:trHeight w:val="889"/>
        </w:trPr>
        <w:tc>
          <w:tcPr>
            <w:tcW w:w="798" w:type="pct"/>
            <w:vMerge/>
            <w:tcBorders>
              <w:top w:val="single" w:sz="4" w:space="0" w:color="auto"/>
              <w:right w:val="single" w:sz="4" w:space="0" w:color="auto"/>
            </w:tcBorders>
            <w:vAlign w:val="center"/>
            <w:hideMark/>
          </w:tcPr>
          <w:p w14:paraId="0FFF490E" w14:textId="77777777" w:rsidR="00AA5608" w:rsidRPr="00D306E6" w:rsidRDefault="00AA5608" w:rsidP="000E494A">
            <w:pPr>
              <w:rPr>
                <w:rFonts w:eastAsia="Times New Roman" w:cs="Arial"/>
                <w:color w:val="000000"/>
                <w:sz w:val="16"/>
                <w:szCs w:val="16"/>
                <w:lang w:eastAsia="en-GB"/>
              </w:rPr>
            </w:pPr>
          </w:p>
        </w:tc>
        <w:tc>
          <w:tcPr>
            <w:tcW w:w="450" w:type="pct"/>
            <w:tcBorders>
              <w:top w:val="single" w:sz="4" w:space="0" w:color="auto"/>
              <w:left w:val="single" w:sz="4" w:space="0" w:color="auto"/>
            </w:tcBorders>
            <w:shd w:val="clear" w:color="auto" w:fill="auto"/>
            <w:vAlign w:val="bottom"/>
            <w:hideMark/>
          </w:tcPr>
          <w:p w14:paraId="4FA25EF9" w14:textId="385CAE71" w:rsidR="00AA5608" w:rsidRPr="00D306E6" w:rsidRDefault="002946F0" w:rsidP="000E494A">
            <w:pPr>
              <w:rPr>
                <w:rFonts w:eastAsia="Times New Roman" w:cs="Arial"/>
                <w:color w:val="000000"/>
                <w:sz w:val="16"/>
                <w:szCs w:val="16"/>
                <w:lang w:eastAsia="en-GB"/>
              </w:rPr>
            </w:pPr>
            <w:r>
              <w:rPr>
                <w:rFonts w:eastAsia="Times New Roman" w:cs="Arial"/>
                <w:color w:val="000000"/>
                <w:sz w:val="16"/>
                <w:szCs w:val="16"/>
                <w:lang w:eastAsia="en-GB"/>
              </w:rPr>
              <w:t xml:space="preserve">Parents living </w:t>
            </w:r>
            <w:r w:rsidR="00AA5608" w:rsidRPr="00D306E6">
              <w:rPr>
                <w:rFonts w:eastAsia="Times New Roman" w:cs="Arial"/>
                <w:color w:val="000000"/>
                <w:sz w:val="16"/>
                <w:szCs w:val="16"/>
                <w:lang w:eastAsia="en-GB"/>
              </w:rPr>
              <w:t>with children (LWC)</w:t>
            </w:r>
          </w:p>
        </w:tc>
        <w:tc>
          <w:tcPr>
            <w:tcW w:w="450" w:type="pct"/>
            <w:tcBorders>
              <w:top w:val="single" w:sz="4" w:space="0" w:color="auto"/>
            </w:tcBorders>
            <w:shd w:val="clear" w:color="auto" w:fill="auto"/>
            <w:vAlign w:val="bottom"/>
            <w:hideMark/>
          </w:tcPr>
          <w:p w14:paraId="23225BD6" w14:textId="77777777" w:rsidR="00AA5608" w:rsidRPr="00D306E6" w:rsidRDefault="00AA5608" w:rsidP="000E494A">
            <w:pPr>
              <w:rPr>
                <w:rFonts w:eastAsia="Times New Roman" w:cs="Arial"/>
                <w:color w:val="000000"/>
                <w:sz w:val="16"/>
                <w:szCs w:val="16"/>
                <w:lang w:eastAsia="en-GB"/>
              </w:rPr>
            </w:pPr>
            <w:r w:rsidRPr="00D306E6">
              <w:rPr>
                <w:rFonts w:eastAsia="Times New Roman" w:cs="Arial"/>
                <w:color w:val="000000"/>
                <w:sz w:val="16"/>
                <w:szCs w:val="16"/>
                <w:lang w:eastAsia="en-GB"/>
              </w:rPr>
              <w:t>Parents not living with children (NWC)</w:t>
            </w:r>
          </w:p>
        </w:tc>
        <w:tc>
          <w:tcPr>
            <w:tcW w:w="501" w:type="pct"/>
            <w:vMerge w:val="restart"/>
            <w:tcBorders>
              <w:top w:val="single" w:sz="4" w:space="0" w:color="auto"/>
            </w:tcBorders>
            <w:shd w:val="clear" w:color="auto" w:fill="auto"/>
            <w:vAlign w:val="center"/>
            <w:hideMark/>
          </w:tcPr>
          <w:p w14:paraId="7829F15D" w14:textId="77777777" w:rsidR="00AA5608" w:rsidRPr="00D306E6" w:rsidRDefault="00AA5608" w:rsidP="000E494A">
            <w:pPr>
              <w:rPr>
                <w:rFonts w:eastAsia="Times New Roman" w:cs="Arial"/>
                <w:color w:val="000000"/>
                <w:sz w:val="16"/>
                <w:szCs w:val="16"/>
                <w:lang w:eastAsia="en-GB"/>
              </w:rPr>
            </w:pPr>
            <w:r w:rsidRPr="00D306E6">
              <w:rPr>
                <w:rFonts w:eastAsia="Times New Roman" w:cs="Arial"/>
                <w:color w:val="000000"/>
                <w:sz w:val="16"/>
                <w:szCs w:val="16"/>
                <w:lang w:eastAsia="en-GB"/>
              </w:rPr>
              <w:t>aOR (95% CI), LWC = outcome</w:t>
            </w:r>
          </w:p>
        </w:tc>
        <w:tc>
          <w:tcPr>
            <w:tcW w:w="300" w:type="pct"/>
            <w:vMerge w:val="restart"/>
            <w:tcBorders>
              <w:top w:val="single" w:sz="4" w:space="0" w:color="auto"/>
            </w:tcBorders>
            <w:shd w:val="clear" w:color="auto" w:fill="auto"/>
            <w:vAlign w:val="center"/>
            <w:hideMark/>
          </w:tcPr>
          <w:p w14:paraId="7C1D67B4" w14:textId="77777777" w:rsidR="00AA5608" w:rsidRPr="00D306E6" w:rsidRDefault="00AA5608" w:rsidP="000E494A">
            <w:pPr>
              <w:jc w:val="center"/>
              <w:rPr>
                <w:rFonts w:eastAsia="Times New Roman" w:cs="Arial"/>
                <w:color w:val="000000"/>
                <w:sz w:val="16"/>
                <w:szCs w:val="16"/>
                <w:lang w:eastAsia="en-GB"/>
              </w:rPr>
            </w:pPr>
            <w:r w:rsidRPr="00D306E6">
              <w:rPr>
                <w:rFonts w:eastAsia="Times New Roman" w:cs="Arial"/>
                <w:color w:val="000000"/>
                <w:sz w:val="16"/>
                <w:szCs w:val="16"/>
                <w:lang w:eastAsia="en-GB"/>
              </w:rPr>
              <w:t>Sig.</w:t>
            </w:r>
          </w:p>
        </w:tc>
        <w:tc>
          <w:tcPr>
            <w:tcW w:w="350" w:type="pct"/>
            <w:vMerge w:val="restart"/>
            <w:tcBorders>
              <w:top w:val="single" w:sz="4" w:space="0" w:color="auto"/>
            </w:tcBorders>
            <w:shd w:val="clear" w:color="auto" w:fill="auto"/>
            <w:vAlign w:val="center"/>
            <w:hideMark/>
          </w:tcPr>
          <w:p w14:paraId="0F206C64" w14:textId="77777777" w:rsidR="00AA5608" w:rsidRPr="00D306E6" w:rsidRDefault="00AA5608" w:rsidP="000E494A">
            <w:pPr>
              <w:jc w:val="center"/>
              <w:rPr>
                <w:rFonts w:eastAsia="Times New Roman" w:cs="Arial"/>
                <w:color w:val="000000"/>
                <w:sz w:val="16"/>
                <w:szCs w:val="16"/>
                <w:lang w:eastAsia="en-GB"/>
              </w:rPr>
            </w:pPr>
            <w:r w:rsidRPr="00D306E6">
              <w:rPr>
                <w:rFonts w:eastAsia="Times New Roman" w:cs="Arial"/>
                <w:color w:val="000000"/>
                <w:sz w:val="16"/>
                <w:szCs w:val="16"/>
                <w:lang w:eastAsia="en-GB"/>
              </w:rPr>
              <w:t>E-value (CI limit)</w:t>
            </w:r>
          </w:p>
        </w:tc>
        <w:tc>
          <w:tcPr>
            <w:tcW w:w="450" w:type="pct"/>
            <w:tcBorders>
              <w:top w:val="single" w:sz="4" w:space="0" w:color="auto"/>
              <w:left w:val="nil"/>
            </w:tcBorders>
            <w:shd w:val="clear" w:color="auto" w:fill="auto"/>
            <w:vAlign w:val="bottom"/>
            <w:hideMark/>
          </w:tcPr>
          <w:p w14:paraId="69EADF83" w14:textId="65767498" w:rsidR="00AA5608" w:rsidRPr="00D306E6" w:rsidRDefault="002946F0" w:rsidP="000E494A">
            <w:pPr>
              <w:rPr>
                <w:rFonts w:eastAsia="Times New Roman" w:cs="Arial"/>
                <w:color w:val="000000"/>
                <w:sz w:val="16"/>
                <w:szCs w:val="16"/>
                <w:lang w:eastAsia="en-GB"/>
              </w:rPr>
            </w:pPr>
            <w:r>
              <w:rPr>
                <w:rFonts w:eastAsia="Times New Roman" w:cs="Arial"/>
                <w:color w:val="000000"/>
                <w:sz w:val="16"/>
                <w:szCs w:val="16"/>
                <w:lang w:eastAsia="en-GB"/>
              </w:rPr>
              <w:t xml:space="preserve">Parents living </w:t>
            </w:r>
            <w:r w:rsidR="00AA5608" w:rsidRPr="00D306E6">
              <w:rPr>
                <w:rFonts w:eastAsia="Times New Roman" w:cs="Arial"/>
                <w:color w:val="000000"/>
                <w:sz w:val="16"/>
                <w:szCs w:val="16"/>
                <w:lang w:eastAsia="en-GB"/>
              </w:rPr>
              <w:t>with children (LWC)</w:t>
            </w:r>
          </w:p>
        </w:tc>
        <w:tc>
          <w:tcPr>
            <w:tcW w:w="501" w:type="pct"/>
            <w:tcBorders>
              <w:top w:val="single" w:sz="4" w:space="0" w:color="auto"/>
            </w:tcBorders>
            <w:shd w:val="clear" w:color="auto" w:fill="auto"/>
            <w:vAlign w:val="bottom"/>
            <w:hideMark/>
          </w:tcPr>
          <w:p w14:paraId="728DA4B7" w14:textId="77777777" w:rsidR="00AA5608" w:rsidRPr="00D306E6" w:rsidRDefault="00AA5608" w:rsidP="000E494A">
            <w:pPr>
              <w:rPr>
                <w:rFonts w:eastAsia="Times New Roman" w:cs="Arial"/>
                <w:color w:val="000000"/>
                <w:sz w:val="16"/>
                <w:szCs w:val="16"/>
                <w:lang w:eastAsia="en-GB"/>
              </w:rPr>
            </w:pPr>
            <w:r w:rsidRPr="00D306E6">
              <w:rPr>
                <w:rFonts w:eastAsia="Times New Roman" w:cs="Arial"/>
                <w:color w:val="000000"/>
                <w:sz w:val="16"/>
                <w:szCs w:val="16"/>
                <w:lang w:eastAsia="en-GB"/>
              </w:rPr>
              <w:t>Parents not living with children (NWC)</w:t>
            </w:r>
          </w:p>
        </w:tc>
        <w:tc>
          <w:tcPr>
            <w:tcW w:w="500" w:type="pct"/>
            <w:vMerge w:val="restart"/>
            <w:tcBorders>
              <w:top w:val="single" w:sz="4" w:space="0" w:color="auto"/>
            </w:tcBorders>
            <w:shd w:val="clear" w:color="auto" w:fill="auto"/>
            <w:vAlign w:val="center"/>
            <w:hideMark/>
          </w:tcPr>
          <w:p w14:paraId="3EF4F18C" w14:textId="77777777" w:rsidR="00AA5608" w:rsidRPr="00D306E6" w:rsidRDefault="00AA5608" w:rsidP="000E494A">
            <w:pPr>
              <w:jc w:val="center"/>
              <w:rPr>
                <w:rFonts w:eastAsia="Times New Roman" w:cs="Arial"/>
                <w:color w:val="000000"/>
                <w:sz w:val="16"/>
                <w:szCs w:val="16"/>
                <w:lang w:eastAsia="en-GB"/>
              </w:rPr>
            </w:pPr>
            <w:r w:rsidRPr="00D306E6">
              <w:rPr>
                <w:rFonts w:eastAsia="Times New Roman" w:cs="Arial"/>
                <w:color w:val="000000"/>
                <w:sz w:val="16"/>
                <w:szCs w:val="16"/>
                <w:lang w:eastAsia="en-GB"/>
              </w:rPr>
              <w:t>aOR (95% CI), LWC = outcome</w:t>
            </w:r>
          </w:p>
        </w:tc>
        <w:tc>
          <w:tcPr>
            <w:tcW w:w="301" w:type="pct"/>
            <w:vMerge w:val="restart"/>
            <w:tcBorders>
              <w:top w:val="single" w:sz="4" w:space="0" w:color="auto"/>
            </w:tcBorders>
            <w:shd w:val="clear" w:color="auto" w:fill="auto"/>
            <w:vAlign w:val="center"/>
            <w:hideMark/>
          </w:tcPr>
          <w:p w14:paraId="55E36572" w14:textId="77777777" w:rsidR="00AA5608" w:rsidRPr="00D306E6" w:rsidRDefault="00AA5608" w:rsidP="000E494A">
            <w:pPr>
              <w:jc w:val="center"/>
              <w:rPr>
                <w:rFonts w:eastAsia="Times New Roman" w:cs="Arial"/>
                <w:color w:val="000000"/>
                <w:sz w:val="16"/>
                <w:szCs w:val="16"/>
                <w:lang w:eastAsia="en-GB"/>
              </w:rPr>
            </w:pPr>
            <w:r w:rsidRPr="00D306E6">
              <w:rPr>
                <w:rFonts w:eastAsia="Times New Roman" w:cs="Arial"/>
                <w:color w:val="000000"/>
                <w:sz w:val="16"/>
                <w:szCs w:val="16"/>
                <w:lang w:eastAsia="en-GB"/>
              </w:rPr>
              <w:t>Sig.</w:t>
            </w:r>
          </w:p>
        </w:tc>
        <w:tc>
          <w:tcPr>
            <w:tcW w:w="400" w:type="pct"/>
            <w:vMerge w:val="restart"/>
            <w:tcBorders>
              <w:top w:val="single" w:sz="4" w:space="0" w:color="auto"/>
            </w:tcBorders>
            <w:shd w:val="clear" w:color="auto" w:fill="auto"/>
            <w:vAlign w:val="center"/>
            <w:hideMark/>
          </w:tcPr>
          <w:p w14:paraId="0FB79B3C" w14:textId="77777777" w:rsidR="00AA5608" w:rsidRPr="00D306E6" w:rsidRDefault="00AA5608" w:rsidP="000E494A">
            <w:pPr>
              <w:jc w:val="center"/>
              <w:rPr>
                <w:rFonts w:eastAsia="Times New Roman" w:cs="Arial"/>
                <w:color w:val="000000"/>
                <w:sz w:val="16"/>
                <w:szCs w:val="16"/>
                <w:lang w:eastAsia="en-GB"/>
              </w:rPr>
            </w:pPr>
            <w:r w:rsidRPr="00D306E6">
              <w:rPr>
                <w:rFonts w:eastAsia="Times New Roman" w:cs="Arial"/>
                <w:color w:val="000000"/>
                <w:sz w:val="16"/>
                <w:szCs w:val="16"/>
                <w:lang w:eastAsia="en-GB"/>
              </w:rPr>
              <w:t>E-value (CI limit)</w:t>
            </w:r>
          </w:p>
        </w:tc>
      </w:tr>
      <w:tr w:rsidR="00AA5608" w:rsidRPr="00D306E6" w14:paraId="390029D9" w14:textId="77777777" w:rsidTr="000E494A">
        <w:trPr>
          <w:trHeight w:val="306"/>
        </w:trPr>
        <w:tc>
          <w:tcPr>
            <w:tcW w:w="798" w:type="pct"/>
            <w:tcBorders>
              <w:bottom w:val="single" w:sz="4" w:space="0" w:color="auto"/>
              <w:right w:val="single" w:sz="4" w:space="0" w:color="auto"/>
            </w:tcBorders>
            <w:shd w:val="clear" w:color="auto" w:fill="auto"/>
            <w:noWrap/>
            <w:vAlign w:val="bottom"/>
            <w:hideMark/>
          </w:tcPr>
          <w:p w14:paraId="3762A63C" w14:textId="77777777" w:rsidR="00AA5608" w:rsidRPr="00D306E6" w:rsidRDefault="00AA5608" w:rsidP="000E494A">
            <w:pPr>
              <w:jc w:val="center"/>
              <w:rPr>
                <w:rFonts w:eastAsia="Times New Roman" w:cs="Arial"/>
                <w:color w:val="000000"/>
                <w:sz w:val="16"/>
                <w:szCs w:val="16"/>
                <w:lang w:eastAsia="en-GB"/>
              </w:rPr>
            </w:pPr>
          </w:p>
        </w:tc>
        <w:tc>
          <w:tcPr>
            <w:tcW w:w="450" w:type="pct"/>
            <w:tcBorders>
              <w:left w:val="single" w:sz="4" w:space="0" w:color="auto"/>
              <w:bottom w:val="single" w:sz="4" w:space="0" w:color="auto"/>
            </w:tcBorders>
            <w:shd w:val="clear" w:color="auto" w:fill="auto"/>
            <w:noWrap/>
            <w:vAlign w:val="bottom"/>
            <w:hideMark/>
          </w:tcPr>
          <w:p w14:paraId="5E902748" w14:textId="77777777" w:rsidR="00AA5608" w:rsidRPr="00D306E6" w:rsidRDefault="00AA5608" w:rsidP="000E494A">
            <w:pPr>
              <w:jc w:val="center"/>
              <w:rPr>
                <w:rFonts w:eastAsia="Times New Roman" w:cs="Arial"/>
                <w:color w:val="000000"/>
                <w:sz w:val="16"/>
                <w:szCs w:val="16"/>
                <w:lang w:eastAsia="en-GB"/>
              </w:rPr>
            </w:pPr>
            <w:r w:rsidRPr="00D306E6">
              <w:rPr>
                <w:rFonts w:eastAsia="Times New Roman" w:cs="Arial"/>
                <w:color w:val="000000"/>
                <w:sz w:val="16"/>
                <w:szCs w:val="16"/>
                <w:lang w:eastAsia="en-GB"/>
              </w:rPr>
              <w:t>n (%)</w:t>
            </w:r>
          </w:p>
        </w:tc>
        <w:tc>
          <w:tcPr>
            <w:tcW w:w="450" w:type="pct"/>
            <w:tcBorders>
              <w:bottom w:val="single" w:sz="4" w:space="0" w:color="auto"/>
            </w:tcBorders>
            <w:shd w:val="clear" w:color="auto" w:fill="auto"/>
            <w:noWrap/>
            <w:vAlign w:val="bottom"/>
            <w:hideMark/>
          </w:tcPr>
          <w:p w14:paraId="5B3FED0A" w14:textId="77777777" w:rsidR="00AA5608" w:rsidRPr="00D306E6" w:rsidRDefault="00AA5608" w:rsidP="000E494A">
            <w:pPr>
              <w:jc w:val="center"/>
              <w:rPr>
                <w:rFonts w:eastAsia="Times New Roman" w:cs="Arial"/>
                <w:color w:val="000000"/>
                <w:sz w:val="16"/>
                <w:szCs w:val="16"/>
                <w:lang w:eastAsia="en-GB"/>
              </w:rPr>
            </w:pPr>
            <w:r w:rsidRPr="00D306E6">
              <w:rPr>
                <w:rFonts w:eastAsia="Times New Roman" w:cs="Arial"/>
                <w:color w:val="000000"/>
                <w:sz w:val="16"/>
                <w:szCs w:val="16"/>
                <w:lang w:eastAsia="en-GB"/>
              </w:rPr>
              <w:t>n (%)</w:t>
            </w:r>
          </w:p>
        </w:tc>
        <w:tc>
          <w:tcPr>
            <w:tcW w:w="501" w:type="pct"/>
            <w:vMerge/>
            <w:tcBorders>
              <w:bottom w:val="single" w:sz="4" w:space="0" w:color="auto"/>
            </w:tcBorders>
            <w:vAlign w:val="center"/>
            <w:hideMark/>
          </w:tcPr>
          <w:p w14:paraId="3E758A73" w14:textId="77777777" w:rsidR="00AA5608" w:rsidRPr="00D306E6" w:rsidRDefault="00AA5608" w:rsidP="000E494A">
            <w:pPr>
              <w:rPr>
                <w:rFonts w:eastAsia="Times New Roman" w:cs="Arial"/>
                <w:color w:val="000000"/>
                <w:sz w:val="16"/>
                <w:szCs w:val="16"/>
                <w:lang w:eastAsia="en-GB"/>
              </w:rPr>
            </w:pPr>
          </w:p>
        </w:tc>
        <w:tc>
          <w:tcPr>
            <w:tcW w:w="300" w:type="pct"/>
            <w:vMerge/>
            <w:tcBorders>
              <w:bottom w:val="single" w:sz="4" w:space="0" w:color="auto"/>
            </w:tcBorders>
            <w:vAlign w:val="center"/>
            <w:hideMark/>
          </w:tcPr>
          <w:p w14:paraId="3E4D343F" w14:textId="77777777" w:rsidR="00AA5608" w:rsidRPr="00D306E6" w:rsidRDefault="00AA5608" w:rsidP="000E494A">
            <w:pPr>
              <w:rPr>
                <w:rFonts w:eastAsia="Times New Roman" w:cs="Arial"/>
                <w:color w:val="000000"/>
                <w:sz w:val="16"/>
                <w:szCs w:val="16"/>
                <w:lang w:eastAsia="en-GB"/>
              </w:rPr>
            </w:pPr>
          </w:p>
        </w:tc>
        <w:tc>
          <w:tcPr>
            <w:tcW w:w="350" w:type="pct"/>
            <w:vMerge/>
            <w:tcBorders>
              <w:bottom w:val="single" w:sz="4" w:space="0" w:color="auto"/>
            </w:tcBorders>
            <w:vAlign w:val="center"/>
            <w:hideMark/>
          </w:tcPr>
          <w:p w14:paraId="32DA1FE4" w14:textId="77777777" w:rsidR="00AA5608" w:rsidRPr="00D306E6" w:rsidRDefault="00AA5608" w:rsidP="000E494A">
            <w:pPr>
              <w:rPr>
                <w:rFonts w:eastAsia="Times New Roman" w:cs="Arial"/>
                <w:color w:val="000000"/>
                <w:sz w:val="16"/>
                <w:szCs w:val="16"/>
                <w:lang w:eastAsia="en-GB"/>
              </w:rPr>
            </w:pPr>
          </w:p>
        </w:tc>
        <w:tc>
          <w:tcPr>
            <w:tcW w:w="450" w:type="pct"/>
            <w:tcBorders>
              <w:left w:val="nil"/>
              <w:bottom w:val="single" w:sz="4" w:space="0" w:color="auto"/>
            </w:tcBorders>
            <w:shd w:val="clear" w:color="auto" w:fill="auto"/>
            <w:noWrap/>
            <w:vAlign w:val="bottom"/>
            <w:hideMark/>
          </w:tcPr>
          <w:p w14:paraId="750640D9" w14:textId="77777777" w:rsidR="00AA5608" w:rsidRPr="00D306E6" w:rsidRDefault="00AA5608" w:rsidP="000E494A">
            <w:pPr>
              <w:jc w:val="center"/>
              <w:rPr>
                <w:rFonts w:eastAsia="Times New Roman" w:cs="Arial"/>
                <w:color w:val="000000"/>
                <w:sz w:val="16"/>
                <w:szCs w:val="16"/>
                <w:lang w:eastAsia="en-GB"/>
              </w:rPr>
            </w:pPr>
            <w:r w:rsidRPr="00D306E6">
              <w:rPr>
                <w:rFonts w:eastAsia="Times New Roman" w:cs="Arial"/>
                <w:color w:val="000000"/>
                <w:sz w:val="16"/>
                <w:szCs w:val="16"/>
                <w:lang w:eastAsia="en-GB"/>
              </w:rPr>
              <w:t>n (%)</w:t>
            </w:r>
          </w:p>
        </w:tc>
        <w:tc>
          <w:tcPr>
            <w:tcW w:w="501" w:type="pct"/>
            <w:tcBorders>
              <w:bottom w:val="single" w:sz="4" w:space="0" w:color="auto"/>
            </w:tcBorders>
            <w:shd w:val="clear" w:color="auto" w:fill="auto"/>
            <w:noWrap/>
            <w:vAlign w:val="bottom"/>
            <w:hideMark/>
          </w:tcPr>
          <w:p w14:paraId="0BF2A891" w14:textId="77777777" w:rsidR="00AA5608" w:rsidRPr="00D306E6" w:rsidRDefault="00AA5608" w:rsidP="000E494A">
            <w:pPr>
              <w:jc w:val="center"/>
              <w:rPr>
                <w:rFonts w:eastAsia="Times New Roman" w:cs="Arial"/>
                <w:color w:val="000000"/>
                <w:sz w:val="16"/>
                <w:szCs w:val="16"/>
                <w:lang w:eastAsia="en-GB"/>
              </w:rPr>
            </w:pPr>
            <w:r w:rsidRPr="00D306E6">
              <w:rPr>
                <w:rFonts w:eastAsia="Times New Roman" w:cs="Arial"/>
                <w:color w:val="000000"/>
                <w:sz w:val="16"/>
                <w:szCs w:val="16"/>
                <w:lang w:eastAsia="en-GB"/>
              </w:rPr>
              <w:t>n (%)</w:t>
            </w:r>
          </w:p>
        </w:tc>
        <w:tc>
          <w:tcPr>
            <w:tcW w:w="500" w:type="pct"/>
            <w:vMerge/>
            <w:tcBorders>
              <w:bottom w:val="single" w:sz="4" w:space="0" w:color="auto"/>
            </w:tcBorders>
            <w:vAlign w:val="center"/>
            <w:hideMark/>
          </w:tcPr>
          <w:p w14:paraId="77396D28" w14:textId="77777777" w:rsidR="00AA5608" w:rsidRPr="00D306E6" w:rsidRDefault="00AA5608" w:rsidP="000E494A">
            <w:pPr>
              <w:rPr>
                <w:rFonts w:eastAsia="Times New Roman" w:cs="Arial"/>
                <w:color w:val="000000"/>
                <w:sz w:val="16"/>
                <w:szCs w:val="16"/>
                <w:lang w:eastAsia="en-GB"/>
              </w:rPr>
            </w:pPr>
          </w:p>
        </w:tc>
        <w:tc>
          <w:tcPr>
            <w:tcW w:w="301" w:type="pct"/>
            <w:vMerge/>
            <w:tcBorders>
              <w:bottom w:val="single" w:sz="4" w:space="0" w:color="auto"/>
            </w:tcBorders>
            <w:vAlign w:val="center"/>
            <w:hideMark/>
          </w:tcPr>
          <w:p w14:paraId="711D975B" w14:textId="77777777" w:rsidR="00AA5608" w:rsidRPr="00D306E6" w:rsidRDefault="00AA5608" w:rsidP="000E494A">
            <w:pPr>
              <w:rPr>
                <w:rFonts w:eastAsia="Times New Roman" w:cs="Arial"/>
                <w:color w:val="000000"/>
                <w:sz w:val="16"/>
                <w:szCs w:val="16"/>
                <w:lang w:eastAsia="en-GB"/>
              </w:rPr>
            </w:pPr>
          </w:p>
        </w:tc>
        <w:tc>
          <w:tcPr>
            <w:tcW w:w="400" w:type="pct"/>
            <w:vMerge/>
            <w:tcBorders>
              <w:bottom w:val="single" w:sz="4" w:space="0" w:color="auto"/>
            </w:tcBorders>
            <w:vAlign w:val="center"/>
            <w:hideMark/>
          </w:tcPr>
          <w:p w14:paraId="174479C5" w14:textId="77777777" w:rsidR="00AA5608" w:rsidRPr="00D306E6" w:rsidRDefault="00AA5608" w:rsidP="000E494A">
            <w:pPr>
              <w:rPr>
                <w:rFonts w:eastAsia="Times New Roman" w:cs="Arial"/>
                <w:color w:val="000000"/>
                <w:sz w:val="16"/>
                <w:szCs w:val="16"/>
                <w:lang w:eastAsia="en-GB"/>
              </w:rPr>
            </w:pPr>
          </w:p>
        </w:tc>
      </w:tr>
      <w:tr w:rsidR="00AA5608" w:rsidRPr="006E58A4" w14:paraId="00D385CE" w14:textId="77777777" w:rsidTr="000E494A">
        <w:trPr>
          <w:trHeight w:val="306"/>
        </w:trPr>
        <w:tc>
          <w:tcPr>
            <w:tcW w:w="798" w:type="pct"/>
            <w:tcBorders>
              <w:top w:val="single" w:sz="4" w:space="0" w:color="auto"/>
              <w:right w:val="single" w:sz="4" w:space="0" w:color="auto"/>
            </w:tcBorders>
            <w:shd w:val="clear" w:color="auto" w:fill="auto"/>
            <w:noWrap/>
            <w:vAlign w:val="bottom"/>
            <w:hideMark/>
          </w:tcPr>
          <w:p w14:paraId="565234E9" w14:textId="77777777" w:rsidR="00AA5608" w:rsidRPr="006E58A4" w:rsidRDefault="00AA5608" w:rsidP="000E494A">
            <w:pPr>
              <w:rPr>
                <w:rFonts w:eastAsia="Times New Roman" w:cs="Arial"/>
                <w:i/>
                <w:iCs/>
                <w:color w:val="000000"/>
                <w:sz w:val="16"/>
                <w:szCs w:val="16"/>
                <w:lang w:eastAsia="en-GB"/>
              </w:rPr>
            </w:pPr>
            <w:r w:rsidRPr="006E58A4">
              <w:rPr>
                <w:rFonts w:eastAsia="Times New Roman" w:cs="Arial"/>
                <w:i/>
                <w:iCs/>
                <w:color w:val="000000"/>
                <w:sz w:val="16"/>
                <w:szCs w:val="16"/>
                <w:lang w:eastAsia="en-GB"/>
              </w:rPr>
              <w:t>Recovery support offered by treatment services:</w:t>
            </w:r>
          </w:p>
        </w:tc>
        <w:tc>
          <w:tcPr>
            <w:tcW w:w="450" w:type="pct"/>
            <w:tcBorders>
              <w:top w:val="single" w:sz="4" w:space="0" w:color="auto"/>
              <w:left w:val="single" w:sz="4" w:space="0" w:color="auto"/>
            </w:tcBorders>
            <w:shd w:val="clear" w:color="auto" w:fill="auto"/>
            <w:noWrap/>
            <w:vAlign w:val="bottom"/>
            <w:hideMark/>
          </w:tcPr>
          <w:p w14:paraId="2AC4A8A3" w14:textId="77777777" w:rsidR="00AA5608" w:rsidRPr="006E58A4" w:rsidRDefault="00AA5608" w:rsidP="000E494A">
            <w:pPr>
              <w:rPr>
                <w:rFonts w:eastAsia="Times New Roman" w:cs="Arial"/>
                <w:i/>
                <w:iCs/>
                <w:color w:val="000000"/>
                <w:sz w:val="16"/>
                <w:szCs w:val="16"/>
                <w:lang w:eastAsia="en-GB"/>
              </w:rPr>
            </w:pPr>
          </w:p>
        </w:tc>
        <w:tc>
          <w:tcPr>
            <w:tcW w:w="450" w:type="pct"/>
            <w:tcBorders>
              <w:top w:val="single" w:sz="4" w:space="0" w:color="auto"/>
            </w:tcBorders>
            <w:shd w:val="clear" w:color="auto" w:fill="auto"/>
            <w:noWrap/>
            <w:vAlign w:val="bottom"/>
            <w:hideMark/>
          </w:tcPr>
          <w:p w14:paraId="55862E76" w14:textId="77777777" w:rsidR="00AA5608" w:rsidRPr="006E58A4" w:rsidRDefault="00AA5608" w:rsidP="000E494A">
            <w:pPr>
              <w:rPr>
                <w:rFonts w:ascii="Times New Roman" w:eastAsia="Times New Roman" w:hAnsi="Times New Roman" w:cs="Times New Roman"/>
                <w:i/>
                <w:iCs/>
                <w:sz w:val="16"/>
                <w:szCs w:val="16"/>
                <w:lang w:eastAsia="en-GB"/>
              </w:rPr>
            </w:pPr>
          </w:p>
        </w:tc>
        <w:tc>
          <w:tcPr>
            <w:tcW w:w="501" w:type="pct"/>
            <w:tcBorders>
              <w:top w:val="single" w:sz="4" w:space="0" w:color="auto"/>
            </w:tcBorders>
            <w:shd w:val="clear" w:color="auto" w:fill="auto"/>
            <w:noWrap/>
            <w:vAlign w:val="bottom"/>
            <w:hideMark/>
          </w:tcPr>
          <w:p w14:paraId="17B13604" w14:textId="77777777" w:rsidR="00AA5608" w:rsidRPr="006E58A4" w:rsidRDefault="00AA5608" w:rsidP="000E494A">
            <w:pPr>
              <w:rPr>
                <w:rFonts w:ascii="Times New Roman" w:eastAsia="Times New Roman" w:hAnsi="Times New Roman" w:cs="Times New Roman"/>
                <w:i/>
                <w:iCs/>
                <w:sz w:val="16"/>
                <w:szCs w:val="16"/>
                <w:lang w:eastAsia="en-GB"/>
              </w:rPr>
            </w:pPr>
          </w:p>
        </w:tc>
        <w:tc>
          <w:tcPr>
            <w:tcW w:w="300" w:type="pct"/>
            <w:tcBorders>
              <w:top w:val="single" w:sz="4" w:space="0" w:color="auto"/>
            </w:tcBorders>
            <w:shd w:val="clear" w:color="auto" w:fill="auto"/>
            <w:noWrap/>
            <w:vAlign w:val="bottom"/>
            <w:hideMark/>
          </w:tcPr>
          <w:p w14:paraId="0472066E" w14:textId="77777777" w:rsidR="00AA5608" w:rsidRPr="006E58A4" w:rsidRDefault="00AA5608" w:rsidP="000E494A">
            <w:pPr>
              <w:rPr>
                <w:rFonts w:ascii="Times New Roman" w:eastAsia="Times New Roman" w:hAnsi="Times New Roman" w:cs="Times New Roman"/>
                <w:i/>
                <w:iCs/>
                <w:sz w:val="16"/>
                <w:szCs w:val="16"/>
                <w:lang w:eastAsia="en-GB"/>
              </w:rPr>
            </w:pPr>
          </w:p>
        </w:tc>
        <w:tc>
          <w:tcPr>
            <w:tcW w:w="350" w:type="pct"/>
            <w:tcBorders>
              <w:top w:val="single" w:sz="4" w:space="0" w:color="auto"/>
            </w:tcBorders>
            <w:shd w:val="clear" w:color="auto" w:fill="auto"/>
            <w:noWrap/>
            <w:vAlign w:val="bottom"/>
            <w:hideMark/>
          </w:tcPr>
          <w:p w14:paraId="256D6EAC" w14:textId="77777777" w:rsidR="00AA5608" w:rsidRPr="006E58A4" w:rsidRDefault="00AA5608" w:rsidP="000E494A">
            <w:pPr>
              <w:rPr>
                <w:rFonts w:ascii="Times New Roman" w:eastAsia="Times New Roman" w:hAnsi="Times New Roman" w:cs="Times New Roman"/>
                <w:i/>
                <w:iCs/>
                <w:sz w:val="16"/>
                <w:szCs w:val="16"/>
                <w:lang w:eastAsia="en-GB"/>
              </w:rPr>
            </w:pPr>
          </w:p>
        </w:tc>
        <w:tc>
          <w:tcPr>
            <w:tcW w:w="450" w:type="pct"/>
            <w:tcBorders>
              <w:top w:val="single" w:sz="4" w:space="0" w:color="auto"/>
              <w:left w:val="nil"/>
            </w:tcBorders>
            <w:shd w:val="clear" w:color="auto" w:fill="auto"/>
            <w:noWrap/>
            <w:vAlign w:val="bottom"/>
            <w:hideMark/>
          </w:tcPr>
          <w:p w14:paraId="723B859D" w14:textId="77777777" w:rsidR="00AA5608" w:rsidRPr="006E58A4" w:rsidRDefault="00AA5608" w:rsidP="000E494A">
            <w:pPr>
              <w:rPr>
                <w:rFonts w:ascii="Times New Roman" w:eastAsia="Times New Roman" w:hAnsi="Times New Roman" w:cs="Times New Roman"/>
                <w:i/>
                <w:iCs/>
                <w:sz w:val="16"/>
                <w:szCs w:val="16"/>
                <w:lang w:eastAsia="en-GB"/>
              </w:rPr>
            </w:pPr>
          </w:p>
        </w:tc>
        <w:tc>
          <w:tcPr>
            <w:tcW w:w="501" w:type="pct"/>
            <w:tcBorders>
              <w:top w:val="single" w:sz="4" w:space="0" w:color="auto"/>
            </w:tcBorders>
            <w:shd w:val="clear" w:color="auto" w:fill="auto"/>
            <w:noWrap/>
            <w:vAlign w:val="bottom"/>
            <w:hideMark/>
          </w:tcPr>
          <w:p w14:paraId="7081BCA9" w14:textId="77777777" w:rsidR="00AA5608" w:rsidRPr="006E58A4" w:rsidRDefault="00AA5608" w:rsidP="000E494A">
            <w:pPr>
              <w:rPr>
                <w:rFonts w:ascii="Times New Roman" w:eastAsia="Times New Roman" w:hAnsi="Times New Roman" w:cs="Times New Roman"/>
                <w:i/>
                <w:iCs/>
                <w:sz w:val="16"/>
                <w:szCs w:val="16"/>
                <w:lang w:eastAsia="en-GB"/>
              </w:rPr>
            </w:pPr>
          </w:p>
        </w:tc>
        <w:tc>
          <w:tcPr>
            <w:tcW w:w="500" w:type="pct"/>
            <w:tcBorders>
              <w:top w:val="single" w:sz="4" w:space="0" w:color="auto"/>
            </w:tcBorders>
            <w:shd w:val="clear" w:color="auto" w:fill="auto"/>
            <w:noWrap/>
            <w:vAlign w:val="bottom"/>
            <w:hideMark/>
          </w:tcPr>
          <w:p w14:paraId="3C2F9D80" w14:textId="77777777" w:rsidR="00AA5608" w:rsidRPr="006E58A4" w:rsidRDefault="00AA5608" w:rsidP="000E494A">
            <w:pPr>
              <w:rPr>
                <w:rFonts w:ascii="Times New Roman" w:eastAsia="Times New Roman" w:hAnsi="Times New Roman" w:cs="Times New Roman"/>
                <w:i/>
                <w:iCs/>
                <w:sz w:val="16"/>
                <w:szCs w:val="16"/>
                <w:lang w:eastAsia="en-GB"/>
              </w:rPr>
            </w:pPr>
          </w:p>
        </w:tc>
        <w:tc>
          <w:tcPr>
            <w:tcW w:w="301" w:type="pct"/>
            <w:tcBorders>
              <w:top w:val="single" w:sz="4" w:space="0" w:color="auto"/>
            </w:tcBorders>
            <w:shd w:val="clear" w:color="auto" w:fill="auto"/>
            <w:noWrap/>
            <w:vAlign w:val="bottom"/>
            <w:hideMark/>
          </w:tcPr>
          <w:p w14:paraId="09BA05F4" w14:textId="77777777" w:rsidR="00AA5608" w:rsidRPr="006E58A4" w:rsidRDefault="00AA5608" w:rsidP="000E494A">
            <w:pPr>
              <w:rPr>
                <w:rFonts w:ascii="Times New Roman" w:eastAsia="Times New Roman" w:hAnsi="Times New Roman" w:cs="Times New Roman"/>
                <w:i/>
                <w:iCs/>
                <w:sz w:val="16"/>
                <w:szCs w:val="16"/>
                <w:lang w:eastAsia="en-GB"/>
              </w:rPr>
            </w:pPr>
          </w:p>
        </w:tc>
        <w:tc>
          <w:tcPr>
            <w:tcW w:w="400" w:type="pct"/>
            <w:tcBorders>
              <w:top w:val="single" w:sz="4" w:space="0" w:color="auto"/>
            </w:tcBorders>
            <w:shd w:val="clear" w:color="auto" w:fill="auto"/>
            <w:noWrap/>
            <w:vAlign w:val="bottom"/>
            <w:hideMark/>
          </w:tcPr>
          <w:p w14:paraId="40831BEF" w14:textId="77777777" w:rsidR="00AA5608" w:rsidRPr="006E58A4" w:rsidRDefault="00AA5608" w:rsidP="000E494A">
            <w:pPr>
              <w:rPr>
                <w:rFonts w:ascii="Times New Roman" w:eastAsia="Times New Roman" w:hAnsi="Times New Roman" w:cs="Times New Roman"/>
                <w:i/>
                <w:iCs/>
                <w:sz w:val="16"/>
                <w:szCs w:val="16"/>
                <w:lang w:eastAsia="en-GB"/>
              </w:rPr>
            </w:pPr>
          </w:p>
        </w:tc>
      </w:tr>
      <w:tr w:rsidR="00AA5608" w:rsidRPr="00D306E6" w14:paraId="0CCE8F36" w14:textId="77777777" w:rsidTr="000E494A">
        <w:trPr>
          <w:trHeight w:val="306"/>
        </w:trPr>
        <w:tc>
          <w:tcPr>
            <w:tcW w:w="798" w:type="pct"/>
            <w:tcBorders>
              <w:right w:val="single" w:sz="4" w:space="0" w:color="auto"/>
            </w:tcBorders>
            <w:shd w:val="clear" w:color="auto" w:fill="auto"/>
            <w:noWrap/>
            <w:vAlign w:val="center"/>
            <w:hideMark/>
          </w:tcPr>
          <w:p w14:paraId="4DC0EB7A" w14:textId="77777777" w:rsidR="00AA5608" w:rsidRPr="00D306E6" w:rsidRDefault="00AA5608" w:rsidP="000E494A">
            <w:pPr>
              <w:ind w:firstLineChars="200" w:firstLine="320"/>
              <w:rPr>
                <w:rFonts w:eastAsia="Times New Roman" w:cs="Arial"/>
                <w:color w:val="000000"/>
                <w:sz w:val="16"/>
                <w:szCs w:val="16"/>
                <w:lang w:eastAsia="en-GB"/>
              </w:rPr>
            </w:pPr>
            <w:r w:rsidRPr="00D306E6">
              <w:rPr>
                <w:rFonts w:eastAsia="Times New Roman" w:cs="Arial"/>
                <w:color w:val="000000"/>
                <w:sz w:val="16"/>
                <w:szCs w:val="16"/>
                <w:lang w:eastAsia="en-GB"/>
              </w:rPr>
              <w:t xml:space="preserve">No support </w:t>
            </w:r>
          </w:p>
        </w:tc>
        <w:tc>
          <w:tcPr>
            <w:tcW w:w="450" w:type="pct"/>
            <w:tcBorders>
              <w:left w:val="single" w:sz="4" w:space="0" w:color="auto"/>
            </w:tcBorders>
            <w:shd w:val="clear" w:color="auto" w:fill="auto"/>
            <w:noWrap/>
            <w:vAlign w:val="center"/>
            <w:hideMark/>
          </w:tcPr>
          <w:p w14:paraId="7D1697A3"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6,003 (86.3%)</w:t>
            </w:r>
          </w:p>
        </w:tc>
        <w:tc>
          <w:tcPr>
            <w:tcW w:w="450" w:type="pct"/>
            <w:shd w:val="clear" w:color="auto" w:fill="auto"/>
            <w:noWrap/>
            <w:vAlign w:val="center"/>
            <w:hideMark/>
          </w:tcPr>
          <w:p w14:paraId="66C4383B"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8,037 (91.7%)</w:t>
            </w:r>
          </w:p>
        </w:tc>
        <w:tc>
          <w:tcPr>
            <w:tcW w:w="501" w:type="pct"/>
            <w:shd w:val="clear" w:color="auto" w:fill="auto"/>
            <w:noWrap/>
            <w:vAlign w:val="center"/>
            <w:hideMark/>
          </w:tcPr>
          <w:p w14:paraId="10AE1E8E"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1.00</w:t>
            </w:r>
          </w:p>
        </w:tc>
        <w:tc>
          <w:tcPr>
            <w:tcW w:w="300" w:type="pct"/>
            <w:shd w:val="clear" w:color="auto" w:fill="auto"/>
            <w:noWrap/>
            <w:vAlign w:val="center"/>
            <w:hideMark/>
          </w:tcPr>
          <w:p w14:paraId="02D6EF61" w14:textId="77777777" w:rsidR="00AA5608" w:rsidRPr="00D306E6" w:rsidRDefault="00AA5608" w:rsidP="000E494A">
            <w:pPr>
              <w:ind w:firstLineChars="200" w:firstLine="320"/>
              <w:jc w:val="right"/>
              <w:rPr>
                <w:rFonts w:eastAsia="Times New Roman" w:cs="Arial"/>
                <w:color w:val="000000"/>
                <w:sz w:val="16"/>
                <w:szCs w:val="16"/>
                <w:lang w:eastAsia="en-GB"/>
              </w:rPr>
            </w:pPr>
          </w:p>
        </w:tc>
        <w:tc>
          <w:tcPr>
            <w:tcW w:w="350" w:type="pct"/>
            <w:shd w:val="clear" w:color="auto" w:fill="auto"/>
            <w:noWrap/>
            <w:vAlign w:val="center"/>
            <w:hideMark/>
          </w:tcPr>
          <w:p w14:paraId="0AA9FBC9" w14:textId="77777777" w:rsidR="00AA5608" w:rsidRPr="00D306E6" w:rsidRDefault="00AA5608" w:rsidP="000E494A">
            <w:pPr>
              <w:ind w:firstLineChars="100" w:firstLine="160"/>
              <w:jc w:val="right"/>
              <w:rPr>
                <w:rFonts w:ascii="Times New Roman" w:eastAsia="Times New Roman" w:hAnsi="Times New Roman" w:cs="Times New Roman"/>
                <w:sz w:val="16"/>
                <w:szCs w:val="16"/>
                <w:lang w:eastAsia="en-GB"/>
              </w:rPr>
            </w:pPr>
          </w:p>
        </w:tc>
        <w:tc>
          <w:tcPr>
            <w:tcW w:w="450" w:type="pct"/>
            <w:tcBorders>
              <w:left w:val="nil"/>
            </w:tcBorders>
            <w:shd w:val="clear" w:color="auto" w:fill="auto"/>
            <w:noWrap/>
            <w:vAlign w:val="center"/>
            <w:hideMark/>
          </w:tcPr>
          <w:p w14:paraId="362D138E"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6,536 (92.4%)</w:t>
            </w:r>
          </w:p>
        </w:tc>
        <w:tc>
          <w:tcPr>
            <w:tcW w:w="501" w:type="pct"/>
            <w:shd w:val="clear" w:color="auto" w:fill="auto"/>
            <w:noWrap/>
            <w:vAlign w:val="center"/>
            <w:hideMark/>
          </w:tcPr>
          <w:p w14:paraId="7A540EA2"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20,529 (94.7%)</w:t>
            </w:r>
          </w:p>
        </w:tc>
        <w:tc>
          <w:tcPr>
            <w:tcW w:w="500" w:type="pct"/>
            <w:shd w:val="clear" w:color="auto" w:fill="auto"/>
            <w:noWrap/>
            <w:vAlign w:val="center"/>
            <w:hideMark/>
          </w:tcPr>
          <w:p w14:paraId="05C24887"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1.00</w:t>
            </w:r>
          </w:p>
        </w:tc>
        <w:tc>
          <w:tcPr>
            <w:tcW w:w="301" w:type="pct"/>
            <w:shd w:val="clear" w:color="auto" w:fill="auto"/>
            <w:noWrap/>
            <w:vAlign w:val="center"/>
            <w:hideMark/>
          </w:tcPr>
          <w:p w14:paraId="09651746" w14:textId="77777777" w:rsidR="00AA5608" w:rsidRPr="00D306E6" w:rsidRDefault="00AA5608" w:rsidP="000E494A">
            <w:pPr>
              <w:ind w:firstLineChars="200" w:firstLine="320"/>
              <w:jc w:val="right"/>
              <w:rPr>
                <w:rFonts w:eastAsia="Times New Roman" w:cs="Arial"/>
                <w:color w:val="000000"/>
                <w:sz w:val="16"/>
                <w:szCs w:val="16"/>
                <w:lang w:eastAsia="en-GB"/>
              </w:rPr>
            </w:pPr>
          </w:p>
        </w:tc>
        <w:tc>
          <w:tcPr>
            <w:tcW w:w="400" w:type="pct"/>
            <w:shd w:val="clear" w:color="auto" w:fill="auto"/>
            <w:noWrap/>
            <w:vAlign w:val="center"/>
            <w:hideMark/>
          </w:tcPr>
          <w:p w14:paraId="063A7CB3" w14:textId="77777777" w:rsidR="00AA5608" w:rsidRPr="00D306E6" w:rsidRDefault="00AA5608" w:rsidP="000E494A">
            <w:pPr>
              <w:jc w:val="right"/>
              <w:rPr>
                <w:rFonts w:ascii="Times New Roman" w:eastAsia="Times New Roman" w:hAnsi="Times New Roman" w:cs="Times New Roman"/>
                <w:sz w:val="16"/>
                <w:szCs w:val="16"/>
                <w:lang w:eastAsia="en-GB"/>
              </w:rPr>
            </w:pPr>
          </w:p>
        </w:tc>
      </w:tr>
      <w:tr w:rsidR="00AA5608" w:rsidRPr="00D306E6" w14:paraId="457A3106" w14:textId="77777777" w:rsidTr="000E494A">
        <w:trPr>
          <w:trHeight w:val="306"/>
        </w:trPr>
        <w:tc>
          <w:tcPr>
            <w:tcW w:w="798" w:type="pct"/>
            <w:tcBorders>
              <w:right w:val="single" w:sz="4" w:space="0" w:color="auto"/>
            </w:tcBorders>
            <w:shd w:val="clear" w:color="auto" w:fill="auto"/>
            <w:noWrap/>
            <w:vAlign w:val="center"/>
            <w:hideMark/>
          </w:tcPr>
          <w:p w14:paraId="6B58B639" w14:textId="77777777" w:rsidR="00AA5608" w:rsidRPr="00D306E6" w:rsidRDefault="00AA5608" w:rsidP="000E494A">
            <w:pPr>
              <w:ind w:firstLineChars="200" w:firstLine="320"/>
              <w:rPr>
                <w:rFonts w:eastAsia="Times New Roman" w:cs="Arial"/>
                <w:color w:val="000000"/>
                <w:sz w:val="16"/>
                <w:szCs w:val="16"/>
                <w:lang w:eastAsia="en-GB"/>
              </w:rPr>
            </w:pPr>
            <w:r w:rsidRPr="00D306E6">
              <w:rPr>
                <w:rFonts w:eastAsia="Times New Roman" w:cs="Arial"/>
                <w:color w:val="000000"/>
                <w:sz w:val="16"/>
                <w:szCs w:val="16"/>
                <w:lang w:eastAsia="en-GB"/>
              </w:rPr>
              <w:t>Parenting/family</w:t>
            </w:r>
            <w:r>
              <w:rPr>
                <w:rFonts w:eastAsia="Times New Roman" w:cs="Arial"/>
                <w:color w:val="000000"/>
                <w:sz w:val="16"/>
                <w:szCs w:val="16"/>
                <w:lang w:eastAsia="en-GB"/>
              </w:rPr>
              <w:t xml:space="preserve"> support               </w:t>
            </w:r>
          </w:p>
        </w:tc>
        <w:tc>
          <w:tcPr>
            <w:tcW w:w="450" w:type="pct"/>
            <w:tcBorders>
              <w:left w:val="single" w:sz="4" w:space="0" w:color="auto"/>
            </w:tcBorders>
            <w:shd w:val="clear" w:color="auto" w:fill="auto"/>
            <w:noWrap/>
            <w:vAlign w:val="center"/>
            <w:hideMark/>
          </w:tcPr>
          <w:p w14:paraId="45539DF8"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954 (13.7%)</w:t>
            </w:r>
          </w:p>
        </w:tc>
        <w:tc>
          <w:tcPr>
            <w:tcW w:w="450" w:type="pct"/>
            <w:shd w:val="clear" w:color="auto" w:fill="auto"/>
            <w:noWrap/>
            <w:vAlign w:val="center"/>
            <w:hideMark/>
          </w:tcPr>
          <w:p w14:paraId="33E01746"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732 (8.4%)</w:t>
            </w:r>
          </w:p>
        </w:tc>
        <w:tc>
          <w:tcPr>
            <w:tcW w:w="501" w:type="pct"/>
            <w:shd w:val="clear" w:color="auto" w:fill="auto"/>
            <w:noWrap/>
            <w:vAlign w:val="center"/>
            <w:hideMark/>
          </w:tcPr>
          <w:p w14:paraId="36E9ACA6"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1.76 (1.55-2.00)</w:t>
            </w:r>
          </w:p>
        </w:tc>
        <w:tc>
          <w:tcPr>
            <w:tcW w:w="300" w:type="pct"/>
            <w:shd w:val="clear" w:color="auto" w:fill="auto"/>
            <w:noWrap/>
            <w:vAlign w:val="center"/>
            <w:hideMark/>
          </w:tcPr>
          <w:p w14:paraId="3D913C70"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p&lt;0.001</w:t>
            </w:r>
          </w:p>
        </w:tc>
        <w:tc>
          <w:tcPr>
            <w:tcW w:w="350" w:type="pct"/>
            <w:shd w:val="clear" w:color="auto" w:fill="auto"/>
            <w:noWrap/>
            <w:vAlign w:val="center"/>
            <w:hideMark/>
          </w:tcPr>
          <w:p w14:paraId="07C87041"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1.98 (1.80)</w:t>
            </w:r>
          </w:p>
        </w:tc>
        <w:tc>
          <w:tcPr>
            <w:tcW w:w="450" w:type="pct"/>
            <w:tcBorders>
              <w:left w:val="nil"/>
            </w:tcBorders>
            <w:shd w:val="clear" w:color="auto" w:fill="auto"/>
            <w:noWrap/>
            <w:vAlign w:val="center"/>
            <w:hideMark/>
          </w:tcPr>
          <w:p w14:paraId="2F871FBE"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536 (7.6%)</w:t>
            </w:r>
          </w:p>
        </w:tc>
        <w:tc>
          <w:tcPr>
            <w:tcW w:w="501" w:type="pct"/>
            <w:shd w:val="clear" w:color="auto" w:fill="auto"/>
            <w:noWrap/>
            <w:vAlign w:val="center"/>
            <w:hideMark/>
          </w:tcPr>
          <w:p w14:paraId="6DD9835A"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1,146 (5.3%)</w:t>
            </w:r>
          </w:p>
        </w:tc>
        <w:tc>
          <w:tcPr>
            <w:tcW w:w="500" w:type="pct"/>
            <w:shd w:val="clear" w:color="auto" w:fill="auto"/>
            <w:noWrap/>
            <w:vAlign w:val="center"/>
            <w:hideMark/>
          </w:tcPr>
          <w:p w14:paraId="4C9110E6"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1.43 (1.26-1.62)</w:t>
            </w:r>
          </w:p>
        </w:tc>
        <w:tc>
          <w:tcPr>
            <w:tcW w:w="301" w:type="pct"/>
            <w:shd w:val="clear" w:color="auto" w:fill="auto"/>
            <w:noWrap/>
            <w:vAlign w:val="center"/>
            <w:hideMark/>
          </w:tcPr>
          <w:p w14:paraId="74423579"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p&lt;0.001</w:t>
            </w:r>
          </w:p>
        </w:tc>
        <w:tc>
          <w:tcPr>
            <w:tcW w:w="400" w:type="pct"/>
            <w:shd w:val="clear" w:color="auto" w:fill="auto"/>
            <w:noWrap/>
            <w:vAlign w:val="center"/>
            <w:hideMark/>
          </w:tcPr>
          <w:p w14:paraId="2B0A4EB5"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1.68 (1.49)</w:t>
            </w:r>
          </w:p>
        </w:tc>
      </w:tr>
      <w:tr w:rsidR="00AA5608" w:rsidRPr="006E58A4" w14:paraId="130398B1" w14:textId="77777777" w:rsidTr="000E494A">
        <w:trPr>
          <w:trHeight w:val="306"/>
        </w:trPr>
        <w:tc>
          <w:tcPr>
            <w:tcW w:w="798" w:type="pct"/>
            <w:tcBorders>
              <w:right w:val="single" w:sz="4" w:space="0" w:color="auto"/>
            </w:tcBorders>
            <w:shd w:val="clear" w:color="auto" w:fill="auto"/>
            <w:noWrap/>
            <w:vAlign w:val="center"/>
            <w:hideMark/>
          </w:tcPr>
          <w:p w14:paraId="7BB780A7" w14:textId="77777777" w:rsidR="00AA5608" w:rsidRPr="006E58A4" w:rsidRDefault="00AA5608" w:rsidP="000E494A">
            <w:pPr>
              <w:rPr>
                <w:rFonts w:eastAsia="Times New Roman" w:cs="Arial"/>
                <w:i/>
                <w:iCs/>
                <w:color w:val="000000"/>
                <w:sz w:val="16"/>
                <w:szCs w:val="16"/>
                <w:lang w:eastAsia="en-GB"/>
              </w:rPr>
            </w:pPr>
            <w:r w:rsidRPr="006E58A4">
              <w:rPr>
                <w:rFonts w:eastAsia="Times New Roman" w:cs="Arial"/>
                <w:i/>
                <w:iCs/>
                <w:color w:val="000000"/>
                <w:sz w:val="16"/>
                <w:szCs w:val="16"/>
                <w:lang w:eastAsia="en-GB"/>
              </w:rPr>
              <w:t xml:space="preserve">Child welfare support from </w:t>
            </w:r>
          </w:p>
          <w:p w14:paraId="49CF7FD4" w14:textId="77777777" w:rsidR="00AA5608" w:rsidRPr="006E58A4" w:rsidRDefault="00AA5608" w:rsidP="000E494A">
            <w:pPr>
              <w:rPr>
                <w:rFonts w:eastAsia="Times New Roman" w:cs="Arial"/>
                <w:i/>
                <w:iCs/>
                <w:color w:val="000000"/>
                <w:sz w:val="16"/>
                <w:szCs w:val="16"/>
                <w:lang w:eastAsia="en-GB"/>
              </w:rPr>
            </w:pPr>
            <w:r w:rsidRPr="006E58A4">
              <w:rPr>
                <w:rFonts w:eastAsia="Times New Roman" w:cs="Arial"/>
                <w:i/>
                <w:iCs/>
                <w:color w:val="000000"/>
                <w:sz w:val="16"/>
                <w:szCs w:val="16"/>
                <w:lang w:eastAsia="en-GB"/>
              </w:rPr>
              <w:t>children and family services:</w:t>
            </w:r>
          </w:p>
        </w:tc>
        <w:tc>
          <w:tcPr>
            <w:tcW w:w="450" w:type="pct"/>
            <w:tcBorders>
              <w:left w:val="single" w:sz="4" w:space="0" w:color="auto"/>
            </w:tcBorders>
            <w:shd w:val="clear" w:color="auto" w:fill="auto"/>
            <w:noWrap/>
            <w:vAlign w:val="center"/>
            <w:hideMark/>
          </w:tcPr>
          <w:p w14:paraId="3867B6EA" w14:textId="77777777" w:rsidR="00AA5608" w:rsidRPr="006E58A4" w:rsidRDefault="00AA5608" w:rsidP="000E494A">
            <w:pPr>
              <w:jc w:val="right"/>
              <w:rPr>
                <w:rFonts w:eastAsia="Times New Roman" w:cs="Arial"/>
                <w:i/>
                <w:iCs/>
                <w:color w:val="000000"/>
                <w:sz w:val="16"/>
                <w:szCs w:val="16"/>
                <w:lang w:eastAsia="en-GB"/>
              </w:rPr>
            </w:pPr>
          </w:p>
        </w:tc>
        <w:tc>
          <w:tcPr>
            <w:tcW w:w="450" w:type="pct"/>
            <w:shd w:val="clear" w:color="auto" w:fill="auto"/>
            <w:noWrap/>
            <w:vAlign w:val="center"/>
            <w:hideMark/>
          </w:tcPr>
          <w:p w14:paraId="7DE1131C" w14:textId="77777777" w:rsidR="00AA5608" w:rsidRPr="006E58A4" w:rsidRDefault="00AA5608" w:rsidP="000E494A">
            <w:pPr>
              <w:jc w:val="right"/>
              <w:rPr>
                <w:rFonts w:ascii="Times New Roman" w:eastAsia="Times New Roman" w:hAnsi="Times New Roman" w:cs="Times New Roman"/>
                <w:i/>
                <w:iCs/>
                <w:sz w:val="16"/>
                <w:szCs w:val="16"/>
                <w:lang w:eastAsia="en-GB"/>
              </w:rPr>
            </w:pPr>
          </w:p>
        </w:tc>
        <w:tc>
          <w:tcPr>
            <w:tcW w:w="501" w:type="pct"/>
            <w:shd w:val="clear" w:color="auto" w:fill="auto"/>
            <w:noWrap/>
            <w:vAlign w:val="center"/>
            <w:hideMark/>
          </w:tcPr>
          <w:p w14:paraId="3EA70CC9" w14:textId="77777777" w:rsidR="00AA5608" w:rsidRPr="006E58A4" w:rsidRDefault="00AA5608" w:rsidP="000E494A">
            <w:pPr>
              <w:jc w:val="right"/>
              <w:rPr>
                <w:rFonts w:ascii="Times New Roman" w:eastAsia="Times New Roman" w:hAnsi="Times New Roman" w:cs="Times New Roman"/>
                <w:i/>
                <w:iCs/>
                <w:sz w:val="16"/>
                <w:szCs w:val="16"/>
                <w:lang w:eastAsia="en-GB"/>
              </w:rPr>
            </w:pPr>
          </w:p>
        </w:tc>
        <w:tc>
          <w:tcPr>
            <w:tcW w:w="300" w:type="pct"/>
            <w:shd w:val="clear" w:color="auto" w:fill="auto"/>
            <w:noWrap/>
            <w:vAlign w:val="center"/>
            <w:hideMark/>
          </w:tcPr>
          <w:p w14:paraId="29A25F5A" w14:textId="77777777" w:rsidR="00AA5608" w:rsidRPr="006E58A4" w:rsidRDefault="00AA5608" w:rsidP="000E494A">
            <w:pPr>
              <w:ind w:firstLineChars="100" w:firstLine="160"/>
              <w:jc w:val="right"/>
              <w:rPr>
                <w:rFonts w:ascii="Times New Roman" w:eastAsia="Times New Roman" w:hAnsi="Times New Roman" w:cs="Times New Roman"/>
                <w:i/>
                <w:iCs/>
                <w:sz w:val="16"/>
                <w:szCs w:val="16"/>
                <w:lang w:eastAsia="en-GB"/>
              </w:rPr>
            </w:pPr>
          </w:p>
        </w:tc>
        <w:tc>
          <w:tcPr>
            <w:tcW w:w="350" w:type="pct"/>
            <w:shd w:val="clear" w:color="auto" w:fill="auto"/>
            <w:noWrap/>
            <w:vAlign w:val="center"/>
            <w:hideMark/>
          </w:tcPr>
          <w:p w14:paraId="5530BB7D" w14:textId="77777777" w:rsidR="00AA5608" w:rsidRPr="006E58A4" w:rsidRDefault="00AA5608" w:rsidP="000E494A">
            <w:pPr>
              <w:jc w:val="right"/>
              <w:rPr>
                <w:rFonts w:ascii="Times New Roman" w:eastAsia="Times New Roman" w:hAnsi="Times New Roman" w:cs="Times New Roman"/>
                <w:i/>
                <w:iCs/>
                <w:sz w:val="16"/>
                <w:szCs w:val="16"/>
                <w:lang w:eastAsia="en-GB"/>
              </w:rPr>
            </w:pPr>
          </w:p>
        </w:tc>
        <w:tc>
          <w:tcPr>
            <w:tcW w:w="450" w:type="pct"/>
            <w:tcBorders>
              <w:left w:val="nil"/>
            </w:tcBorders>
            <w:shd w:val="clear" w:color="auto" w:fill="auto"/>
            <w:noWrap/>
            <w:vAlign w:val="center"/>
            <w:hideMark/>
          </w:tcPr>
          <w:p w14:paraId="4995824D" w14:textId="77777777" w:rsidR="00AA5608" w:rsidRPr="006E58A4" w:rsidRDefault="00AA5608" w:rsidP="000E494A">
            <w:pPr>
              <w:jc w:val="right"/>
              <w:rPr>
                <w:rFonts w:ascii="Times New Roman" w:eastAsia="Times New Roman" w:hAnsi="Times New Roman" w:cs="Times New Roman"/>
                <w:i/>
                <w:iCs/>
                <w:sz w:val="16"/>
                <w:szCs w:val="16"/>
                <w:lang w:eastAsia="en-GB"/>
              </w:rPr>
            </w:pPr>
          </w:p>
        </w:tc>
        <w:tc>
          <w:tcPr>
            <w:tcW w:w="501" w:type="pct"/>
            <w:shd w:val="clear" w:color="auto" w:fill="auto"/>
            <w:noWrap/>
            <w:vAlign w:val="center"/>
            <w:hideMark/>
          </w:tcPr>
          <w:p w14:paraId="07B4A04A" w14:textId="77777777" w:rsidR="00AA5608" w:rsidRPr="006E58A4" w:rsidRDefault="00AA5608" w:rsidP="000E494A">
            <w:pPr>
              <w:jc w:val="right"/>
              <w:rPr>
                <w:rFonts w:ascii="Times New Roman" w:eastAsia="Times New Roman" w:hAnsi="Times New Roman" w:cs="Times New Roman"/>
                <w:i/>
                <w:iCs/>
                <w:sz w:val="16"/>
                <w:szCs w:val="16"/>
                <w:lang w:eastAsia="en-GB"/>
              </w:rPr>
            </w:pPr>
          </w:p>
        </w:tc>
        <w:tc>
          <w:tcPr>
            <w:tcW w:w="500" w:type="pct"/>
            <w:shd w:val="clear" w:color="auto" w:fill="auto"/>
            <w:noWrap/>
            <w:vAlign w:val="center"/>
            <w:hideMark/>
          </w:tcPr>
          <w:p w14:paraId="3775E1F8" w14:textId="77777777" w:rsidR="00AA5608" w:rsidRPr="006E58A4" w:rsidRDefault="00AA5608" w:rsidP="000E494A">
            <w:pPr>
              <w:jc w:val="right"/>
              <w:rPr>
                <w:rFonts w:ascii="Times New Roman" w:eastAsia="Times New Roman" w:hAnsi="Times New Roman" w:cs="Times New Roman"/>
                <w:i/>
                <w:iCs/>
                <w:sz w:val="16"/>
                <w:szCs w:val="16"/>
                <w:lang w:eastAsia="en-GB"/>
              </w:rPr>
            </w:pPr>
          </w:p>
        </w:tc>
        <w:tc>
          <w:tcPr>
            <w:tcW w:w="301" w:type="pct"/>
            <w:shd w:val="clear" w:color="auto" w:fill="auto"/>
            <w:noWrap/>
            <w:vAlign w:val="center"/>
            <w:hideMark/>
          </w:tcPr>
          <w:p w14:paraId="406AAB94" w14:textId="77777777" w:rsidR="00AA5608" w:rsidRPr="006E58A4" w:rsidRDefault="00AA5608" w:rsidP="000E494A">
            <w:pPr>
              <w:ind w:firstLineChars="100" w:firstLine="160"/>
              <w:jc w:val="right"/>
              <w:rPr>
                <w:rFonts w:ascii="Times New Roman" w:eastAsia="Times New Roman" w:hAnsi="Times New Roman" w:cs="Times New Roman"/>
                <w:i/>
                <w:iCs/>
                <w:sz w:val="16"/>
                <w:szCs w:val="16"/>
                <w:lang w:eastAsia="en-GB"/>
              </w:rPr>
            </w:pPr>
          </w:p>
        </w:tc>
        <w:tc>
          <w:tcPr>
            <w:tcW w:w="400" w:type="pct"/>
            <w:shd w:val="clear" w:color="auto" w:fill="auto"/>
            <w:noWrap/>
            <w:vAlign w:val="center"/>
            <w:hideMark/>
          </w:tcPr>
          <w:p w14:paraId="5745275A" w14:textId="77777777" w:rsidR="00AA5608" w:rsidRPr="006E58A4" w:rsidRDefault="00AA5608" w:rsidP="000E494A">
            <w:pPr>
              <w:jc w:val="right"/>
              <w:rPr>
                <w:rFonts w:ascii="Times New Roman" w:eastAsia="Times New Roman" w:hAnsi="Times New Roman" w:cs="Times New Roman"/>
                <w:i/>
                <w:iCs/>
                <w:sz w:val="16"/>
                <w:szCs w:val="16"/>
                <w:lang w:eastAsia="en-GB"/>
              </w:rPr>
            </w:pPr>
          </w:p>
        </w:tc>
      </w:tr>
      <w:tr w:rsidR="00AA5608" w:rsidRPr="00D306E6" w14:paraId="3CE2A027" w14:textId="77777777" w:rsidTr="000E494A">
        <w:trPr>
          <w:trHeight w:val="306"/>
        </w:trPr>
        <w:tc>
          <w:tcPr>
            <w:tcW w:w="798" w:type="pct"/>
            <w:tcBorders>
              <w:right w:val="single" w:sz="4" w:space="0" w:color="auto"/>
            </w:tcBorders>
            <w:shd w:val="clear" w:color="auto" w:fill="auto"/>
            <w:noWrap/>
            <w:vAlign w:val="center"/>
            <w:hideMark/>
          </w:tcPr>
          <w:p w14:paraId="0C056E7C" w14:textId="77777777" w:rsidR="00AA5608" w:rsidRPr="00D306E6" w:rsidRDefault="00AA5608" w:rsidP="000E494A">
            <w:pPr>
              <w:ind w:firstLineChars="200" w:firstLine="320"/>
              <w:rPr>
                <w:rFonts w:eastAsia="Times New Roman" w:cs="Arial"/>
                <w:color w:val="000000"/>
                <w:sz w:val="16"/>
                <w:szCs w:val="16"/>
                <w:lang w:eastAsia="en-GB"/>
              </w:rPr>
            </w:pPr>
            <w:r w:rsidRPr="00D306E6">
              <w:rPr>
                <w:rFonts w:eastAsia="Times New Roman" w:cs="Arial"/>
                <w:color w:val="000000"/>
                <w:sz w:val="16"/>
                <w:szCs w:val="16"/>
                <w:lang w:eastAsia="en-GB"/>
              </w:rPr>
              <w:t>No support</w:t>
            </w:r>
          </w:p>
        </w:tc>
        <w:tc>
          <w:tcPr>
            <w:tcW w:w="450" w:type="pct"/>
            <w:tcBorders>
              <w:left w:val="single" w:sz="4" w:space="0" w:color="auto"/>
            </w:tcBorders>
            <w:shd w:val="clear" w:color="auto" w:fill="auto"/>
            <w:noWrap/>
            <w:vAlign w:val="center"/>
            <w:hideMark/>
          </w:tcPr>
          <w:p w14:paraId="476C36A8"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4,439 (63.8%)</w:t>
            </w:r>
          </w:p>
        </w:tc>
        <w:tc>
          <w:tcPr>
            <w:tcW w:w="450" w:type="pct"/>
            <w:shd w:val="clear" w:color="auto" w:fill="auto"/>
            <w:noWrap/>
            <w:vAlign w:val="center"/>
            <w:hideMark/>
          </w:tcPr>
          <w:p w14:paraId="1D7999EF"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6,374 (72.7%)</w:t>
            </w:r>
          </w:p>
        </w:tc>
        <w:tc>
          <w:tcPr>
            <w:tcW w:w="501" w:type="pct"/>
            <w:shd w:val="clear" w:color="auto" w:fill="auto"/>
            <w:noWrap/>
            <w:vAlign w:val="center"/>
            <w:hideMark/>
          </w:tcPr>
          <w:p w14:paraId="5D132390"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1.00</w:t>
            </w:r>
          </w:p>
        </w:tc>
        <w:tc>
          <w:tcPr>
            <w:tcW w:w="300" w:type="pct"/>
            <w:shd w:val="clear" w:color="auto" w:fill="auto"/>
            <w:noWrap/>
            <w:vAlign w:val="center"/>
            <w:hideMark/>
          </w:tcPr>
          <w:p w14:paraId="42483EED" w14:textId="77777777" w:rsidR="00AA5608" w:rsidRPr="00D306E6" w:rsidRDefault="00AA5608" w:rsidP="000E494A">
            <w:pPr>
              <w:ind w:firstLineChars="200" w:firstLine="320"/>
              <w:jc w:val="right"/>
              <w:rPr>
                <w:rFonts w:eastAsia="Times New Roman" w:cs="Arial"/>
                <w:color w:val="000000"/>
                <w:sz w:val="16"/>
                <w:szCs w:val="16"/>
                <w:lang w:eastAsia="en-GB"/>
              </w:rPr>
            </w:pPr>
          </w:p>
        </w:tc>
        <w:tc>
          <w:tcPr>
            <w:tcW w:w="350" w:type="pct"/>
            <w:shd w:val="clear" w:color="auto" w:fill="auto"/>
            <w:noWrap/>
            <w:vAlign w:val="center"/>
            <w:hideMark/>
          </w:tcPr>
          <w:p w14:paraId="68A2EE59" w14:textId="77777777" w:rsidR="00AA5608" w:rsidRPr="00D306E6" w:rsidRDefault="00AA5608" w:rsidP="000E494A">
            <w:pPr>
              <w:jc w:val="right"/>
              <w:rPr>
                <w:rFonts w:ascii="Times New Roman" w:eastAsia="Times New Roman" w:hAnsi="Times New Roman" w:cs="Times New Roman"/>
                <w:sz w:val="16"/>
                <w:szCs w:val="16"/>
                <w:lang w:eastAsia="en-GB"/>
              </w:rPr>
            </w:pPr>
          </w:p>
        </w:tc>
        <w:tc>
          <w:tcPr>
            <w:tcW w:w="450" w:type="pct"/>
            <w:tcBorders>
              <w:left w:val="nil"/>
            </w:tcBorders>
            <w:shd w:val="clear" w:color="auto" w:fill="auto"/>
            <w:noWrap/>
            <w:vAlign w:val="center"/>
            <w:hideMark/>
          </w:tcPr>
          <w:p w14:paraId="4D9ECDE2"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5,909 (83.6%)</w:t>
            </w:r>
          </w:p>
        </w:tc>
        <w:tc>
          <w:tcPr>
            <w:tcW w:w="501" w:type="pct"/>
            <w:shd w:val="clear" w:color="auto" w:fill="auto"/>
            <w:noWrap/>
            <w:vAlign w:val="center"/>
            <w:hideMark/>
          </w:tcPr>
          <w:p w14:paraId="604D331D"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19,280 (89.0%)</w:t>
            </w:r>
          </w:p>
        </w:tc>
        <w:tc>
          <w:tcPr>
            <w:tcW w:w="500" w:type="pct"/>
            <w:shd w:val="clear" w:color="auto" w:fill="auto"/>
            <w:noWrap/>
            <w:vAlign w:val="center"/>
            <w:hideMark/>
          </w:tcPr>
          <w:p w14:paraId="0CAEBB7A"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1.00</w:t>
            </w:r>
          </w:p>
        </w:tc>
        <w:tc>
          <w:tcPr>
            <w:tcW w:w="301" w:type="pct"/>
            <w:shd w:val="clear" w:color="auto" w:fill="auto"/>
            <w:noWrap/>
            <w:vAlign w:val="center"/>
            <w:hideMark/>
          </w:tcPr>
          <w:p w14:paraId="265AE5ED" w14:textId="77777777" w:rsidR="00AA5608" w:rsidRPr="00D306E6" w:rsidRDefault="00AA5608" w:rsidP="000E494A">
            <w:pPr>
              <w:ind w:firstLineChars="200" w:firstLine="320"/>
              <w:jc w:val="right"/>
              <w:rPr>
                <w:rFonts w:eastAsia="Times New Roman" w:cs="Arial"/>
                <w:color w:val="000000"/>
                <w:sz w:val="16"/>
                <w:szCs w:val="16"/>
                <w:lang w:eastAsia="en-GB"/>
              </w:rPr>
            </w:pPr>
          </w:p>
        </w:tc>
        <w:tc>
          <w:tcPr>
            <w:tcW w:w="400" w:type="pct"/>
            <w:shd w:val="clear" w:color="auto" w:fill="auto"/>
            <w:noWrap/>
            <w:vAlign w:val="center"/>
            <w:hideMark/>
          </w:tcPr>
          <w:p w14:paraId="08338E31" w14:textId="77777777" w:rsidR="00AA5608" w:rsidRPr="00D306E6" w:rsidRDefault="00AA5608" w:rsidP="000E494A">
            <w:pPr>
              <w:jc w:val="right"/>
              <w:rPr>
                <w:rFonts w:ascii="Times New Roman" w:eastAsia="Times New Roman" w:hAnsi="Times New Roman" w:cs="Times New Roman"/>
                <w:sz w:val="16"/>
                <w:szCs w:val="16"/>
                <w:lang w:eastAsia="en-GB"/>
              </w:rPr>
            </w:pPr>
          </w:p>
        </w:tc>
      </w:tr>
      <w:tr w:rsidR="00AA5608" w:rsidRPr="00D306E6" w14:paraId="57A35DCB" w14:textId="77777777" w:rsidTr="000E494A">
        <w:trPr>
          <w:trHeight w:val="306"/>
        </w:trPr>
        <w:tc>
          <w:tcPr>
            <w:tcW w:w="798" w:type="pct"/>
            <w:tcBorders>
              <w:right w:val="single" w:sz="4" w:space="0" w:color="auto"/>
            </w:tcBorders>
            <w:shd w:val="clear" w:color="auto" w:fill="auto"/>
            <w:noWrap/>
            <w:vAlign w:val="center"/>
            <w:hideMark/>
          </w:tcPr>
          <w:p w14:paraId="5D26D467" w14:textId="77777777" w:rsidR="00AA5608" w:rsidRPr="00D306E6" w:rsidRDefault="00AA5608" w:rsidP="000E494A">
            <w:pPr>
              <w:ind w:firstLineChars="200" w:firstLine="320"/>
              <w:rPr>
                <w:rFonts w:eastAsia="Times New Roman" w:cs="Arial"/>
                <w:color w:val="000000"/>
                <w:sz w:val="16"/>
                <w:szCs w:val="16"/>
                <w:lang w:eastAsia="en-GB"/>
              </w:rPr>
            </w:pPr>
            <w:r w:rsidRPr="00D306E6">
              <w:rPr>
                <w:rFonts w:eastAsia="Times New Roman" w:cs="Arial"/>
                <w:color w:val="000000"/>
                <w:sz w:val="16"/>
                <w:szCs w:val="16"/>
                <w:lang w:eastAsia="en-GB"/>
              </w:rPr>
              <w:t>Early help</w:t>
            </w:r>
          </w:p>
        </w:tc>
        <w:tc>
          <w:tcPr>
            <w:tcW w:w="450" w:type="pct"/>
            <w:tcBorders>
              <w:left w:val="single" w:sz="4" w:space="0" w:color="auto"/>
            </w:tcBorders>
            <w:shd w:val="clear" w:color="auto" w:fill="auto"/>
            <w:noWrap/>
            <w:vAlign w:val="center"/>
            <w:hideMark/>
          </w:tcPr>
          <w:p w14:paraId="35AF6443"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596 (8.6%)</w:t>
            </w:r>
          </w:p>
        </w:tc>
        <w:tc>
          <w:tcPr>
            <w:tcW w:w="450" w:type="pct"/>
            <w:shd w:val="clear" w:color="auto" w:fill="auto"/>
            <w:noWrap/>
            <w:vAlign w:val="center"/>
            <w:hideMark/>
          </w:tcPr>
          <w:p w14:paraId="24A626F3"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137 (1.6%)</w:t>
            </w:r>
          </w:p>
        </w:tc>
        <w:tc>
          <w:tcPr>
            <w:tcW w:w="501" w:type="pct"/>
            <w:shd w:val="clear" w:color="auto" w:fill="auto"/>
            <w:noWrap/>
            <w:vAlign w:val="center"/>
            <w:hideMark/>
          </w:tcPr>
          <w:p w14:paraId="1530EC21"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5.62 (4.52-6.99)</w:t>
            </w:r>
          </w:p>
        </w:tc>
        <w:tc>
          <w:tcPr>
            <w:tcW w:w="300" w:type="pct"/>
            <w:shd w:val="clear" w:color="auto" w:fill="auto"/>
            <w:noWrap/>
            <w:vAlign w:val="center"/>
            <w:hideMark/>
          </w:tcPr>
          <w:p w14:paraId="10DF7C24"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p&lt;0.001</w:t>
            </w:r>
          </w:p>
        </w:tc>
        <w:tc>
          <w:tcPr>
            <w:tcW w:w="350" w:type="pct"/>
            <w:shd w:val="clear" w:color="auto" w:fill="auto"/>
            <w:noWrap/>
            <w:vAlign w:val="center"/>
            <w:hideMark/>
          </w:tcPr>
          <w:p w14:paraId="68AA35DC"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4.17 (3.67)</w:t>
            </w:r>
          </w:p>
        </w:tc>
        <w:tc>
          <w:tcPr>
            <w:tcW w:w="450" w:type="pct"/>
            <w:tcBorders>
              <w:left w:val="nil"/>
            </w:tcBorders>
            <w:shd w:val="clear" w:color="auto" w:fill="auto"/>
            <w:noWrap/>
            <w:vAlign w:val="center"/>
            <w:hideMark/>
          </w:tcPr>
          <w:p w14:paraId="64E12F62"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279 (4.0%)</w:t>
            </w:r>
          </w:p>
        </w:tc>
        <w:tc>
          <w:tcPr>
            <w:tcW w:w="501" w:type="pct"/>
            <w:shd w:val="clear" w:color="auto" w:fill="auto"/>
            <w:noWrap/>
            <w:vAlign w:val="center"/>
            <w:hideMark/>
          </w:tcPr>
          <w:p w14:paraId="2DE3A31C"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269 (1.2%)</w:t>
            </w:r>
          </w:p>
        </w:tc>
        <w:tc>
          <w:tcPr>
            <w:tcW w:w="500" w:type="pct"/>
            <w:shd w:val="clear" w:color="auto" w:fill="auto"/>
            <w:noWrap/>
            <w:vAlign w:val="center"/>
            <w:hideMark/>
          </w:tcPr>
          <w:p w14:paraId="10F54137"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3.26 (2.71-3.94)</w:t>
            </w:r>
          </w:p>
        </w:tc>
        <w:tc>
          <w:tcPr>
            <w:tcW w:w="301" w:type="pct"/>
            <w:shd w:val="clear" w:color="auto" w:fill="auto"/>
            <w:noWrap/>
            <w:vAlign w:val="center"/>
            <w:hideMark/>
          </w:tcPr>
          <w:p w14:paraId="2BD39EDE"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p&lt;0.001</w:t>
            </w:r>
          </w:p>
        </w:tc>
        <w:tc>
          <w:tcPr>
            <w:tcW w:w="400" w:type="pct"/>
            <w:shd w:val="clear" w:color="auto" w:fill="auto"/>
            <w:noWrap/>
            <w:vAlign w:val="center"/>
            <w:hideMark/>
          </w:tcPr>
          <w:p w14:paraId="708273DA" w14:textId="77777777" w:rsidR="00AA5608" w:rsidRPr="00D306E6" w:rsidRDefault="00AA5608" w:rsidP="000E494A">
            <w:pPr>
              <w:jc w:val="right"/>
              <w:rPr>
                <w:rFonts w:eastAsia="Times New Roman" w:cs="Arial"/>
                <w:color w:val="000000"/>
                <w:sz w:val="16"/>
                <w:szCs w:val="16"/>
                <w:lang w:eastAsia="en-GB"/>
              </w:rPr>
            </w:pPr>
            <w:r>
              <w:rPr>
                <w:rFonts w:eastAsia="Times New Roman" w:cs="Arial"/>
                <w:color w:val="000000"/>
                <w:sz w:val="16"/>
                <w:szCs w:val="16"/>
                <w:lang w:eastAsia="en-GB"/>
              </w:rPr>
              <w:t>3.01 (2.68)</w:t>
            </w:r>
          </w:p>
        </w:tc>
      </w:tr>
      <w:tr w:rsidR="00AA5608" w:rsidRPr="00D306E6" w14:paraId="0620C220" w14:textId="77777777" w:rsidTr="000E494A">
        <w:trPr>
          <w:trHeight w:val="306"/>
        </w:trPr>
        <w:tc>
          <w:tcPr>
            <w:tcW w:w="798" w:type="pct"/>
            <w:tcBorders>
              <w:right w:val="single" w:sz="4" w:space="0" w:color="auto"/>
            </w:tcBorders>
            <w:shd w:val="clear" w:color="auto" w:fill="auto"/>
            <w:noWrap/>
            <w:vAlign w:val="center"/>
            <w:hideMark/>
          </w:tcPr>
          <w:p w14:paraId="3152084B" w14:textId="77777777" w:rsidR="00AA5608" w:rsidRPr="00D306E6" w:rsidRDefault="00AA5608" w:rsidP="000E494A">
            <w:pPr>
              <w:ind w:firstLineChars="200" w:firstLine="320"/>
              <w:rPr>
                <w:rFonts w:eastAsia="Times New Roman" w:cs="Arial"/>
                <w:color w:val="000000"/>
                <w:sz w:val="16"/>
                <w:szCs w:val="16"/>
                <w:lang w:eastAsia="en-GB"/>
              </w:rPr>
            </w:pPr>
            <w:r w:rsidRPr="00D306E6">
              <w:rPr>
                <w:rFonts w:eastAsia="Times New Roman" w:cs="Arial"/>
                <w:color w:val="000000"/>
                <w:sz w:val="16"/>
                <w:szCs w:val="16"/>
                <w:lang w:eastAsia="en-GB"/>
              </w:rPr>
              <w:t xml:space="preserve">Child in need plan </w:t>
            </w:r>
          </w:p>
        </w:tc>
        <w:tc>
          <w:tcPr>
            <w:tcW w:w="450" w:type="pct"/>
            <w:tcBorders>
              <w:left w:val="single" w:sz="4" w:space="0" w:color="auto"/>
            </w:tcBorders>
            <w:shd w:val="clear" w:color="auto" w:fill="auto"/>
            <w:noWrap/>
            <w:vAlign w:val="center"/>
            <w:hideMark/>
          </w:tcPr>
          <w:p w14:paraId="3314ED07"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617 (8.9%)</w:t>
            </w:r>
          </w:p>
        </w:tc>
        <w:tc>
          <w:tcPr>
            <w:tcW w:w="450" w:type="pct"/>
            <w:shd w:val="clear" w:color="auto" w:fill="auto"/>
            <w:noWrap/>
            <w:vAlign w:val="center"/>
            <w:hideMark/>
          </w:tcPr>
          <w:p w14:paraId="44D5FFD5"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226 (2.6%)</w:t>
            </w:r>
          </w:p>
        </w:tc>
        <w:tc>
          <w:tcPr>
            <w:tcW w:w="501" w:type="pct"/>
            <w:shd w:val="clear" w:color="auto" w:fill="auto"/>
            <w:noWrap/>
            <w:vAlign w:val="center"/>
            <w:hideMark/>
          </w:tcPr>
          <w:p w14:paraId="60C4637F"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3.63 (2.97-4.43)</w:t>
            </w:r>
          </w:p>
        </w:tc>
        <w:tc>
          <w:tcPr>
            <w:tcW w:w="300" w:type="pct"/>
            <w:shd w:val="clear" w:color="auto" w:fill="auto"/>
            <w:noWrap/>
            <w:vAlign w:val="center"/>
            <w:hideMark/>
          </w:tcPr>
          <w:p w14:paraId="6929E629"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p&lt;0.001</w:t>
            </w:r>
          </w:p>
        </w:tc>
        <w:tc>
          <w:tcPr>
            <w:tcW w:w="350" w:type="pct"/>
            <w:shd w:val="clear" w:color="auto" w:fill="auto"/>
            <w:noWrap/>
            <w:vAlign w:val="center"/>
            <w:hideMark/>
          </w:tcPr>
          <w:p w14:paraId="076FA9BC"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3.22 (2.84)</w:t>
            </w:r>
          </w:p>
        </w:tc>
        <w:tc>
          <w:tcPr>
            <w:tcW w:w="450" w:type="pct"/>
            <w:tcBorders>
              <w:left w:val="nil"/>
            </w:tcBorders>
            <w:shd w:val="clear" w:color="auto" w:fill="auto"/>
            <w:noWrap/>
            <w:vAlign w:val="center"/>
            <w:hideMark/>
          </w:tcPr>
          <w:p w14:paraId="61CF47EB"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295 (4.2%)</w:t>
            </w:r>
          </w:p>
        </w:tc>
        <w:tc>
          <w:tcPr>
            <w:tcW w:w="501" w:type="pct"/>
            <w:shd w:val="clear" w:color="auto" w:fill="auto"/>
            <w:noWrap/>
            <w:vAlign w:val="center"/>
            <w:hideMark/>
          </w:tcPr>
          <w:p w14:paraId="6806EC2B"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364 (1.7%)</w:t>
            </w:r>
          </w:p>
        </w:tc>
        <w:tc>
          <w:tcPr>
            <w:tcW w:w="500" w:type="pct"/>
            <w:shd w:val="clear" w:color="auto" w:fill="auto"/>
            <w:noWrap/>
            <w:vAlign w:val="center"/>
            <w:hideMark/>
          </w:tcPr>
          <w:p w14:paraId="6C9F19BD"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2.97 (2.43-3.63)</w:t>
            </w:r>
          </w:p>
        </w:tc>
        <w:tc>
          <w:tcPr>
            <w:tcW w:w="301" w:type="pct"/>
            <w:shd w:val="clear" w:color="auto" w:fill="auto"/>
            <w:noWrap/>
            <w:vAlign w:val="center"/>
            <w:hideMark/>
          </w:tcPr>
          <w:p w14:paraId="2EAB6BFC"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p&lt;0.001</w:t>
            </w:r>
          </w:p>
        </w:tc>
        <w:tc>
          <w:tcPr>
            <w:tcW w:w="400" w:type="pct"/>
            <w:shd w:val="clear" w:color="auto" w:fill="auto"/>
            <w:noWrap/>
            <w:vAlign w:val="center"/>
            <w:hideMark/>
          </w:tcPr>
          <w:p w14:paraId="015A7400" w14:textId="77777777" w:rsidR="00AA5608" w:rsidRPr="00D306E6" w:rsidRDefault="00AA5608" w:rsidP="000E494A">
            <w:pPr>
              <w:jc w:val="right"/>
              <w:rPr>
                <w:rFonts w:eastAsia="Times New Roman" w:cs="Arial"/>
                <w:color w:val="000000"/>
                <w:sz w:val="16"/>
                <w:szCs w:val="16"/>
                <w:lang w:eastAsia="en-GB"/>
              </w:rPr>
            </w:pPr>
            <w:r>
              <w:rPr>
                <w:rFonts w:eastAsia="Times New Roman" w:cs="Arial"/>
                <w:color w:val="000000"/>
                <w:sz w:val="16"/>
                <w:szCs w:val="16"/>
                <w:lang w:eastAsia="en-GB"/>
              </w:rPr>
              <w:t>2.84 (2.49)</w:t>
            </w:r>
          </w:p>
        </w:tc>
      </w:tr>
      <w:tr w:rsidR="00AA5608" w:rsidRPr="00D306E6" w14:paraId="405F14DE" w14:textId="77777777" w:rsidTr="000E494A">
        <w:trPr>
          <w:trHeight w:val="306"/>
        </w:trPr>
        <w:tc>
          <w:tcPr>
            <w:tcW w:w="798" w:type="pct"/>
            <w:tcBorders>
              <w:right w:val="single" w:sz="4" w:space="0" w:color="auto"/>
            </w:tcBorders>
            <w:shd w:val="clear" w:color="auto" w:fill="auto"/>
            <w:noWrap/>
            <w:vAlign w:val="center"/>
            <w:hideMark/>
          </w:tcPr>
          <w:p w14:paraId="31C3F9DA" w14:textId="77777777" w:rsidR="00AA5608" w:rsidRPr="00D306E6" w:rsidRDefault="00AA5608" w:rsidP="000E494A">
            <w:pPr>
              <w:ind w:firstLineChars="200" w:firstLine="320"/>
              <w:rPr>
                <w:rFonts w:eastAsia="Times New Roman" w:cs="Arial"/>
                <w:color w:val="000000"/>
                <w:sz w:val="16"/>
                <w:szCs w:val="16"/>
                <w:lang w:eastAsia="en-GB"/>
              </w:rPr>
            </w:pPr>
            <w:r w:rsidRPr="00D306E6">
              <w:rPr>
                <w:rFonts w:eastAsia="Times New Roman" w:cs="Arial"/>
                <w:color w:val="000000"/>
                <w:sz w:val="16"/>
                <w:szCs w:val="16"/>
                <w:lang w:eastAsia="en-GB"/>
              </w:rPr>
              <w:t xml:space="preserve">Child protection plan </w:t>
            </w:r>
          </w:p>
        </w:tc>
        <w:tc>
          <w:tcPr>
            <w:tcW w:w="450" w:type="pct"/>
            <w:tcBorders>
              <w:left w:val="single" w:sz="4" w:space="0" w:color="auto"/>
            </w:tcBorders>
            <w:shd w:val="clear" w:color="auto" w:fill="auto"/>
            <w:noWrap/>
            <w:vAlign w:val="center"/>
            <w:hideMark/>
          </w:tcPr>
          <w:p w14:paraId="4654F652"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1,182 (17.0%)</w:t>
            </w:r>
          </w:p>
        </w:tc>
        <w:tc>
          <w:tcPr>
            <w:tcW w:w="450" w:type="pct"/>
            <w:shd w:val="clear" w:color="auto" w:fill="auto"/>
            <w:noWrap/>
            <w:vAlign w:val="center"/>
            <w:hideMark/>
          </w:tcPr>
          <w:p w14:paraId="447A8556"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787 (9.0%)</w:t>
            </w:r>
          </w:p>
        </w:tc>
        <w:tc>
          <w:tcPr>
            <w:tcW w:w="501" w:type="pct"/>
            <w:shd w:val="clear" w:color="auto" w:fill="auto"/>
            <w:noWrap/>
            <w:vAlign w:val="center"/>
            <w:hideMark/>
          </w:tcPr>
          <w:p w14:paraId="2B5A18CC"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2.09 (1.80-2.42)</w:t>
            </w:r>
          </w:p>
        </w:tc>
        <w:tc>
          <w:tcPr>
            <w:tcW w:w="300" w:type="pct"/>
            <w:shd w:val="clear" w:color="auto" w:fill="auto"/>
            <w:noWrap/>
            <w:vAlign w:val="center"/>
            <w:hideMark/>
          </w:tcPr>
          <w:p w14:paraId="3A761ACF"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p&lt;0.001</w:t>
            </w:r>
          </w:p>
        </w:tc>
        <w:tc>
          <w:tcPr>
            <w:tcW w:w="350" w:type="pct"/>
            <w:shd w:val="clear" w:color="auto" w:fill="auto"/>
            <w:noWrap/>
            <w:vAlign w:val="center"/>
            <w:hideMark/>
          </w:tcPr>
          <w:p w14:paraId="5FEF42BA"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2.25 (2.02)</w:t>
            </w:r>
          </w:p>
        </w:tc>
        <w:tc>
          <w:tcPr>
            <w:tcW w:w="450" w:type="pct"/>
            <w:tcBorders>
              <w:left w:val="nil"/>
            </w:tcBorders>
            <w:shd w:val="clear" w:color="auto" w:fill="auto"/>
            <w:noWrap/>
            <w:vAlign w:val="center"/>
            <w:hideMark/>
          </w:tcPr>
          <w:p w14:paraId="78DFB701"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529 (7.5%)</w:t>
            </w:r>
          </w:p>
        </w:tc>
        <w:tc>
          <w:tcPr>
            <w:tcW w:w="501" w:type="pct"/>
            <w:shd w:val="clear" w:color="auto" w:fill="auto"/>
            <w:noWrap/>
            <w:vAlign w:val="center"/>
            <w:hideMark/>
          </w:tcPr>
          <w:p w14:paraId="397C8E9C"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911 (4.2%)</w:t>
            </w:r>
          </w:p>
        </w:tc>
        <w:tc>
          <w:tcPr>
            <w:tcW w:w="500" w:type="pct"/>
            <w:shd w:val="clear" w:color="auto" w:fill="auto"/>
            <w:noWrap/>
            <w:vAlign w:val="center"/>
            <w:hideMark/>
          </w:tcPr>
          <w:p w14:paraId="7A77CA37"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2.00 (1.72-2.33)</w:t>
            </w:r>
          </w:p>
        </w:tc>
        <w:tc>
          <w:tcPr>
            <w:tcW w:w="301" w:type="pct"/>
            <w:shd w:val="clear" w:color="auto" w:fill="auto"/>
            <w:noWrap/>
            <w:vAlign w:val="center"/>
            <w:hideMark/>
          </w:tcPr>
          <w:p w14:paraId="60958E20"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p&lt;0.001</w:t>
            </w:r>
          </w:p>
        </w:tc>
        <w:tc>
          <w:tcPr>
            <w:tcW w:w="400" w:type="pct"/>
            <w:shd w:val="clear" w:color="auto" w:fill="auto"/>
            <w:noWrap/>
            <w:vAlign w:val="center"/>
            <w:hideMark/>
          </w:tcPr>
          <w:p w14:paraId="647A3C10" w14:textId="77777777" w:rsidR="00AA5608" w:rsidRPr="00D306E6" w:rsidRDefault="00AA5608" w:rsidP="000E494A">
            <w:pPr>
              <w:jc w:val="right"/>
              <w:rPr>
                <w:rFonts w:eastAsia="Times New Roman" w:cs="Arial"/>
                <w:color w:val="000000"/>
                <w:sz w:val="16"/>
                <w:szCs w:val="16"/>
                <w:lang w:eastAsia="en-GB"/>
              </w:rPr>
            </w:pPr>
            <w:r>
              <w:rPr>
                <w:rFonts w:eastAsia="Times New Roman" w:cs="Arial"/>
                <w:color w:val="000000"/>
                <w:sz w:val="16"/>
                <w:szCs w:val="16"/>
                <w:lang w:eastAsia="en-GB"/>
              </w:rPr>
              <w:t>2.18 (1.95)</w:t>
            </w:r>
          </w:p>
        </w:tc>
      </w:tr>
      <w:tr w:rsidR="00AA5608" w:rsidRPr="00D306E6" w14:paraId="3E89C307" w14:textId="77777777" w:rsidTr="000E494A">
        <w:trPr>
          <w:trHeight w:val="306"/>
        </w:trPr>
        <w:tc>
          <w:tcPr>
            <w:tcW w:w="798" w:type="pct"/>
            <w:tcBorders>
              <w:bottom w:val="single" w:sz="4" w:space="0" w:color="auto"/>
              <w:right w:val="single" w:sz="4" w:space="0" w:color="auto"/>
            </w:tcBorders>
            <w:shd w:val="clear" w:color="auto" w:fill="auto"/>
            <w:noWrap/>
            <w:vAlign w:val="center"/>
            <w:hideMark/>
          </w:tcPr>
          <w:p w14:paraId="1AB0676F" w14:textId="77777777" w:rsidR="00AA5608" w:rsidRPr="00D306E6" w:rsidRDefault="00AA5608" w:rsidP="000E494A">
            <w:pPr>
              <w:ind w:firstLineChars="200" w:firstLine="320"/>
              <w:rPr>
                <w:rFonts w:eastAsia="Times New Roman" w:cs="Arial"/>
                <w:color w:val="000000"/>
                <w:sz w:val="16"/>
                <w:szCs w:val="16"/>
                <w:lang w:eastAsia="en-GB"/>
              </w:rPr>
            </w:pPr>
            <w:r w:rsidRPr="00D306E6">
              <w:rPr>
                <w:rFonts w:eastAsia="Times New Roman" w:cs="Arial"/>
                <w:color w:val="000000"/>
                <w:sz w:val="16"/>
                <w:szCs w:val="16"/>
                <w:lang w:eastAsia="en-GB"/>
              </w:rPr>
              <w:t xml:space="preserve">Child in care </w:t>
            </w:r>
          </w:p>
        </w:tc>
        <w:tc>
          <w:tcPr>
            <w:tcW w:w="450" w:type="pct"/>
            <w:tcBorders>
              <w:left w:val="single" w:sz="4" w:space="0" w:color="auto"/>
              <w:bottom w:val="single" w:sz="4" w:space="0" w:color="auto"/>
            </w:tcBorders>
            <w:shd w:val="clear" w:color="auto" w:fill="auto"/>
            <w:noWrap/>
            <w:vAlign w:val="center"/>
            <w:hideMark/>
          </w:tcPr>
          <w:p w14:paraId="7C7CDE8B"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123 (1.8%)</w:t>
            </w:r>
          </w:p>
        </w:tc>
        <w:tc>
          <w:tcPr>
            <w:tcW w:w="450" w:type="pct"/>
            <w:tcBorders>
              <w:bottom w:val="single" w:sz="4" w:space="0" w:color="auto"/>
            </w:tcBorders>
            <w:shd w:val="clear" w:color="auto" w:fill="auto"/>
            <w:noWrap/>
            <w:vAlign w:val="center"/>
            <w:hideMark/>
          </w:tcPr>
          <w:p w14:paraId="5D7276CD"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1,245 (14.2%)</w:t>
            </w:r>
          </w:p>
        </w:tc>
        <w:tc>
          <w:tcPr>
            <w:tcW w:w="501" w:type="pct"/>
            <w:tcBorders>
              <w:bottom w:val="single" w:sz="4" w:space="0" w:color="auto"/>
            </w:tcBorders>
            <w:shd w:val="clear" w:color="auto" w:fill="auto"/>
            <w:noWrap/>
            <w:vAlign w:val="center"/>
            <w:hideMark/>
          </w:tcPr>
          <w:p w14:paraId="0B447D81"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0.17 (0.13-0.21)</w:t>
            </w:r>
          </w:p>
        </w:tc>
        <w:tc>
          <w:tcPr>
            <w:tcW w:w="300" w:type="pct"/>
            <w:tcBorders>
              <w:bottom w:val="single" w:sz="4" w:space="0" w:color="auto"/>
            </w:tcBorders>
            <w:shd w:val="clear" w:color="auto" w:fill="auto"/>
            <w:noWrap/>
            <w:vAlign w:val="center"/>
            <w:hideMark/>
          </w:tcPr>
          <w:p w14:paraId="5D8F67F9"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p&lt;0.001</w:t>
            </w:r>
          </w:p>
        </w:tc>
        <w:tc>
          <w:tcPr>
            <w:tcW w:w="350" w:type="pct"/>
            <w:tcBorders>
              <w:bottom w:val="single" w:sz="4" w:space="0" w:color="auto"/>
            </w:tcBorders>
            <w:shd w:val="clear" w:color="auto" w:fill="auto"/>
            <w:noWrap/>
            <w:vAlign w:val="center"/>
            <w:hideMark/>
          </w:tcPr>
          <w:p w14:paraId="61949871"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4.28 (3.79)</w:t>
            </w:r>
          </w:p>
        </w:tc>
        <w:tc>
          <w:tcPr>
            <w:tcW w:w="450" w:type="pct"/>
            <w:tcBorders>
              <w:left w:val="nil"/>
              <w:bottom w:val="single" w:sz="4" w:space="0" w:color="auto"/>
            </w:tcBorders>
            <w:shd w:val="clear" w:color="auto" w:fill="auto"/>
            <w:noWrap/>
            <w:vAlign w:val="center"/>
            <w:hideMark/>
          </w:tcPr>
          <w:p w14:paraId="1CA910DA"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060 (0.9%)</w:t>
            </w:r>
          </w:p>
        </w:tc>
        <w:tc>
          <w:tcPr>
            <w:tcW w:w="501" w:type="pct"/>
            <w:tcBorders>
              <w:bottom w:val="single" w:sz="4" w:space="0" w:color="auto"/>
            </w:tcBorders>
            <w:shd w:val="clear" w:color="auto" w:fill="auto"/>
            <w:noWrap/>
            <w:vAlign w:val="center"/>
            <w:hideMark/>
          </w:tcPr>
          <w:p w14:paraId="1CF840F5"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851 (3.9%)</w:t>
            </w:r>
          </w:p>
        </w:tc>
        <w:tc>
          <w:tcPr>
            <w:tcW w:w="500" w:type="pct"/>
            <w:tcBorders>
              <w:bottom w:val="single" w:sz="4" w:space="0" w:color="auto"/>
            </w:tcBorders>
            <w:shd w:val="clear" w:color="auto" w:fill="auto"/>
            <w:noWrap/>
            <w:vAlign w:val="center"/>
            <w:hideMark/>
          </w:tcPr>
          <w:p w14:paraId="7AE0AE99"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0.33 (0.23-0.48)</w:t>
            </w:r>
          </w:p>
        </w:tc>
        <w:tc>
          <w:tcPr>
            <w:tcW w:w="301" w:type="pct"/>
            <w:tcBorders>
              <w:bottom w:val="single" w:sz="4" w:space="0" w:color="auto"/>
            </w:tcBorders>
            <w:shd w:val="clear" w:color="auto" w:fill="auto"/>
            <w:noWrap/>
            <w:vAlign w:val="center"/>
            <w:hideMark/>
          </w:tcPr>
          <w:p w14:paraId="18971B3F" w14:textId="77777777" w:rsidR="00AA5608" w:rsidRPr="00D306E6" w:rsidRDefault="00AA5608" w:rsidP="000E494A">
            <w:pPr>
              <w:jc w:val="right"/>
              <w:rPr>
                <w:rFonts w:eastAsia="Times New Roman" w:cs="Arial"/>
                <w:color w:val="000000"/>
                <w:sz w:val="16"/>
                <w:szCs w:val="16"/>
                <w:lang w:eastAsia="en-GB"/>
              </w:rPr>
            </w:pPr>
            <w:r w:rsidRPr="00D306E6">
              <w:rPr>
                <w:rFonts w:eastAsia="Times New Roman" w:cs="Arial"/>
                <w:color w:val="000000"/>
                <w:sz w:val="16"/>
                <w:szCs w:val="16"/>
                <w:lang w:eastAsia="en-GB"/>
              </w:rPr>
              <w:t>p&lt;0.001</w:t>
            </w:r>
          </w:p>
        </w:tc>
        <w:tc>
          <w:tcPr>
            <w:tcW w:w="400" w:type="pct"/>
            <w:tcBorders>
              <w:bottom w:val="single" w:sz="4" w:space="0" w:color="auto"/>
            </w:tcBorders>
            <w:shd w:val="clear" w:color="auto" w:fill="auto"/>
            <w:noWrap/>
            <w:vAlign w:val="center"/>
            <w:hideMark/>
          </w:tcPr>
          <w:p w14:paraId="77FCF682" w14:textId="77777777" w:rsidR="00AA5608" w:rsidRPr="00D306E6" w:rsidRDefault="00AA5608" w:rsidP="000E494A">
            <w:pPr>
              <w:jc w:val="right"/>
              <w:rPr>
                <w:rFonts w:eastAsia="Times New Roman" w:cs="Arial"/>
                <w:color w:val="000000"/>
                <w:sz w:val="16"/>
                <w:szCs w:val="16"/>
                <w:lang w:eastAsia="en-GB"/>
              </w:rPr>
            </w:pPr>
            <w:r>
              <w:rPr>
                <w:rFonts w:eastAsia="Times New Roman" w:cs="Arial"/>
                <w:color w:val="000000"/>
                <w:sz w:val="16"/>
                <w:szCs w:val="16"/>
                <w:lang w:eastAsia="en-GB"/>
              </w:rPr>
              <w:t>2.88 (2.24)</w:t>
            </w:r>
          </w:p>
        </w:tc>
      </w:tr>
    </w:tbl>
    <w:p w14:paraId="460BA94D" w14:textId="40A1C18C" w:rsidR="00AA5608" w:rsidRPr="0061442D" w:rsidRDefault="00AA5608" w:rsidP="00AA5608">
      <w:pPr>
        <w:pStyle w:val="paragraph"/>
        <w:spacing w:before="0" w:beforeAutospacing="0"/>
        <w:textAlignment w:val="baseline"/>
        <w:rPr>
          <w:rFonts w:ascii="Arial" w:hAnsi="Arial" w:cs="Arial"/>
          <w:i/>
          <w:iCs/>
          <w:sz w:val="18"/>
          <w:szCs w:val="18"/>
        </w:rPr>
      </w:pPr>
      <w:r w:rsidRPr="0061442D">
        <w:rPr>
          <w:rFonts w:ascii="Arial" w:hAnsi="Arial" w:cs="Arial"/>
          <w:i/>
          <w:iCs/>
          <w:sz w:val="18"/>
          <w:szCs w:val="18"/>
        </w:rPr>
        <w:t xml:space="preserve">^ Statistical outputs derived from multilevel regression models on complete case data for </w:t>
      </w:r>
      <w:r w:rsidR="00AB7760">
        <w:rPr>
          <w:rFonts w:ascii="Arial" w:hAnsi="Arial" w:cs="Arial"/>
          <w:i/>
          <w:iCs/>
          <w:sz w:val="18"/>
          <w:szCs w:val="18"/>
        </w:rPr>
        <w:t>mothers</w:t>
      </w:r>
      <w:r w:rsidRPr="0061442D">
        <w:rPr>
          <w:rFonts w:ascii="Arial" w:hAnsi="Arial" w:cs="Arial"/>
          <w:i/>
          <w:iCs/>
          <w:sz w:val="18"/>
          <w:szCs w:val="18"/>
        </w:rPr>
        <w:t xml:space="preserve"> and </w:t>
      </w:r>
      <w:r w:rsidR="00EA4EDA">
        <w:rPr>
          <w:rFonts w:ascii="Arial" w:hAnsi="Arial" w:cs="Arial"/>
          <w:i/>
          <w:iCs/>
          <w:sz w:val="18"/>
          <w:szCs w:val="18"/>
        </w:rPr>
        <w:t>fathers</w:t>
      </w:r>
      <w:r w:rsidRPr="0061442D">
        <w:rPr>
          <w:rFonts w:ascii="Arial" w:hAnsi="Arial" w:cs="Arial"/>
          <w:i/>
          <w:iCs/>
          <w:sz w:val="18"/>
          <w:szCs w:val="18"/>
        </w:rPr>
        <w:t xml:space="preserve">, with 150 groups representing English local authorities. </w:t>
      </w:r>
      <w:r w:rsidR="00AB7760">
        <w:rPr>
          <w:rFonts w:ascii="Arial" w:hAnsi="Arial" w:cs="Arial"/>
          <w:i/>
          <w:iCs/>
          <w:sz w:val="18"/>
          <w:szCs w:val="18"/>
        </w:rPr>
        <w:t>Mothers</w:t>
      </w:r>
      <w:r w:rsidRPr="0061442D">
        <w:rPr>
          <w:rFonts w:ascii="Arial" w:hAnsi="Arial" w:cs="Arial"/>
          <w:i/>
          <w:iCs/>
          <w:sz w:val="18"/>
          <w:szCs w:val="18"/>
        </w:rPr>
        <w:t xml:space="preserve"> Wald X2 (21) = 582.3; Men Wald X2 (80) = 3,739.94 </w:t>
      </w:r>
    </w:p>
    <w:p w14:paraId="486ACCEF" w14:textId="77777777" w:rsidR="00AA5608" w:rsidRDefault="00AA5608" w:rsidP="00AA5608">
      <w:pPr>
        <w:pStyle w:val="paragraph"/>
        <w:spacing w:before="0" w:beforeAutospacing="0"/>
        <w:textAlignment w:val="baseline"/>
        <w:rPr>
          <w:rFonts w:ascii="Arial" w:hAnsi="Arial" w:cs="Arial"/>
          <w:bCs/>
          <w:i/>
          <w:iCs/>
        </w:rPr>
      </w:pPr>
    </w:p>
    <w:p w14:paraId="4444BE1F" w14:textId="77777777" w:rsidR="00AA5608" w:rsidRDefault="00AA5608" w:rsidP="00AA5608">
      <w:pPr>
        <w:pStyle w:val="paragraph"/>
        <w:spacing w:before="0" w:beforeAutospacing="0"/>
        <w:textAlignment w:val="baseline"/>
        <w:rPr>
          <w:rFonts w:ascii="Arial" w:hAnsi="Arial" w:cs="Arial"/>
          <w:bCs/>
          <w:i/>
          <w:iCs/>
        </w:rPr>
      </w:pPr>
    </w:p>
    <w:p w14:paraId="1C3E882D" w14:textId="77777777" w:rsidR="00AA5608" w:rsidRDefault="00AA5608" w:rsidP="00AA5608">
      <w:pPr>
        <w:pStyle w:val="paragraph"/>
        <w:spacing w:before="0" w:beforeAutospacing="0"/>
        <w:textAlignment w:val="baseline"/>
        <w:rPr>
          <w:rFonts w:ascii="Arial" w:hAnsi="Arial" w:cs="Arial"/>
          <w:bCs/>
          <w:i/>
          <w:iCs/>
        </w:rPr>
      </w:pPr>
    </w:p>
    <w:p w14:paraId="25FAE2D1" w14:textId="77777777" w:rsidR="00AA5608" w:rsidRDefault="00AA5608" w:rsidP="00AA5608">
      <w:pPr>
        <w:pStyle w:val="paragraph"/>
        <w:spacing w:before="0" w:beforeAutospacing="0"/>
        <w:textAlignment w:val="baseline"/>
        <w:rPr>
          <w:rFonts w:ascii="Arial" w:hAnsi="Arial" w:cs="Arial"/>
          <w:bCs/>
          <w:i/>
          <w:iCs/>
        </w:rPr>
      </w:pPr>
    </w:p>
    <w:p w14:paraId="5C5E6FDF" w14:textId="77777777" w:rsidR="00E97B1B" w:rsidRDefault="00E97B1B" w:rsidP="00AA5608">
      <w:pPr>
        <w:pStyle w:val="paragraph"/>
        <w:spacing w:before="0" w:beforeAutospacing="0"/>
        <w:textAlignment w:val="baseline"/>
        <w:rPr>
          <w:rFonts w:ascii="Arial" w:hAnsi="Arial" w:cs="Arial"/>
          <w:bCs/>
          <w:i/>
          <w:iCs/>
        </w:rPr>
      </w:pPr>
    </w:p>
    <w:p w14:paraId="6AC459FE" w14:textId="77777777" w:rsidR="00E97B1B" w:rsidRDefault="00E97B1B" w:rsidP="00AA5608">
      <w:pPr>
        <w:pStyle w:val="paragraph"/>
        <w:spacing w:before="0" w:beforeAutospacing="0"/>
        <w:textAlignment w:val="baseline"/>
        <w:rPr>
          <w:rFonts w:ascii="Arial" w:hAnsi="Arial" w:cs="Arial"/>
          <w:bCs/>
          <w:i/>
          <w:iCs/>
        </w:rPr>
      </w:pPr>
    </w:p>
    <w:p w14:paraId="3D2AE1B3" w14:textId="77777777" w:rsidR="00E97B1B" w:rsidRDefault="00E97B1B" w:rsidP="00AA5608">
      <w:pPr>
        <w:pStyle w:val="paragraph"/>
        <w:spacing w:before="0" w:beforeAutospacing="0"/>
        <w:textAlignment w:val="baseline"/>
        <w:rPr>
          <w:rFonts w:ascii="Arial" w:hAnsi="Arial" w:cs="Arial"/>
          <w:bCs/>
          <w:i/>
          <w:iCs/>
        </w:rPr>
      </w:pPr>
    </w:p>
    <w:p w14:paraId="669D0136" w14:textId="77777777" w:rsidR="00E97B1B" w:rsidRDefault="00E97B1B" w:rsidP="00AA5608">
      <w:pPr>
        <w:pStyle w:val="paragraph"/>
        <w:spacing w:before="0" w:beforeAutospacing="0"/>
        <w:textAlignment w:val="baseline"/>
        <w:rPr>
          <w:rFonts w:ascii="Arial" w:hAnsi="Arial" w:cs="Arial"/>
          <w:bCs/>
          <w:i/>
          <w:iCs/>
        </w:rPr>
      </w:pPr>
    </w:p>
    <w:p w14:paraId="4A2BF186" w14:textId="77777777" w:rsidR="00E97B1B" w:rsidRDefault="00E97B1B" w:rsidP="00AA5608">
      <w:pPr>
        <w:pStyle w:val="paragraph"/>
        <w:spacing w:before="0" w:beforeAutospacing="0"/>
        <w:textAlignment w:val="baseline"/>
        <w:rPr>
          <w:rFonts w:ascii="Arial" w:hAnsi="Arial" w:cs="Arial"/>
          <w:bCs/>
          <w:i/>
          <w:iCs/>
        </w:rPr>
      </w:pPr>
    </w:p>
    <w:p w14:paraId="24DC35CF" w14:textId="77777777" w:rsidR="00AA5608" w:rsidRDefault="00AA5608" w:rsidP="00AA5608">
      <w:pPr>
        <w:pStyle w:val="paragraph"/>
        <w:spacing w:line="360" w:lineRule="auto"/>
        <w:textAlignment w:val="baseline"/>
        <w:rPr>
          <w:rFonts w:ascii="Arial" w:hAnsi="Arial" w:cs="Arial"/>
          <w:b/>
          <w:bCs/>
        </w:rPr>
      </w:pPr>
    </w:p>
    <w:p w14:paraId="2F08FD6C" w14:textId="23AA395C" w:rsidR="00AA5608" w:rsidRPr="007375D0" w:rsidRDefault="003544A3" w:rsidP="007375D0">
      <w:pPr>
        <w:pStyle w:val="Caption"/>
        <w:keepNext/>
        <w:ind w:left="1440" w:hanging="1440"/>
        <w:rPr>
          <w:b w:val="0"/>
          <w:bCs w:val="0"/>
          <w:i/>
          <w:iCs/>
          <w:color w:val="auto"/>
          <w:sz w:val="24"/>
          <w:szCs w:val="24"/>
        </w:rPr>
      </w:pPr>
      <w:bookmarkStart w:id="78" w:name="_Ref176789756"/>
      <w:bookmarkStart w:id="79" w:name="_Toc185844992"/>
      <w:r>
        <w:rPr>
          <w:b w:val="0"/>
          <w:bCs w:val="0"/>
          <w:i/>
          <w:iCs/>
          <w:color w:val="auto"/>
          <w:sz w:val="24"/>
          <w:szCs w:val="24"/>
        </w:rPr>
        <w:lastRenderedPageBreak/>
        <w:t>Table</w:t>
      </w:r>
      <w:r w:rsidR="007375D0" w:rsidRPr="007375D0">
        <w:rPr>
          <w:b w:val="0"/>
          <w:bCs w:val="0"/>
          <w:i/>
          <w:iCs/>
          <w:color w:val="auto"/>
          <w:sz w:val="24"/>
          <w:szCs w:val="24"/>
        </w:rPr>
        <w:t xml:space="preserv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3.4</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4</w:t>
      </w:r>
      <w:r w:rsidR="00367870">
        <w:rPr>
          <w:b w:val="0"/>
          <w:bCs w:val="0"/>
          <w:i/>
          <w:iCs/>
          <w:color w:val="auto"/>
          <w:sz w:val="24"/>
          <w:szCs w:val="24"/>
        </w:rPr>
        <w:fldChar w:fldCharType="end"/>
      </w:r>
      <w:bookmarkEnd w:id="78"/>
      <w:r w:rsidR="007375D0" w:rsidRPr="007375D0">
        <w:rPr>
          <w:b w:val="0"/>
          <w:bCs w:val="0"/>
          <w:i/>
          <w:iCs/>
          <w:color w:val="auto"/>
          <w:sz w:val="24"/>
          <w:szCs w:val="24"/>
        </w:rPr>
        <w:tab/>
      </w:r>
      <w:r w:rsidR="00AA5608" w:rsidRPr="007375D0">
        <w:rPr>
          <w:rFonts w:cs="Arial"/>
          <w:b w:val="0"/>
          <w:bCs w:val="0"/>
          <w:i/>
          <w:iCs/>
          <w:color w:val="auto"/>
          <w:sz w:val="24"/>
          <w:szCs w:val="24"/>
        </w:rPr>
        <w:t xml:space="preserve">Exploratory analysis of the association between successful completion of treatment and receiving </w:t>
      </w:r>
      <w:r w:rsidR="00AB7760" w:rsidRPr="007375D0">
        <w:rPr>
          <w:rFonts w:cs="Arial"/>
          <w:b w:val="0"/>
          <w:bCs w:val="0"/>
          <w:i/>
          <w:iCs/>
          <w:color w:val="auto"/>
          <w:sz w:val="24"/>
          <w:szCs w:val="24"/>
        </w:rPr>
        <w:t>parenting and/or family</w:t>
      </w:r>
      <w:r w:rsidR="00C2508E" w:rsidRPr="007375D0">
        <w:rPr>
          <w:rFonts w:cs="Arial"/>
          <w:b w:val="0"/>
          <w:bCs w:val="0"/>
          <w:i/>
          <w:iCs/>
          <w:color w:val="auto"/>
          <w:sz w:val="24"/>
          <w:szCs w:val="24"/>
        </w:rPr>
        <w:t xml:space="preserve"> </w:t>
      </w:r>
      <w:r w:rsidR="00CD55AA" w:rsidRPr="007375D0">
        <w:rPr>
          <w:rFonts w:cs="Arial"/>
          <w:b w:val="0"/>
          <w:bCs w:val="0"/>
          <w:i/>
          <w:iCs/>
          <w:color w:val="auto"/>
          <w:sz w:val="24"/>
          <w:szCs w:val="24"/>
        </w:rPr>
        <w:t>recovery su</w:t>
      </w:r>
      <w:r w:rsidR="00C2508E" w:rsidRPr="007375D0">
        <w:rPr>
          <w:rFonts w:cs="Arial"/>
          <w:b w:val="0"/>
          <w:bCs w:val="0"/>
          <w:i/>
          <w:iCs/>
          <w:color w:val="auto"/>
          <w:sz w:val="24"/>
          <w:szCs w:val="24"/>
        </w:rPr>
        <w:t xml:space="preserve">pport and </w:t>
      </w:r>
      <w:r w:rsidR="00AA5608" w:rsidRPr="007375D0">
        <w:rPr>
          <w:rFonts w:cs="Arial"/>
          <w:b w:val="0"/>
          <w:bCs w:val="0"/>
          <w:i/>
          <w:iCs/>
          <w:color w:val="auto"/>
          <w:sz w:val="24"/>
          <w:szCs w:val="24"/>
        </w:rPr>
        <w:t>child welfare interventions, adjusted for baseline characteristics, using multiple imputation models (n=57,529)</w:t>
      </w:r>
      <w:bookmarkEnd w:id="79"/>
      <w:r w:rsidR="00AA5608" w:rsidRPr="007375D0">
        <w:rPr>
          <w:rFonts w:cs="Arial"/>
          <w:b w:val="0"/>
          <w:bCs w:val="0"/>
          <w:i/>
          <w:iCs/>
          <w:color w:val="auto"/>
          <w:sz w:val="24"/>
          <w:szCs w:val="24"/>
        </w:rPr>
        <w:t xml:space="preserve"> </w:t>
      </w:r>
    </w:p>
    <w:tbl>
      <w:tblPr>
        <w:tblW w:w="0" w:type="auto"/>
        <w:tblLayout w:type="fixed"/>
        <w:tblLook w:val="04A0" w:firstRow="1" w:lastRow="0" w:firstColumn="1" w:lastColumn="0" w:noHBand="0" w:noVBand="1"/>
      </w:tblPr>
      <w:tblGrid>
        <w:gridCol w:w="1701"/>
        <w:gridCol w:w="3119"/>
        <w:gridCol w:w="1502"/>
        <w:gridCol w:w="1503"/>
        <w:gridCol w:w="1503"/>
        <w:gridCol w:w="1503"/>
        <w:gridCol w:w="1503"/>
        <w:gridCol w:w="1503"/>
      </w:tblGrid>
      <w:tr w:rsidR="00AA5608" w:rsidRPr="001410FF" w14:paraId="2F48D1C1" w14:textId="77777777" w:rsidTr="000E494A">
        <w:trPr>
          <w:trHeight w:val="480"/>
        </w:trPr>
        <w:tc>
          <w:tcPr>
            <w:tcW w:w="1701" w:type="dxa"/>
            <w:vMerge w:val="restart"/>
            <w:tcBorders>
              <w:top w:val="nil"/>
              <w:left w:val="nil"/>
              <w:bottom w:val="nil"/>
              <w:right w:val="single" w:sz="4" w:space="0" w:color="auto"/>
            </w:tcBorders>
            <w:shd w:val="clear" w:color="auto" w:fill="auto"/>
            <w:vAlign w:val="center"/>
            <w:hideMark/>
          </w:tcPr>
          <w:p w14:paraId="06EEED0F" w14:textId="77777777" w:rsidR="00AA5608" w:rsidRPr="001410FF" w:rsidRDefault="00AA5608" w:rsidP="000E494A">
            <w:pPr>
              <w:rPr>
                <w:rFonts w:eastAsia="Times New Roman" w:cs="Arial"/>
                <w:color w:val="000000"/>
                <w:sz w:val="18"/>
                <w:szCs w:val="18"/>
                <w:lang w:eastAsia="en-GB"/>
              </w:rPr>
            </w:pPr>
            <w:r w:rsidRPr="001410FF">
              <w:rPr>
                <w:rFonts w:eastAsia="Times New Roman" w:cs="Arial"/>
                <w:color w:val="000000"/>
                <w:sz w:val="18"/>
                <w:szCs w:val="18"/>
                <w:lang w:eastAsia="en-GB"/>
              </w:rPr>
              <w:t>Child living arrangements</w:t>
            </w:r>
          </w:p>
        </w:tc>
        <w:tc>
          <w:tcPr>
            <w:tcW w:w="31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08FD3E" w14:textId="77777777" w:rsidR="00AA5608" w:rsidRPr="001410FF" w:rsidRDefault="00AA5608" w:rsidP="000E494A">
            <w:pPr>
              <w:rPr>
                <w:rFonts w:eastAsia="Times New Roman" w:cs="Arial"/>
                <w:color w:val="000000"/>
                <w:sz w:val="18"/>
                <w:szCs w:val="18"/>
                <w:lang w:eastAsia="en-GB"/>
              </w:rPr>
            </w:pPr>
            <w:r w:rsidRPr="001410FF">
              <w:rPr>
                <w:rFonts w:eastAsia="Times New Roman" w:cs="Arial"/>
                <w:color w:val="000000"/>
                <w:sz w:val="18"/>
                <w:szCs w:val="18"/>
                <w:lang w:eastAsia="en-GB"/>
              </w:rPr>
              <w:t>Interventions</w:t>
            </w:r>
          </w:p>
        </w:tc>
        <w:tc>
          <w:tcPr>
            <w:tcW w:w="4508" w:type="dxa"/>
            <w:gridSpan w:val="3"/>
            <w:tcBorders>
              <w:left w:val="single" w:sz="4" w:space="0" w:color="auto"/>
              <w:right w:val="single" w:sz="4" w:space="0" w:color="auto"/>
            </w:tcBorders>
            <w:shd w:val="clear" w:color="auto" w:fill="auto"/>
            <w:vAlign w:val="center"/>
            <w:hideMark/>
          </w:tcPr>
          <w:p w14:paraId="4EE7EE1E" w14:textId="459F5107" w:rsidR="00AA5608" w:rsidRPr="001410FF" w:rsidRDefault="00AB7760" w:rsidP="000E494A">
            <w:pPr>
              <w:jc w:val="center"/>
              <w:rPr>
                <w:rFonts w:eastAsia="Times New Roman" w:cs="Arial"/>
                <w:sz w:val="18"/>
                <w:szCs w:val="18"/>
                <w:lang w:eastAsia="en-GB"/>
              </w:rPr>
            </w:pPr>
            <w:r>
              <w:rPr>
                <w:rFonts w:eastAsia="Times New Roman" w:cs="Arial"/>
                <w:sz w:val="18"/>
                <w:szCs w:val="18"/>
                <w:lang w:eastAsia="en-GB"/>
              </w:rPr>
              <w:t>Mothers</w:t>
            </w:r>
            <w:r w:rsidR="00AA5608" w:rsidRPr="001410FF">
              <w:rPr>
                <w:rFonts w:eastAsia="Times New Roman" w:cs="Arial"/>
                <w:sz w:val="18"/>
                <w:szCs w:val="18"/>
                <w:lang w:eastAsia="en-GB"/>
              </w:rPr>
              <w:t xml:space="preserve"> </w:t>
            </w:r>
          </w:p>
          <w:p w14:paraId="32A6D063" w14:textId="77777777" w:rsidR="00AA5608" w:rsidRPr="001410FF" w:rsidRDefault="00AA5608" w:rsidP="000E494A">
            <w:pPr>
              <w:jc w:val="center"/>
              <w:rPr>
                <w:rFonts w:eastAsia="Times New Roman" w:cs="Arial"/>
                <w:sz w:val="18"/>
                <w:szCs w:val="18"/>
                <w:lang w:eastAsia="en-GB"/>
              </w:rPr>
            </w:pPr>
          </w:p>
        </w:tc>
        <w:tc>
          <w:tcPr>
            <w:tcW w:w="4509" w:type="dxa"/>
            <w:gridSpan w:val="3"/>
            <w:tcBorders>
              <w:left w:val="single" w:sz="4" w:space="0" w:color="auto"/>
              <w:right w:val="nil"/>
            </w:tcBorders>
            <w:shd w:val="clear" w:color="auto" w:fill="auto"/>
            <w:vAlign w:val="center"/>
            <w:hideMark/>
          </w:tcPr>
          <w:p w14:paraId="4495377D" w14:textId="5BFF080F" w:rsidR="00AA5608" w:rsidRPr="001410FF" w:rsidRDefault="00AB7760" w:rsidP="000E494A">
            <w:pPr>
              <w:jc w:val="center"/>
              <w:rPr>
                <w:rFonts w:eastAsia="Times New Roman" w:cs="Arial"/>
                <w:sz w:val="18"/>
                <w:szCs w:val="18"/>
                <w:lang w:eastAsia="en-GB"/>
              </w:rPr>
            </w:pPr>
            <w:r>
              <w:rPr>
                <w:rFonts w:eastAsia="Times New Roman" w:cs="Arial"/>
                <w:sz w:val="18"/>
                <w:szCs w:val="18"/>
                <w:lang w:eastAsia="en-GB"/>
              </w:rPr>
              <w:t>Fathers</w:t>
            </w:r>
          </w:p>
          <w:p w14:paraId="2B7E81DD" w14:textId="77777777" w:rsidR="00AA5608" w:rsidRPr="001410FF" w:rsidRDefault="00AA5608" w:rsidP="000E494A">
            <w:pPr>
              <w:jc w:val="center"/>
              <w:rPr>
                <w:rFonts w:eastAsia="Times New Roman" w:cs="Arial"/>
                <w:sz w:val="18"/>
                <w:szCs w:val="18"/>
                <w:lang w:eastAsia="en-GB"/>
              </w:rPr>
            </w:pPr>
          </w:p>
        </w:tc>
      </w:tr>
      <w:tr w:rsidR="00AA5608" w:rsidRPr="001410FF" w14:paraId="1E5CB6D1" w14:textId="77777777" w:rsidTr="000E494A">
        <w:trPr>
          <w:trHeight w:val="510"/>
        </w:trPr>
        <w:tc>
          <w:tcPr>
            <w:tcW w:w="1701" w:type="dxa"/>
            <w:vMerge/>
            <w:tcBorders>
              <w:top w:val="nil"/>
              <w:left w:val="nil"/>
              <w:bottom w:val="single" w:sz="4" w:space="0" w:color="auto"/>
              <w:right w:val="single" w:sz="4" w:space="0" w:color="auto"/>
            </w:tcBorders>
            <w:vAlign w:val="center"/>
            <w:hideMark/>
          </w:tcPr>
          <w:p w14:paraId="17A3A41F" w14:textId="77777777" w:rsidR="00AA5608" w:rsidRPr="001410FF" w:rsidRDefault="00AA5608" w:rsidP="000E494A">
            <w:pPr>
              <w:rPr>
                <w:rFonts w:eastAsia="Times New Roman" w:cs="Arial"/>
                <w:color w:val="000000"/>
                <w:sz w:val="18"/>
                <w:szCs w:val="18"/>
                <w:lang w:eastAsia="en-GB"/>
              </w:rPr>
            </w:pPr>
          </w:p>
        </w:tc>
        <w:tc>
          <w:tcPr>
            <w:tcW w:w="3119" w:type="dxa"/>
            <w:vMerge/>
            <w:tcBorders>
              <w:top w:val="nil"/>
              <w:left w:val="single" w:sz="4" w:space="0" w:color="auto"/>
              <w:bottom w:val="single" w:sz="4" w:space="0" w:color="auto"/>
              <w:right w:val="single" w:sz="4" w:space="0" w:color="auto"/>
            </w:tcBorders>
            <w:vAlign w:val="center"/>
            <w:hideMark/>
          </w:tcPr>
          <w:p w14:paraId="7BDBE5EA" w14:textId="77777777" w:rsidR="00AA5608" w:rsidRPr="001410FF" w:rsidRDefault="00AA5608" w:rsidP="000E494A">
            <w:pPr>
              <w:rPr>
                <w:rFonts w:eastAsia="Times New Roman" w:cs="Arial"/>
                <w:color w:val="000000"/>
                <w:sz w:val="18"/>
                <w:szCs w:val="18"/>
                <w:lang w:eastAsia="en-GB"/>
              </w:rPr>
            </w:pPr>
          </w:p>
        </w:tc>
        <w:tc>
          <w:tcPr>
            <w:tcW w:w="1502" w:type="dxa"/>
            <w:tcBorders>
              <w:left w:val="single" w:sz="4" w:space="0" w:color="auto"/>
              <w:bottom w:val="single" w:sz="4" w:space="0" w:color="auto"/>
              <w:right w:val="nil"/>
            </w:tcBorders>
            <w:shd w:val="clear" w:color="auto" w:fill="auto"/>
            <w:vAlign w:val="bottom"/>
            <w:hideMark/>
          </w:tcPr>
          <w:p w14:paraId="3E104C1A" w14:textId="77777777" w:rsidR="00AA5608" w:rsidRPr="001410FF" w:rsidRDefault="00AA5608" w:rsidP="000E494A">
            <w:pPr>
              <w:jc w:val="center"/>
              <w:rPr>
                <w:rFonts w:eastAsia="Times New Roman" w:cs="Arial"/>
                <w:sz w:val="18"/>
                <w:szCs w:val="18"/>
                <w:lang w:eastAsia="en-GB"/>
              </w:rPr>
            </w:pPr>
            <w:r w:rsidRPr="001410FF">
              <w:rPr>
                <w:rFonts w:eastAsia="Times New Roman" w:cs="Arial"/>
                <w:sz w:val="18"/>
                <w:szCs w:val="18"/>
                <w:lang w:eastAsia="en-GB"/>
              </w:rPr>
              <w:t>aOR (95% CI)</w:t>
            </w:r>
          </w:p>
        </w:tc>
        <w:tc>
          <w:tcPr>
            <w:tcW w:w="1503" w:type="dxa"/>
            <w:tcBorders>
              <w:left w:val="nil"/>
              <w:bottom w:val="single" w:sz="4" w:space="0" w:color="auto"/>
              <w:right w:val="nil"/>
            </w:tcBorders>
            <w:shd w:val="clear" w:color="auto" w:fill="auto"/>
            <w:vAlign w:val="bottom"/>
            <w:hideMark/>
          </w:tcPr>
          <w:p w14:paraId="1244524C" w14:textId="77777777" w:rsidR="00AA5608" w:rsidRPr="001410FF" w:rsidRDefault="00AA5608" w:rsidP="000E494A">
            <w:pPr>
              <w:jc w:val="center"/>
              <w:rPr>
                <w:rFonts w:eastAsia="Times New Roman" w:cs="Arial"/>
                <w:sz w:val="18"/>
                <w:szCs w:val="18"/>
                <w:lang w:eastAsia="en-GB"/>
              </w:rPr>
            </w:pPr>
            <w:r w:rsidRPr="001410FF">
              <w:rPr>
                <w:rFonts w:eastAsia="Times New Roman" w:cs="Arial"/>
                <w:sz w:val="18"/>
                <w:szCs w:val="18"/>
                <w:lang w:eastAsia="en-GB"/>
              </w:rPr>
              <w:t>Sig</w:t>
            </w:r>
          </w:p>
        </w:tc>
        <w:tc>
          <w:tcPr>
            <w:tcW w:w="1503" w:type="dxa"/>
            <w:tcBorders>
              <w:left w:val="nil"/>
              <w:bottom w:val="single" w:sz="4" w:space="0" w:color="auto"/>
              <w:right w:val="single" w:sz="4" w:space="0" w:color="auto"/>
            </w:tcBorders>
            <w:shd w:val="clear" w:color="auto" w:fill="auto"/>
            <w:vAlign w:val="bottom"/>
            <w:hideMark/>
          </w:tcPr>
          <w:p w14:paraId="6215E0B5" w14:textId="77777777" w:rsidR="00AA5608" w:rsidRPr="001410FF" w:rsidRDefault="00AA5608" w:rsidP="000E494A">
            <w:pPr>
              <w:jc w:val="center"/>
              <w:rPr>
                <w:rFonts w:eastAsia="Times New Roman" w:cs="Arial"/>
                <w:sz w:val="18"/>
                <w:szCs w:val="18"/>
                <w:lang w:eastAsia="en-GB"/>
              </w:rPr>
            </w:pPr>
            <w:r w:rsidRPr="001410FF">
              <w:rPr>
                <w:rFonts w:eastAsia="Times New Roman" w:cs="Arial"/>
                <w:sz w:val="18"/>
                <w:szCs w:val="18"/>
                <w:lang w:eastAsia="en-GB"/>
              </w:rPr>
              <w:t>E-value (CI limit)</w:t>
            </w:r>
          </w:p>
        </w:tc>
        <w:tc>
          <w:tcPr>
            <w:tcW w:w="1503" w:type="dxa"/>
            <w:tcBorders>
              <w:left w:val="single" w:sz="4" w:space="0" w:color="auto"/>
              <w:bottom w:val="single" w:sz="4" w:space="0" w:color="auto"/>
              <w:right w:val="nil"/>
            </w:tcBorders>
            <w:shd w:val="clear" w:color="auto" w:fill="auto"/>
            <w:vAlign w:val="bottom"/>
            <w:hideMark/>
          </w:tcPr>
          <w:p w14:paraId="7C5A7B4F" w14:textId="77777777" w:rsidR="00AA5608" w:rsidRPr="001410FF" w:rsidRDefault="00AA5608" w:rsidP="000E494A">
            <w:pPr>
              <w:jc w:val="center"/>
              <w:rPr>
                <w:rFonts w:eastAsia="Times New Roman" w:cs="Arial"/>
                <w:sz w:val="18"/>
                <w:szCs w:val="18"/>
                <w:lang w:eastAsia="en-GB"/>
              </w:rPr>
            </w:pPr>
            <w:r w:rsidRPr="001410FF">
              <w:rPr>
                <w:rFonts w:eastAsia="Times New Roman" w:cs="Arial"/>
                <w:sz w:val="18"/>
                <w:szCs w:val="18"/>
                <w:lang w:eastAsia="en-GB"/>
              </w:rPr>
              <w:t>aOR (95% CI)</w:t>
            </w:r>
          </w:p>
        </w:tc>
        <w:tc>
          <w:tcPr>
            <w:tcW w:w="1503" w:type="dxa"/>
            <w:tcBorders>
              <w:left w:val="nil"/>
              <w:bottom w:val="single" w:sz="4" w:space="0" w:color="auto"/>
              <w:right w:val="nil"/>
            </w:tcBorders>
            <w:shd w:val="clear" w:color="auto" w:fill="auto"/>
            <w:vAlign w:val="bottom"/>
            <w:hideMark/>
          </w:tcPr>
          <w:p w14:paraId="363973B2" w14:textId="77777777" w:rsidR="00AA5608" w:rsidRPr="001410FF" w:rsidRDefault="00AA5608" w:rsidP="000E494A">
            <w:pPr>
              <w:jc w:val="center"/>
              <w:rPr>
                <w:rFonts w:eastAsia="Times New Roman" w:cs="Arial"/>
                <w:sz w:val="18"/>
                <w:szCs w:val="18"/>
                <w:lang w:eastAsia="en-GB"/>
              </w:rPr>
            </w:pPr>
            <w:r w:rsidRPr="001410FF">
              <w:rPr>
                <w:rFonts w:eastAsia="Times New Roman" w:cs="Arial"/>
                <w:sz w:val="18"/>
                <w:szCs w:val="18"/>
                <w:lang w:eastAsia="en-GB"/>
              </w:rPr>
              <w:t>Sig</w:t>
            </w:r>
          </w:p>
        </w:tc>
        <w:tc>
          <w:tcPr>
            <w:tcW w:w="1503" w:type="dxa"/>
            <w:tcBorders>
              <w:left w:val="nil"/>
              <w:bottom w:val="single" w:sz="4" w:space="0" w:color="auto"/>
              <w:right w:val="nil"/>
            </w:tcBorders>
            <w:shd w:val="clear" w:color="auto" w:fill="auto"/>
            <w:vAlign w:val="bottom"/>
            <w:hideMark/>
          </w:tcPr>
          <w:p w14:paraId="55184004" w14:textId="77777777" w:rsidR="00AA5608" w:rsidRPr="001410FF" w:rsidRDefault="00AA5608" w:rsidP="000E494A">
            <w:pPr>
              <w:jc w:val="center"/>
              <w:rPr>
                <w:rFonts w:eastAsia="Times New Roman" w:cs="Arial"/>
                <w:sz w:val="18"/>
                <w:szCs w:val="18"/>
                <w:lang w:eastAsia="en-GB"/>
              </w:rPr>
            </w:pPr>
            <w:r w:rsidRPr="001410FF">
              <w:rPr>
                <w:rFonts w:eastAsia="Times New Roman" w:cs="Arial"/>
                <w:sz w:val="18"/>
                <w:szCs w:val="18"/>
                <w:lang w:eastAsia="en-GB"/>
              </w:rPr>
              <w:t>E-value (CI limit)</w:t>
            </w:r>
          </w:p>
        </w:tc>
      </w:tr>
      <w:tr w:rsidR="00AA5608" w:rsidRPr="001410FF" w14:paraId="00ACD284" w14:textId="77777777" w:rsidTr="000E494A">
        <w:trPr>
          <w:trHeight w:val="300"/>
        </w:trPr>
        <w:tc>
          <w:tcPr>
            <w:tcW w:w="1701" w:type="dxa"/>
            <w:vMerge w:val="restart"/>
            <w:tcBorders>
              <w:top w:val="single" w:sz="4" w:space="0" w:color="auto"/>
              <w:left w:val="nil"/>
              <w:bottom w:val="single" w:sz="4" w:space="0" w:color="auto"/>
              <w:right w:val="single" w:sz="4" w:space="0" w:color="auto"/>
            </w:tcBorders>
            <w:shd w:val="clear" w:color="auto" w:fill="auto"/>
            <w:vAlign w:val="center"/>
            <w:hideMark/>
          </w:tcPr>
          <w:p w14:paraId="65DE2FD6" w14:textId="0A8061D6" w:rsidR="00AA5608" w:rsidRPr="001410FF" w:rsidRDefault="002946F0" w:rsidP="000E494A">
            <w:pPr>
              <w:rPr>
                <w:rFonts w:eastAsia="Times New Roman" w:cs="Arial"/>
                <w:color w:val="000000"/>
                <w:sz w:val="18"/>
                <w:szCs w:val="18"/>
                <w:lang w:eastAsia="en-GB"/>
              </w:rPr>
            </w:pPr>
            <w:r>
              <w:rPr>
                <w:rFonts w:eastAsia="Times New Roman" w:cs="Arial"/>
                <w:color w:val="000000"/>
                <w:sz w:val="18"/>
                <w:szCs w:val="18"/>
                <w:lang w:eastAsia="en-GB"/>
              </w:rPr>
              <w:t>Parents living</w:t>
            </w:r>
            <w:r w:rsidR="00AA5608" w:rsidRPr="001410FF">
              <w:rPr>
                <w:rFonts w:eastAsia="Times New Roman" w:cs="Arial"/>
                <w:color w:val="000000"/>
                <w:sz w:val="18"/>
                <w:szCs w:val="18"/>
                <w:lang w:eastAsia="en-GB"/>
              </w:rPr>
              <w:t xml:space="preserve"> with children (LWC)</w:t>
            </w:r>
          </w:p>
        </w:tc>
        <w:tc>
          <w:tcPr>
            <w:tcW w:w="3119" w:type="dxa"/>
            <w:tcBorders>
              <w:top w:val="single" w:sz="4" w:space="0" w:color="auto"/>
              <w:left w:val="single" w:sz="4" w:space="0" w:color="auto"/>
              <w:bottom w:val="nil"/>
              <w:right w:val="single" w:sz="4" w:space="0" w:color="auto"/>
            </w:tcBorders>
            <w:shd w:val="clear" w:color="auto" w:fill="auto"/>
            <w:vAlign w:val="center"/>
            <w:hideMark/>
          </w:tcPr>
          <w:p w14:paraId="17DE22A0" w14:textId="77777777" w:rsidR="00AA5608" w:rsidRPr="001410FF" w:rsidRDefault="00AA5608" w:rsidP="000E494A">
            <w:pPr>
              <w:rPr>
                <w:rFonts w:eastAsia="Times New Roman" w:cs="Arial"/>
                <w:color w:val="000000"/>
                <w:sz w:val="18"/>
                <w:szCs w:val="18"/>
                <w:lang w:eastAsia="en-GB"/>
              </w:rPr>
            </w:pPr>
          </w:p>
        </w:tc>
        <w:tc>
          <w:tcPr>
            <w:tcW w:w="1502" w:type="dxa"/>
            <w:tcBorders>
              <w:top w:val="single" w:sz="4" w:space="0" w:color="auto"/>
              <w:left w:val="single" w:sz="4" w:space="0" w:color="auto"/>
              <w:bottom w:val="nil"/>
              <w:right w:val="nil"/>
            </w:tcBorders>
            <w:shd w:val="clear" w:color="auto" w:fill="auto"/>
            <w:noWrap/>
            <w:vAlign w:val="bottom"/>
            <w:hideMark/>
          </w:tcPr>
          <w:p w14:paraId="3FE30D98" w14:textId="77777777" w:rsidR="00AA5608" w:rsidRPr="001410FF" w:rsidRDefault="00AA5608" w:rsidP="000E494A">
            <w:pPr>
              <w:rPr>
                <w:rFonts w:ascii="Times New Roman" w:eastAsia="Times New Roman" w:hAnsi="Times New Roman" w:cs="Times New Roman"/>
                <w:sz w:val="18"/>
                <w:szCs w:val="18"/>
                <w:lang w:eastAsia="en-GB"/>
              </w:rPr>
            </w:pPr>
          </w:p>
        </w:tc>
        <w:tc>
          <w:tcPr>
            <w:tcW w:w="1503" w:type="dxa"/>
            <w:tcBorders>
              <w:top w:val="single" w:sz="4" w:space="0" w:color="auto"/>
              <w:left w:val="nil"/>
              <w:bottom w:val="nil"/>
              <w:right w:val="nil"/>
            </w:tcBorders>
            <w:shd w:val="clear" w:color="auto" w:fill="auto"/>
            <w:noWrap/>
            <w:vAlign w:val="bottom"/>
            <w:hideMark/>
          </w:tcPr>
          <w:p w14:paraId="048D6646"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single" w:sz="4" w:space="0" w:color="auto"/>
              <w:left w:val="nil"/>
              <w:bottom w:val="nil"/>
              <w:right w:val="single" w:sz="4" w:space="0" w:color="auto"/>
            </w:tcBorders>
            <w:shd w:val="clear" w:color="auto" w:fill="auto"/>
            <w:noWrap/>
            <w:vAlign w:val="bottom"/>
            <w:hideMark/>
          </w:tcPr>
          <w:p w14:paraId="3F994E0B"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single" w:sz="4" w:space="0" w:color="auto"/>
              <w:left w:val="single" w:sz="4" w:space="0" w:color="auto"/>
              <w:bottom w:val="nil"/>
              <w:right w:val="nil"/>
            </w:tcBorders>
            <w:shd w:val="clear" w:color="auto" w:fill="auto"/>
            <w:noWrap/>
            <w:vAlign w:val="bottom"/>
            <w:hideMark/>
          </w:tcPr>
          <w:p w14:paraId="7753C1D4"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single" w:sz="4" w:space="0" w:color="auto"/>
              <w:left w:val="nil"/>
              <w:bottom w:val="nil"/>
              <w:right w:val="nil"/>
            </w:tcBorders>
            <w:shd w:val="clear" w:color="auto" w:fill="auto"/>
            <w:noWrap/>
            <w:vAlign w:val="bottom"/>
            <w:hideMark/>
          </w:tcPr>
          <w:p w14:paraId="633FC6F1"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single" w:sz="4" w:space="0" w:color="auto"/>
              <w:left w:val="nil"/>
              <w:bottom w:val="nil"/>
              <w:right w:val="nil"/>
            </w:tcBorders>
            <w:shd w:val="clear" w:color="auto" w:fill="auto"/>
            <w:noWrap/>
            <w:vAlign w:val="bottom"/>
            <w:hideMark/>
          </w:tcPr>
          <w:p w14:paraId="20BFFF2B" w14:textId="77777777" w:rsidR="00AA5608" w:rsidRPr="001410FF" w:rsidRDefault="00AA5608" w:rsidP="000E494A">
            <w:pPr>
              <w:jc w:val="right"/>
              <w:rPr>
                <w:rFonts w:ascii="Times New Roman" w:eastAsia="Times New Roman" w:hAnsi="Times New Roman" w:cs="Times New Roman"/>
                <w:sz w:val="18"/>
                <w:szCs w:val="18"/>
                <w:lang w:eastAsia="en-GB"/>
              </w:rPr>
            </w:pPr>
          </w:p>
        </w:tc>
      </w:tr>
      <w:tr w:rsidR="00AA5608" w:rsidRPr="001410FF" w14:paraId="68614DAC" w14:textId="77777777" w:rsidTr="000E494A">
        <w:trPr>
          <w:trHeight w:val="300"/>
        </w:trPr>
        <w:tc>
          <w:tcPr>
            <w:tcW w:w="1701" w:type="dxa"/>
            <w:vMerge/>
            <w:tcBorders>
              <w:top w:val="nil"/>
              <w:left w:val="nil"/>
              <w:bottom w:val="single" w:sz="4" w:space="0" w:color="auto"/>
              <w:right w:val="single" w:sz="4" w:space="0" w:color="auto"/>
            </w:tcBorders>
            <w:vAlign w:val="center"/>
            <w:hideMark/>
          </w:tcPr>
          <w:p w14:paraId="0114C6C8"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151A9C4F" w14:textId="77777777" w:rsidR="00AA5608" w:rsidRPr="006E58A4" w:rsidRDefault="00AA5608" w:rsidP="000E494A">
            <w:pPr>
              <w:rPr>
                <w:rFonts w:eastAsia="Times New Roman" w:cs="Arial"/>
                <w:i/>
                <w:iCs/>
                <w:color w:val="000000"/>
                <w:sz w:val="18"/>
                <w:szCs w:val="18"/>
                <w:lang w:eastAsia="en-GB"/>
              </w:rPr>
            </w:pPr>
            <w:r w:rsidRPr="006E58A4">
              <w:rPr>
                <w:rFonts w:eastAsia="Times New Roman" w:cs="Arial"/>
                <w:i/>
                <w:iCs/>
                <w:color w:val="000000"/>
                <w:sz w:val="18"/>
                <w:szCs w:val="18"/>
                <w:lang w:eastAsia="en-GB"/>
              </w:rPr>
              <w:t xml:space="preserve">Recovery support offered by </w:t>
            </w:r>
          </w:p>
          <w:p w14:paraId="38EB43C6" w14:textId="77777777" w:rsidR="00AA5608" w:rsidRPr="001410FF" w:rsidRDefault="00AA5608" w:rsidP="000E494A">
            <w:pPr>
              <w:rPr>
                <w:rFonts w:eastAsia="Times New Roman" w:cs="Arial"/>
                <w:color w:val="000000"/>
                <w:sz w:val="18"/>
                <w:szCs w:val="18"/>
                <w:lang w:eastAsia="en-GB"/>
              </w:rPr>
            </w:pPr>
            <w:r w:rsidRPr="006E58A4">
              <w:rPr>
                <w:rFonts w:eastAsia="Times New Roman" w:cs="Arial"/>
                <w:i/>
                <w:iCs/>
                <w:color w:val="000000"/>
                <w:sz w:val="18"/>
                <w:szCs w:val="18"/>
                <w:lang w:eastAsia="en-GB"/>
              </w:rPr>
              <w:t>treatment services</w:t>
            </w:r>
          </w:p>
        </w:tc>
        <w:tc>
          <w:tcPr>
            <w:tcW w:w="1502" w:type="dxa"/>
            <w:tcBorders>
              <w:top w:val="nil"/>
              <w:left w:val="single" w:sz="4" w:space="0" w:color="auto"/>
              <w:bottom w:val="nil"/>
              <w:right w:val="nil"/>
            </w:tcBorders>
            <w:shd w:val="clear" w:color="auto" w:fill="auto"/>
            <w:noWrap/>
            <w:vAlign w:val="bottom"/>
            <w:hideMark/>
          </w:tcPr>
          <w:p w14:paraId="3493CF8B" w14:textId="77777777" w:rsidR="00AA5608" w:rsidRPr="001410FF" w:rsidRDefault="00AA5608" w:rsidP="000E494A">
            <w:pPr>
              <w:rPr>
                <w:rFonts w:eastAsia="Times New Roman" w:cs="Arial"/>
                <w:color w:val="000000"/>
                <w:sz w:val="18"/>
                <w:szCs w:val="18"/>
                <w:lang w:eastAsia="en-GB"/>
              </w:rPr>
            </w:pPr>
          </w:p>
        </w:tc>
        <w:tc>
          <w:tcPr>
            <w:tcW w:w="1503" w:type="dxa"/>
            <w:tcBorders>
              <w:top w:val="nil"/>
              <w:left w:val="nil"/>
              <w:bottom w:val="nil"/>
              <w:right w:val="nil"/>
            </w:tcBorders>
            <w:shd w:val="clear" w:color="auto" w:fill="auto"/>
            <w:noWrap/>
            <w:vAlign w:val="bottom"/>
            <w:hideMark/>
          </w:tcPr>
          <w:p w14:paraId="258DEA1B"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nil"/>
              <w:right w:val="single" w:sz="4" w:space="0" w:color="auto"/>
            </w:tcBorders>
            <w:shd w:val="clear" w:color="auto" w:fill="auto"/>
            <w:noWrap/>
            <w:vAlign w:val="bottom"/>
            <w:hideMark/>
          </w:tcPr>
          <w:p w14:paraId="505AC2C8"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single" w:sz="4" w:space="0" w:color="auto"/>
              <w:bottom w:val="nil"/>
              <w:right w:val="nil"/>
            </w:tcBorders>
            <w:shd w:val="clear" w:color="auto" w:fill="auto"/>
            <w:noWrap/>
            <w:vAlign w:val="bottom"/>
            <w:hideMark/>
          </w:tcPr>
          <w:p w14:paraId="44EF5C9B"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nil"/>
              <w:right w:val="nil"/>
            </w:tcBorders>
            <w:shd w:val="clear" w:color="auto" w:fill="auto"/>
            <w:noWrap/>
            <w:vAlign w:val="bottom"/>
            <w:hideMark/>
          </w:tcPr>
          <w:p w14:paraId="2DC07A01" w14:textId="77777777" w:rsidR="00AA5608" w:rsidRPr="001410FF" w:rsidRDefault="00AA5608" w:rsidP="000E494A">
            <w:pPr>
              <w:rPr>
                <w:rFonts w:ascii="Times New Roman" w:eastAsia="Times New Roman" w:hAnsi="Times New Roman" w:cs="Times New Roman"/>
                <w:sz w:val="18"/>
                <w:szCs w:val="18"/>
                <w:lang w:eastAsia="en-GB"/>
              </w:rPr>
            </w:pPr>
          </w:p>
        </w:tc>
        <w:tc>
          <w:tcPr>
            <w:tcW w:w="1503" w:type="dxa"/>
            <w:tcBorders>
              <w:top w:val="nil"/>
              <w:left w:val="nil"/>
              <w:bottom w:val="nil"/>
              <w:right w:val="nil"/>
            </w:tcBorders>
            <w:shd w:val="clear" w:color="auto" w:fill="auto"/>
            <w:noWrap/>
            <w:vAlign w:val="bottom"/>
            <w:hideMark/>
          </w:tcPr>
          <w:p w14:paraId="4C154E15" w14:textId="77777777" w:rsidR="00AA5608" w:rsidRPr="001410FF" w:rsidRDefault="00AA5608" w:rsidP="000E494A">
            <w:pPr>
              <w:jc w:val="right"/>
              <w:rPr>
                <w:rFonts w:ascii="Times New Roman" w:eastAsia="Times New Roman" w:hAnsi="Times New Roman" w:cs="Times New Roman"/>
                <w:sz w:val="18"/>
                <w:szCs w:val="18"/>
                <w:lang w:eastAsia="en-GB"/>
              </w:rPr>
            </w:pPr>
          </w:p>
        </w:tc>
      </w:tr>
      <w:tr w:rsidR="00AA5608" w:rsidRPr="001410FF" w14:paraId="20C201B5" w14:textId="77777777" w:rsidTr="000E494A">
        <w:trPr>
          <w:trHeight w:val="300"/>
        </w:trPr>
        <w:tc>
          <w:tcPr>
            <w:tcW w:w="1701" w:type="dxa"/>
            <w:vMerge/>
            <w:tcBorders>
              <w:top w:val="nil"/>
              <w:left w:val="nil"/>
              <w:bottom w:val="single" w:sz="4" w:space="0" w:color="auto"/>
              <w:right w:val="single" w:sz="4" w:space="0" w:color="auto"/>
            </w:tcBorders>
            <w:vAlign w:val="center"/>
            <w:hideMark/>
          </w:tcPr>
          <w:p w14:paraId="77EDBBB6"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76473B76" w14:textId="36B99DC1" w:rsidR="00AA5608" w:rsidRPr="001410FF" w:rsidRDefault="00AB7760" w:rsidP="000E494A">
            <w:pPr>
              <w:ind w:firstLineChars="200" w:firstLine="360"/>
              <w:rPr>
                <w:rFonts w:eastAsia="Times New Roman" w:cs="Arial"/>
                <w:color w:val="000000"/>
                <w:sz w:val="18"/>
                <w:szCs w:val="18"/>
                <w:lang w:eastAsia="en-GB"/>
              </w:rPr>
            </w:pPr>
            <w:r>
              <w:rPr>
                <w:rFonts w:eastAsia="Times New Roman" w:cs="Arial"/>
                <w:color w:val="000000"/>
                <w:sz w:val="18"/>
                <w:szCs w:val="18"/>
                <w:lang w:eastAsia="en-GB"/>
              </w:rPr>
              <w:t>Parenting and/or family</w:t>
            </w:r>
            <w:r w:rsidR="00AA5608" w:rsidRPr="001410FF">
              <w:rPr>
                <w:rFonts w:eastAsia="Times New Roman" w:cs="Arial"/>
                <w:color w:val="000000"/>
                <w:sz w:val="18"/>
                <w:szCs w:val="18"/>
                <w:lang w:eastAsia="en-GB"/>
              </w:rPr>
              <w:t xml:space="preserve"> support</w:t>
            </w:r>
          </w:p>
        </w:tc>
        <w:tc>
          <w:tcPr>
            <w:tcW w:w="1502" w:type="dxa"/>
            <w:tcBorders>
              <w:top w:val="nil"/>
              <w:left w:val="single" w:sz="4" w:space="0" w:color="auto"/>
              <w:bottom w:val="nil"/>
              <w:right w:val="nil"/>
            </w:tcBorders>
            <w:shd w:val="clear" w:color="auto" w:fill="auto"/>
            <w:noWrap/>
            <w:vAlign w:val="bottom"/>
            <w:hideMark/>
          </w:tcPr>
          <w:p w14:paraId="25C111EF"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1.66 (1.60-1.72)</w:t>
            </w:r>
          </w:p>
        </w:tc>
        <w:tc>
          <w:tcPr>
            <w:tcW w:w="1503" w:type="dxa"/>
            <w:tcBorders>
              <w:top w:val="nil"/>
              <w:left w:val="nil"/>
              <w:bottom w:val="nil"/>
              <w:right w:val="nil"/>
            </w:tcBorders>
            <w:shd w:val="clear" w:color="auto" w:fill="auto"/>
            <w:noWrap/>
            <w:vAlign w:val="bottom"/>
            <w:hideMark/>
          </w:tcPr>
          <w:p w14:paraId="7AD9BF3C"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p&lt;0.001</w:t>
            </w:r>
          </w:p>
        </w:tc>
        <w:tc>
          <w:tcPr>
            <w:tcW w:w="1503" w:type="dxa"/>
            <w:tcBorders>
              <w:top w:val="nil"/>
              <w:left w:val="nil"/>
              <w:bottom w:val="nil"/>
              <w:right w:val="single" w:sz="4" w:space="0" w:color="auto"/>
            </w:tcBorders>
            <w:shd w:val="clear" w:color="auto" w:fill="auto"/>
            <w:noWrap/>
            <w:vAlign w:val="bottom"/>
            <w:hideMark/>
          </w:tcPr>
          <w:p w14:paraId="0E8A5098"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2.71 (2.58)</w:t>
            </w:r>
          </w:p>
        </w:tc>
        <w:tc>
          <w:tcPr>
            <w:tcW w:w="1503" w:type="dxa"/>
            <w:tcBorders>
              <w:top w:val="nil"/>
              <w:left w:val="single" w:sz="4" w:space="0" w:color="auto"/>
              <w:bottom w:val="nil"/>
              <w:right w:val="nil"/>
            </w:tcBorders>
            <w:shd w:val="clear" w:color="auto" w:fill="auto"/>
            <w:noWrap/>
            <w:vAlign w:val="bottom"/>
            <w:hideMark/>
          </w:tcPr>
          <w:p w14:paraId="6B428AFE"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1.45 (1.18-1.78)</w:t>
            </w:r>
          </w:p>
        </w:tc>
        <w:tc>
          <w:tcPr>
            <w:tcW w:w="1503" w:type="dxa"/>
            <w:tcBorders>
              <w:top w:val="nil"/>
              <w:left w:val="nil"/>
              <w:bottom w:val="nil"/>
              <w:right w:val="nil"/>
            </w:tcBorders>
            <w:shd w:val="clear" w:color="auto" w:fill="auto"/>
            <w:noWrap/>
            <w:vAlign w:val="bottom"/>
            <w:hideMark/>
          </w:tcPr>
          <w:p w14:paraId="72DB1FD1"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p&lt;0.001</w:t>
            </w:r>
          </w:p>
        </w:tc>
        <w:tc>
          <w:tcPr>
            <w:tcW w:w="1503" w:type="dxa"/>
            <w:tcBorders>
              <w:top w:val="nil"/>
              <w:left w:val="nil"/>
              <w:bottom w:val="nil"/>
              <w:right w:val="nil"/>
            </w:tcBorders>
            <w:shd w:val="clear" w:color="auto" w:fill="auto"/>
            <w:noWrap/>
            <w:vAlign w:val="bottom"/>
            <w:hideMark/>
          </w:tcPr>
          <w:p w14:paraId="5B608458"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2.26 (1.64)</w:t>
            </w:r>
          </w:p>
        </w:tc>
      </w:tr>
      <w:tr w:rsidR="00AA5608" w:rsidRPr="001410FF" w14:paraId="59112B14" w14:textId="77777777" w:rsidTr="000E494A">
        <w:trPr>
          <w:trHeight w:val="300"/>
        </w:trPr>
        <w:tc>
          <w:tcPr>
            <w:tcW w:w="1701" w:type="dxa"/>
            <w:vMerge/>
            <w:tcBorders>
              <w:top w:val="nil"/>
              <w:left w:val="nil"/>
              <w:bottom w:val="single" w:sz="4" w:space="0" w:color="auto"/>
              <w:right w:val="single" w:sz="4" w:space="0" w:color="auto"/>
            </w:tcBorders>
            <w:vAlign w:val="center"/>
            <w:hideMark/>
          </w:tcPr>
          <w:p w14:paraId="4DC83925"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154529B8" w14:textId="77777777" w:rsidR="00AA5608" w:rsidRPr="001410FF" w:rsidRDefault="00AA5608" w:rsidP="000E494A">
            <w:pPr>
              <w:rPr>
                <w:rFonts w:eastAsia="Times New Roman" w:cs="Arial"/>
                <w:color w:val="000000"/>
                <w:sz w:val="18"/>
                <w:szCs w:val="18"/>
                <w:lang w:eastAsia="en-GB"/>
              </w:rPr>
            </w:pPr>
          </w:p>
          <w:p w14:paraId="195E3331" w14:textId="77777777" w:rsidR="00AA5608" w:rsidRPr="006E58A4" w:rsidRDefault="00AA5608" w:rsidP="000E494A">
            <w:pPr>
              <w:rPr>
                <w:rFonts w:eastAsia="Times New Roman" w:cs="Arial"/>
                <w:i/>
                <w:iCs/>
                <w:color w:val="000000"/>
                <w:sz w:val="18"/>
                <w:szCs w:val="18"/>
                <w:lang w:eastAsia="en-GB"/>
              </w:rPr>
            </w:pPr>
            <w:r w:rsidRPr="006E58A4">
              <w:rPr>
                <w:rFonts w:eastAsia="Times New Roman" w:cs="Arial"/>
                <w:i/>
                <w:iCs/>
                <w:color w:val="000000"/>
                <w:sz w:val="18"/>
                <w:szCs w:val="18"/>
                <w:lang w:eastAsia="en-GB"/>
              </w:rPr>
              <w:t xml:space="preserve">Child welfare support offered by </w:t>
            </w:r>
          </w:p>
          <w:p w14:paraId="4DDE8CE2" w14:textId="77777777" w:rsidR="00AA5608" w:rsidRPr="001410FF" w:rsidRDefault="00AA5608" w:rsidP="000E494A">
            <w:pPr>
              <w:rPr>
                <w:rFonts w:eastAsia="Times New Roman" w:cs="Arial"/>
                <w:color w:val="000000"/>
                <w:sz w:val="18"/>
                <w:szCs w:val="18"/>
                <w:lang w:eastAsia="en-GB"/>
              </w:rPr>
            </w:pPr>
            <w:r w:rsidRPr="006E58A4">
              <w:rPr>
                <w:rFonts w:eastAsia="Times New Roman" w:cs="Arial"/>
                <w:i/>
                <w:iCs/>
                <w:color w:val="000000"/>
                <w:sz w:val="18"/>
                <w:szCs w:val="18"/>
                <w:lang w:eastAsia="en-GB"/>
              </w:rPr>
              <w:t>children and family services:</w:t>
            </w:r>
          </w:p>
        </w:tc>
        <w:tc>
          <w:tcPr>
            <w:tcW w:w="1502" w:type="dxa"/>
            <w:tcBorders>
              <w:top w:val="nil"/>
              <w:left w:val="single" w:sz="4" w:space="0" w:color="auto"/>
              <w:bottom w:val="nil"/>
              <w:right w:val="nil"/>
            </w:tcBorders>
            <w:shd w:val="clear" w:color="auto" w:fill="auto"/>
            <w:noWrap/>
            <w:vAlign w:val="bottom"/>
            <w:hideMark/>
          </w:tcPr>
          <w:p w14:paraId="6DCF88C6" w14:textId="77777777" w:rsidR="00AA5608" w:rsidRPr="001410FF" w:rsidRDefault="00AA5608" w:rsidP="000E494A">
            <w:pPr>
              <w:rPr>
                <w:rFonts w:eastAsia="Times New Roman" w:cs="Arial"/>
                <w:color w:val="000000"/>
                <w:sz w:val="18"/>
                <w:szCs w:val="18"/>
                <w:lang w:eastAsia="en-GB"/>
              </w:rPr>
            </w:pPr>
          </w:p>
        </w:tc>
        <w:tc>
          <w:tcPr>
            <w:tcW w:w="1503" w:type="dxa"/>
            <w:tcBorders>
              <w:top w:val="nil"/>
              <w:left w:val="nil"/>
              <w:bottom w:val="nil"/>
              <w:right w:val="nil"/>
            </w:tcBorders>
            <w:shd w:val="clear" w:color="auto" w:fill="auto"/>
            <w:noWrap/>
            <w:vAlign w:val="bottom"/>
            <w:hideMark/>
          </w:tcPr>
          <w:p w14:paraId="4DBF097E"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nil"/>
              <w:right w:val="single" w:sz="4" w:space="0" w:color="auto"/>
            </w:tcBorders>
            <w:shd w:val="clear" w:color="auto" w:fill="auto"/>
            <w:noWrap/>
            <w:vAlign w:val="bottom"/>
            <w:hideMark/>
          </w:tcPr>
          <w:p w14:paraId="34DC0077"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single" w:sz="4" w:space="0" w:color="auto"/>
              <w:bottom w:val="nil"/>
              <w:right w:val="nil"/>
            </w:tcBorders>
            <w:shd w:val="clear" w:color="auto" w:fill="auto"/>
            <w:noWrap/>
            <w:vAlign w:val="bottom"/>
            <w:hideMark/>
          </w:tcPr>
          <w:p w14:paraId="770A98F6"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nil"/>
              <w:right w:val="nil"/>
            </w:tcBorders>
            <w:shd w:val="clear" w:color="auto" w:fill="auto"/>
            <w:noWrap/>
            <w:vAlign w:val="bottom"/>
            <w:hideMark/>
          </w:tcPr>
          <w:p w14:paraId="6C9B1D5C"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nil"/>
              <w:right w:val="nil"/>
            </w:tcBorders>
            <w:shd w:val="clear" w:color="auto" w:fill="auto"/>
            <w:noWrap/>
            <w:vAlign w:val="bottom"/>
            <w:hideMark/>
          </w:tcPr>
          <w:p w14:paraId="15C24657" w14:textId="77777777" w:rsidR="00AA5608" w:rsidRPr="001410FF" w:rsidRDefault="00AA5608" w:rsidP="000E494A">
            <w:pPr>
              <w:jc w:val="right"/>
              <w:rPr>
                <w:rFonts w:ascii="Times New Roman" w:eastAsia="Times New Roman" w:hAnsi="Times New Roman" w:cs="Times New Roman"/>
                <w:sz w:val="18"/>
                <w:szCs w:val="18"/>
                <w:lang w:eastAsia="en-GB"/>
              </w:rPr>
            </w:pPr>
          </w:p>
        </w:tc>
      </w:tr>
      <w:tr w:rsidR="00AA5608" w:rsidRPr="001410FF" w14:paraId="55652C7B" w14:textId="77777777" w:rsidTr="000E494A">
        <w:trPr>
          <w:trHeight w:val="300"/>
        </w:trPr>
        <w:tc>
          <w:tcPr>
            <w:tcW w:w="1701" w:type="dxa"/>
            <w:vMerge/>
            <w:tcBorders>
              <w:top w:val="nil"/>
              <w:left w:val="nil"/>
              <w:bottom w:val="single" w:sz="4" w:space="0" w:color="auto"/>
              <w:right w:val="single" w:sz="4" w:space="0" w:color="auto"/>
            </w:tcBorders>
            <w:vAlign w:val="center"/>
            <w:hideMark/>
          </w:tcPr>
          <w:p w14:paraId="02AE964E"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7EC8E15C" w14:textId="77777777" w:rsidR="00AA5608" w:rsidRPr="001410FF" w:rsidRDefault="00AA5608" w:rsidP="000E494A">
            <w:pPr>
              <w:ind w:firstLineChars="200" w:firstLine="360"/>
              <w:rPr>
                <w:rFonts w:eastAsia="Times New Roman" w:cs="Arial"/>
                <w:color w:val="000000"/>
                <w:sz w:val="18"/>
                <w:szCs w:val="18"/>
                <w:lang w:eastAsia="en-GB"/>
              </w:rPr>
            </w:pPr>
            <w:r w:rsidRPr="001410FF">
              <w:rPr>
                <w:rFonts w:eastAsia="Times New Roman" w:cs="Arial"/>
                <w:color w:val="000000"/>
                <w:sz w:val="18"/>
                <w:szCs w:val="18"/>
                <w:lang w:eastAsia="en-GB"/>
              </w:rPr>
              <w:t>No support</w:t>
            </w:r>
          </w:p>
        </w:tc>
        <w:tc>
          <w:tcPr>
            <w:tcW w:w="1502" w:type="dxa"/>
            <w:tcBorders>
              <w:top w:val="nil"/>
              <w:left w:val="single" w:sz="4" w:space="0" w:color="auto"/>
              <w:bottom w:val="nil"/>
              <w:right w:val="nil"/>
            </w:tcBorders>
            <w:shd w:val="clear" w:color="auto" w:fill="auto"/>
            <w:noWrap/>
            <w:vAlign w:val="bottom"/>
            <w:hideMark/>
          </w:tcPr>
          <w:p w14:paraId="7B7A7B02"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1.00</w:t>
            </w:r>
          </w:p>
        </w:tc>
        <w:tc>
          <w:tcPr>
            <w:tcW w:w="1503" w:type="dxa"/>
            <w:tcBorders>
              <w:top w:val="nil"/>
              <w:left w:val="nil"/>
              <w:bottom w:val="nil"/>
              <w:right w:val="nil"/>
            </w:tcBorders>
            <w:shd w:val="clear" w:color="auto" w:fill="auto"/>
            <w:noWrap/>
            <w:vAlign w:val="bottom"/>
            <w:hideMark/>
          </w:tcPr>
          <w:p w14:paraId="24CE04EC" w14:textId="77777777" w:rsidR="00AA5608" w:rsidRPr="001410FF" w:rsidRDefault="00AA5608" w:rsidP="000E494A">
            <w:pPr>
              <w:jc w:val="right"/>
              <w:rPr>
                <w:rFonts w:eastAsia="Times New Roman" w:cs="Arial"/>
                <w:color w:val="000000"/>
                <w:sz w:val="18"/>
                <w:szCs w:val="18"/>
                <w:lang w:eastAsia="en-GB"/>
              </w:rPr>
            </w:pPr>
          </w:p>
        </w:tc>
        <w:tc>
          <w:tcPr>
            <w:tcW w:w="1503" w:type="dxa"/>
            <w:tcBorders>
              <w:top w:val="nil"/>
              <w:left w:val="nil"/>
              <w:bottom w:val="nil"/>
              <w:right w:val="single" w:sz="4" w:space="0" w:color="auto"/>
            </w:tcBorders>
            <w:shd w:val="clear" w:color="auto" w:fill="auto"/>
            <w:noWrap/>
            <w:vAlign w:val="bottom"/>
            <w:hideMark/>
          </w:tcPr>
          <w:p w14:paraId="0E9F9BB1"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single" w:sz="4" w:space="0" w:color="auto"/>
              <w:bottom w:val="nil"/>
              <w:right w:val="nil"/>
            </w:tcBorders>
            <w:shd w:val="clear" w:color="auto" w:fill="auto"/>
            <w:noWrap/>
            <w:vAlign w:val="bottom"/>
            <w:hideMark/>
          </w:tcPr>
          <w:p w14:paraId="1C24937E"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1.00</w:t>
            </w:r>
          </w:p>
        </w:tc>
        <w:tc>
          <w:tcPr>
            <w:tcW w:w="1503" w:type="dxa"/>
            <w:tcBorders>
              <w:top w:val="nil"/>
              <w:left w:val="nil"/>
              <w:bottom w:val="nil"/>
              <w:right w:val="nil"/>
            </w:tcBorders>
            <w:shd w:val="clear" w:color="auto" w:fill="auto"/>
            <w:noWrap/>
            <w:vAlign w:val="bottom"/>
            <w:hideMark/>
          </w:tcPr>
          <w:p w14:paraId="423B1979" w14:textId="77777777" w:rsidR="00AA5608" w:rsidRPr="001410FF" w:rsidRDefault="00AA5608" w:rsidP="000E494A">
            <w:pPr>
              <w:jc w:val="right"/>
              <w:rPr>
                <w:rFonts w:eastAsia="Times New Roman" w:cs="Arial"/>
                <w:color w:val="000000"/>
                <w:sz w:val="18"/>
                <w:szCs w:val="18"/>
                <w:lang w:eastAsia="en-GB"/>
              </w:rPr>
            </w:pPr>
          </w:p>
        </w:tc>
        <w:tc>
          <w:tcPr>
            <w:tcW w:w="1503" w:type="dxa"/>
            <w:tcBorders>
              <w:top w:val="nil"/>
              <w:left w:val="nil"/>
              <w:bottom w:val="nil"/>
              <w:right w:val="nil"/>
            </w:tcBorders>
            <w:shd w:val="clear" w:color="auto" w:fill="auto"/>
            <w:noWrap/>
            <w:vAlign w:val="bottom"/>
            <w:hideMark/>
          </w:tcPr>
          <w:p w14:paraId="704D027B" w14:textId="77777777" w:rsidR="00AA5608" w:rsidRPr="001410FF" w:rsidRDefault="00AA5608" w:rsidP="000E494A">
            <w:pPr>
              <w:jc w:val="right"/>
              <w:rPr>
                <w:rFonts w:ascii="Times New Roman" w:eastAsia="Times New Roman" w:hAnsi="Times New Roman" w:cs="Times New Roman"/>
                <w:sz w:val="18"/>
                <w:szCs w:val="18"/>
                <w:lang w:eastAsia="en-GB"/>
              </w:rPr>
            </w:pPr>
          </w:p>
        </w:tc>
      </w:tr>
      <w:tr w:rsidR="00AA5608" w:rsidRPr="001410FF" w14:paraId="395E5022" w14:textId="77777777" w:rsidTr="000E494A">
        <w:trPr>
          <w:trHeight w:val="300"/>
        </w:trPr>
        <w:tc>
          <w:tcPr>
            <w:tcW w:w="1701" w:type="dxa"/>
            <w:vMerge/>
            <w:tcBorders>
              <w:top w:val="nil"/>
              <w:left w:val="nil"/>
              <w:bottom w:val="single" w:sz="4" w:space="0" w:color="auto"/>
              <w:right w:val="single" w:sz="4" w:space="0" w:color="auto"/>
            </w:tcBorders>
            <w:vAlign w:val="center"/>
            <w:hideMark/>
          </w:tcPr>
          <w:p w14:paraId="25685802"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2F04F8BA" w14:textId="77777777" w:rsidR="00AA5608" w:rsidRPr="001410FF" w:rsidRDefault="00AA5608" w:rsidP="000E494A">
            <w:pPr>
              <w:ind w:firstLineChars="200" w:firstLine="360"/>
              <w:rPr>
                <w:rFonts w:eastAsia="Times New Roman" w:cs="Arial"/>
                <w:color w:val="000000"/>
                <w:sz w:val="18"/>
                <w:szCs w:val="18"/>
                <w:lang w:eastAsia="en-GB"/>
              </w:rPr>
            </w:pPr>
            <w:r w:rsidRPr="001410FF">
              <w:rPr>
                <w:rFonts w:eastAsia="Times New Roman" w:cs="Arial"/>
                <w:color w:val="000000"/>
                <w:sz w:val="18"/>
                <w:szCs w:val="18"/>
                <w:lang w:eastAsia="en-GB"/>
              </w:rPr>
              <w:t>Early help</w:t>
            </w:r>
          </w:p>
        </w:tc>
        <w:tc>
          <w:tcPr>
            <w:tcW w:w="1502" w:type="dxa"/>
            <w:tcBorders>
              <w:top w:val="nil"/>
              <w:left w:val="single" w:sz="4" w:space="0" w:color="auto"/>
              <w:bottom w:val="nil"/>
              <w:right w:val="nil"/>
            </w:tcBorders>
            <w:shd w:val="clear" w:color="auto" w:fill="auto"/>
            <w:noWrap/>
            <w:vAlign w:val="bottom"/>
            <w:hideMark/>
          </w:tcPr>
          <w:p w14:paraId="6CC6D3A8"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0.88 (0.84-0.91)</w:t>
            </w:r>
          </w:p>
        </w:tc>
        <w:tc>
          <w:tcPr>
            <w:tcW w:w="1503" w:type="dxa"/>
            <w:tcBorders>
              <w:top w:val="nil"/>
              <w:left w:val="nil"/>
              <w:bottom w:val="nil"/>
              <w:right w:val="nil"/>
            </w:tcBorders>
            <w:shd w:val="clear" w:color="auto" w:fill="auto"/>
            <w:noWrap/>
            <w:vAlign w:val="bottom"/>
            <w:hideMark/>
          </w:tcPr>
          <w:p w14:paraId="22B2B6F0"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p&lt;0.001</w:t>
            </w:r>
          </w:p>
        </w:tc>
        <w:tc>
          <w:tcPr>
            <w:tcW w:w="1503" w:type="dxa"/>
            <w:tcBorders>
              <w:top w:val="nil"/>
              <w:left w:val="nil"/>
              <w:bottom w:val="nil"/>
              <w:right w:val="single" w:sz="4" w:space="0" w:color="auto"/>
            </w:tcBorders>
            <w:shd w:val="clear" w:color="auto" w:fill="auto"/>
            <w:noWrap/>
            <w:vAlign w:val="bottom"/>
            <w:hideMark/>
          </w:tcPr>
          <w:p w14:paraId="3D20E609"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1.53 (1.42)</w:t>
            </w:r>
          </w:p>
        </w:tc>
        <w:tc>
          <w:tcPr>
            <w:tcW w:w="1503" w:type="dxa"/>
            <w:tcBorders>
              <w:top w:val="nil"/>
              <w:left w:val="single" w:sz="4" w:space="0" w:color="auto"/>
              <w:bottom w:val="nil"/>
              <w:right w:val="nil"/>
            </w:tcBorders>
            <w:shd w:val="clear" w:color="auto" w:fill="auto"/>
            <w:noWrap/>
            <w:vAlign w:val="bottom"/>
            <w:hideMark/>
          </w:tcPr>
          <w:p w14:paraId="3225C0BC"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0.96 (0.74-1.23)</w:t>
            </w:r>
          </w:p>
        </w:tc>
        <w:tc>
          <w:tcPr>
            <w:tcW w:w="1503" w:type="dxa"/>
            <w:tcBorders>
              <w:top w:val="nil"/>
              <w:left w:val="nil"/>
              <w:bottom w:val="nil"/>
              <w:right w:val="nil"/>
            </w:tcBorders>
            <w:shd w:val="clear" w:color="auto" w:fill="auto"/>
            <w:noWrap/>
            <w:vAlign w:val="bottom"/>
            <w:hideMark/>
          </w:tcPr>
          <w:p w14:paraId="6D5FC17D"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ns</w:t>
            </w:r>
          </w:p>
        </w:tc>
        <w:tc>
          <w:tcPr>
            <w:tcW w:w="1503" w:type="dxa"/>
            <w:tcBorders>
              <w:top w:val="nil"/>
              <w:left w:val="nil"/>
              <w:bottom w:val="nil"/>
              <w:right w:val="nil"/>
            </w:tcBorders>
            <w:shd w:val="clear" w:color="auto" w:fill="auto"/>
            <w:noWrap/>
            <w:vAlign w:val="bottom"/>
            <w:hideMark/>
          </w:tcPr>
          <w:p w14:paraId="0D8EC669"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n/a</w:t>
            </w:r>
          </w:p>
        </w:tc>
      </w:tr>
      <w:tr w:rsidR="00AA5608" w:rsidRPr="001410FF" w14:paraId="706D882A" w14:textId="77777777" w:rsidTr="000E494A">
        <w:trPr>
          <w:trHeight w:val="300"/>
        </w:trPr>
        <w:tc>
          <w:tcPr>
            <w:tcW w:w="1701" w:type="dxa"/>
            <w:vMerge/>
            <w:tcBorders>
              <w:top w:val="nil"/>
              <w:left w:val="nil"/>
              <w:bottom w:val="single" w:sz="4" w:space="0" w:color="auto"/>
              <w:right w:val="single" w:sz="4" w:space="0" w:color="auto"/>
            </w:tcBorders>
            <w:vAlign w:val="center"/>
            <w:hideMark/>
          </w:tcPr>
          <w:p w14:paraId="723505B6"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7728FD64" w14:textId="77777777" w:rsidR="00AA5608" w:rsidRPr="001410FF" w:rsidRDefault="00AA5608" w:rsidP="000E494A">
            <w:pPr>
              <w:ind w:firstLineChars="200" w:firstLine="360"/>
              <w:rPr>
                <w:rFonts w:eastAsia="Times New Roman" w:cs="Arial"/>
                <w:color w:val="000000"/>
                <w:sz w:val="18"/>
                <w:szCs w:val="18"/>
                <w:lang w:eastAsia="en-GB"/>
              </w:rPr>
            </w:pPr>
            <w:r w:rsidRPr="001410FF">
              <w:rPr>
                <w:rFonts w:eastAsia="Times New Roman" w:cs="Arial"/>
                <w:color w:val="000000"/>
                <w:sz w:val="18"/>
                <w:szCs w:val="18"/>
                <w:lang w:eastAsia="en-GB"/>
              </w:rPr>
              <w:t>Child in need plan</w:t>
            </w:r>
          </w:p>
        </w:tc>
        <w:tc>
          <w:tcPr>
            <w:tcW w:w="1502" w:type="dxa"/>
            <w:tcBorders>
              <w:top w:val="nil"/>
              <w:left w:val="single" w:sz="4" w:space="0" w:color="auto"/>
              <w:bottom w:val="nil"/>
              <w:right w:val="nil"/>
            </w:tcBorders>
            <w:shd w:val="clear" w:color="auto" w:fill="auto"/>
            <w:noWrap/>
            <w:vAlign w:val="bottom"/>
            <w:hideMark/>
          </w:tcPr>
          <w:p w14:paraId="7A8DE348"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1.18 (1.13-1.22)</w:t>
            </w:r>
          </w:p>
        </w:tc>
        <w:tc>
          <w:tcPr>
            <w:tcW w:w="1503" w:type="dxa"/>
            <w:tcBorders>
              <w:top w:val="nil"/>
              <w:left w:val="nil"/>
              <w:bottom w:val="nil"/>
              <w:right w:val="nil"/>
            </w:tcBorders>
            <w:shd w:val="clear" w:color="auto" w:fill="auto"/>
            <w:noWrap/>
            <w:vAlign w:val="bottom"/>
            <w:hideMark/>
          </w:tcPr>
          <w:p w14:paraId="30552809"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p&lt;0.001</w:t>
            </w:r>
          </w:p>
        </w:tc>
        <w:tc>
          <w:tcPr>
            <w:tcW w:w="1503" w:type="dxa"/>
            <w:tcBorders>
              <w:top w:val="nil"/>
              <w:left w:val="nil"/>
              <w:bottom w:val="nil"/>
              <w:right w:val="single" w:sz="4" w:space="0" w:color="auto"/>
            </w:tcBorders>
            <w:shd w:val="clear" w:color="auto" w:fill="auto"/>
            <w:noWrap/>
            <w:vAlign w:val="bottom"/>
            <w:hideMark/>
          </w:tcPr>
          <w:p w14:paraId="4DEDA3E1"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1.64 (1.51)</w:t>
            </w:r>
          </w:p>
        </w:tc>
        <w:tc>
          <w:tcPr>
            <w:tcW w:w="1503" w:type="dxa"/>
            <w:tcBorders>
              <w:top w:val="nil"/>
              <w:left w:val="single" w:sz="4" w:space="0" w:color="auto"/>
              <w:bottom w:val="nil"/>
              <w:right w:val="nil"/>
            </w:tcBorders>
            <w:shd w:val="clear" w:color="auto" w:fill="auto"/>
            <w:noWrap/>
            <w:vAlign w:val="bottom"/>
            <w:hideMark/>
          </w:tcPr>
          <w:p w14:paraId="30B4DAF0"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1.17 (0.92-1.50)</w:t>
            </w:r>
          </w:p>
        </w:tc>
        <w:tc>
          <w:tcPr>
            <w:tcW w:w="1503" w:type="dxa"/>
            <w:tcBorders>
              <w:top w:val="nil"/>
              <w:left w:val="nil"/>
              <w:bottom w:val="nil"/>
              <w:right w:val="nil"/>
            </w:tcBorders>
            <w:shd w:val="clear" w:color="auto" w:fill="auto"/>
            <w:noWrap/>
            <w:vAlign w:val="bottom"/>
            <w:hideMark/>
          </w:tcPr>
          <w:p w14:paraId="253FE7C1"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ns</w:t>
            </w:r>
          </w:p>
        </w:tc>
        <w:tc>
          <w:tcPr>
            <w:tcW w:w="1503" w:type="dxa"/>
            <w:tcBorders>
              <w:top w:val="nil"/>
              <w:left w:val="nil"/>
              <w:bottom w:val="nil"/>
              <w:right w:val="nil"/>
            </w:tcBorders>
            <w:shd w:val="clear" w:color="auto" w:fill="auto"/>
            <w:noWrap/>
            <w:vAlign w:val="bottom"/>
            <w:hideMark/>
          </w:tcPr>
          <w:p w14:paraId="1FAAA44B"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n/a</w:t>
            </w:r>
          </w:p>
        </w:tc>
      </w:tr>
      <w:tr w:rsidR="00AA5608" w:rsidRPr="001410FF" w14:paraId="7B97B8E0" w14:textId="77777777" w:rsidTr="000E494A">
        <w:trPr>
          <w:trHeight w:val="300"/>
        </w:trPr>
        <w:tc>
          <w:tcPr>
            <w:tcW w:w="1701" w:type="dxa"/>
            <w:vMerge/>
            <w:tcBorders>
              <w:top w:val="nil"/>
              <w:left w:val="nil"/>
              <w:bottom w:val="single" w:sz="4" w:space="0" w:color="auto"/>
              <w:right w:val="single" w:sz="4" w:space="0" w:color="auto"/>
            </w:tcBorders>
            <w:vAlign w:val="center"/>
            <w:hideMark/>
          </w:tcPr>
          <w:p w14:paraId="350DB8EE"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6A7C5E19" w14:textId="77777777" w:rsidR="00AA5608" w:rsidRPr="001410FF" w:rsidRDefault="00AA5608" w:rsidP="000E494A">
            <w:pPr>
              <w:ind w:firstLineChars="200" w:firstLine="360"/>
              <w:rPr>
                <w:rFonts w:eastAsia="Times New Roman" w:cs="Arial"/>
                <w:color w:val="000000"/>
                <w:sz w:val="18"/>
                <w:szCs w:val="18"/>
                <w:lang w:eastAsia="en-GB"/>
              </w:rPr>
            </w:pPr>
            <w:r w:rsidRPr="001410FF">
              <w:rPr>
                <w:rFonts w:eastAsia="Times New Roman" w:cs="Arial"/>
                <w:color w:val="000000"/>
                <w:sz w:val="18"/>
                <w:szCs w:val="18"/>
                <w:lang w:eastAsia="en-GB"/>
              </w:rPr>
              <w:t>Child protection plan</w:t>
            </w:r>
          </w:p>
        </w:tc>
        <w:tc>
          <w:tcPr>
            <w:tcW w:w="1502" w:type="dxa"/>
            <w:tcBorders>
              <w:top w:val="nil"/>
              <w:left w:val="single" w:sz="4" w:space="0" w:color="auto"/>
              <w:bottom w:val="nil"/>
              <w:right w:val="nil"/>
            </w:tcBorders>
            <w:shd w:val="clear" w:color="auto" w:fill="auto"/>
            <w:noWrap/>
            <w:vAlign w:val="bottom"/>
            <w:hideMark/>
          </w:tcPr>
          <w:p w14:paraId="4032C48A"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1.03 (1.00-1.06)</w:t>
            </w:r>
          </w:p>
        </w:tc>
        <w:tc>
          <w:tcPr>
            <w:tcW w:w="1503" w:type="dxa"/>
            <w:tcBorders>
              <w:top w:val="nil"/>
              <w:left w:val="nil"/>
              <w:bottom w:val="nil"/>
              <w:right w:val="nil"/>
            </w:tcBorders>
            <w:shd w:val="clear" w:color="auto" w:fill="auto"/>
            <w:noWrap/>
            <w:vAlign w:val="bottom"/>
            <w:hideMark/>
          </w:tcPr>
          <w:p w14:paraId="76AACBB4"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ns</w:t>
            </w:r>
          </w:p>
        </w:tc>
        <w:tc>
          <w:tcPr>
            <w:tcW w:w="1503" w:type="dxa"/>
            <w:tcBorders>
              <w:top w:val="nil"/>
              <w:left w:val="nil"/>
              <w:bottom w:val="nil"/>
              <w:right w:val="single" w:sz="4" w:space="0" w:color="auto"/>
            </w:tcBorders>
            <w:shd w:val="clear" w:color="auto" w:fill="auto"/>
            <w:noWrap/>
            <w:vAlign w:val="bottom"/>
            <w:hideMark/>
          </w:tcPr>
          <w:p w14:paraId="1155B5F9"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n/a</w:t>
            </w:r>
          </w:p>
        </w:tc>
        <w:tc>
          <w:tcPr>
            <w:tcW w:w="1503" w:type="dxa"/>
            <w:tcBorders>
              <w:top w:val="nil"/>
              <w:left w:val="single" w:sz="4" w:space="0" w:color="auto"/>
              <w:bottom w:val="nil"/>
              <w:right w:val="nil"/>
            </w:tcBorders>
            <w:shd w:val="clear" w:color="auto" w:fill="auto"/>
            <w:noWrap/>
            <w:vAlign w:val="bottom"/>
            <w:hideMark/>
          </w:tcPr>
          <w:p w14:paraId="2032D56B"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1.14 (0.94-1.38)</w:t>
            </w:r>
          </w:p>
        </w:tc>
        <w:tc>
          <w:tcPr>
            <w:tcW w:w="1503" w:type="dxa"/>
            <w:tcBorders>
              <w:top w:val="nil"/>
              <w:left w:val="nil"/>
              <w:bottom w:val="nil"/>
              <w:right w:val="nil"/>
            </w:tcBorders>
            <w:shd w:val="clear" w:color="auto" w:fill="auto"/>
            <w:noWrap/>
            <w:vAlign w:val="bottom"/>
            <w:hideMark/>
          </w:tcPr>
          <w:p w14:paraId="59323A0B"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ns</w:t>
            </w:r>
          </w:p>
        </w:tc>
        <w:tc>
          <w:tcPr>
            <w:tcW w:w="1503" w:type="dxa"/>
            <w:tcBorders>
              <w:top w:val="nil"/>
              <w:left w:val="nil"/>
              <w:bottom w:val="nil"/>
              <w:right w:val="nil"/>
            </w:tcBorders>
            <w:shd w:val="clear" w:color="auto" w:fill="auto"/>
            <w:noWrap/>
            <w:vAlign w:val="bottom"/>
            <w:hideMark/>
          </w:tcPr>
          <w:p w14:paraId="76E99F78"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n/a</w:t>
            </w:r>
          </w:p>
        </w:tc>
      </w:tr>
      <w:tr w:rsidR="00AA5608" w:rsidRPr="001410FF" w14:paraId="127F31A8" w14:textId="77777777" w:rsidTr="000E494A">
        <w:trPr>
          <w:trHeight w:val="300"/>
        </w:trPr>
        <w:tc>
          <w:tcPr>
            <w:tcW w:w="1701" w:type="dxa"/>
            <w:vMerge/>
            <w:tcBorders>
              <w:top w:val="nil"/>
              <w:left w:val="nil"/>
              <w:bottom w:val="single" w:sz="4" w:space="0" w:color="auto"/>
              <w:right w:val="single" w:sz="4" w:space="0" w:color="auto"/>
            </w:tcBorders>
            <w:vAlign w:val="center"/>
            <w:hideMark/>
          </w:tcPr>
          <w:p w14:paraId="069C5400"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364F49C2" w14:textId="77777777" w:rsidR="00AA5608" w:rsidRPr="001410FF" w:rsidRDefault="00AA5608" w:rsidP="000E494A">
            <w:pPr>
              <w:ind w:firstLineChars="200" w:firstLine="360"/>
              <w:rPr>
                <w:rFonts w:eastAsia="Times New Roman" w:cs="Arial"/>
                <w:color w:val="000000"/>
                <w:sz w:val="18"/>
                <w:szCs w:val="18"/>
                <w:lang w:eastAsia="en-GB"/>
              </w:rPr>
            </w:pPr>
            <w:r w:rsidRPr="001410FF">
              <w:rPr>
                <w:rFonts w:eastAsia="Times New Roman" w:cs="Arial"/>
                <w:color w:val="000000"/>
                <w:sz w:val="18"/>
                <w:szCs w:val="18"/>
                <w:lang w:eastAsia="en-GB"/>
              </w:rPr>
              <w:t>Child in care</w:t>
            </w:r>
          </w:p>
        </w:tc>
        <w:tc>
          <w:tcPr>
            <w:tcW w:w="1502" w:type="dxa"/>
            <w:tcBorders>
              <w:top w:val="nil"/>
              <w:left w:val="single" w:sz="4" w:space="0" w:color="auto"/>
              <w:bottom w:val="nil"/>
              <w:right w:val="nil"/>
            </w:tcBorders>
            <w:shd w:val="clear" w:color="auto" w:fill="auto"/>
            <w:noWrap/>
            <w:vAlign w:val="bottom"/>
            <w:hideMark/>
          </w:tcPr>
          <w:p w14:paraId="1ACD7570"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0.90 (0.83-0.97)</w:t>
            </w:r>
          </w:p>
        </w:tc>
        <w:tc>
          <w:tcPr>
            <w:tcW w:w="1503" w:type="dxa"/>
            <w:tcBorders>
              <w:top w:val="nil"/>
              <w:left w:val="nil"/>
              <w:bottom w:val="nil"/>
              <w:right w:val="nil"/>
            </w:tcBorders>
            <w:shd w:val="clear" w:color="auto" w:fill="auto"/>
            <w:noWrap/>
            <w:vAlign w:val="bottom"/>
            <w:hideMark/>
          </w:tcPr>
          <w:p w14:paraId="571F1AFC"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p&lt;0.01</w:t>
            </w:r>
          </w:p>
        </w:tc>
        <w:tc>
          <w:tcPr>
            <w:tcW w:w="1503" w:type="dxa"/>
            <w:tcBorders>
              <w:top w:val="nil"/>
              <w:left w:val="nil"/>
              <w:bottom w:val="nil"/>
              <w:right w:val="single" w:sz="4" w:space="0" w:color="auto"/>
            </w:tcBorders>
            <w:shd w:val="clear" w:color="auto" w:fill="auto"/>
            <w:noWrap/>
            <w:vAlign w:val="bottom"/>
            <w:hideMark/>
          </w:tcPr>
          <w:p w14:paraId="5F5B1275"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1.46 (1.21)</w:t>
            </w:r>
          </w:p>
        </w:tc>
        <w:tc>
          <w:tcPr>
            <w:tcW w:w="1503" w:type="dxa"/>
            <w:tcBorders>
              <w:top w:val="nil"/>
              <w:left w:val="single" w:sz="4" w:space="0" w:color="auto"/>
              <w:bottom w:val="nil"/>
              <w:right w:val="nil"/>
            </w:tcBorders>
            <w:shd w:val="clear" w:color="auto" w:fill="auto"/>
            <w:noWrap/>
            <w:vAlign w:val="bottom"/>
            <w:hideMark/>
          </w:tcPr>
          <w:p w14:paraId="43DFF556"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1.09 (0.62-1.93)</w:t>
            </w:r>
          </w:p>
        </w:tc>
        <w:tc>
          <w:tcPr>
            <w:tcW w:w="1503" w:type="dxa"/>
            <w:tcBorders>
              <w:top w:val="nil"/>
              <w:left w:val="nil"/>
              <w:bottom w:val="nil"/>
              <w:right w:val="nil"/>
            </w:tcBorders>
            <w:shd w:val="clear" w:color="auto" w:fill="auto"/>
            <w:noWrap/>
            <w:vAlign w:val="bottom"/>
            <w:hideMark/>
          </w:tcPr>
          <w:p w14:paraId="01D3AE20"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ns</w:t>
            </w:r>
          </w:p>
        </w:tc>
        <w:tc>
          <w:tcPr>
            <w:tcW w:w="1503" w:type="dxa"/>
            <w:tcBorders>
              <w:top w:val="nil"/>
              <w:left w:val="nil"/>
              <w:bottom w:val="nil"/>
              <w:right w:val="nil"/>
            </w:tcBorders>
            <w:shd w:val="clear" w:color="auto" w:fill="auto"/>
            <w:noWrap/>
            <w:vAlign w:val="bottom"/>
            <w:hideMark/>
          </w:tcPr>
          <w:p w14:paraId="30CBB8D9"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n/a</w:t>
            </w:r>
          </w:p>
        </w:tc>
      </w:tr>
      <w:tr w:rsidR="00AA5608" w:rsidRPr="001410FF" w14:paraId="408FD739" w14:textId="77777777" w:rsidTr="000E494A">
        <w:trPr>
          <w:trHeight w:val="60"/>
        </w:trPr>
        <w:tc>
          <w:tcPr>
            <w:tcW w:w="1701" w:type="dxa"/>
            <w:vMerge/>
            <w:tcBorders>
              <w:top w:val="nil"/>
              <w:left w:val="nil"/>
              <w:bottom w:val="single" w:sz="4" w:space="0" w:color="auto"/>
              <w:right w:val="single" w:sz="4" w:space="0" w:color="auto"/>
            </w:tcBorders>
            <w:vAlign w:val="center"/>
            <w:hideMark/>
          </w:tcPr>
          <w:p w14:paraId="34A0B5D3"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46C378C" w14:textId="77777777" w:rsidR="00AA5608" w:rsidRPr="001410FF" w:rsidRDefault="00AA5608" w:rsidP="000E494A">
            <w:pPr>
              <w:rPr>
                <w:rFonts w:eastAsia="Times New Roman" w:cs="Arial"/>
                <w:color w:val="000000"/>
                <w:sz w:val="18"/>
                <w:szCs w:val="18"/>
                <w:lang w:eastAsia="en-GB"/>
              </w:rPr>
            </w:pPr>
            <w:r w:rsidRPr="001410FF">
              <w:rPr>
                <w:rFonts w:eastAsia="Times New Roman" w:cs="Arial"/>
                <w:color w:val="000000"/>
                <w:sz w:val="18"/>
                <w:szCs w:val="18"/>
                <w:lang w:eastAsia="en-GB"/>
              </w:rPr>
              <w:t> </w:t>
            </w:r>
          </w:p>
        </w:tc>
        <w:tc>
          <w:tcPr>
            <w:tcW w:w="1502" w:type="dxa"/>
            <w:tcBorders>
              <w:top w:val="nil"/>
              <w:left w:val="single" w:sz="4" w:space="0" w:color="auto"/>
              <w:bottom w:val="single" w:sz="4" w:space="0" w:color="auto"/>
              <w:right w:val="nil"/>
            </w:tcBorders>
            <w:shd w:val="clear" w:color="auto" w:fill="auto"/>
            <w:noWrap/>
            <w:vAlign w:val="bottom"/>
            <w:hideMark/>
          </w:tcPr>
          <w:p w14:paraId="169BABD0"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 </w:t>
            </w:r>
          </w:p>
        </w:tc>
        <w:tc>
          <w:tcPr>
            <w:tcW w:w="1503" w:type="dxa"/>
            <w:tcBorders>
              <w:top w:val="nil"/>
              <w:left w:val="nil"/>
              <w:bottom w:val="single" w:sz="4" w:space="0" w:color="auto"/>
              <w:right w:val="nil"/>
            </w:tcBorders>
            <w:shd w:val="clear" w:color="auto" w:fill="auto"/>
            <w:noWrap/>
            <w:vAlign w:val="bottom"/>
            <w:hideMark/>
          </w:tcPr>
          <w:p w14:paraId="6D1AF5A5"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 </w:t>
            </w:r>
          </w:p>
        </w:tc>
        <w:tc>
          <w:tcPr>
            <w:tcW w:w="1503" w:type="dxa"/>
            <w:tcBorders>
              <w:top w:val="nil"/>
              <w:left w:val="nil"/>
              <w:bottom w:val="single" w:sz="4" w:space="0" w:color="auto"/>
              <w:right w:val="single" w:sz="4" w:space="0" w:color="auto"/>
            </w:tcBorders>
            <w:shd w:val="clear" w:color="auto" w:fill="auto"/>
            <w:noWrap/>
            <w:vAlign w:val="bottom"/>
            <w:hideMark/>
          </w:tcPr>
          <w:p w14:paraId="3E4EA5CA"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 </w:t>
            </w:r>
          </w:p>
        </w:tc>
        <w:tc>
          <w:tcPr>
            <w:tcW w:w="1503" w:type="dxa"/>
            <w:tcBorders>
              <w:top w:val="nil"/>
              <w:left w:val="single" w:sz="4" w:space="0" w:color="auto"/>
              <w:bottom w:val="single" w:sz="4" w:space="0" w:color="auto"/>
              <w:right w:val="nil"/>
            </w:tcBorders>
            <w:shd w:val="clear" w:color="auto" w:fill="auto"/>
            <w:noWrap/>
            <w:vAlign w:val="bottom"/>
            <w:hideMark/>
          </w:tcPr>
          <w:p w14:paraId="6A3B111E"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 </w:t>
            </w:r>
          </w:p>
        </w:tc>
        <w:tc>
          <w:tcPr>
            <w:tcW w:w="1503" w:type="dxa"/>
            <w:tcBorders>
              <w:top w:val="nil"/>
              <w:left w:val="nil"/>
              <w:bottom w:val="single" w:sz="4" w:space="0" w:color="auto"/>
              <w:right w:val="nil"/>
            </w:tcBorders>
            <w:shd w:val="clear" w:color="auto" w:fill="auto"/>
            <w:noWrap/>
            <w:vAlign w:val="bottom"/>
            <w:hideMark/>
          </w:tcPr>
          <w:p w14:paraId="770CAAD3" w14:textId="77777777" w:rsidR="00AA5608" w:rsidRPr="001410FF" w:rsidRDefault="00AA5608" w:rsidP="000E494A">
            <w:pPr>
              <w:jc w:val="right"/>
              <w:rPr>
                <w:rFonts w:eastAsia="Times New Roman" w:cs="Arial"/>
                <w:sz w:val="18"/>
                <w:szCs w:val="18"/>
                <w:lang w:eastAsia="en-GB"/>
              </w:rPr>
            </w:pPr>
            <w:r w:rsidRPr="001410FF">
              <w:rPr>
                <w:rFonts w:eastAsia="Times New Roman" w:cs="Arial"/>
                <w:sz w:val="18"/>
                <w:szCs w:val="18"/>
                <w:lang w:eastAsia="en-GB"/>
              </w:rPr>
              <w:t> </w:t>
            </w:r>
          </w:p>
        </w:tc>
        <w:tc>
          <w:tcPr>
            <w:tcW w:w="1503" w:type="dxa"/>
            <w:tcBorders>
              <w:top w:val="nil"/>
              <w:left w:val="nil"/>
              <w:bottom w:val="single" w:sz="4" w:space="0" w:color="auto"/>
              <w:right w:val="nil"/>
            </w:tcBorders>
            <w:shd w:val="clear" w:color="auto" w:fill="auto"/>
            <w:noWrap/>
            <w:vAlign w:val="bottom"/>
            <w:hideMark/>
          </w:tcPr>
          <w:p w14:paraId="3C025551" w14:textId="77777777" w:rsidR="00AA5608" w:rsidRPr="001410FF" w:rsidRDefault="00AA5608" w:rsidP="000E494A">
            <w:pPr>
              <w:jc w:val="right"/>
              <w:rPr>
                <w:rFonts w:eastAsia="Times New Roman" w:cs="Arial"/>
                <w:sz w:val="18"/>
                <w:szCs w:val="18"/>
                <w:lang w:eastAsia="en-GB"/>
              </w:rPr>
            </w:pPr>
            <w:r w:rsidRPr="001410FF">
              <w:rPr>
                <w:rFonts w:eastAsia="Times New Roman" w:cs="Arial"/>
                <w:sz w:val="18"/>
                <w:szCs w:val="18"/>
                <w:lang w:eastAsia="en-GB"/>
              </w:rPr>
              <w:t> </w:t>
            </w:r>
          </w:p>
        </w:tc>
      </w:tr>
      <w:tr w:rsidR="00AA5608" w:rsidRPr="001410FF" w14:paraId="17255DB1" w14:textId="77777777" w:rsidTr="000E494A">
        <w:trPr>
          <w:trHeight w:val="300"/>
        </w:trPr>
        <w:tc>
          <w:tcPr>
            <w:tcW w:w="1701" w:type="dxa"/>
            <w:vMerge w:val="restart"/>
            <w:tcBorders>
              <w:top w:val="single" w:sz="4" w:space="0" w:color="auto"/>
              <w:left w:val="nil"/>
              <w:bottom w:val="nil"/>
              <w:right w:val="single" w:sz="4" w:space="0" w:color="auto"/>
            </w:tcBorders>
            <w:shd w:val="clear" w:color="auto" w:fill="auto"/>
            <w:vAlign w:val="center"/>
            <w:hideMark/>
          </w:tcPr>
          <w:p w14:paraId="69407488" w14:textId="77777777" w:rsidR="00AA5608" w:rsidRPr="001410FF" w:rsidRDefault="00AA5608" w:rsidP="000E494A">
            <w:pPr>
              <w:rPr>
                <w:rFonts w:eastAsia="Times New Roman" w:cs="Arial"/>
                <w:color w:val="000000"/>
                <w:sz w:val="18"/>
                <w:szCs w:val="18"/>
                <w:lang w:eastAsia="en-GB"/>
              </w:rPr>
            </w:pPr>
            <w:r w:rsidRPr="001410FF">
              <w:rPr>
                <w:rFonts w:eastAsia="Times New Roman" w:cs="Arial"/>
                <w:color w:val="000000"/>
                <w:sz w:val="18"/>
                <w:szCs w:val="18"/>
                <w:lang w:eastAsia="en-GB"/>
              </w:rPr>
              <w:t>Parents not living with children (NWC)</w:t>
            </w:r>
          </w:p>
        </w:tc>
        <w:tc>
          <w:tcPr>
            <w:tcW w:w="3119" w:type="dxa"/>
            <w:tcBorders>
              <w:top w:val="nil"/>
              <w:left w:val="single" w:sz="4" w:space="0" w:color="auto"/>
              <w:bottom w:val="nil"/>
              <w:right w:val="single" w:sz="4" w:space="0" w:color="auto"/>
            </w:tcBorders>
            <w:shd w:val="clear" w:color="auto" w:fill="auto"/>
            <w:noWrap/>
            <w:vAlign w:val="bottom"/>
            <w:hideMark/>
          </w:tcPr>
          <w:p w14:paraId="68C3628A" w14:textId="77777777" w:rsidR="00AA5608" w:rsidRPr="006E58A4" w:rsidRDefault="00AA5608" w:rsidP="000E494A">
            <w:pPr>
              <w:rPr>
                <w:rFonts w:eastAsia="Times New Roman" w:cs="Arial"/>
                <w:i/>
                <w:iCs/>
                <w:color w:val="000000"/>
                <w:sz w:val="18"/>
                <w:szCs w:val="18"/>
                <w:lang w:eastAsia="en-GB"/>
              </w:rPr>
            </w:pPr>
            <w:r w:rsidRPr="006E58A4">
              <w:rPr>
                <w:rFonts w:eastAsia="Times New Roman" w:cs="Arial"/>
                <w:i/>
                <w:iCs/>
                <w:color w:val="000000"/>
                <w:sz w:val="18"/>
                <w:szCs w:val="18"/>
                <w:lang w:eastAsia="en-GB"/>
              </w:rPr>
              <w:t xml:space="preserve">Recovery support offered by </w:t>
            </w:r>
          </w:p>
          <w:p w14:paraId="2AA83FDF" w14:textId="77777777" w:rsidR="00AA5608" w:rsidRPr="001410FF" w:rsidRDefault="00AA5608" w:rsidP="000E494A">
            <w:pPr>
              <w:rPr>
                <w:rFonts w:eastAsia="Times New Roman" w:cs="Arial"/>
                <w:color w:val="000000"/>
                <w:sz w:val="18"/>
                <w:szCs w:val="18"/>
                <w:lang w:eastAsia="en-GB"/>
              </w:rPr>
            </w:pPr>
            <w:r w:rsidRPr="006E58A4">
              <w:rPr>
                <w:rFonts w:eastAsia="Times New Roman" w:cs="Arial"/>
                <w:i/>
                <w:iCs/>
                <w:color w:val="000000"/>
                <w:sz w:val="18"/>
                <w:szCs w:val="18"/>
                <w:lang w:eastAsia="en-GB"/>
              </w:rPr>
              <w:t>treatment services</w:t>
            </w:r>
          </w:p>
        </w:tc>
        <w:tc>
          <w:tcPr>
            <w:tcW w:w="1502" w:type="dxa"/>
            <w:tcBorders>
              <w:top w:val="nil"/>
              <w:left w:val="single" w:sz="4" w:space="0" w:color="auto"/>
              <w:bottom w:val="nil"/>
              <w:right w:val="nil"/>
            </w:tcBorders>
            <w:shd w:val="clear" w:color="auto" w:fill="auto"/>
            <w:noWrap/>
            <w:vAlign w:val="bottom"/>
            <w:hideMark/>
          </w:tcPr>
          <w:p w14:paraId="13A70B88" w14:textId="77777777" w:rsidR="00AA5608" w:rsidRPr="001410FF" w:rsidRDefault="00AA5608" w:rsidP="000E494A">
            <w:pPr>
              <w:rPr>
                <w:rFonts w:eastAsia="Times New Roman" w:cs="Arial"/>
                <w:color w:val="000000"/>
                <w:sz w:val="18"/>
                <w:szCs w:val="18"/>
                <w:lang w:eastAsia="en-GB"/>
              </w:rPr>
            </w:pPr>
          </w:p>
        </w:tc>
        <w:tc>
          <w:tcPr>
            <w:tcW w:w="1503" w:type="dxa"/>
            <w:tcBorders>
              <w:top w:val="nil"/>
              <w:left w:val="nil"/>
              <w:bottom w:val="nil"/>
              <w:right w:val="nil"/>
            </w:tcBorders>
            <w:shd w:val="clear" w:color="auto" w:fill="auto"/>
            <w:noWrap/>
            <w:vAlign w:val="bottom"/>
            <w:hideMark/>
          </w:tcPr>
          <w:p w14:paraId="0A7218C2"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nil"/>
              <w:right w:val="single" w:sz="4" w:space="0" w:color="auto"/>
            </w:tcBorders>
            <w:shd w:val="clear" w:color="auto" w:fill="auto"/>
            <w:noWrap/>
            <w:vAlign w:val="bottom"/>
            <w:hideMark/>
          </w:tcPr>
          <w:p w14:paraId="562C6E5E"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single" w:sz="4" w:space="0" w:color="auto"/>
              <w:bottom w:val="nil"/>
              <w:right w:val="nil"/>
            </w:tcBorders>
            <w:shd w:val="clear" w:color="auto" w:fill="auto"/>
            <w:noWrap/>
            <w:vAlign w:val="bottom"/>
            <w:hideMark/>
          </w:tcPr>
          <w:p w14:paraId="0192E637"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nil"/>
              <w:right w:val="nil"/>
            </w:tcBorders>
            <w:shd w:val="clear" w:color="auto" w:fill="auto"/>
            <w:noWrap/>
            <w:vAlign w:val="bottom"/>
            <w:hideMark/>
          </w:tcPr>
          <w:p w14:paraId="7B968C31" w14:textId="77777777" w:rsidR="00AA5608" w:rsidRPr="001410FF" w:rsidRDefault="00AA5608" w:rsidP="000E494A">
            <w:pPr>
              <w:rPr>
                <w:rFonts w:ascii="Times New Roman" w:eastAsia="Times New Roman" w:hAnsi="Times New Roman" w:cs="Times New Roman"/>
                <w:sz w:val="18"/>
                <w:szCs w:val="18"/>
                <w:lang w:eastAsia="en-GB"/>
              </w:rPr>
            </w:pPr>
          </w:p>
        </w:tc>
        <w:tc>
          <w:tcPr>
            <w:tcW w:w="1503" w:type="dxa"/>
            <w:tcBorders>
              <w:top w:val="nil"/>
              <w:left w:val="nil"/>
              <w:bottom w:val="nil"/>
              <w:right w:val="nil"/>
            </w:tcBorders>
            <w:shd w:val="clear" w:color="auto" w:fill="auto"/>
            <w:noWrap/>
            <w:vAlign w:val="bottom"/>
            <w:hideMark/>
          </w:tcPr>
          <w:p w14:paraId="598D2731" w14:textId="77777777" w:rsidR="00AA5608" w:rsidRPr="001410FF" w:rsidRDefault="00AA5608" w:rsidP="000E494A">
            <w:pPr>
              <w:jc w:val="right"/>
              <w:rPr>
                <w:rFonts w:ascii="Times New Roman" w:eastAsia="Times New Roman" w:hAnsi="Times New Roman" w:cs="Times New Roman"/>
                <w:sz w:val="18"/>
                <w:szCs w:val="18"/>
                <w:lang w:eastAsia="en-GB"/>
              </w:rPr>
            </w:pPr>
          </w:p>
        </w:tc>
      </w:tr>
      <w:tr w:rsidR="00AA5608" w:rsidRPr="001410FF" w14:paraId="2B3BA54D" w14:textId="77777777" w:rsidTr="000E494A">
        <w:trPr>
          <w:trHeight w:val="300"/>
        </w:trPr>
        <w:tc>
          <w:tcPr>
            <w:tcW w:w="1701" w:type="dxa"/>
            <w:vMerge/>
            <w:tcBorders>
              <w:top w:val="nil"/>
              <w:left w:val="nil"/>
              <w:bottom w:val="nil"/>
              <w:right w:val="single" w:sz="4" w:space="0" w:color="auto"/>
            </w:tcBorders>
            <w:vAlign w:val="center"/>
            <w:hideMark/>
          </w:tcPr>
          <w:p w14:paraId="0F880F71"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71C5281B" w14:textId="4CF41E55" w:rsidR="00AA5608" w:rsidRPr="001410FF" w:rsidRDefault="00AB7760" w:rsidP="000E494A">
            <w:pPr>
              <w:ind w:firstLineChars="200" w:firstLine="360"/>
              <w:rPr>
                <w:rFonts w:eastAsia="Times New Roman" w:cs="Arial"/>
                <w:color w:val="000000"/>
                <w:sz w:val="18"/>
                <w:szCs w:val="18"/>
                <w:lang w:eastAsia="en-GB"/>
              </w:rPr>
            </w:pPr>
            <w:r>
              <w:rPr>
                <w:rFonts w:eastAsia="Times New Roman" w:cs="Arial"/>
                <w:color w:val="000000"/>
                <w:sz w:val="18"/>
                <w:szCs w:val="18"/>
                <w:lang w:eastAsia="en-GB"/>
              </w:rPr>
              <w:t>Parenting and/or family</w:t>
            </w:r>
            <w:r w:rsidR="00AA5608" w:rsidRPr="001410FF">
              <w:rPr>
                <w:rFonts w:eastAsia="Times New Roman" w:cs="Arial"/>
                <w:color w:val="000000"/>
                <w:sz w:val="18"/>
                <w:szCs w:val="18"/>
                <w:lang w:eastAsia="en-GB"/>
              </w:rPr>
              <w:t xml:space="preserve"> support</w:t>
            </w:r>
          </w:p>
        </w:tc>
        <w:tc>
          <w:tcPr>
            <w:tcW w:w="1502" w:type="dxa"/>
            <w:tcBorders>
              <w:top w:val="nil"/>
              <w:left w:val="single" w:sz="4" w:space="0" w:color="auto"/>
              <w:bottom w:val="nil"/>
              <w:right w:val="nil"/>
            </w:tcBorders>
            <w:shd w:val="clear" w:color="auto" w:fill="auto"/>
            <w:noWrap/>
            <w:vAlign w:val="bottom"/>
            <w:hideMark/>
          </w:tcPr>
          <w:p w14:paraId="33A08DA5"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1.55 (1.28-1.86)</w:t>
            </w:r>
          </w:p>
        </w:tc>
        <w:tc>
          <w:tcPr>
            <w:tcW w:w="1503" w:type="dxa"/>
            <w:tcBorders>
              <w:top w:val="nil"/>
              <w:left w:val="nil"/>
              <w:bottom w:val="nil"/>
              <w:right w:val="nil"/>
            </w:tcBorders>
            <w:shd w:val="clear" w:color="auto" w:fill="auto"/>
            <w:noWrap/>
            <w:vAlign w:val="bottom"/>
            <w:hideMark/>
          </w:tcPr>
          <w:p w14:paraId="3166B3E8"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p&lt;0.001</w:t>
            </w:r>
          </w:p>
        </w:tc>
        <w:tc>
          <w:tcPr>
            <w:tcW w:w="1503" w:type="dxa"/>
            <w:tcBorders>
              <w:top w:val="nil"/>
              <w:left w:val="nil"/>
              <w:bottom w:val="nil"/>
              <w:right w:val="single" w:sz="4" w:space="0" w:color="auto"/>
            </w:tcBorders>
            <w:shd w:val="clear" w:color="auto" w:fill="auto"/>
            <w:noWrap/>
            <w:vAlign w:val="bottom"/>
            <w:hideMark/>
          </w:tcPr>
          <w:p w14:paraId="4C109144"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2.47 (1.88)</w:t>
            </w:r>
          </w:p>
        </w:tc>
        <w:tc>
          <w:tcPr>
            <w:tcW w:w="1503" w:type="dxa"/>
            <w:tcBorders>
              <w:top w:val="nil"/>
              <w:left w:val="single" w:sz="4" w:space="0" w:color="auto"/>
              <w:bottom w:val="nil"/>
              <w:right w:val="nil"/>
            </w:tcBorders>
            <w:shd w:val="clear" w:color="auto" w:fill="auto"/>
            <w:noWrap/>
            <w:vAlign w:val="bottom"/>
            <w:hideMark/>
          </w:tcPr>
          <w:p w14:paraId="32A1AA35"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1.44 (1.25-1.66)</w:t>
            </w:r>
          </w:p>
        </w:tc>
        <w:tc>
          <w:tcPr>
            <w:tcW w:w="1503" w:type="dxa"/>
            <w:tcBorders>
              <w:top w:val="nil"/>
              <w:left w:val="nil"/>
              <w:bottom w:val="nil"/>
              <w:right w:val="nil"/>
            </w:tcBorders>
            <w:shd w:val="clear" w:color="auto" w:fill="auto"/>
            <w:noWrap/>
            <w:vAlign w:val="bottom"/>
            <w:hideMark/>
          </w:tcPr>
          <w:p w14:paraId="7F0B782F"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p&lt;0.001</w:t>
            </w:r>
          </w:p>
        </w:tc>
        <w:tc>
          <w:tcPr>
            <w:tcW w:w="1503" w:type="dxa"/>
            <w:tcBorders>
              <w:top w:val="nil"/>
              <w:left w:val="nil"/>
              <w:bottom w:val="nil"/>
              <w:right w:val="nil"/>
            </w:tcBorders>
            <w:shd w:val="clear" w:color="auto" w:fill="auto"/>
            <w:noWrap/>
            <w:vAlign w:val="bottom"/>
            <w:hideMark/>
          </w:tcPr>
          <w:p w14:paraId="760EA778"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2.24 (1.81)</w:t>
            </w:r>
          </w:p>
        </w:tc>
      </w:tr>
      <w:tr w:rsidR="00AA5608" w:rsidRPr="001410FF" w14:paraId="19CA5180" w14:textId="77777777" w:rsidTr="000E494A">
        <w:trPr>
          <w:trHeight w:val="300"/>
        </w:trPr>
        <w:tc>
          <w:tcPr>
            <w:tcW w:w="1701" w:type="dxa"/>
            <w:vMerge/>
            <w:tcBorders>
              <w:top w:val="nil"/>
              <w:left w:val="nil"/>
              <w:bottom w:val="nil"/>
              <w:right w:val="single" w:sz="4" w:space="0" w:color="auto"/>
            </w:tcBorders>
            <w:vAlign w:val="center"/>
            <w:hideMark/>
          </w:tcPr>
          <w:p w14:paraId="2A413472"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2285B91B" w14:textId="77777777" w:rsidR="00AA5608" w:rsidRPr="001410FF" w:rsidRDefault="00AA5608" w:rsidP="000E494A">
            <w:pPr>
              <w:rPr>
                <w:rFonts w:eastAsia="Times New Roman" w:cs="Arial"/>
                <w:color w:val="000000"/>
                <w:sz w:val="18"/>
                <w:szCs w:val="18"/>
                <w:lang w:eastAsia="en-GB"/>
              </w:rPr>
            </w:pPr>
          </w:p>
          <w:p w14:paraId="7F1B036B" w14:textId="77777777" w:rsidR="00AA5608" w:rsidRPr="006E58A4" w:rsidRDefault="00AA5608" w:rsidP="000E494A">
            <w:pPr>
              <w:rPr>
                <w:rFonts w:eastAsia="Times New Roman" w:cs="Arial"/>
                <w:i/>
                <w:iCs/>
                <w:color w:val="000000"/>
                <w:sz w:val="18"/>
                <w:szCs w:val="18"/>
                <w:lang w:eastAsia="en-GB"/>
              </w:rPr>
            </w:pPr>
            <w:r w:rsidRPr="006E58A4">
              <w:rPr>
                <w:rFonts w:eastAsia="Times New Roman" w:cs="Arial"/>
                <w:i/>
                <w:iCs/>
                <w:color w:val="000000"/>
                <w:sz w:val="18"/>
                <w:szCs w:val="18"/>
                <w:lang w:eastAsia="en-GB"/>
              </w:rPr>
              <w:t xml:space="preserve">Child welfare support offered by </w:t>
            </w:r>
          </w:p>
          <w:p w14:paraId="4A5F0C11" w14:textId="77777777" w:rsidR="00AA5608" w:rsidRPr="001410FF" w:rsidRDefault="00AA5608" w:rsidP="000E494A">
            <w:pPr>
              <w:rPr>
                <w:rFonts w:eastAsia="Times New Roman" w:cs="Arial"/>
                <w:color w:val="000000"/>
                <w:sz w:val="18"/>
                <w:szCs w:val="18"/>
                <w:lang w:eastAsia="en-GB"/>
              </w:rPr>
            </w:pPr>
            <w:r w:rsidRPr="006E58A4">
              <w:rPr>
                <w:rFonts w:eastAsia="Times New Roman" w:cs="Arial"/>
                <w:i/>
                <w:iCs/>
                <w:color w:val="000000"/>
                <w:sz w:val="18"/>
                <w:szCs w:val="18"/>
                <w:lang w:eastAsia="en-GB"/>
              </w:rPr>
              <w:t>children and family services:</w:t>
            </w:r>
          </w:p>
        </w:tc>
        <w:tc>
          <w:tcPr>
            <w:tcW w:w="1502" w:type="dxa"/>
            <w:tcBorders>
              <w:top w:val="nil"/>
              <w:left w:val="single" w:sz="4" w:space="0" w:color="auto"/>
              <w:bottom w:val="nil"/>
              <w:right w:val="nil"/>
            </w:tcBorders>
            <w:shd w:val="clear" w:color="auto" w:fill="auto"/>
            <w:noWrap/>
            <w:vAlign w:val="bottom"/>
            <w:hideMark/>
          </w:tcPr>
          <w:p w14:paraId="3B5ECD1B" w14:textId="77777777" w:rsidR="00AA5608" w:rsidRPr="001410FF" w:rsidRDefault="00AA5608" w:rsidP="000E494A">
            <w:pPr>
              <w:rPr>
                <w:rFonts w:eastAsia="Times New Roman" w:cs="Arial"/>
                <w:color w:val="000000"/>
                <w:sz w:val="18"/>
                <w:szCs w:val="18"/>
                <w:lang w:eastAsia="en-GB"/>
              </w:rPr>
            </w:pPr>
          </w:p>
        </w:tc>
        <w:tc>
          <w:tcPr>
            <w:tcW w:w="1503" w:type="dxa"/>
            <w:tcBorders>
              <w:top w:val="nil"/>
              <w:left w:val="nil"/>
              <w:bottom w:val="nil"/>
              <w:right w:val="nil"/>
            </w:tcBorders>
            <w:shd w:val="clear" w:color="auto" w:fill="auto"/>
            <w:noWrap/>
            <w:vAlign w:val="bottom"/>
            <w:hideMark/>
          </w:tcPr>
          <w:p w14:paraId="3EEF51FC"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nil"/>
              <w:right w:val="single" w:sz="4" w:space="0" w:color="auto"/>
            </w:tcBorders>
            <w:shd w:val="clear" w:color="auto" w:fill="auto"/>
            <w:noWrap/>
            <w:vAlign w:val="bottom"/>
            <w:hideMark/>
          </w:tcPr>
          <w:p w14:paraId="7E290DD4"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single" w:sz="4" w:space="0" w:color="auto"/>
              <w:bottom w:val="nil"/>
              <w:right w:val="nil"/>
            </w:tcBorders>
            <w:shd w:val="clear" w:color="auto" w:fill="auto"/>
            <w:noWrap/>
            <w:vAlign w:val="bottom"/>
            <w:hideMark/>
          </w:tcPr>
          <w:p w14:paraId="080483B1"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nil"/>
              <w:right w:val="nil"/>
            </w:tcBorders>
            <w:shd w:val="clear" w:color="auto" w:fill="auto"/>
            <w:noWrap/>
            <w:vAlign w:val="bottom"/>
            <w:hideMark/>
          </w:tcPr>
          <w:p w14:paraId="303CD293"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nil"/>
              <w:right w:val="nil"/>
            </w:tcBorders>
            <w:shd w:val="clear" w:color="auto" w:fill="auto"/>
            <w:noWrap/>
            <w:vAlign w:val="bottom"/>
            <w:hideMark/>
          </w:tcPr>
          <w:p w14:paraId="286730DD" w14:textId="77777777" w:rsidR="00AA5608" w:rsidRPr="001410FF" w:rsidRDefault="00AA5608" w:rsidP="000E494A">
            <w:pPr>
              <w:jc w:val="right"/>
              <w:rPr>
                <w:rFonts w:ascii="Times New Roman" w:eastAsia="Times New Roman" w:hAnsi="Times New Roman" w:cs="Times New Roman"/>
                <w:sz w:val="18"/>
                <w:szCs w:val="18"/>
                <w:lang w:eastAsia="en-GB"/>
              </w:rPr>
            </w:pPr>
          </w:p>
        </w:tc>
      </w:tr>
      <w:tr w:rsidR="00AA5608" w:rsidRPr="001410FF" w14:paraId="1CFBD149" w14:textId="77777777" w:rsidTr="000E494A">
        <w:trPr>
          <w:trHeight w:val="300"/>
        </w:trPr>
        <w:tc>
          <w:tcPr>
            <w:tcW w:w="1701" w:type="dxa"/>
            <w:vMerge/>
            <w:tcBorders>
              <w:top w:val="nil"/>
              <w:left w:val="nil"/>
              <w:bottom w:val="nil"/>
              <w:right w:val="single" w:sz="4" w:space="0" w:color="auto"/>
            </w:tcBorders>
            <w:vAlign w:val="center"/>
            <w:hideMark/>
          </w:tcPr>
          <w:p w14:paraId="01A54C5B"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3D6F0305" w14:textId="77777777" w:rsidR="00AA5608" w:rsidRPr="001410FF" w:rsidRDefault="00AA5608" w:rsidP="000E494A">
            <w:pPr>
              <w:ind w:firstLineChars="200" w:firstLine="360"/>
              <w:rPr>
                <w:rFonts w:eastAsia="Times New Roman" w:cs="Arial"/>
                <w:color w:val="000000"/>
                <w:sz w:val="18"/>
                <w:szCs w:val="18"/>
                <w:lang w:eastAsia="en-GB"/>
              </w:rPr>
            </w:pPr>
            <w:r w:rsidRPr="001410FF">
              <w:rPr>
                <w:rFonts w:eastAsia="Times New Roman" w:cs="Arial"/>
                <w:color w:val="000000"/>
                <w:sz w:val="18"/>
                <w:szCs w:val="18"/>
                <w:lang w:eastAsia="en-GB"/>
              </w:rPr>
              <w:t>No support</w:t>
            </w:r>
          </w:p>
        </w:tc>
        <w:tc>
          <w:tcPr>
            <w:tcW w:w="1502" w:type="dxa"/>
            <w:tcBorders>
              <w:top w:val="nil"/>
              <w:left w:val="single" w:sz="4" w:space="0" w:color="auto"/>
              <w:bottom w:val="nil"/>
              <w:right w:val="nil"/>
            </w:tcBorders>
            <w:shd w:val="clear" w:color="auto" w:fill="auto"/>
            <w:noWrap/>
            <w:vAlign w:val="bottom"/>
            <w:hideMark/>
          </w:tcPr>
          <w:p w14:paraId="66D3A6FD"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1.00</w:t>
            </w:r>
          </w:p>
        </w:tc>
        <w:tc>
          <w:tcPr>
            <w:tcW w:w="1503" w:type="dxa"/>
            <w:tcBorders>
              <w:top w:val="nil"/>
              <w:left w:val="nil"/>
              <w:bottom w:val="nil"/>
              <w:right w:val="nil"/>
            </w:tcBorders>
            <w:shd w:val="clear" w:color="auto" w:fill="auto"/>
            <w:noWrap/>
            <w:vAlign w:val="bottom"/>
            <w:hideMark/>
          </w:tcPr>
          <w:p w14:paraId="60BA2AD9" w14:textId="77777777" w:rsidR="00AA5608" w:rsidRPr="001410FF" w:rsidRDefault="00AA5608" w:rsidP="000E494A">
            <w:pPr>
              <w:jc w:val="right"/>
              <w:rPr>
                <w:rFonts w:eastAsia="Times New Roman" w:cs="Arial"/>
                <w:color w:val="000000"/>
                <w:sz w:val="18"/>
                <w:szCs w:val="18"/>
                <w:lang w:eastAsia="en-GB"/>
              </w:rPr>
            </w:pPr>
          </w:p>
        </w:tc>
        <w:tc>
          <w:tcPr>
            <w:tcW w:w="1503" w:type="dxa"/>
            <w:tcBorders>
              <w:top w:val="nil"/>
              <w:left w:val="nil"/>
              <w:bottom w:val="nil"/>
              <w:right w:val="single" w:sz="4" w:space="0" w:color="auto"/>
            </w:tcBorders>
            <w:shd w:val="clear" w:color="auto" w:fill="auto"/>
            <w:noWrap/>
            <w:vAlign w:val="bottom"/>
            <w:hideMark/>
          </w:tcPr>
          <w:p w14:paraId="610AB919"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single" w:sz="4" w:space="0" w:color="auto"/>
              <w:bottom w:val="nil"/>
              <w:right w:val="nil"/>
            </w:tcBorders>
            <w:shd w:val="clear" w:color="auto" w:fill="auto"/>
            <w:noWrap/>
            <w:vAlign w:val="bottom"/>
            <w:hideMark/>
          </w:tcPr>
          <w:p w14:paraId="736BCDFE"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1.00</w:t>
            </w:r>
          </w:p>
        </w:tc>
        <w:tc>
          <w:tcPr>
            <w:tcW w:w="1503" w:type="dxa"/>
            <w:tcBorders>
              <w:top w:val="nil"/>
              <w:left w:val="nil"/>
              <w:bottom w:val="nil"/>
              <w:right w:val="nil"/>
            </w:tcBorders>
            <w:shd w:val="clear" w:color="auto" w:fill="auto"/>
            <w:noWrap/>
            <w:vAlign w:val="bottom"/>
            <w:hideMark/>
          </w:tcPr>
          <w:p w14:paraId="09CA8848" w14:textId="77777777" w:rsidR="00AA5608" w:rsidRPr="001410FF" w:rsidRDefault="00AA5608" w:rsidP="000E494A">
            <w:pPr>
              <w:jc w:val="right"/>
              <w:rPr>
                <w:rFonts w:eastAsia="Times New Roman" w:cs="Arial"/>
                <w:color w:val="000000"/>
                <w:sz w:val="18"/>
                <w:szCs w:val="18"/>
                <w:lang w:eastAsia="en-GB"/>
              </w:rPr>
            </w:pPr>
          </w:p>
        </w:tc>
        <w:tc>
          <w:tcPr>
            <w:tcW w:w="1503" w:type="dxa"/>
            <w:tcBorders>
              <w:top w:val="nil"/>
              <w:left w:val="nil"/>
              <w:bottom w:val="nil"/>
              <w:right w:val="nil"/>
            </w:tcBorders>
            <w:shd w:val="clear" w:color="auto" w:fill="auto"/>
            <w:noWrap/>
            <w:vAlign w:val="bottom"/>
            <w:hideMark/>
          </w:tcPr>
          <w:p w14:paraId="39DAE123" w14:textId="77777777" w:rsidR="00AA5608" w:rsidRPr="001410FF" w:rsidRDefault="00AA5608" w:rsidP="000E494A">
            <w:pPr>
              <w:jc w:val="right"/>
              <w:rPr>
                <w:rFonts w:ascii="Times New Roman" w:eastAsia="Times New Roman" w:hAnsi="Times New Roman" w:cs="Times New Roman"/>
                <w:sz w:val="18"/>
                <w:szCs w:val="18"/>
                <w:lang w:eastAsia="en-GB"/>
              </w:rPr>
            </w:pPr>
          </w:p>
        </w:tc>
      </w:tr>
      <w:tr w:rsidR="00AA5608" w:rsidRPr="001410FF" w14:paraId="58D7B41D" w14:textId="77777777" w:rsidTr="000E494A">
        <w:trPr>
          <w:trHeight w:val="300"/>
        </w:trPr>
        <w:tc>
          <w:tcPr>
            <w:tcW w:w="1701" w:type="dxa"/>
            <w:vMerge/>
            <w:tcBorders>
              <w:top w:val="nil"/>
              <w:left w:val="nil"/>
              <w:bottom w:val="nil"/>
              <w:right w:val="single" w:sz="4" w:space="0" w:color="auto"/>
            </w:tcBorders>
            <w:vAlign w:val="center"/>
            <w:hideMark/>
          </w:tcPr>
          <w:p w14:paraId="0398A1A2"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117D7B9A" w14:textId="77777777" w:rsidR="00AA5608" w:rsidRPr="001410FF" w:rsidRDefault="00AA5608" w:rsidP="000E494A">
            <w:pPr>
              <w:ind w:firstLineChars="200" w:firstLine="360"/>
              <w:rPr>
                <w:rFonts w:eastAsia="Times New Roman" w:cs="Arial"/>
                <w:color w:val="000000"/>
                <w:sz w:val="18"/>
                <w:szCs w:val="18"/>
                <w:lang w:eastAsia="en-GB"/>
              </w:rPr>
            </w:pPr>
            <w:r w:rsidRPr="001410FF">
              <w:rPr>
                <w:rFonts w:eastAsia="Times New Roman" w:cs="Arial"/>
                <w:color w:val="000000"/>
                <w:sz w:val="18"/>
                <w:szCs w:val="18"/>
                <w:lang w:eastAsia="en-GB"/>
              </w:rPr>
              <w:t>Early help</w:t>
            </w:r>
          </w:p>
        </w:tc>
        <w:tc>
          <w:tcPr>
            <w:tcW w:w="1502" w:type="dxa"/>
            <w:tcBorders>
              <w:top w:val="nil"/>
              <w:left w:val="single" w:sz="4" w:space="0" w:color="auto"/>
              <w:bottom w:val="nil"/>
              <w:right w:val="nil"/>
            </w:tcBorders>
            <w:shd w:val="clear" w:color="auto" w:fill="auto"/>
            <w:noWrap/>
            <w:vAlign w:val="bottom"/>
            <w:hideMark/>
          </w:tcPr>
          <w:p w14:paraId="15FB7BD2"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1.36 (0.94-1.97)</w:t>
            </w:r>
          </w:p>
        </w:tc>
        <w:tc>
          <w:tcPr>
            <w:tcW w:w="1503" w:type="dxa"/>
            <w:tcBorders>
              <w:top w:val="nil"/>
              <w:left w:val="nil"/>
              <w:bottom w:val="nil"/>
              <w:right w:val="nil"/>
            </w:tcBorders>
            <w:shd w:val="clear" w:color="auto" w:fill="auto"/>
            <w:noWrap/>
            <w:vAlign w:val="bottom"/>
            <w:hideMark/>
          </w:tcPr>
          <w:p w14:paraId="6BC9D598"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ns</w:t>
            </w:r>
          </w:p>
        </w:tc>
        <w:tc>
          <w:tcPr>
            <w:tcW w:w="1503" w:type="dxa"/>
            <w:tcBorders>
              <w:top w:val="nil"/>
              <w:left w:val="nil"/>
              <w:bottom w:val="nil"/>
              <w:right w:val="single" w:sz="4" w:space="0" w:color="auto"/>
            </w:tcBorders>
            <w:shd w:val="clear" w:color="auto" w:fill="auto"/>
            <w:noWrap/>
            <w:vAlign w:val="bottom"/>
            <w:hideMark/>
          </w:tcPr>
          <w:p w14:paraId="39140BCD"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n/a</w:t>
            </w:r>
          </w:p>
        </w:tc>
        <w:tc>
          <w:tcPr>
            <w:tcW w:w="1503" w:type="dxa"/>
            <w:tcBorders>
              <w:top w:val="nil"/>
              <w:left w:val="single" w:sz="4" w:space="0" w:color="auto"/>
              <w:bottom w:val="nil"/>
              <w:right w:val="nil"/>
            </w:tcBorders>
            <w:shd w:val="clear" w:color="auto" w:fill="auto"/>
            <w:noWrap/>
            <w:vAlign w:val="bottom"/>
            <w:hideMark/>
          </w:tcPr>
          <w:p w14:paraId="51157A62"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1.42 (1.10-1.84)</w:t>
            </w:r>
          </w:p>
        </w:tc>
        <w:tc>
          <w:tcPr>
            <w:tcW w:w="1503" w:type="dxa"/>
            <w:tcBorders>
              <w:top w:val="nil"/>
              <w:left w:val="nil"/>
              <w:bottom w:val="nil"/>
              <w:right w:val="nil"/>
            </w:tcBorders>
            <w:shd w:val="clear" w:color="auto" w:fill="auto"/>
            <w:noWrap/>
            <w:vAlign w:val="bottom"/>
            <w:hideMark/>
          </w:tcPr>
          <w:p w14:paraId="4004E34F"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p&lt;0.01</w:t>
            </w:r>
          </w:p>
        </w:tc>
        <w:tc>
          <w:tcPr>
            <w:tcW w:w="1503" w:type="dxa"/>
            <w:tcBorders>
              <w:top w:val="nil"/>
              <w:left w:val="nil"/>
              <w:bottom w:val="nil"/>
              <w:right w:val="nil"/>
            </w:tcBorders>
            <w:shd w:val="clear" w:color="auto" w:fill="auto"/>
            <w:noWrap/>
            <w:vAlign w:val="bottom"/>
            <w:hideMark/>
          </w:tcPr>
          <w:p w14:paraId="16912225" w14:textId="77777777" w:rsidR="00AA5608" w:rsidRPr="001410FF" w:rsidRDefault="00AA5608" w:rsidP="000E494A">
            <w:pPr>
              <w:jc w:val="right"/>
              <w:rPr>
                <w:rFonts w:eastAsia="Times New Roman" w:cs="Arial"/>
                <w:sz w:val="18"/>
                <w:szCs w:val="18"/>
                <w:lang w:eastAsia="en-GB"/>
              </w:rPr>
            </w:pPr>
            <w:r w:rsidRPr="001410FF">
              <w:rPr>
                <w:rFonts w:eastAsia="Times New Roman" w:cs="Arial"/>
                <w:sz w:val="18"/>
                <w:szCs w:val="18"/>
                <w:lang w:eastAsia="en-GB"/>
              </w:rPr>
              <w:t>2.19 (1.43)</w:t>
            </w:r>
          </w:p>
        </w:tc>
      </w:tr>
      <w:tr w:rsidR="00AA5608" w:rsidRPr="001410FF" w14:paraId="00337800" w14:textId="77777777" w:rsidTr="000E494A">
        <w:trPr>
          <w:trHeight w:val="300"/>
        </w:trPr>
        <w:tc>
          <w:tcPr>
            <w:tcW w:w="1701" w:type="dxa"/>
            <w:vMerge/>
            <w:tcBorders>
              <w:top w:val="nil"/>
              <w:left w:val="nil"/>
              <w:bottom w:val="nil"/>
              <w:right w:val="single" w:sz="4" w:space="0" w:color="auto"/>
            </w:tcBorders>
            <w:vAlign w:val="center"/>
            <w:hideMark/>
          </w:tcPr>
          <w:p w14:paraId="6625B218"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4F2E42B2" w14:textId="77777777" w:rsidR="00AA5608" w:rsidRPr="001410FF" w:rsidRDefault="00AA5608" w:rsidP="000E494A">
            <w:pPr>
              <w:ind w:firstLineChars="200" w:firstLine="360"/>
              <w:rPr>
                <w:rFonts w:eastAsia="Times New Roman" w:cs="Arial"/>
                <w:color w:val="000000"/>
                <w:sz w:val="18"/>
                <w:szCs w:val="18"/>
                <w:lang w:eastAsia="en-GB"/>
              </w:rPr>
            </w:pPr>
            <w:r w:rsidRPr="001410FF">
              <w:rPr>
                <w:rFonts w:eastAsia="Times New Roman" w:cs="Arial"/>
                <w:color w:val="000000"/>
                <w:sz w:val="18"/>
                <w:szCs w:val="18"/>
                <w:lang w:eastAsia="en-GB"/>
              </w:rPr>
              <w:t>Child in need plan</w:t>
            </w:r>
          </w:p>
        </w:tc>
        <w:tc>
          <w:tcPr>
            <w:tcW w:w="1502" w:type="dxa"/>
            <w:tcBorders>
              <w:top w:val="nil"/>
              <w:left w:val="single" w:sz="4" w:space="0" w:color="auto"/>
              <w:bottom w:val="nil"/>
              <w:right w:val="nil"/>
            </w:tcBorders>
            <w:shd w:val="clear" w:color="auto" w:fill="auto"/>
            <w:noWrap/>
            <w:vAlign w:val="bottom"/>
            <w:hideMark/>
          </w:tcPr>
          <w:p w14:paraId="3CC189CB"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1.19 (0.89-1.59)</w:t>
            </w:r>
          </w:p>
        </w:tc>
        <w:tc>
          <w:tcPr>
            <w:tcW w:w="1503" w:type="dxa"/>
            <w:tcBorders>
              <w:top w:val="nil"/>
              <w:left w:val="nil"/>
              <w:bottom w:val="nil"/>
              <w:right w:val="nil"/>
            </w:tcBorders>
            <w:shd w:val="clear" w:color="auto" w:fill="auto"/>
            <w:noWrap/>
            <w:vAlign w:val="bottom"/>
            <w:hideMark/>
          </w:tcPr>
          <w:p w14:paraId="67D0167F"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ns</w:t>
            </w:r>
          </w:p>
        </w:tc>
        <w:tc>
          <w:tcPr>
            <w:tcW w:w="1503" w:type="dxa"/>
            <w:tcBorders>
              <w:top w:val="nil"/>
              <w:left w:val="nil"/>
              <w:bottom w:val="nil"/>
              <w:right w:val="single" w:sz="4" w:space="0" w:color="auto"/>
            </w:tcBorders>
            <w:shd w:val="clear" w:color="auto" w:fill="auto"/>
            <w:noWrap/>
            <w:vAlign w:val="bottom"/>
            <w:hideMark/>
          </w:tcPr>
          <w:p w14:paraId="34FBF99A"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n/a</w:t>
            </w:r>
          </w:p>
        </w:tc>
        <w:tc>
          <w:tcPr>
            <w:tcW w:w="1503" w:type="dxa"/>
            <w:tcBorders>
              <w:top w:val="nil"/>
              <w:left w:val="single" w:sz="4" w:space="0" w:color="auto"/>
              <w:bottom w:val="nil"/>
              <w:right w:val="nil"/>
            </w:tcBorders>
            <w:shd w:val="clear" w:color="auto" w:fill="auto"/>
            <w:noWrap/>
            <w:vAlign w:val="bottom"/>
            <w:hideMark/>
          </w:tcPr>
          <w:p w14:paraId="41A35F43"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1.23 (0.98-1.54)</w:t>
            </w:r>
          </w:p>
        </w:tc>
        <w:tc>
          <w:tcPr>
            <w:tcW w:w="1503" w:type="dxa"/>
            <w:tcBorders>
              <w:top w:val="nil"/>
              <w:left w:val="nil"/>
              <w:bottom w:val="nil"/>
              <w:right w:val="nil"/>
            </w:tcBorders>
            <w:shd w:val="clear" w:color="auto" w:fill="auto"/>
            <w:noWrap/>
            <w:vAlign w:val="bottom"/>
            <w:hideMark/>
          </w:tcPr>
          <w:p w14:paraId="338A70C5"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ns</w:t>
            </w:r>
          </w:p>
        </w:tc>
        <w:tc>
          <w:tcPr>
            <w:tcW w:w="1503" w:type="dxa"/>
            <w:tcBorders>
              <w:top w:val="nil"/>
              <w:left w:val="nil"/>
              <w:bottom w:val="nil"/>
              <w:right w:val="nil"/>
            </w:tcBorders>
            <w:shd w:val="clear" w:color="auto" w:fill="auto"/>
            <w:noWrap/>
            <w:vAlign w:val="bottom"/>
            <w:hideMark/>
          </w:tcPr>
          <w:p w14:paraId="611510D4"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n/a</w:t>
            </w:r>
          </w:p>
        </w:tc>
      </w:tr>
      <w:tr w:rsidR="00AA5608" w:rsidRPr="001410FF" w14:paraId="49B97ED1" w14:textId="77777777" w:rsidTr="000E494A">
        <w:trPr>
          <w:trHeight w:val="300"/>
        </w:trPr>
        <w:tc>
          <w:tcPr>
            <w:tcW w:w="1701" w:type="dxa"/>
            <w:vMerge/>
            <w:tcBorders>
              <w:top w:val="nil"/>
              <w:left w:val="nil"/>
              <w:bottom w:val="nil"/>
              <w:right w:val="single" w:sz="4" w:space="0" w:color="auto"/>
            </w:tcBorders>
            <w:vAlign w:val="center"/>
            <w:hideMark/>
          </w:tcPr>
          <w:p w14:paraId="518F4974"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0101BC7D" w14:textId="77777777" w:rsidR="00AA5608" w:rsidRPr="001410FF" w:rsidRDefault="00AA5608" w:rsidP="000E494A">
            <w:pPr>
              <w:ind w:firstLineChars="200" w:firstLine="360"/>
              <w:rPr>
                <w:rFonts w:eastAsia="Times New Roman" w:cs="Arial"/>
                <w:color w:val="000000"/>
                <w:sz w:val="18"/>
                <w:szCs w:val="18"/>
                <w:lang w:eastAsia="en-GB"/>
              </w:rPr>
            </w:pPr>
            <w:r w:rsidRPr="001410FF">
              <w:rPr>
                <w:rFonts w:eastAsia="Times New Roman" w:cs="Arial"/>
                <w:color w:val="000000"/>
                <w:sz w:val="18"/>
                <w:szCs w:val="18"/>
                <w:lang w:eastAsia="en-GB"/>
              </w:rPr>
              <w:t>Child protection plan</w:t>
            </w:r>
          </w:p>
        </w:tc>
        <w:tc>
          <w:tcPr>
            <w:tcW w:w="1502" w:type="dxa"/>
            <w:tcBorders>
              <w:top w:val="nil"/>
              <w:left w:val="single" w:sz="4" w:space="0" w:color="auto"/>
              <w:bottom w:val="nil"/>
              <w:right w:val="nil"/>
            </w:tcBorders>
            <w:shd w:val="clear" w:color="auto" w:fill="auto"/>
            <w:noWrap/>
            <w:vAlign w:val="bottom"/>
            <w:hideMark/>
          </w:tcPr>
          <w:p w14:paraId="3AA8C500"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1.22 (1.02-1.45)</w:t>
            </w:r>
          </w:p>
        </w:tc>
        <w:tc>
          <w:tcPr>
            <w:tcW w:w="1503" w:type="dxa"/>
            <w:tcBorders>
              <w:top w:val="nil"/>
              <w:left w:val="nil"/>
              <w:bottom w:val="nil"/>
              <w:right w:val="nil"/>
            </w:tcBorders>
            <w:shd w:val="clear" w:color="auto" w:fill="auto"/>
            <w:noWrap/>
            <w:vAlign w:val="bottom"/>
            <w:hideMark/>
          </w:tcPr>
          <w:p w14:paraId="779A76AD"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p&lt;0.05</w:t>
            </w:r>
          </w:p>
        </w:tc>
        <w:tc>
          <w:tcPr>
            <w:tcW w:w="1503" w:type="dxa"/>
            <w:tcBorders>
              <w:top w:val="nil"/>
              <w:left w:val="nil"/>
              <w:bottom w:val="nil"/>
              <w:right w:val="single" w:sz="4" w:space="0" w:color="auto"/>
            </w:tcBorders>
            <w:shd w:val="clear" w:color="auto" w:fill="auto"/>
            <w:noWrap/>
            <w:vAlign w:val="bottom"/>
            <w:hideMark/>
          </w:tcPr>
          <w:p w14:paraId="7BC7C2CE" w14:textId="77777777" w:rsidR="00AA5608" w:rsidRPr="001410FF" w:rsidRDefault="00AA5608" w:rsidP="000E494A">
            <w:pPr>
              <w:jc w:val="right"/>
              <w:rPr>
                <w:rFonts w:eastAsia="Times New Roman" w:cs="Arial"/>
                <w:sz w:val="18"/>
                <w:szCs w:val="18"/>
                <w:lang w:eastAsia="en-GB"/>
              </w:rPr>
            </w:pPr>
            <w:r w:rsidRPr="001410FF">
              <w:rPr>
                <w:rFonts w:eastAsia="Times New Roman" w:cs="Arial"/>
                <w:sz w:val="18"/>
                <w:szCs w:val="18"/>
                <w:lang w:eastAsia="en-GB"/>
              </w:rPr>
              <w:t>1.74 (1.16)</w:t>
            </w:r>
          </w:p>
        </w:tc>
        <w:tc>
          <w:tcPr>
            <w:tcW w:w="1503" w:type="dxa"/>
            <w:tcBorders>
              <w:top w:val="nil"/>
              <w:left w:val="single" w:sz="4" w:space="0" w:color="auto"/>
              <w:bottom w:val="nil"/>
              <w:right w:val="nil"/>
            </w:tcBorders>
            <w:shd w:val="clear" w:color="auto" w:fill="auto"/>
            <w:noWrap/>
            <w:vAlign w:val="bottom"/>
            <w:hideMark/>
          </w:tcPr>
          <w:p w14:paraId="398951B2"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1.27 (1.10-1.46)</w:t>
            </w:r>
          </w:p>
        </w:tc>
        <w:tc>
          <w:tcPr>
            <w:tcW w:w="1503" w:type="dxa"/>
            <w:tcBorders>
              <w:top w:val="nil"/>
              <w:left w:val="nil"/>
              <w:bottom w:val="nil"/>
              <w:right w:val="nil"/>
            </w:tcBorders>
            <w:shd w:val="clear" w:color="auto" w:fill="auto"/>
            <w:noWrap/>
            <w:vAlign w:val="bottom"/>
            <w:hideMark/>
          </w:tcPr>
          <w:p w14:paraId="640FF30D"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p&lt;0.01</w:t>
            </w:r>
          </w:p>
        </w:tc>
        <w:tc>
          <w:tcPr>
            <w:tcW w:w="1503" w:type="dxa"/>
            <w:tcBorders>
              <w:top w:val="nil"/>
              <w:left w:val="nil"/>
              <w:bottom w:val="nil"/>
              <w:right w:val="nil"/>
            </w:tcBorders>
            <w:shd w:val="clear" w:color="auto" w:fill="auto"/>
            <w:noWrap/>
            <w:vAlign w:val="bottom"/>
            <w:hideMark/>
          </w:tcPr>
          <w:p w14:paraId="52EC2E4F" w14:textId="77777777" w:rsidR="00AA5608" w:rsidRPr="001410FF" w:rsidRDefault="00AA5608" w:rsidP="000E494A">
            <w:pPr>
              <w:jc w:val="right"/>
              <w:rPr>
                <w:rFonts w:eastAsia="Times New Roman" w:cs="Arial"/>
                <w:sz w:val="18"/>
                <w:szCs w:val="18"/>
                <w:lang w:eastAsia="en-GB"/>
              </w:rPr>
            </w:pPr>
            <w:r w:rsidRPr="001410FF">
              <w:rPr>
                <w:rFonts w:eastAsia="Times New Roman" w:cs="Arial"/>
                <w:sz w:val="18"/>
                <w:szCs w:val="18"/>
                <w:lang w:eastAsia="en-GB"/>
              </w:rPr>
              <w:t>1.86 (1.43)</w:t>
            </w:r>
          </w:p>
        </w:tc>
      </w:tr>
      <w:tr w:rsidR="00AA5608" w:rsidRPr="001410FF" w14:paraId="2938E040" w14:textId="77777777" w:rsidTr="000E494A">
        <w:trPr>
          <w:trHeight w:val="300"/>
        </w:trPr>
        <w:tc>
          <w:tcPr>
            <w:tcW w:w="1701" w:type="dxa"/>
            <w:vMerge/>
            <w:tcBorders>
              <w:top w:val="nil"/>
              <w:left w:val="nil"/>
              <w:bottom w:val="nil"/>
              <w:right w:val="single" w:sz="4" w:space="0" w:color="auto"/>
            </w:tcBorders>
            <w:vAlign w:val="center"/>
            <w:hideMark/>
          </w:tcPr>
          <w:p w14:paraId="6C42E3E7"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nil"/>
              <w:right w:val="single" w:sz="4" w:space="0" w:color="auto"/>
            </w:tcBorders>
            <w:shd w:val="clear" w:color="auto" w:fill="auto"/>
            <w:noWrap/>
            <w:vAlign w:val="bottom"/>
            <w:hideMark/>
          </w:tcPr>
          <w:p w14:paraId="5D2DF5CC" w14:textId="77777777" w:rsidR="00AA5608" w:rsidRPr="001410FF" w:rsidRDefault="00AA5608" w:rsidP="000E494A">
            <w:pPr>
              <w:ind w:firstLineChars="200" w:firstLine="360"/>
              <w:rPr>
                <w:rFonts w:eastAsia="Times New Roman" w:cs="Arial"/>
                <w:color w:val="000000"/>
                <w:sz w:val="18"/>
                <w:szCs w:val="18"/>
                <w:lang w:eastAsia="en-GB"/>
              </w:rPr>
            </w:pPr>
            <w:r w:rsidRPr="001410FF">
              <w:rPr>
                <w:rFonts w:eastAsia="Times New Roman" w:cs="Arial"/>
                <w:color w:val="000000"/>
                <w:sz w:val="18"/>
                <w:szCs w:val="18"/>
                <w:lang w:eastAsia="en-GB"/>
              </w:rPr>
              <w:t>Child in care</w:t>
            </w:r>
          </w:p>
        </w:tc>
        <w:tc>
          <w:tcPr>
            <w:tcW w:w="1502" w:type="dxa"/>
            <w:tcBorders>
              <w:top w:val="nil"/>
              <w:left w:val="single" w:sz="4" w:space="0" w:color="auto"/>
              <w:bottom w:val="nil"/>
              <w:right w:val="nil"/>
            </w:tcBorders>
            <w:shd w:val="clear" w:color="auto" w:fill="auto"/>
            <w:noWrap/>
            <w:vAlign w:val="bottom"/>
            <w:hideMark/>
          </w:tcPr>
          <w:p w14:paraId="473B8E11"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0.92 (0.78-1.07)</w:t>
            </w:r>
          </w:p>
        </w:tc>
        <w:tc>
          <w:tcPr>
            <w:tcW w:w="1503" w:type="dxa"/>
            <w:tcBorders>
              <w:top w:val="nil"/>
              <w:left w:val="nil"/>
              <w:bottom w:val="nil"/>
              <w:right w:val="nil"/>
            </w:tcBorders>
            <w:shd w:val="clear" w:color="auto" w:fill="auto"/>
            <w:noWrap/>
            <w:vAlign w:val="bottom"/>
            <w:hideMark/>
          </w:tcPr>
          <w:p w14:paraId="52C5FEC9"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ns</w:t>
            </w:r>
          </w:p>
        </w:tc>
        <w:tc>
          <w:tcPr>
            <w:tcW w:w="1503" w:type="dxa"/>
            <w:tcBorders>
              <w:top w:val="nil"/>
              <w:left w:val="nil"/>
              <w:bottom w:val="nil"/>
              <w:right w:val="single" w:sz="4" w:space="0" w:color="auto"/>
            </w:tcBorders>
            <w:shd w:val="clear" w:color="auto" w:fill="auto"/>
            <w:noWrap/>
            <w:vAlign w:val="bottom"/>
            <w:hideMark/>
          </w:tcPr>
          <w:p w14:paraId="10CC5258"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n/a</w:t>
            </w:r>
          </w:p>
        </w:tc>
        <w:tc>
          <w:tcPr>
            <w:tcW w:w="1503" w:type="dxa"/>
            <w:tcBorders>
              <w:top w:val="nil"/>
              <w:left w:val="single" w:sz="4" w:space="0" w:color="auto"/>
              <w:bottom w:val="nil"/>
              <w:right w:val="nil"/>
            </w:tcBorders>
            <w:shd w:val="clear" w:color="auto" w:fill="auto"/>
            <w:noWrap/>
            <w:vAlign w:val="bottom"/>
            <w:hideMark/>
          </w:tcPr>
          <w:p w14:paraId="097FADF9"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0.87 (0.72-1.03)</w:t>
            </w:r>
          </w:p>
        </w:tc>
        <w:tc>
          <w:tcPr>
            <w:tcW w:w="1503" w:type="dxa"/>
            <w:tcBorders>
              <w:top w:val="nil"/>
              <w:left w:val="nil"/>
              <w:bottom w:val="nil"/>
              <w:right w:val="nil"/>
            </w:tcBorders>
            <w:shd w:val="clear" w:color="auto" w:fill="auto"/>
            <w:noWrap/>
            <w:vAlign w:val="bottom"/>
            <w:hideMark/>
          </w:tcPr>
          <w:p w14:paraId="0241DF2F"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ns</w:t>
            </w:r>
          </w:p>
        </w:tc>
        <w:tc>
          <w:tcPr>
            <w:tcW w:w="1503" w:type="dxa"/>
            <w:tcBorders>
              <w:top w:val="nil"/>
              <w:left w:val="nil"/>
              <w:bottom w:val="nil"/>
              <w:right w:val="nil"/>
            </w:tcBorders>
            <w:shd w:val="clear" w:color="auto" w:fill="auto"/>
            <w:noWrap/>
            <w:vAlign w:val="bottom"/>
            <w:hideMark/>
          </w:tcPr>
          <w:p w14:paraId="341BCA9E" w14:textId="77777777" w:rsidR="00AA5608" w:rsidRPr="001410FF" w:rsidRDefault="00AA5608" w:rsidP="000E494A">
            <w:pPr>
              <w:jc w:val="right"/>
              <w:rPr>
                <w:rFonts w:eastAsia="Times New Roman" w:cs="Arial"/>
                <w:color w:val="000000"/>
                <w:sz w:val="18"/>
                <w:szCs w:val="18"/>
                <w:lang w:eastAsia="en-GB"/>
              </w:rPr>
            </w:pPr>
            <w:r w:rsidRPr="001410FF">
              <w:rPr>
                <w:rFonts w:eastAsia="Times New Roman" w:cs="Arial"/>
                <w:color w:val="000000"/>
                <w:sz w:val="18"/>
                <w:szCs w:val="18"/>
                <w:lang w:eastAsia="en-GB"/>
              </w:rPr>
              <w:t>n/a</w:t>
            </w:r>
          </w:p>
        </w:tc>
      </w:tr>
      <w:tr w:rsidR="00AA5608" w:rsidRPr="001410FF" w14:paraId="0A232A59" w14:textId="77777777" w:rsidTr="000E494A">
        <w:trPr>
          <w:trHeight w:val="70"/>
        </w:trPr>
        <w:tc>
          <w:tcPr>
            <w:tcW w:w="1701" w:type="dxa"/>
            <w:vMerge/>
            <w:tcBorders>
              <w:top w:val="nil"/>
              <w:left w:val="nil"/>
              <w:bottom w:val="single" w:sz="4" w:space="0" w:color="auto"/>
              <w:right w:val="single" w:sz="4" w:space="0" w:color="auto"/>
            </w:tcBorders>
            <w:vAlign w:val="center"/>
            <w:hideMark/>
          </w:tcPr>
          <w:p w14:paraId="05FFC15C" w14:textId="77777777" w:rsidR="00AA5608" w:rsidRPr="001410FF" w:rsidRDefault="00AA5608" w:rsidP="000E494A">
            <w:pPr>
              <w:rPr>
                <w:rFonts w:eastAsia="Times New Roman" w:cs="Arial"/>
                <w:color w:val="000000"/>
                <w:sz w:val="18"/>
                <w:szCs w:val="18"/>
                <w:lang w:eastAsia="en-GB"/>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FA98C30" w14:textId="77777777" w:rsidR="00AA5608" w:rsidRPr="001410FF" w:rsidRDefault="00AA5608" w:rsidP="000E494A">
            <w:pPr>
              <w:jc w:val="right"/>
              <w:rPr>
                <w:rFonts w:eastAsia="Times New Roman" w:cs="Arial"/>
                <w:color w:val="000000"/>
                <w:sz w:val="18"/>
                <w:szCs w:val="18"/>
                <w:lang w:eastAsia="en-GB"/>
              </w:rPr>
            </w:pPr>
          </w:p>
        </w:tc>
        <w:tc>
          <w:tcPr>
            <w:tcW w:w="1502" w:type="dxa"/>
            <w:tcBorders>
              <w:top w:val="nil"/>
              <w:left w:val="single" w:sz="4" w:space="0" w:color="auto"/>
              <w:bottom w:val="single" w:sz="4" w:space="0" w:color="auto"/>
              <w:right w:val="nil"/>
            </w:tcBorders>
            <w:shd w:val="clear" w:color="auto" w:fill="auto"/>
            <w:noWrap/>
            <w:vAlign w:val="bottom"/>
            <w:hideMark/>
          </w:tcPr>
          <w:p w14:paraId="6673D5E4" w14:textId="77777777" w:rsidR="00AA5608" w:rsidRPr="001410FF" w:rsidRDefault="00AA5608" w:rsidP="000E494A">
            <w:pPr>
              <w:rPr>
                <w:rFonts w:ascii="Times New Roman" w:eastAsia="Times New Roman" w:hAnsi="Times New Roman" w:cs="Times New Roman"/>
                <w:sz w:val="18"/>
                <w:szCs w:val="18"/>
                <w:lang w:eastAsia="en-GB"/>
              </w:rPr>
            </w:pPr>
          </w:p>
        </w:tc>
        <w:tc>
          <w:tcPr>
            <w:tcW w:w="1503" w:type="dxa"/>
            <w:tcBorders>
              <w:top w:val="nil"/>
              <w:left w:val="nil"/>
              <w:bottom w:val="single" w:sz="4" w:space="0" w:color="auto"/>
              <w:right w:val="nil"/>
            </w:tcBorders>
            <w:shd w:val="clear" w:color="auto" w:fill="auto"/>
            <w:noWrap/>
            <w:vAlign w:val="bottom"/>
            <w:hideMark/>
          </w:tcPr>
          <w:p w14:paraId="04E17E79"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single" w:sz="4" w:space="0" w:color="auto"/>
              <w:right w:val="single" w:sz="4" w:space="0" w:color="auto"/>
            </w:tcBorders>
            <w:shd w:val="clear" w:color="auto" w:fill="auto"/>
            <w:noWrap/>
            <w:vAlign w:val="bottom"/>
            <w:hideMark/>
          </w:tcPr>
          <w:p w14:paraId="59BD97FC"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single" w:sz="4" w:space="0" w:color="auto"/>
              <w:bottom w:val="single" w:sz="4" w:space="0" w:color="auto"/>
              <w:right w:val="nil"/>
            </w:tcBorders>
            <w:shd w:val="clear" w:color="auto" w:fill="auto"/>
            <w:noWrap/>
            <w:vAlign w:val="bottom"/>
            <w:hideMark/>
          </w:tcPr>
          <w:p w14:paraId="597C88F2" w14:textId="77777777" w:rsidR="00AA5608" w:rsidRPr="001410FF" w:rsidRDefault="00AA5608" w:rsidP="000E494A">
            <w:pPr>
              <w:jc w:val="right"/>
              <w:rPr>
                <w:rFonts w:ascii="Times New Roman" w:eastAsia="Times New Roman" w:hAnsi="Times New Roman" w:cs="Times New Roman"/>
                <w:sz w:val="18"/>
                <w:szCs w:val="18"/>
                <w:lang w:eastAsia="en-GB"/>
              </w:rPr>
            </w:pPr>
          </w:p>
        </w:tc>
        <w:tc>
          <w:tcPr>
            <w:tcW w:w="1503" w:type="dxa"/>
            <w:tcBorders>
              <w:top w:val="nil"/>
              <w:left w:val="nil"/>
              <w:bottom w:val="single" w:sz="4" w:space="0" w:color="auto"/>
              <w:right w:val="nil"/>
            </w:tcBorders>
            <w:shd w:val="clear" w:color="auto" w:fill="auto"/>
            <w:noWrap/>
            <w:vAlign w:val="bottom"/>
            <w:hideMark/>
          </w:tcPr>
          <w:p w14:paraId="199E830F" w14:textId="77777777" w:rsidR="00AA5608" w:rsidRPr="001410FF" w:rsidRDefault="00AA5608" w:rsidP="000E494A">
            <w:pPr>
              <w:rPr>
                <w:rFonts w:ascii="Times New Roman" w:eastAsia="Times New Roman" w:hAnsi="Times New Roman" w:cs="Times New Roman"/>
                <w:sz w:val="18"/>
                <w:szCs w:val="18"/>
                <w:lang w:eastAsia="en-GB"/>
              </w:rPr>
            </w:pPr>
          </w:p>
        </w:tc>
        <w:tc>
          <w:tcPr>
            <w:tcW w:w="1503" w:type="dxa"/>
            <w:tcBorders>
              <w:top w:val="nil"/>
              <w:left w:val="nil"/>
              <w:bottom w:val="single" w:sz="4" w:space="0" w:color="auto"/>
              <w:right w:val="nil"/>
            </w:tcBorders>
            <w:shd w:val="clear" w:color="auto" w:fill="auto"/>
            <w:noWrap/>
            <w:vAlign w:val="bottom"/>
            <w:hideMark/>
          </w:tcPr>
          <w:p w14:paraId="71169370" w14:textId="77777777" w:rsidR="00AA5608" w:rsidRPr="001410FF" w:rsidRDefault="00AA5608" w:rsidP="000E494A">
            <w:pPr>
              <w:jc w:val="right"/>
              <w:rPr>
                <w:rFonts w:ascii="Times New Roman" w:eastAsia="Times New Roman" w:hAnsi="Times New Roman" w:cs="Times New Roman"/>
                <w:sz w:val="18"/>
                <w:szCs w:val="18"/>
                <w:lang w:eastAsia="en-GB"/>
              </w:rPr>
            </w:pPr>
          </w:p>
        </w:tc>
      </w:tr>
    </w:tbl>
    <w:p w14:paraId="021C5926" w14:textId="4CE1B566" w:rsidR="00AA5608" w:rsidRPr="003203F2" w:rsidRDefault="00AA5608" w:rsidP="00AA5608">
      <w:pPr>
        <w:pStyle w:val="paragraph"/>
        <w:spacing w:before="0" w:beforeAutospacing="0"/>
        <w:textAlignment w:val="baseline"/>
        <w:rPr>
          <w:rFonts w:ascii="Arial" w:hAnsi="Arial" w:cs="Arial"/>
          <w:i/>
          <w:iCs/>
          <w:sz w:val="18"/>
          <w:szCs w:val="18"/>
        </w:rPr>
      </w:pPr>
      <w:r w:rsidRPr="005218C0">
        <w:rPr>
          <w:rFonts w:ascii="Arial" w:hAnsi="Arial" w:cs="Arial"/>
          <w:i/>
          <w:iCs/>
          <w:sz w:val="18"/>
          <w:szCs w:val="18"/>
        </w:rPr>
        <w:t xml:space="preserve">^ Statistical outputs derived from multiple imputation models. </w:t>
      </w:r>
      <w:r w:rsidR="00AB7760">
        <w:rPr>
          <w:rFonts w:ascii="Arial" w:hAnsi="Arial" w:cs="Arial"/>
          <w:i/>
          <w:iCs/>
          <w:sz w:val="18"/>
          <w:szCs w:val="18"/>
        </w:rPr>
        <w:t>Mothers</w:t>
      </w:r>
      <w:r w:rsidRPr="005218C0">
        <w:rPr>
          <w:rFonts w:ascii="Arial" w:hAnsi="Arial" w:cs="Arial"/>
          <w:i/>
          <w:iCs/>
          <w:sz w:val="18"/>
          <w:szCs w:val="18"/>
        </w:rPr>
        <w:t xml:space="preserve"> LWC:  Wald X2(33) = 1087.52, c-index = 0.267 (95% CI: 0.172,0.412), ICC= 0.774 (95% CI: 0.771, 0.778); </w:t>
      </w:r>
      <w:r w:rsidR="00AB7760">
        <w:rPr>
          <w:rFonts w:ascii="Arial" w:hAnsi="Arial" w:cs="Arial"/>
          <w:i/>
          <w:iCs/>
          <w:sz w:val="18"/>
          <w:szCs w:val="18"/>
        </w:rPr>
        <w:t>Mothers</w:t>
      </w:r>
      <w:r w:rsidRPr="005218C0">
        <w:rPr>
          <w:rFonts w:ascii="Arial" w:hAnsi="Arial" w:cs="Arial"/>
          <w:i/>
          <w:iCs/>
          <w:sz w:val="18"/>
          <w:szCs w:val="18"/>
        </w:rPr>
        <w:t xml:space="preserve"> NWC:  Wald X2(31) 2088.80, c-index = 0.273 (95% CI: 0.174,0.425); ICC= 0.774 (95% CI: 0.771, 0.778); Men LWC: Wald X2(32) =</w:t>
      </w:r>
      <w:r>
        <w:rPr>
          <w:rFonts w:ascii="Arial" w:hAnsi="Arial" w:cs="Arial"/>
          <w:i/>
          <w:iCs/>
          <w:sz w:val="18"/>
          <w:szCs w:val="18"/>
        </w:rPr>
        <w:t xml:space="preserve"> </w:t>
      </w:r>
      <w:r w:rsidRPr="005218C0">
        <w:rPr>
          <w:rFonts w:ascii="Arial" w:hAnsi="Arial" w:cs="Arial"/>
          <w:i/>
          <w:iCs/>
          <w:sz w:val="18"/>
          <w:szCs w:val="18"/>
        </w:rPr>
        <w:t>1138.06, c-index = 0.045 (95% CI: 0.031,0.064); ICC= 0.772 (95% CI: 0.767, 0.776); Men NWC: Wald X2(30) = 4455.93, c-index = 0.034 (95% CI: 0.025,0.045); ICC= 0.772 (95% CI: 0.767, 0.776)</w:t>
      </w:r>
    </w:p>
    <w:p w14:paraId="1494BEDB" w14:textId="77777777" w:rsidR="00AA5608" w:rsidRDefault="00AA5608" w:rsidP="2061A939">
      <w:pPr>
        <w:sectPr w:rsidR="00AA5608" w:rsidSect="00AA5608">
          <w:pgSz w:w="16838" w:h="11906" w:orient="landscape"/>
          <w:pgMar w:top="1440" w:right="1440" w:bottom="1440" w:left="1440" w:header="709" w:footer="709" w:gutter="0"/>
          <w:cols w:space="708"/>
          <w:docGrid w:linePitch="360"/>
        </w:sectPr>
      </w:pPr>
    </w:p>
    <w:p w14:paraId="296A85F1" w14:textId="77777777" w:rsidR="00AA5608" w:rsidRDefault="00AA5608" w:rsidP="002D3F3C">
      <w:pPr>
        <w:pStyle w:val="Heading2"/>
        <w:numPr>
          <w:ilvl w:val="1"/>
          <w:numId w:val="19"/>
        </w:numPr>
        <w:spacing w:after="240" w:line="360" w:lineRule="auto"/>
      </w:pPr>
      <w:bookmarkStart w:id="80" w:name="_Toc189229685"/>
      <w:r>
        <w:lastRenderedPageBreak/>
        <w:t>Discussion</w:t>
      </w:r>
      <w:bookmarkEnd w:id="80"/>
    </w:p>
    <w:p w14:paraId="3DAB6934" w14:textId="7F23B62C" w:rsidR="00AA5608" w:rsidRDefault="00AA5608" w:rsidP="00AA5608">
      <w:pPr>
        <w:pStyle w:val="NoSpacing"/>
        <w:spacing w:line="360" w:lineRule="auto"/>
      </w:pPr>
      <w:r>
        <w:t xml:space="preserve">This is the first descriptive study to </w:t>
      </w:r>
      <w:r w:rsidRPr="00056E69">
        <w:t>focus on parents and carers in the English treatment system</w:t>
      </w:r>
      <w:r>
        <w:t xml:space="preserve"> and</w:t>
      </w:r>
      <w:r w:rsidRPr="00056E69">
        <w:t xml:space="preserve"> explor</w:t>
      </w:r>
      <w:r>
        <w:t>e</w:t>
      </w:r>
      <w:r w:rsidRPr="00056E69">
        <w:t xml:space="preserve"> </w:t>
      </w:r>
      <w:r>
        <w:t xml:space="preserve">characteristics of receiving </w:t>
      </w:r>
      <w:r w:rsidR="00AB7760">
        <w:t>parenting and/or family</w:t>
      </w:r>
      <w:r>
        <w:t xml:space="preserve"> recovery support offered by specialist treatment or non-statutory and statutory child welfare interventions offered by children and family services, alongside likelihood of completing treatment. Our findings suggest that parents are not a homogenous group. </w:t>
      </w:r>
      <w:r w:rsidR="00DA0D9C">
        <w:t>Fathers</w:t>
      </w:r>
      <w:r>
        <w:t xml:space="preserve"> were associated with more complex support needs than </w:t>
      </w:r>
      <w:r w:rsidR="00AB7760">
        <w:t>mothers</w:t>
      </w:r>
      <w:r>
        <w:t xml:space="preserve">, however the greatest differences observed were between </w:t>
      </w:r>
      <w:r w:rsidR="002946F0">
        <w:t>parents living</w:t>
      </w:r>
      <w:r>
        <w:t xml:space="preserve"> with children and parents not living with children, with the former having the least complex support needs irrespective of sex. </w:t>
      </w:r>
      <w:r w:rsidR="00A6300F">
        <w:t>c</w:t>
      </w:r>
    </w:p>
    <w:p w14:paraId="73EFC8FA" w14:textId="77777777" w:rsidR="00AA5608" w:rsidRDefault="00AA5608" w:rsidP="00AA5608">
      <w:pPr>
        <w:pStyle w:val="NoSpacing"/>
        <w:spacing w:line="360" w:lineRule="auto"/>
      </w:pPr>
    </w:p>
    <w:p w14:paraId="50FE1DE6" w14:textId="7583EF32" w:rsidR="00AA5608" w:rsidRDefault="00AA5608" w:rsidP="00AA5608">
      <w:pPr>
        <w:pStyle w:val="NoSpacing"/>
        <w:spacing w:line="360" w:lineRule="auto"/>
      </w:pPr>
      <w:r>
        <w:t xml:space="preserve">Currently just 10.7% of </w:t>
      </w:r>
      <w:r w:rsidR="00AB7760">
        <w:t>mothers</w:t>
      </w:r>
      <w:r>
        <w:t xml:space="preserve"> and 5.9% </w:t>
      </w:r>
      <w:r w:rsidR="00AB7760">
        <w:t>of fathers</w:t>
      </w:r>
      <w:r>
        <w:t xml:space="preserve"> receive </w:t>
      </w:r>
      <w:r w:rsidR="00AB7760">
        <w:t>parenting and/or family</w:t>
      </w:r>
      <w:r>
        <w:t xml:space="preserve"> </w:t>
      </w:r>
      <w:r w:rsidR="00DA0D9C">
        <w:t xml:space="preserve">recovery </w:t>
      </w:r>
      <w:r>
        <w:t xml:space="preserve">support offered by treatment services, with even smaller proportions among those not living with their children, yet this is consistently associated with greater likelihood of successful completion. Our findings therefore suggest that treatment practitioners could potentially be offering more </w:t>
      </w:r>
      <w:r w:rsidR="00AB7760">
        <w:t>parenting and/or family</w:t>
      </w:r>
      <w:r>
        <w:t xml:space="preserve"> recovery support interventions to both parents not living with children as well as those living with children</w:t>
      </w:r>
      <w:r w:rsidRPr="00EA7316">
        <w:t xml:space="preserve">. </w:t>
      </w:r>
      <w:r>
        <w:t xml:space="preserve">However, further analysis is required to further explore where this might be more appropriate to do so. </w:t>
      </w:r>
    </w:p>
    <w:p w14:paraId="3FCDDCCB" w14:textId="77777777" w:rsidR="00AA5608" w:rsidRDefault="00AA5608" w:rsidP="00AA5608">
      <w:pPr>
        <w:pStyle w:val="NoSpacing"/>
        <w:spacing w:line="360" w:lineRule="auto"/>
      </w:pPr>
    </w:p>
    <w:p w14:paraId="579C2239" w14:textId="188AF5BF" w:rsidR="00AA5608" w:rsidRDefault="00AA5608" w:rsidP="00AA5608">
      <w:pPr>
        <w:pStyle w:val="NoSpacing"/>
        <w:spacing w:line="360" w:lineRule="auto"/>
      </w:pPr>
      <w:r>
        <w:t xml:space="preserve">It is perhaps not surprising that a higher proportion of </w:t>
      </w:r>
      <w:r w:rsidR="002946F0">
        <w:t>parents living</w:t>
      </w:r>
      <w:r>
        <w:t xml:space="preserve"> with children received treatment </w:t>
      </w:r>
      <w:r w:rsidR="00545D7B">
        <w:t>plus</w:t>
      </w:r>
      <w:r>
        <w:t xml:space="preserve"> a </w:t>
      </w:r>
      <w:r w:rsidR="00AB7760">
        <w:t>parenting and/or family</w:t>
      </w:r>
      <w:r>
        <w:t xml:space="preserve"> recovery support or child welfare intervention (with the exception of having a child in care), with </w:t>
      </w:r>
      <w:r w:rsidR="00AB7760">
        <w:t>mothers</w:t>
      </w:r>
      <w:r>
        <w:t xml:space="preserve"> being most likely. It is interesting to note, however, that compared with no </w:t>
      </w:r>
      <w:r w:rsidR="00515209">
        <w:t xml:space="preserve">integrated </w:t>
      </w:r>
      <w:r>
        <w:t xml:space="preserve">support, both men and </w:t>
      </w:r>
      <w:r w:rsidR="00AB7760">
        <w:t>mothers</w:t>
      </w:r>
      <w:r>
        <w:t xml:space="preserve"> who lived with children and received targeted prevention in the form of ‘early help’ were less likely to successfully complete treatment, whereas those who received targeted prevention in the form of </w:t>
      </w:r>
      <w:r w:rsidR="00AB7760">
        <w:t>parenting and/or family</w:t>
      </w:r>
      <w:r>
        <w:t xml:space="preserve"> recovery support were more likely to successfully complete. On the other hand, for </w:t>
      </w:r>
      <w:r w:rsidR="00AB7760">
        <w:t>fathers not living</w:t>
      </w:r>
      <w:r>
        <w:t xml:space="preserve"> with children, targeted prevention in the form of both early help and </w:t>
      </w:r>
      <w:r w:rsidR="00AB7760">
        <w:t>parenting and/or family</w:t>
      </w:r>
      <w:r>
        <w:t xml:space="preserve"> recovery support interventions were associated with successful completion of treatment. While ‘early help’ can include parenting skills and improving familial relationships, it is not possible to know from the available data what ‘early help’ encompassed, and so the reasons for our ‘early help’ findings </w:t>
      </w:r>
      <w:r>
        <w:lastRenderedPageBreak/>
        <w:t xml:space="preserve">warrant further investigation. Further, results on whether integrated statutory child welfare was associated with successful completion were </w:t>
      </w:r>
      <w:r w:rsidR="00736A5E">
        <w:t>mixed</w:t>
      </w:r>
      <w:r>
        <w:t>. As t</w:t>
      </w:r>
      <w:r w:rsidRPr="7D3F90FC">
        <w:t>his</w:t>
      </w:r>
      <w:r>
        <w:t xml:space="preserve"> </w:t>
      </w:r>
      <w:r w:rsidRPr="7D3F90FC">
        <w:t>is</w:t>
      </w:r>
      <w:r>
        <w:t xml:space="preserve"> a descriptive study, results should be interpreted with caution</w:t>
      </w:r>
      <w:r w:rsidRPr="7D3F90FC">
        <w:t>, and further research to estimate effects adjusting as fully as possible for confounders is a priority</w:t>
      </w:r>
      <w:r>
        <w:t xml:space="preserve">. </w:t>
      </w:r>
    </w:p>
    <w:p w14:paraId="1BD9D3AE" w14:textId="77777777" w:rsidR="00AA5608" w:rsidRDefault="00AA5608" w:rsidP="00AA5608">
      <w:pPr>
        <w:pStyle w:val="NoSpacing"/>
        <w:spacing w:line="360" w:lineRule="auto"/>
        <w:rPr>
          <w:rStyle w:val="normaltextrun"/>
          <w:rFonts w:eastAsiaTheme="majorEastAsia"/>
        </w:rPr>
      </w:pPr>
    </w:p>
    <w:p w14:paraId="0E9A6E11" w14:textId="77777777" w:rsidR="00AA5608" w:rsidRPr="00447B0F" w:rsidRDefault="00AA5608" w:rsidP="00AA5608">
      <w:pPr>
        <w:pStyle w:val="NoSpacing"/>
        <w:spacing w:line="360" w:lineRule="auto"/>
      </w:pPr>
      <w:r w:rsidRPr="004117B1">
        <w:t>The use of treatment completion</w:t>
      </w:r>
      <w:r>
        <w:t>, or ‘successful completion’,</w:t>
      </w:r>
      <w:r w:rsidRPr="004117B1">
        <w:t xml:space="preserve"> as the sole outcome measure is a limitation of the study as SUD is a chronic health condition which can involve multiple episodes of treatment, abstinence and relapse, which in turn may affect parenting capability over time. </w:t>
      </w:r>
      <w:r>
        <w:t>Moreover, i</w:t>
      </w:r>
      <w:r w:rsidRPr="005C4818">
        <w:t xml:space="preserve">t </w:t>
      </w:r>
      <w:r>
        <w:t>can be</w:t>
      </w:r>
      <w:r w:rsidRPr="005C4818">
        <w:t xml:space="preserve"> clinically appropriate for individuals to receive ongoing pharmacological therapy and for them to be monitored in a clinical setting. While </w:t>
      </w:r>
      <w:r>
        <w:t xml:space="preserve">this might constitute a </w:t>
      </w:r>
      <w:r w:rsidRPr="005C4818">
        <w:t>successful outcome</w:t>
      </w:r>
      <w:r>
        <w:t xml:space="preserve"> for parents and children</w:t>
      </w:r>
      <w:r w:rsidRPr="005C4818">
        <w:t xml:space="preserve">, the </w:t>
      </w:r>
      <w:r>
        <w:t xml:space="preserve">main outcome measure in the </w:t>
      </w:r>
      <w:r w:rsidRPr="005C4818">
        <w:t xml:space="preserve">English system </w:t>
      </w:r>
      <w:r>
        <w:t>is</w:t>
      </w:r>
      <w:r w:rsidRPr="005C4818">
        <w:t xml:space="preserve"> treatment completion. Therefore, by using </w:t>
      </w:r>
      <w:r>
        <w:t xml:space="preserve">successful </w:t>
      </w:r>
      <w:r w:rsidRPr="005C4818">
        <w:t xml:space="preserve">completion of treatment, we are using measures understood by English decision and policymakers and making the study comparable with other international evidence. </w:t>
      </w:r>
    </w:p>
    <w:p w14:paraId="557D29F6" w14:textId="77777777" w:rsidR="00AA5608" w:rsidRDefault="00AA5608" w:rsidP="00AA5608">
      <w:pPr>
        <w:pStyle w:val="NoSpacing"/>
        <w:spacing w:line="360" w:lineRule="auto"/>
      </w:pPr>
    </w:p>
    <w:p w14:paraId="3DBFAD84" w14:textId="45ED834D" w:rsidR="00AA5608" w:rsidRDefault="00AA5608" w:rsidP="00AA5608">
      <w:pPr>
        <w:pStyle w:val="NoSpacing"/>
        <w:spacing w:line="360" w:lineRule="auto"/>
      </w:pPr>
      <w:r>
        <w:t xml:space="preserve">Findings suggest that the available data is worth exploring further. As our study examines parental outcomes only, a key research priority would be to </w:t>
      </w:r>
      <w:r>
        <w:rPr>
          <w:rStyle w:val="normaltextrun"/>
          <w:rFonts w:eastAsiaTheme="majorEastAsia"/>
        </w:rPr>
        <w:t>measure</w:t>
      </w:r>
      <w:r w:rsidRPr="00E91B1E">
        <w:rPr>
          <w:rStyle w:val="normaltextrun"/>
          <w:rFonts w:eastAsiaTheme="majorEastAsia"/>
        </w:rPr>
        <w:t xml:space="preserve"> </w:t>
      </w:r>
      <w:r>
        <w:rPr>
          <w:rStyle w:val="normaltextrun"/>
          <w:rFonts w:eastAsiaTheme="majorEastAsia"/>
        </w:rPr>
        <w:t>longitudinal child welfare outcomes using NDTMS data matched with children’s social care data, or via the use of validated questionnaires, such as the Brief Child Abuse Potential (</w:t>
      </w:r>
      <w:r w:rsidR="00CB5FE1">
        <w:rPr>
          <w:rStyle w:val="normaltextrun"/>
          <w:rFonts w:eastAsiaTheme="majorEastAsia"/>
        </w:rPr>
        <w:t>BCAP</w:t>
      </w:r>
      <w:r>
        <w:rPr>
          <w:rStyle w:val="normaltextrun"/>
          <w:rFonts w:eastAsiaTheme="majorEastAsia"/>
        </w:rPr>
        <w:t>)</w:t>
      </w:r>
      <w:r w:rsidR="00E53287">
        <w:rPr>
          <w:rStyle w:val="normaltextrun"/>
          <w:rFonts w:eastAsiaTheme="majorEastAsia"/>
        </w:rPr>
        <w:t xml:space="preserve"> Inventory </w:t>
      </w:r>
      <w:r w:rsidR="00E53287">
        <w:rPr>
          <w:rStyle w:val="normaltextrun"/>
          <w:rFonts w:eastAsiaTheme="majorEastAsia"/>
        </w:rPr>
        <w:fldChar w:fldCharType="begin"/>
      </w:r>
      <w:r w:rsidR="00B9334F">
        <w:rPr>
          <w:rStyle w:val="normaltextrun"/>
          <w:rFonts w:eastAsiaTheme="majorEastAsia"/>
        </w:rPr>
        <w:instrText xml:space="preserve"> ADDIN EN.CITE &lt;EndNote&gt;&lt;Cite&gt;&lt;Author&gt;Ondersma&lt;/Author&gt;&lt;Year&gt;2005&lt;/Year&gt;&lt;RecNum&gt;480&lt;/RecNum&gt;&lt;DisplayText&gt;(Ondersma et al., 2005)&lt;/DisplayText&gt;&lt;record&gt;&lt;rec-number&gt;480&lt;/rec-number&gt;&lt;foreign-keys&gt;&lt;key app="EN" db-id="ffzvr5fstavwxoe9v04xf0wmp5t50as52da0" timestamp="1731671682" guid="185014df-b873-41fa-8685-e14b719169ae"&gt;480&lt;/key&gt;&lt;/foreign-keys&gt;&lt;ref-type name="Journal Article"&gt;17&lt;/ref-type&gt;&lt;contributors&gt;&lt;authors&gt;&lt;author&gt;Ondersma, S. J.&lt;/author&gt;&lt;author&gt;Chaffin, M. J.&lt;/author&gt;&lt;author&gt;Mullins, S. M.&lt;/author&gt;&lt;author&gt;LeBreton, J. M.&lt;/author&gt;&lt;/authors&gt;&lt;/contributors&gt;&lt;titles&gt;&lt;title&gt;A brief form of the child abuse potential inventory: development and validation&lt;/title&gt;&lt;alt-title&gt;J Clin Child Adolesc Psychol&lt;/alt-title&gt;&lt;/titles&gt;&lt;alt-periodical&gt;&lt;abbr-1&gt;J Clin Child Adolesc Psychol&lt;/abbr-1&gt;&lt;/alt-periodical&gt;&lt;pages&gt;301-311&lt;/pages&gt;&lt;volume&gt;34&lt;/volume&gt;&lt;dates&gt;&lt;year&gt;2005&lt;/year&gt;&lt;/dates&gt;&lt;label&gt;77.&lt;/label&gt;&lt;urls&gt;&lt;related-urls&gt;&lt;url&gt;https://doi.org/10.1207/s15374424jccp3402_9&lt;/url&gt;&lt;/related-urls&gt;&lt;/urls&gt;&lt;/record&gt;&lt;/Cite&gt;&lt;/EndNote&gt;</w:instrText>
      </w:r>
      <w:r w:rsidR="00E53287">
        <w:rPr>
          <w:rStyle w:val="normaltextrun"/>
          <w:rFonts w:eastAsiaTheme="majorEastAsia"/>
        </w:rPr>
        <w:fldChar w:fldCharType="separate"/>
      </w:r>
      <w:r w:rsidR="00A77498">
        <w:rPr>
          <w:rStyle w:val="normaltextrun"/>
          <w:rFonts w:eastAsiaTheme="majorEastAsia"/>
          <w:noProof/>
        </w:rPr>
        <w:t>(Ondersma et al., 2005)</w:t>
      </w:r>
      <w:r w:rsidR="00E53287">
        <w:rPr>
          <w:rStyle w:val="normaltextrun"/>
          <w:rFonts w:eastAsiaTheme="majorEastAsia"/>
        </w:rPr>
        <w:fldChar w:fldCharType="end"/>
      </w:r>
      <w:r w:rsidRPr="19709DD8">
        <w:rPr>
          <w:rStyle w:val="normaltextrun"/>
          <w:rFonts w:eastAsiaTheme="majorEastAsia"/>
        </w:rPr>
        <w:t xml:space="preserve">. </w:t>
      </w:r>
      <w:r>
        <w:t xml:space="preserve">Comparisons such as comparing pregnant </w:t>
      </w:r>
      <w:r w:rsidR="00AB7760">
        <w:t>women</w:t>
      </w:r>
      <w:r>
        <w:t xml:space="preserve"> with an alcohol user disorder to fathers not living with children with an opiate use disorder would be helpful in emphasising the differences among parents and how this might inform practice. </w:t>
      </w:r>
    </w:p>
    <w:p w14:paraId="7D70710C" w14:textId="77777777" w:rsidR="00AA5608" w:rsidRDefault="00AA5608" w:rsidP="00AA5608">
      <w:pPr>
        <w:pStyle w:val="NoSpacing"/>
        <w:spacing w:line="360" w:lineRule="auto"/>
      </w:pPr>
    </w:p>
    <w:p w14:paraId="5DADE03B" w14:textId="70C77010" w:rsidR="00AA5608" w:rsidRPr="00AC231B" w:rsidRDefault="00AA5608" w:rsidP="00AA5608">
      <w:pPr>
        <w:pStyle w:val="NoSpacing"/>
        <w:spacing w:line="360" w:lineRule="auto"/>
        <w:rPr>
          <w:rStyle w:val="normaltextrun"/>
        </w:rPr>
      </w:pPr>
      <w:r>
        <w:t xml:space="preserve">As this study was designed to be descriptive of characteristics, interventions and outcomes, it is subject to confounding and results should be interpreted with caution. </w:t>
      </w:r>
      <w:r w:rsidRPr="00E91B1E">
        <w:t xml:space="preserve">Future research could improve generalisability by adopting a quasi-experimental approach to compare </w:t>
      </w:r>
      <w:r>
        <w:t xml:space="preserve">treatment </w:t>
      </w:r>
      <w:r w:rsidRPr="00E91B1E">
        <w:t>outcomes for</w:t>
      </w:r>
      <w:r>
        <w:t xml:space="preserve"> parents</w:t>
      </w:r>
      <w:r w:rsidRPr="00E91B1E">
        <w:t xml:space="preserve">, such as </w:t>
      </w:r>
      <w:r>
        <w:t xml:space="preserve">a </w:t>
      </w:r>
      <w:r w:rsidRPr="00E91B1E">
        <w:t xml:space="preserve">propensity score </w:t>
      </w:r>
      <w:r>
        <w:t>analysis</w:t>
      </w:r>
      <w:r w:rsidRPr="00E91B1E">
        <w:t xml:space="preserve">. </w:t>
      </w:r>
      <w:r>
        <w:t>Given the dearth of research on interventions for parents with SUD in England,</w:t>
      </w:r>
      <w:r>
        <w:rPr>
          <w:rStyle w:val="normaltextrun"/>
          <w:rFonts w:eastAsiaTheme="majorEastAsia"/>
        </w:rPr>
        <w:t xml:space="preserve"> we hope that </w:t>
      </w:r>
      <w:r w:rsidRPr="001F7A4C">
        <w:rPr>
          <w:rStyle w:val="normaltextrun"/>
          <w:rFonts w:eastAsiaTheme="majorEastAsia"/>
        </w:rPr>
        <w:t xml:space="preserve">the findings of this study regarding </w:t>
      </w:r>
      <w:r>
        <w:rPr>
          <w:rStyle w:val="normaltextrun"/>
          <w:rFonts w:eastAsiaTheme="majorEastAsia"/>
        </w:rPr>
        <w:t xml:space="preserve">the types of </w:t>
      </w:r>
      <w:r w:rsidRPr="001F7A4C">
        <w:rPr>
          <w:rStyle w:val="normaltextrun"/>
          <w:rFonts w:eastAsiaTheme="majorEastAsia"/>
        </w:rPr>
        <w:t>parent</w:t>
      </w:r>
      <w:r>
        <w:rPr>
          <w:rStyle w:val="normaltextrun"/>
          <w:rFonts w:eastAsiaTheme="majorEastAsia"/>
        </w:rPr>
        <w:t xml:space="preserve"> who may</w:t>
      </w:r>
      <w:r w:rsidRPr="001F7A4C">
        <w:rPr>
          <w:rStyle w:val="normaltextrun"/>
          <w:rFonts w:eastAsiaTheme="majorEastAsia"/>
        </w:rPr>
        <w:t xml:space="preserve"> benefit from treatment</w:t>
      </w:r>
      <w:r>
        <w:rPr>
          <w:rStyle w:val="normaltextrun"/>
          <w:rFonts w:eastAsiaTheme="majorEastAsia"/>
        </w:rPr>
        <w:t xml:space="preserve"> and targeted prevention in the form of </w:t>
      </w:r>
      <w:r w:rsidR="00AB7760">
        <w:rPr>
          <w:rStyle w:val="normaltextrun"/>
          <w:rFonts w:eastAsiaTheme="majorEastAsia"/>
        </w:rPr>
        <w:t>parenting and/or family</w:t>
      </w:r>
      <w:r>
        <w:rPr>
          <w:rStyle w:val="normaltextrun"/>
          <w:rFonts w:eastAsiaTheme="majorEastAsia"/>
        </w:rPr>
        <w:t xml:space="preserve"> recovery support</w:t>
      </w:r>
      <w:r w:rsidRPr="001F7A4C">
        <w:rPr>
          <w:rStyle w:val="normaltextrun"/>
          <w:rFonts w:eastAsiaTheme="majorEastAsia"/>
        </w:rPr>
        <w:t xml:space="preserve"> might represent a useful contribution to the field.</w:t>
      </w:r>
    </w:p>
    <w:p w14:paraId="72800F79" w14:textId="77777777" w:rsidR="00AA5608" w:rsidRPr="002C0148" w:rsidRDefault="00AA5608" w:rsidP="00AA5608">
      <w:pPr>
        <w:pStyle w:val="NoSpacing"/>
        <w:spacing w:line="360" w:lineRule="auto"/>
        <w:rPr>
          <w:rFonts w:eastAsiaTheme="majorEastAsia"/>
        </w:rPr>
      </w:pPr>
    </w:p>
    <w:p w14:paraId="33C2DD9C" w14:textId="3DB3AF47" w:rsidR="00AA5608" w:rsidRDefault="00AA5608" w:rsidP="002D3F3C">
      <w:pPr>
        <w:pStyle w:val="Heading2"/>
        <w:numPr>
          <w:ilvl w:val="1"/>
          <w:numId w:val="19"/>
        </w:numPr>
        <w:spacing w:after="240" w:line="360" w:lineRule="auto"/>
      </w:pPr>
      <w:bookmarkStart w:id="81" w:name="_Toc189229686"/>
      <w:r>
        <w:lastRenderedPageBreak/>
        <w:t>Conclusion</w:t>
      </w:r>
      <w:bookmarkEnd w:id="81"/>
    </w:p>
    <w:p w14:paraId="55BC7CD7" w14:textId="500936D9" w:rsidR="00AA5608" w:rsidRDefault="00AA5608" w:rsidP="00AA5608">
      <w:pPr>
        <w:pStyle w:val="NoSpacing"/>
        <w:spacing w:line="360" w:lineRule="auto"/>
      </w:pPr>
      <w:r>
        <w:t xml:space="preserve">This is the first study to </w:t>
      </w:r>
      <w:r w:rsidRPr="00056E69">
        <w:t>focus on parents in the English treatment system</w:t>
      </w:r>
      <w:r>
        <w:t xml:space="preserve"> and</w:t>
      </w:r>
      <w:r w:rsidRPr="00056E69">
        <w:t xml:space="preserve"> explor</w:t>
      </w:r>
      <w:r>
        <w:t>e</w:t>
      </w:r>
      <w:r w:rsidRPr="00056E69">
        <w:t xml:space="preserve"> </w:t>
      </w:r>
      <w:r>
        <w:t xml:space="preserve">characteristics associated with child welfare interventions and treatment </w:t>
      </w:r>
      <w:r w:rsidRPr="00356D60">
        <w:t>completion. Our findings suggest that parents</w:t>
      </w:r>
      <w:r>
        <w:t xml:space="preserve"> </w:t>
      </w:r>
      <w:r w:rsidRPr="00356D60">
        <w:t xml:space="preserve">with SUD </w:t>
      </w:r>
      <w:r w:rsidRPr="7D3F90FC">
        <w:t xml:space="preserve">are </w:t>
      </w:r>
      <w:r>
        <w:t>not</w:t>
      </w:r>
      <w:r w:rsidRPr="00356D60">
        <w:t xml:space="preserve"> a homogenous group, and that treatment alongside </w:t>
      </w:r>
      <w:r>
        <w:t xml:space="preserve">targeted prevention in the form </w:t>
      </w:r>
      <w:r w:rsidR="00AB7760">
        <w:t>parenting and/or family</w:t>
      </w:r>
      <w:r w:rsidRPr="007B2493">
        <w:t xml:space="preserve"> recovery support </w:t>
      </w:r>
      <w:r>
        <w:t xml:space="preserve">could potentially benefit parents </w:t>
      </w:r>
      <w:r w:rsidRPr="007B2493">
        <w:t>regardless of child living arrangements</w:t>
      </w:r>
      <w:r>
        <w:t>. As t</w:t>
      </w:r>
      <w:r w:rsidRPr="7D3F90FC">
        <w:t>his</w:t>
      </w:r>
      <w:r>
        <w:t xml:space="preserve"> </w:t>
      </w:r>
      <w:r w:rsidRPr="7D3F90FC">
        <w:t>is</w:t>
      </w:r>
      <w:r>
        <w:t xml:space="preserve"> a descriptive study, results should be interpreted with caution</w:t>
      </w:r>
      <w:r w:rsidRPr="7D3F90FC">
        <w:t>, and further research to estimate effects adjusting as fully as possible for confounders is a priority</w:t>
      </w:r>
      <w:r>
        <w:t xml:space="preserve">. </w:t>
      </w:r>
    </w:p>
    <w:p w14:paraId="37616093" w14:textId="77777777" w:rsidR="00004800" w:rsidRDefault="00004800"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37408234" w14:textId="0EBD2E92" w:rsidR="00895313" w:rsidRPr="00895313" w:rsidRDefault="00004800" w:rsidP="002D3F3C">
      <w:pPr>
        <w:pStyle w:val="Heading2"/>
        <w:numPr>
          <w:ilvl w:val="1"/>
          <w:numId w:val="19"/>
        </w:numPr>
        <w:spacing w:after="240" w:line="360" w:lineRule="auto"/>
      </w:pPr>
      <w:bookmarkStart w:id="82" w:name="_Toc189229687"/>
      <w:r w:rsidRPr="00895313">
        <w:t>Supplementary analysis</w:t>
      </w:r>
      <w:bookmarkEnd w:id="82"/>
    </w:p>
    <w:p w14:paraId="71B8CA70" w14:textId="176A32F2" w:rsidR="006331CF" w:rsidRDefault="00895313" w:rsidP="004E12F5">
      <w:pPr>
        <w:pStyle w:val="paragraph"/>
        <w:spacing w:before="0" w:beforeAutospacing="0" w:after="0" w:afterAutospacing="0" w:line="360" w:lineRule="auto"/>
        <w:textAlignment w:val="baseline"/>
        <w:rPr>
          <w:rFonts w:ascii="Arial" w:eastAsiaTheme="minorHAnsi" w:hAnsi="Arial" w:cs="Arial"/>
          <w:szCs w:val="22"/>
          <w:lang w:eastAsia="en-US"/>
        </w:rPr>
      </w:pPr>
      <w:r>
        <w:rPr>
          <w:rFonts w:ascii="Arial" w:eastAsiaTheme="minorHAnsi" w:hAnsi="Arial" w:cs="Arial"/>
          <w:szCs w:val="22"/>
          <w:lang w:eastAsia="en-US"/>
        </w:rPr>
        <w:t xml:space="preserve">This section presents useful information that was not included in the journal paper submission </w:t>
      </w:r>
      <w:r w:rsidR="00EA4C75">
        <w:rPr>
          <w:rFonts w:ascii="Arial" w:eastAsiaTheme="minorHAnsi" w:hAnsi="Arial" w:cs="Arial"/>
          <w:szCs w:val="22"/>
          <w:lang w:eastAsia="en-US"/>
        </w:rPr>
        <w:t>as the</w:t>
      </w:r>
      <w:r>
        <w:rPr>
          <w:rFonts w:ascii="Arial" w:eastAsiaTheme="minorHAnsi" w:hAnsi="Arial" w:cs="Arial"/>
          <w:szCs w:val="22"/>
          <w:lang w:eastAsia="en-US"/>
        </w:rPr>
        <w:t xml:space="preserve"> </w:t>
      </w:r>
      <w:r w:rsidR="00157E03">
        <w:rPr>
          <w:rFonts w:ascii="Arial" w:eastAsiaTheme="minorHAnsi" w:hAnsi="Arial" w:cs="Arial"/>
          <w:szCs w:val="22"/>
          <w:lang w:eastAsia="en-US"/>
        </w:rPr>
        <w:t>suggested a narrower focus</w:t>
      </w:r>
      <w:r w:rsidR="009C4F2A">
        <w:rPr>
          <w:rFonts w:ascii="Arial" w:eastAsiaTheme="minorHAnsi" w:hAnsi="Arial" w:cs="Arial"/>
          <w:szCs w:val="22"/>
          <w:lang w:eastAsia="en-US"/>
        </w:rPr>
        <w:t xml:space="preserve"> </w:t>
      </w:r>
      <w:r w:rsidR="008A7143">
        <w:rPr>
          <w:rFonts w:ascii="Arial" w:eastAsiaTheme="minorHAnsi" w:hAnsi="Arial" w:cs="Arial"/>
          <w:szCs w:val="22"/>
          <w:lang w:eastAsia="en-US"/>
        </w:rPr>
        <w:t>for resubmission</w:t>
      </w:r>
      <w:r w:rsidR="004E12F5">
        <w:rPr>
          <w:rFonts w:ascii="Arial" w:eastAsiaTheme="minorHAnsi" w:hAnsi="Arial" w:cs="Arial"/>
          <w:szCs w:val="22"/>
          <w:lang w:eastAsia="en-US"/>
        </w:rPr>
        <w:t xml:space="preserve">, separating out </w:t>
      </w:r>
      <w:r w:rsidR="00071BC7">
        <w:rPr>
          <w:rFonts w:ascii="Arial" w:eastAsiaTheme="minorHAnsi" w:hAnsi="Arial" w:cs="Arial"/>
          <w:szCs w:val="22"/>
          <w:lang w:eastAsia="en-US"/>
        </w:rPr>
        <w:t>fathers</w:t>
      </w:r>
      <w:r w:rsidR="004E12F5">
        <w:rPr>
          <w:rFonts w:ascii="Arial" w:eastAsiaTheme="minorHAnsi" w:hAnsi="Arial" w:cs="Arial"/>
          <w:szCs w:val="22"/>
          <w:lang w:eastAsia="en-US"/>
        </w:rPr>
        <w:t xml:space="preserve"> and </w:t>
      </w:r>
      <w:r w:rsidR="00AB7760">
        <w:rPr>
          <w:rFonts w:ascii="Arial" w:eastAsiaTheme="minorHAnsi" w:hAnsi="Arial" w:cs="Arial"/>
          <w:szCs w:val="22"/>
          <w:lang w:eastAsia="en-US"/>
        </w:rPr>
        <w:t>mothers</w:t>
      </w:r>
      <w:r w:rsidR="00157E03">
        <w:rPr>
          <w:rFonts w:ascii="Arial" w:eastAsiaTheme="minorHAnsi" w:hAnsi="Arial" w:cs="Arial"/>
          <w:szCs w:val="22"/>
          <w:lang w:eastAsia="en-US"/>
        </w:rPr>
        <w:t>.</w:t>
      </w:r>
      <w:r w:rsidR="00571886">
        <w:rPr>
          <w:rFonts w:ascii="Arial" w:eastAsiaTheme="minorHAnsi" w:hAnsi="Arial" w:cs="Arial"/>
          <w:szCs w:val="22"/>
          <w:lang w:eastAsia="en-US"/>
        </w:rPr>
        <w:t xml:space="preserve"> Discussion on the findings</w:t>
      </w:r>
      <w:r w:rsidR="00071BC7">
        <w:rPr>
          <w:rFonts w:ascii="Arial" w:eastAsiaTheme="minorHAnsi" w:hAnsi="Arial" w:cs="Arial"/>
          <w:szCs w:val="22"/>
          <w:lang w:eastAsia="en-US"/>
        </w:rPr>
        <w:t xml:space="preserve"> below</w:t>
      </w:r>
      <w:r w:rsidR="00571886">
        <w:rPr>
          <w:rFonts w:ascii="Arial" w:eastAsiaTheme="minorHAnsi" w:hAnsi="Arial" w:cs="Arial"/>
          <w:szCs w:val="22"/>
          <w:lang w:eastAsia="en-US"/>
        </w:rPr>
        <w:t xml:space="preserve"> (interpretation and contextualising) can be found in chapter </w:t>
      </w:r>
      <w:r w:rsidR="004B0E89">
        <w:rPr>
          <w:rFonts w:ascii="Arial" w:eastAsiaTheme="minorHAnsi" w:hAnsi="Arial" w:cs="Arial"/>
          <w:szCs w:val="22"/>
          <w:lang w:eastAsia="en-US"/>
        </w:rPr>
        <w:t>6.</w:t>
      </w:r>
    </w:p>
    <w:p w14:paraId="0DEE13A8" w14:textId="77777777" w:rsidR="004E12F5" w:rsidRPr="004E12F5" w:rsidRDefault="004E12F5" w:rsidP="004E12F5">
      <w:pPr>
        <w:pStyle w:val="paragraph"/>
        <w:spacing w:before="0" w:beforeAutospacing="0" w:after="0" w:afterAutospacing="0" w:line="360" w:lineRule="auto"/>
        <w:textAlignment w:val="baseline"/>
        <w:rPr>
          <w:rFonts w:ascii="Arial" w:eastAsiaTheme="minorHAnsi" w:hAnsi="Arial" w:cs="Arial"/>
          <w:szCs w:val="22"/>
          <w:lang w:eastAsia="en-US"/>
        </w:rPr>
      </w:pPr>
    </w:p>
    <w:p w14:paraId="2821FA81" w14:textId="26026AB8" w:rsidR="0069410D" w:rsidRDefault="00C9313D" w:rsidP="00822531">
      <w:pPr>
        <w:pStyle w:val="NoSpacing"/>
        <w:spacing w:line="360" w:lineRule="auto"/>
      </w:pPr>
      <w:r w:rsidRPr="00C9313D">
        <w:fldChar w:fldCharType="begin"/>
      </w:r>
      <w:r w:rsidRPr="00C9313D">
        <w:instrText xml:space="preserve"> REF _Ref176790394 \h  \* MERGEFORMAT </w:instrText>
      </w:r>
      <w:r w:rsidRPr="00C9313D">
        <w:fldChar w:fldCharType="separate"/>
      </w:r>
      <w:r w:rsidRPr="00C9313D">
        <w:t xml:space="preserve">Table </w:t>
      </w:r>
      <w:r w:rsidRPr="00C9313D">
        <w:rPr>
          <w:noProof/>
        </w:rPr>
        <w:t>3.7</w:t>
      </w:r>
      <w:r w:rsidRPr="00C9313D">
        <w:noBreakHyphen/>
      </w:r>
      <w:r w:rsidRPr="00C9313D">
        <w:rPr>
          <w:noProof/>
        </w:rPr>
        <w:t>1</w:t>
      </w:r>
      <w:r w:rsidRPr="00C9313D">
        <w:fldChar w:fldCharType="end"/>
      </w:r>
      <w:r>
        <w:t xml:space="preserve"> </w:t>
      </w:r>
      <w:r w:rsidR="006331CF" w:rsidRPr="00C9313D">
        <w:t xml:space="preserve">shows </w:t>
      </w:r>
      <w:r w:rsidR="00822531">
        <w:t xml:space="preserve">the baseline characteristics of parents and non-parents. </w:t>
      </w:r>
      <w:r w:rsidR="0069410D" w:rsidRPr="00905C50">
        <w:rPr>
          <w:szCs w:val="22"/>
        </w:rPr>
        <w:t>Over half of the sample were not parents (NP, 51.8%), followed by parents not living with their children (</w:t>
      </w:r>
      <w:r w:rsidR="00365834">
        <w:rPr>
          <w:szCs w:val="22"/>
        </w:rPr>
        <w:t>NWC</w:t>
      </w:r>
      <w:r w:rsidR="0069410D" w:rsidRPr="00905C50">
        <w:rPr>
          <w:szCs w:val="22"/>
        </w:rPr>
        <w:t>, 33.0%)</w:t>
      </w:r>
      <w:r w:rsidR="0069410D">
        <w:rPr>
          <w:szCs w:val="22"/>
        </w:rPr>
        <w:t xml:space="preserve"> and parents living with children (L</w:t>
      </w:r>
      <w:r w:rsidR="00365834">
        <w:rPr>
          <w:szCs w:val="22"/>
        </w:rPr>
        <w:t>WC</w:t>
      </w:r>
      <w:r w:rsidR="0069410D">
        <w:rPr>
          <w:szCs w:val="22"/>
        </w:rPr>
        <w:t xml:space="preserve">, 15.2%). </w:t>
      </w:r>
      <w:r w:rsidR="0069410D">
        <w:t>Parents not living with children</w:t>
      </w:r>
      <w:r w:rsidR="0069410D" w:rsidRPr="00905C50">
        <w:t xml:space="preserve"> appeared to be the most complex group</w:t>
      </w:r>
      <w:r w:rsidR="0069410D">
        <w:t xml:space="preserve"> of the three</w:t>
      </w:r>
      <w:r w:rsidR="0069410D">
        <w:rPr>
          <w:szCs w:val="22"/>
        </w:rPr>
        <w:t>. Characteristics significantly associated with this group were: being pregnant (</w:t>
      </w:r>
      <w:r w:rsidR="0069410D">
        <w:t>L</w:t>
      </w:r>
      <w:r w:rsidR="00365834">
        <w:t>W</w:t>
      </w:r>
      <w:r w:rsidR="0069410D">
        <w:t>C=1</w:t>
      </w:r>
      <w:r w:rsidR="0069410D" w:rsidRPr="00905C50">
        <w:t>.</w:t>
      </w:r>
      <w:r w:rsidR="0069410D">
        <w:t>5</w:t>
      </w:r>
      <w:r w:rsidR="0069410D" w:rsidRPr="00905C50">
        <w:t>%</w:t>
      </w:r>
      <w:r w:rsidR="0069410D">
        <w:t>, N</w:t>
      </w:r>
      <w:r w:rsidR="00365834">
        <w:t>W</w:t>
      </w:r>
      <w:r w:rsidR="0069410D">
        <w:t>C</w:t>
      </w:r>
      <w:r w:rsidR="0069410D" w:rsidRPr="00DE2B4C">
        <w:t xml:space="preserve">= </w:t>
      </w:r>
      <w:r w:rsidR="0069410D">
        <w:t>1</w:t>
      </w:r>
      <w:r w:rsidR="0069410D" w:rsidRPr="00DE2B4C">
        <w:t>.</w:t>
      </w:r>
      <w:r w:rsidR="0069410D">
        <w:t>2</w:t>
      </w:r>
      <w:r w:rsidR="0069410D" w:rsidRPr="00DE2B4C">
        <w:t>%, R</w:t>
      </w:r>
      <w:r w:rsidR="0069410D">
        <w:t xml:space="preserve">elative </w:t>
      </w:r>
      <w:r w:rsidR="0069410D" w:rsidRPr="00DE2B4C">
        <w:t>R</w:t>
      </w:r>
      <w:r w:rsidR="0069410D">
        <w:t xml:space="preserve">isk </w:t>
      </w:r>
      <w:r w:rsidR="0069410D" w:rsidRPr="00DE2B4C">
        <w:t>R</w:t>
      </w:r>
      <w:r w:rsidR="0069410D">
        <w:t>atio [RRR]</w:t>
      </w:r>
      <w:r w:rsidR="0069410D" w:rsidRPr="00DE2B4C">
        <w:t>=1.</w:t>
      </w:r>
      <w:r w:rsidR="0069410D">
        <w:t>47</w:t>
      </w:r>
      <w:r w:rsidR="0069410D" w:rsidRPr="00DE2B4C">
        <w:t>,</w:t>
      </w:r>
      <w:r w:rsidR="0069410D">
        <w:t xml:space="preserve"> 95% CI: 1.16-1.85,</w:t>
      </w:r>
      <w:r w:rsidR="0069410D" w:rsidRPr="00DE2B4C">
        <w:t xml:space="preserve"> p&lt;0.01</w:t>
      </w:r>
      <w:r w:rsidR="0069410D">
        <w:t xml:space="preserve">, </w:t>
      </w:r>
      <w:r w:rsidR="0069410D" w:rsidRPr="00DE2B4C">
        <w:t>NP=</w:t>
      </w:r>
      <w:r w:rsidR="0069410D">
        <w:t>0.5</w:t>
      </w:r>
      <w:r w:rsidR="0069410D" w:rsidRPr="00DE2B4C">
        <w:t>%, RRR=</w:t>
      </w:r>
      <w:r w:rsidR="0069410D">
        <w:t>0.86, 95% CI: 0.67-1.09</w:t>
      </w:r>
      <w:r w:rsidR="0069410D" w:rsidRPr="00DE2B4C">
        <w:t xml:space="preserve">, </w:t>
      </w:r>
      <w:r w:rsidR="0069410D">
        <w:t>p&lt;0.01); having a housing problem (L</w:t>
      </w:r>
      <w:r w:rsidR="00365834">
        <w:t>W</w:t>
      </w:r>
      <w:r w:rsidR="0069410D">
        <w:t>C=6.6</w:t>
      </w:r>
      <w:r w:rsidR="0069410D" w:rsidRPr="00905C50">
        <w:t>%</w:t>
      </w:r>
      <w:r w:rsidR="0069410D">
        <w:t>, N</w:t>
      </w:r>
      <w:r w:rsidR="00365834">
        <w:t>W</w:t>
      </w:r>
      <w:r w:rsidR="0069410D">
        <w:t>C</w:t>
      </w:r>
      <w:r w:rsidR="0069410D" w:rsidRPr="00DE2B4C">
        <w:t xml:space="preserve">= </w:t>
      </w:r>
      <w:r w:rsidR="0069410D">
        <w:t>14.9</w:t>
      </w:r>
      <w:r w:rsidR="0069410D" w:rsidRPr="00DE2B4C">
        <w:t>%, RRR=</w:t>
      </w:r>
      <w:r w:rsidR="0069410D">
        <w:t>2</w:t>
      </w:r>
      <w:r w:rsidR="0069410D" w:rsidRPr="00DE2B4C">
        <w:t>.</w:t>
      </w:r>
      <w:r w:rsidR="0069410D">
        <w:t>26 95% CI: 2.08-2.46</w:t>
      </w:r>
      <w:r w:rsidR="0069410D" w:rsidRPr="00DE2B4C">
        <w:t>, p&lt;0.01</w:t>
      </w:r>
      <w:r w:rsidR="0069410D">
        <w:t xml:space="preserve">, </w:t>
      </w:r>
      <w:r w:rsidR="0069410D" w:rsidRPr="00DE2B4C">
        <w:t>NP=</w:t>
      </w:r>
      <w:r w:rsidR="0069410D">
        <w:t>10.1</w:t>
      </w:r>
      <w:r w:rsidR="0069410D" w:rsidRPr="00DE2B4C">
        <w:t>%, RRR=</w:t>
      </w:r>
      <w:r w:rsidR="0069410D">
        <w:t>1.71, 95% CI: 1.55-1.88</w:t>
      </w:r>
      <w:r w:rsidR="0069410D" w:rsidRPr="00DE2B4C">
        <w:t>,</w:t>
      </w:r>
      <w:r w:rsidR="0069410D">
        <w:t xml:space="preserve"> p&lt;0.01); </w:t>
      </w:r>
      <w:r w:rsidR="0069410D" w:rsidRPr="00905C50">
        <w:t>a criminal justice referral (</w:t>
      </w:r>
      <w:r w:rsidR="0069410D">
        <w:t>L</w:t>
      </w:r>
      <w:r w:rsidR="00365834">
        <w:t>W</w:t>
      </w:r>
      <w:r w:rsidR="0069410D">
        <w:t>C=5.5</w:t>
      </w:r>
      <w:r w:rsidR="0069410D" w:rsidRPr="00905C50">
        <w:t>%</w:t>
      </w:r>
      <w:r w:rsidR="0069410D">
        <w:t>, N</w:t>
      </w:r>
      <w:r w:rsidR="00365834">
        <w:t>W</w:t>
      </w:r>
      <w:r w:rsidR="0069410D">
        <w:t>C</w:t>
      </w:r>
      <w:r w:rsidR="0069410D" w:rsidRPr="00DE2B4C">
        <w:t xml:space="preserve">= </w:t>
      </w:r>
      <w:r w:rsidR="0069410D">
        <w:t>19.8</w:t>
      </w:r>
      <w:r w:rsidR="0069410D" w:rsidRPr="00DE2B4C">
        <w:t>%, RRR=</w:t>
      </w:r>
      <w:r w:rsidR="0069410D">
        <w:t>2</w:t>
      </w:r>
      <w:r w:rsidR="0069410D" w:rsidRPr="00DE2B4C">
        <w:t>.</w:t>
      </w:r>
      <w:r w:rsidR="0069410D">
        <w:t>21 95% CI: 1.99-2.46</w:t>
      </w:r>
      <w:r w:rsidR="0069410D" w:rsidRPr="00DE2B4C">
        <w:t>, p&lt;0.01</w:t>
      </w:r>
      <w:r w:rsidR="0069410D">
        <w:t>); and being in treatment once before during the reporting period (L</w:t>
      </w:r>
      <w:r w:rsidR="00365834">
        <w:t>W</w:t>
      </w:r>
      <w:r w:rsidR="0069410D">
        <w:t>C=14.8%, N</w:t>
      </w:r>
      <w:r w:rsidR="00365834">
        <w:t>W</w:t>
      </w:r>
      <w:r w:rsidR="0069410D">
        <w:t>C=22.5%, RRR=1.43, 95% CI=1.34-1.52, p&lt;0.01, NP=19.0%, RRR=1.25, 95% CI=1.17-1.34, p&lt;0.01).</w:t>
      </w:r>
    </w:p>
    <w:p w14:paraId="1027AEA5" w14:textId="77777777" w:rsidR="006C5F00" w:rsidRDefault="006C5F00" w:rsidP="0069410D">
      <w:pPr>
        <w:pStyle w:val="paragraph"/>
        <w:spacing w:before="0" w:beforeAutospacing="0" w:after="0" w:afterAutospacing="0" w:line="360" w:lineRule="auto"/>
        <w:textAlignment w:val="baseline"/>
        <w:rPr>
          <w:rFonts w:ascii="Arial" w:hAnsi="Arial" w:cs="Arial"/>
        </w:rPr>
      </w:pPr>
    </w:p>
    <w:p w14:paraId="5A495AE9" w14:textId="03F85CE6" w:rsidR="006C5F00" w:rsidRPr="007E124A" w:rsidRDefault="00C9313D" w:rsidP="006C5F00">
      <w:pPr>
        <w:pStyle w:val="NoSpacing"/>
        <w:spacing w:line="360" w:lineRule="auto"/>
      </w:pPr>
      <w:r w:rsidRPr="00C9313D">
        <w:fldChar w:fldCharType="begin"/>
      </w:r>
      <w:r w:rsidRPr="00C9313D">
        <w:instrText xml:space="preserve"> REF _Ref176790380 \h  \* MERGEFORMAT </w:instrText>
      </w:r>
      <w:r w:rsidRPr="00C9313D">
        <w:fldChar w:fldCharType="separate"/>
      </w:r>
      <w:r w:rsidRPr="00C9313D">
        <w:t xml:space="preserve">Table </w:t>
      </w:r>
      <w:r w:rsidRPr="00C9313D">
        <w:rPr>
          <w:noProof/>
        </w:rPr>
        <w:t>3.7</w:t>
      </w:r>
      <w:r w:rsidRPr="00C9313D">
        <w:noBreakHyphen/>
      </w:r>
      <w:r w:rsidRPr="00C9313D">
        <w:rPr>
          <w:noProof/>
        </w:rPr>
        <w:t>2</w:t>
      </w:r>
      <w:r w:rsidRPr="00C9313D">
        <w:fldChar w:fldCharType="end"/>
      </w:r>
      <w:r w:rsidRPr="00C9313D">
        <w:t xml:space="preserve"> </w:t>
      </w:r>
      <w:r w:rsidR="006C5F00" w:rsidRPr="00C9313D">
        <w:t xml:space="preserve">shows that </w:t>
      </w:r>
      <w:r w:rsidR="00AB7760" w:rsidRPr="00C9313D">
        <w:t>mothers</w:t>
      </w:r>
      <w:r w:rsidR="006C5F00" w:rsidRPr="00C9313D">
        <w:t xml:space="preserve"> were significantly more likely to receive any kind of</w:t>
      </w:r>
      <w:r w:rsidR="006C5F00">
        <w:t xml:space="preserve"> </w:t>
      </w:r>
      <w:r w:rsidR="000A7C03">
        <w:t>integrated</w:t>
      </w:r>
      <w:r w:rsidR="006C5F00">
        <w:t xml:space="preserve"> </w:t>
      </w:r>
      <w:r w:rsidR="006C5F00" w:rsidRPr="005421D6">
        <w:t>support</w:t>
      </w:r>
      <w:r w:rsidR="006C5F00">
        <w:t xml:space="preserve"> irrespective of whether they lived with children or not</w:t>
      </w:r>
      <w:r w:rsidR="006C5F00" w:rsidRPr="005421D6">
        <w:t xml:space="preserve"> (all </w:t>
      </w:r>
      <w:r w:rsidR="006C5F00">
        <w:t xml:space="preserve">child </w:t>
      </w:r>
      <w:r w:rsidR="006C5F00">
        <w:lastRenderedPageBreak/>
        <w:t xml:space="preserve">welfare </w:t>
      </w:r>
      <w:r w:rsidR="006C5F00" w:rsidRPr="005421D6">
        <w:t xml:space="preserve">categories p&lt;0.01). </w:t>
      </w:r>
      <w:r w:rsidR="006C5F00">
        <w:t xml:space="preserve">Being older than 18-24 was associated with reduced likelihood, e.g. parents living with children in the 35-44 age category were less than half as likely as 18-24 year olds to receive early help (RRR=0.45, 95% CI: 0.31-0.65, p&lt;0.01), or having a child categorised as ‘in need’ (RRR=0.44, 95% CI: 0.31-0.63, p&lt;0.01) than no </w:t>
      </w:r>
      <w:r w:rsidR="000A7C03">
        <w:t xml:space="preserve">integrated </w:t>
      </w:r>
      <w:r w:rsidR="006C5F00">
        <w:t xml:space="preserve">support. Parents receiving </w:t>
      </w:r>
      <w:r w:rsidR="00AB7760">
        <w:t>parenting and/or family</w:t>
      </w:r>
      <w:r w:rsidR="006C5F00">
        <w:t xml:space="preserve"> recovery support as part of their treatment intervention, were more likely to also be receiving early help, child in need or child protection child welfare support (all p&lt;0.01).</w:t>
      </w:r>
    </w:p>
    <w:p w14:paraId="4B318E63" w14:textId="77777777" w:rsidR="006C5F00" w:rsidRDefault="006C5F00" w:rsidP="006C5F00">
      <w:pPr>
        <w:pStyle w:val="NoSpacing"/>
        <w:spacing w:line="360" w:lineRule="auto"/>
      </w:pPr>
    </w:p>
    <w:p w14:paraId="57950116" w14:textId="7AA29597" w:rsidR="006E5617" w:rsidRDefault="006C5F00" w:rsidP="000E3027">
      <w:pPr>
        <w:pStyle w:val="NoSpacing"/>
        <w:spacing w:line="360" w:lineRule="auto"/>
      </w:pPr>
      <w:r>
        <w:t>P</w:t>
      </w:r>
      <w:r w:rsidRPr="000C003D">
        <w:t xml:space="preserve">arents </w:t>
      </w:r>
      <w:r>
        <w:t>living</w:t>
      </w:r>
      <w:r w:rsidRPr="000C003D">
        <w:t xml:space="preserve"> with more than one child were </w:t>
      </w:r>
      <w:r>
        <w:t xml:space="preserve">significantly </w:t>
      </w:r>
      <w:r w:rsidRPr="000C003D">
        <w:t xml:space="preserve">more likely to receive </w:t>
      </w:r>
      <w:r>
        <w:t>early help, child in need or child protection child welfare support</w:t>
      </w:r>
      <w:r w:rsidRPr="000C003D">
        <w:t xml:space="preserve">, with </w:t>
      </w:r>
      <w:r>
        <w:t>relative risk</w:t>
      </w:r>
      <w:r w:rsidRPr="000C003D">
        <w:t xml:space="preserve"> increasing the more children were at home. For example,</w:t>
      </w:r>
      <w:r>
        <w:t xml:space="preserve"> those living with two children were 1.16 times more likely to have a child on a protection plan than be in receipt of treatment alone (95% CI: 1.02-1.32, p&lt;0.05), while those with three or more children were 1.75 times more likely (95% CI: 1.53-1.99, p&lt;0.01). Parents who lived with children and who</w:t>
      </w:r>
      <w:r w:rsidRPr="00FA53F8">
        <w:t xml:space="preserve"> inject</w:t>
      </w:r>
      <w:r>
        <w:t>ed</w:t>
      </w:r>
      <w:r w:rsidRPr="00FA53F8">
        <w:t xml:space="preserve"> drugs</w:t>
      </w:r>
      <w:r>
        <w:t xml:space="preserve"> were</w:t>
      </w:r>
      <w:r w:rsidRPr="00FA53F8">
        <w:t xml:space="preserve"> </w:t>
      </w:r>
      <w:r>
        <w:t>more likely to</w:t>
      </w:r>
      <w:r w:rsidRPr="00FA53F8">
        <w:t xml:space="preserve"> </w:t>
      </w:r>
      <w:r>
        <w:t xml:space="preserve">have </w:t>
      </w:r>
      <w:r w:rsidRPr="00FA53F8">
        <w:t>a child looked after (</w:t>
      </w:r>
      <w:r>
        <w:t>RRR</w:t>
      </w:r>
      <w:r w:rsidRPr="00FA53F8">
        <w:t>=2.93, 95% CI: 1.49-5.77, p&lt;0.01</w:t>
      </w:r>
      <w:r>
        <w:t xml:space="preserve">), as were those in receipt of domestic abuse recovery </w:t>
      </w:r>
      <w:r w:rsidRPr="00D124EB">
        <w:t>support (RRR=2.54, 95% CI: 1.07-6.03, p&lt;0.05) or inpatient rehabilitation (RRR=2.06, 95</w:t>
      </w:r>
      <w:r>
        <w:t xml:space="preserve">% CI: 1.21-3.49, p&lt;0.01). </w:t>
      </w:r>
    </w:p>
    <w:p w14:paraId="5144DFC5" w14:textId="77777777" w:rsidR="006C5F00" w:rsidRDefault="006C5F00" w:rsidP="0069410D">
      <w:pPr>
        <w:pStyle w:val="paragraph"/>
        <w:spacing w:before="0" w:beforeAutospacing="0" w:after="0" w:afterAutospacing="0" w:line="360" w:lineRule="auto"/>
        <w:textAlignment w:val="baseline"/>
        <w:rPr>
          <w:rFonts w:ascii="Arial" w:hAnsi="Arial" w:cs="Arial"/>
        </w:rPr>
      </w:pPr>
    </w:p>
    <w:p w14:paraId="13888D49" w14:textId="77777777" w:rsidR="0069410D" w:rsidRDefault="0069410D" w:rsidP="006331CF">
      <w:pPr>
        <w:pStyle w:val="NoSpacing"/>
        <w:spacing w:line="360" w:lineRule="auto"/>
      </w:pPr>
    </w:p>
    <w:p w14:paraId="28FC2532" w14:textId="77777777" w:rsidR="00B0054B" w:rsidRDefault="00B0054B" w:rsidP="00AC0575">
      <w:pPr>
        <w:pStyle w:val="NoSpacing"/>
        <w:rPr>
          <w:b/>
          <w:bCs/>
        </w:rPr>
        <w:sectPr w:rsidR="00B0054B" w:rsidSect="00B0054B">
          <w:pgSz w:w="11906" w:h="16838"/>
          <w:pgMar w:top="1440" w:right="1440" w:bottom="1440" w:left="1440" w:header="709" w:footer="709" w:gutter="0"/>
          <w:cols w:space="708"/>
          <w:docGrid w:linePitch="360"/>
        </w:sectPr>
      </w:pPr>
    </w:p>
    <w:p w14:paraId="4DC22444" w14:textId="7C360111" w:rsidR="00AC0575" w:rsidRPr="001E6E75" w:rsidRDefault="003544A3" w:rsidP="00D47997">
      <w:pPr>
        <w:pStyle w:val="Caption"/>
        <w:rPr>
          <w:b w:val="0"/>
          <w:bCs w:val="0"/>
          <w:i/>
          <w:iCs/>
          <w:color w:val="auto"/>
          <w:sz w:val="24"/>
          <w:szCs w:val="24"/>
        </w:rPr>
      </w:pPr>
      <w:bookmarkStart w:id="83" w:name="_Ref176790394"/>
      <w:bookmarkStart w:id="84" w:name="_Toc185844993"/>
      <w:r>
        <w:rPr>
          <w:b w:val="0"/>
          <w:bCs w:val="0"/>
          <w:i/>
          <w:iCs/>
          <w:color w:val="auto"/>
          <w:sz w:val="24"/>
          <w:szCs w:val="24"/>
        </w:rPr>
        <w:lastRenderedPageBreak/>
        <w:t>Table</w:t>
      </w:r>
      <w:r w:rsidR="00D47997" w:rsidRPr="001E6E75">
        <w:rPr>
          <w:b w:val="0"/>
          <w:bCs w:val="0"/>
          <w:i/>
          <w:iCs/>
          <w:color w:val="auto"/>
          <w:sz w:val="24"/>
          <w:szCs w:val="24"/>
        </w:rPr>
        <w:t xml:space="preserv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3.7</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1</w:t>
      </w:r>
      <w:r w:rsidR="00367870">
        <w:rPr>
          <w:b w:val="0"/>
          <w:bCs w:val="0"/>
          <w:i/>
          <w:iCs/>
          <w:color w:val="auto"/>
          <w:sz w:val="24"/>
          <w:szCs w:val="24"/>
        </w:rPr>
        <w:fldChar w:fldCharType="end"/>
      </w:r>
      <w:bookmarkEnd w:id="83"/>
      <w:r w:rsidR="001E6E75">
        <w:rPr>
          <w:b w:val="0"/>
          <w:bCs w:val="0"/>
          <w:i/>
          <w:iCs/>
          <w:color w:val="auto"/>
          <w:sz w:val="24"/>
          <w:szCs w:val="24"/>
        </w:rPr>
        <w:tab/>
      </w:r>
      <w:r w:rsidR="004317CF" w:rsidRPr="001E6E75">
        <w:rPr>
          <w:b w:val="0"/>
          <w:bCs w:val="0"/>
          <w:i/>
          <w:iCs/>
          <w:color w:val="auto"/>
          <w:sz w:val="24"/>
          <w:szCs w:val="24"/>
        </w:rPr>
        <w:t>B</w:t>
      </w:r>
      <w:r w:rsidR="00AC0575" w:rsidRPr="001E6E75">
        <w:rPr>
          <w:rFonts w:cs="Arial"/>
          <w:b w:val="0"/>
          <w:bCs w:val="0"/>
          <w:i/>
          <w:iCs/>
          <w:color w:val="auto"/>
          <w:sz w:val="24"/>
          <w:szCs w:val="24"/>
        </w:rPr>
        <w:t xml:space="preserve">aseline characteristics and interventions received of study cohort </w:t>
      </w:r>
      <w:r w:rsidR="00D47A94" w:rsidRPr="001E6E75">
        <w:rPr>
          <w:b w:val="0"/>
          <w:bCs w:val="0"/>
          <w:i/>
          <w:iCs/>
          <w:color w:val="auto"/>
          <w:sz w:val="24"/>
          <w:szCs w:val="24"/>
        </w:rPr>
        <w:t>(n=</w:t>
      </w:r>
      <w:r w:rsidR="002F491B" w:rsidRPr="001E6E75">
        <w:rPr>
          <w:b w:val="0"/>
          <w:bCs w:val="0"/>
          <w:i/>
          <w:iCs/>
          <w:color w:val="auto"/>
          <w:sz w:val="24"/>
          <w:szCs w:val="24"/>
        </w:rPr>
        <w:t>119,261</w:t>
      </w:r>
      <w:r w:rsidR="00D47A94" w:rsidRPr="001E6E75">
        <w:rPr>
          <w:b w:val="0"/>
          <w:bCs w:val="0"/>
          <w:i/>
          <w:iCs/>
          <w:color w:val="auto"/>
          <w:sz w:val="24"/>
          <w:szCs w:val="24"/>
        </w:rPr>
        <w:t>)</w:t>
      </w:r>
      <w:bookmarkEnd w:id="84"/>
    </w:p>
    <w:p w14:paraId="244690C2" w14:textId="77777777" w:rsidR="00D47997" w:rsidRPr="00D47997" w:rsidRDefault="00D47997" w:rsidP="00D47997"/>
    <w:tbl>
      <w:tblPr>
        <w:tblW w:w="19749" w:type="dxa"/>
        <w:tblLook w:val="04A0" w:firstRow="1" w:lastRow="0" w:firstColumn="1" w:lastColumn="0" w:noHBand="0" w:noVBand="1"/>
      </w:tblPr>
      <w:tblGrid>
        <w:gridCol w:w="12944"/>
        <w:gridCol w:w="1280"/>
        <w:gridCol w:w="1280"/>
        <w:gridCol w:w="1507"/>
        <w:gridCol w:w="1280"/>
        <w:gridCol w:w="1458"/>
      </w:tblGrid>
      <w:tr w:rsidR="00AC0575" w:rsidRPr="001876F4" w14:paraId="58096DC9" w14:textId="77777777" w:rsidTr="001E6E75">
        <w:trPr>
          <w:trHeight w:val="210"/>
        </w:trPr>
        <w:tc>
          <w:tcPr>
            <w:tcW w:w="12944" w:type="dxa"/>
            <w:shd w:val="clear" w:color="auto" w:fill="auto"/>
            <w:noWrap/>
            <w:vAlign w:val="center"/>
          </w:tcPr>
          <w:tbl>
            <w:tblPr>
              <w:tblW w:w="0" w:type="auto"/>
              <w:tblLook w:val="04A0" w:firstRow="1" w:lastRow="0" w:firstColumn="1" w:lastColumn="0" w:noHBand="0" w:noVBand="1"/>
            </w:tblPr>
            <w:tblGrid>
              <w:gridCol w:w="4006"/>
              <w:gridCol w:w="2097"/>
              <w:gridCol w:w="1462"/>
              <w:gridCol w:w="1795"/>
              <w:gridCol w:w="1573"/>
              <w:gridCol w:w="1795"/>
            </w:tblGrid>
            <w:tr w:rsidR="00AC0575" w:rsidRPr="00A576EB" w14:paraId="6732B871" w14:textId="77777777" w:rsidTr="000E494A">
              <w:trPr>
                <w:trHeight w:val="573"/>
              </w:trPr>
              <w:tc>
                <w:tcPr>
                  <w:tcW w:w="0" w:type="auto"/>
                  <w:tcBorders>
                    <w:top w:val="single" w:sz="8" w:space="0" w:color="auto"/>
                    <w:left w:val="nil"/>
                    <w:bottom w:val="nil"/>
                    <w:right w:val="nil"/>
                  </w:tcBorders>
                  <w:shd w:val="clear" w:color="auto" w:fill="auto"/>
                  <w:vAlign w:val="bottom"/>
                  <w:hideMark/>
                </w:tcPr>
                <w:p w14:paraId="2BF61733" w14:textId="77777777" w:rsidR="00AC0575" w:rsidRPr="00A576EB" w:rsidRDefault="00AC0575" w:rsidP="000E494A">
                  <w:pPr>
                    <w:rPr>
                      <w:rFonts w:eastAsia="Times New Roman" w:cs="Arial"/>
                      <w:i/>
                      <w:iCs/>
                      <w:color w:val="000000"/>
                      <w:sz w:val="20"/>
                      <w:szCs w:val="20"/>
                      <w:lang w:eastAsia="en-GB"/>
                    </w:rPr>
                  </w:pPr>
                  <w:r w:rsidRPr="00A576EB">
                    <w:rPr>
                      <w:rFonts w:eastAsia="Times New Roman" w:cs="Arial"/>
                      <w:i/>
                      <w:iCs/>
                      <w:color w:val="000000"/>
                      <w:sz w:val="20"/>
                      <w:szCs w:val="20"/>
                      <w:lang w:eastAsia="en-GB"/>
                    </w:rPr>
                    <w:t> </w:t>
                  </w:r>
                </w:p>
              </w:tc>
              <w:tc>
                <w:tcPr>
                  <w:tcW w:w="0" w:type="auto"/>
                  <w:gridSpan w:val="3"/>
                  <w:tcBorders>
                    <w:top w:val="single" w:sz="8" w:space="0" w:color="auto"/>
                    <w:left w:val="nil"/>
                    <w:bottom w:val="nil"/>
                    <w:right w:val="nil"/>
                  </w:tcBorders>
                  <w:shd w:val="clear" w:color="auto" w:fill="auto"/>
                  <w:vAlign w:val="center"/>
                  <w:hideMark/>
                </w:tcPr>
                <w:p w14:paraId="1AE4D8D8" w14:textId="77777777" w:rsidR="00AC0575" w:rsidRPr="00A576EB" w:rsidRDefault="00AC0575" w:rsidP="000E494A">
                  <w:pPr>
                    <w:jc w:val="center"/>
                    <w:rPr>
                      <w:rFonts w:eastAsia="Times New Roman" w:cs="Arial"/>
                      <w:i/>
                      <w:iCs/>
                      <w:color w:val="000000"/>
                      <w:sz w:val="20"/>
                      <w:szCs w:val="20"/>
                      <w:lang w:eastAsia="en-GB"/>
                    </w:rPr>
                  </w:pPr>
                  <w:r w:rsidRPr="00A576EB">
                    <w:rPr>
                      <w:rFonts w:eastAsia="Times New Roman" w:cs="Arial"/>
                      <w:i/>
                      <w:iCs/>
                      <w:color w:val="000000"/>
                      <w:sz w:val="20"/>
                      <w:szCs w:val="20"/>
                      <w:lang w:eastAsia="en-GB"/>
                    </w:rPr>
                    <w:t>Parent</w:t>
                  </w:r>
                </w:p>
              </w:tc>
              <w:tc>
                <w:tcPr>
                  <w:tcW w:w="0" w:type="auto"/>
                  <w:gridSpan w:val="2"/>
                  <w:vMerge w:val="restart"/>
                  <w:tcBorders>
                    <w:top w:val="single" w:sz="8" w:space="0" w:color="auto"/>
                    <w:left w:val="nil"/>
                    <w:bottom w:val="single" w:sz="4" w:space="0" w:color="000000"/>
                    <w:right w:val="nil"/>
                  </w:tcBorders>
                  <w:shd w:val="clear" w:color="auto" w:fill="auto"/>
                  <w:vAlign w:val="center"/>
                  <w:hideMark/>
                </w:tcPr>
                <w:p w14:paraId="585F9DB9" w14:textId="77777777" w:rsidR="00AC0575" w:rsidRPr="00A576EB" w:rsidRDefault="00AC0575" w:rsidP="000E494A">
                  <w:pPr>
                    <w:jc w:val="center"/>
                    <w:rPr>
                      <w:rFonts w:eastAsia="Times New Roman" w:cs="Arial"/>
                      <w:i/>
                      <w:iCs/>
                      <w:color w:val="000000"/>
                      <w:sz w:val="20"/>
                      <w:szCs w:val="20"/>
                      <w:lang w:eastAsia="en-GB"/>
                    </w:rPr>
                  </w:pPr>
                  <w:r w:rsidRPr="00A576EB">
                    <w:rPr>
                      <w:rFonts w:eastAsia="Times New Roman" w:cs="Arial"/>
                      <w:i/>
                      <w:iCs/>
                      <w:color w:val="000000"/>
                      <w:sz w:val="20"/>
                      <w:szCs w:val="20"/>
                      <w:lang w:eastAsia="en-GB"/>
                    </w:rPr>
                    <w:t>Not a parent (NP)</w:t>
                  </w:r>
                </w:p>
              </w:tc>
            </w:tr>
            <w:tr w:rsidR="00AC0575" w:rsidRPr="00A576EB" w14:paraId="5D5C49CE" w14:textId="77777777" w:rsidTr="000E494A">
              <w:trPr>
                <w:trHeight w:val="480"/>
              </w:trPr>
              <w:tc>
                <w:tcPr>
                  <w:tcW w:w="0" w:type="auto"/>
                  <w:tcBorders>
                    <w:top w:val="nil"/>
                    <w:left w:val="nil"/>
                    <w:bottom w:val="nil"/>
                    <w:right w:val="nil"/>
                  </w:tcBorders>
                  <w:shd w:val="clear" w:color="auto" w:fill="auto"/>
                  <w:vAlign w:val="bottom"/>
                  <w:hideMark/>
                </w:tcPr>
                <w:p w14:paraId="1FDAB905" w14:textId="77777777" w:rsidR="00AC0575" w:rsidRPr="00A576EB" w:rsidRDefault="00AC0575" w:rsidP="000E494A">
                  <w:pPr>
                    <w:jc w:val="center"/>
                    <w:rPr>
                      <w:rFonts w:eastAsia="Times New Roman" w:cs="Arial"/>
                      <w:i/>
                      <w:iCs/>
                      <w:color w:val="000000"/>
                      <w:sz w:val="20"/>
                      <w:szCs w:val="20"/>
                      <w:lang w:eastAsia="en-GB"/>
                    </w:rPr>
                  </w:pPr>
                </w:p>
              </w:tc>
              <w:tc>
                <w:tcPr>
                  <w:tcW w:w="0" w:type="auto"/>
                  <w:tcBorders>
                    <w:top w:val="nil"/>
                    <w:left w:val="nil"/>
                    <w:bottom w:val="single" w:sz="4" w:space="0" w:color="auto"/>
                    <w:right w:val="nil"/>
                  </w:tcBorders>
                  <w:shd w:val="clear" w:color="auto" w:fill="auto"/>
                  <w:vAlign w:val="center"/>
                  <w:hideMark/>
                </w:tcPr>
                <w:p w14:paraId="24F8B2DC" w14:textId="51ABBE47" w:rsidR="00AC0575" w:rsidRPr="00A576EB" w:rsidRDefault="00AC0575" w:rsidP="000E494A">
                  <w:pPr>
                    <w:jc w:val="center"/>
                    <w:rPr>
                      <w:rFonts w:eastAsia="Times New Roman" w:cs="Arial"/>
                      <w:i/>
                      <w:iCs/>
                      <w:color w:val="000000"/>
                      <w:sz w:val="20"/>
                      <w:szCs w:val="20"/>
                      <w:lang w:eastAsia="en-GB"/>
                    </w:rPr>
                  </w:pPr>
                  <w:r w:rsidRPr="00A576EB">
                    <w:rPr>
                      <w:rFonts w:eastAsia="Times New Roman" w:cs="Arial"/>
                      <w:i/>
                      <w:iCs/>
                      <w:color w:val="000000"/>
                      <w:sz w:val="20"/>
                      <w:szCs w:val="20"/>
                      <w:lang w:eastAsia="en-GB"/>
                    </w:rPr>
                    <w:t>Living with child (L</w:t>
                  </w:r>
                  <w:r w:rsidR="00D3119E">
                    <w:rPr>
                      <w:rFonts w:eastAsia="Times New Roman" w:cs="Arial"/>
                      <w:i/>
                      <w:iCs/>
                      <w:color w:val="000000"/>
                      <w:sz w:val="20"/>
                      <w:szCs w:val="20"/>
                      <w:lang w:eastAsia="en-GB"/>
                    </w:rPr>
                    <w:t>W</w:t>
                  </w:r>
                  <w:r w:rsidRPr="00A576EB">
                    <w:rPr>
                      <w:rFonts w:eastAsia="Times New Roman" w:cs="Arial"/>
                      <w:i/>
                      <w:iCs/>
                      <w:color w:val="000000"/>
                      <w:sz w:val="20"/>
                      <w:szCs w:val="20"/>
                      <w:lang w:eastAsia="en-GB"/>
                    </w:rPr>
                    <w:t>C)</w:t>
                  </w:r>
                  <w:r w:rsidRPr="00A576EB">
                    <w:rPr>
                      <w:sz w:val="20"/>
                      <w:szCs w:val="20"/>
                      <w:vertAlign w:val="superscript"/>
                    </w:rPr>
                    <w:t xml:space="preserve"> </w:t>
                  </w:r>
                  <w:r w:rsidRPr="00A50CDB">
                    <w:rPr>
                      <w:sz w:val="20"/>
                      <w:szCs w:val="20"/>
                      <w:vertAlign w:val="superscript"/>
                    </w:rPr>
                    <w:t>¥</w:t>
                  </w:r>
                </w:p>
              </w:tc>
              <w:tc>
                <w:tcPr>
                  <w:tcW w:w="0" w:type="auto"/>
                  <w:gridSpan w:val="2"/>
                  <w:tcBorders>
                    <w:top w:val="nil"/>
                    <w:left w:val="nil"/>
                    <w:bottom w:val="single" w:sz="4" w:space="0" w:color="auto"/>
                    <w:right w:val="nil"/>
                  </w:tcBorders>
                  <w:shd w:val="clear" w:color="auto" w:fill="auto"/>
                  <w:vAlign w:val="center"/>
                  <w:hideMark/>
                </w:tcPr>
                <w:p w14:paraId="73F264AE" w14:textId="1B907894" w:rsidR="00AC0575" w:rsidRPr="00A576EB" w:rsidRDefault="00AC0575" w:rsidP="000E494A">
                  <w:pPr>
                    <w:jc w:val="center"/>
                    <w:rPr>
                      <w:rFonts w:eastAsia="Times New Roman" w:cs="Arial"/>
                      <w:i/>
                      <w:iCs/>
                      <w:color w:val="000000"/>
                      <w:sz w:val="20"/>
                      <w:szCs w:val="20"/>
                      <w:lang w:eastAsia="en-GB"/>
                    </w:rPr>
                  </w:pPr>
                  <w:r w:rsidRPr="00A576EB">
                    <w:rPr>
                      <w:rFonts w:eastAsia="Times New Roman" w:cs="Arial"/>
                      <w:i/>
                      <w:iCs/>
                      <w:color w:val="000000"/>
                      <w:sz w:val="20"/>
                      <w:szCs w:val="20"/>
                      <w:lang w:eastAsia="en-GB"/>
                    </w:rPr>
                    <w:t>Not living with child (N</w:t>
                  </w:r>
                  <w:r w:rsidR="00D3119E">
                    <w:rPr>
                      <w:rFonts w:eastAsia="Times New Roman" w:cs="Arial"/>
                      <w:i/>
                      <w:iCs/>
                      <w:color w:val="000000"/>
                      <w:sz w:val="20"/>
                      <w:szCs w:val="20"/>
                      <w:lang w:eastAsia="en-GB"/>
                    </w:rPr>
                    <w:t>W</w:t>
                  </w:r>
                  <w:r w:rsidRPr="00A576EB">
                    <w:rPr>
                      <w:rFonts w:eastAsia="Times New Roman" w:cs="Arial"/>
                      <w:i/>
                      <w:iCs/>
                      <w:color w:val="000000"/>
                      <w:sz w:val="20"/>
                      <w:szCs w:val="20"/>
                      <w:lang w:eastAsia="en-GB"/>
                    </w:rPr>
                    <w:t>C)</w:t>
                  </w:r>
                </w:p>
              </w:tc>
              <w:tc>
                <w:tcPr>
                  <w:tcW w:w="0" w:type="auto"/>
                  <w:gridSpan w:val="2"/>
                  <w:vMerge/>
                  <w:tcBorders>
                    <w:top w:val="single" w:sz="8" w:space="0" w:color="auto"/>
                    <w:left w:val="nil"/>
                    <w:bottom w:val="single" w:sz="4" w:space="0" w:color="000000"/>
                    <w:right w:val="nil"/>
                  </w:tcBorders>
                  <w:vAlign w:val="center"/>
                  <w:hideMark/>
                </w:tcPr>
                <w:p w14:paraId="350D6158" w14:textId="77777777" w:rsidR="00AC0575" w:rsidRPr="00A576EB" w:rsidRDefault="00AC0575" w:rsidP="000E494A">
                  <w:pPr>
                    <w:rPr>
                      <w:rFonts w:eastAsia="Times New Roman" w:cs="Arial"/>
                      <w:i/>
                      <w:iCs/>
                      <w:color w:val="000000"/>
                      <w:sz w:val="20"/>
                      <w:szCs w:val="20"/>
                      <w:lang w:eastAsia="en-GB"/>
                    </w:rPr>
                  </w:pPr>
                </w:p>
              </w:tc>
            </w:tr>
            <w:tr w:rsidR="00AC0575" w:rsidRPr="00A576EB" w14:paraId="7E4CDC84" w14:textId="77777777" w:rsidTr="000E494A">
              <w:trPr>
                <w:trHeight w:val="450"/>
              </w:trPr>
              <w:tc>
                <w:tcPr>
                  <w:tcW w:w="0" w:type="auto"/>
                  <w:tcBorders>
                    <w:top w:val="nil"/>
                    <w:left w:val="nil"/>
                    <w:bottom w:val="single" w:sz="4" w:space="0" w:color="auto"/>
                    <w:right w:val="nil"/>
                  </w:tcBorders>
                  <w:shd w:val="clear" w:color="auto" w:fill="auto"/>
                  <w:vAlign w:val="center"/>
                  <w:hideMark/>
                </w:tcPr>
                <w:p w14:paraId="38883FB3" w14:textId="77777777" w:rsidR="00AC0575" w:rsidRPr="00A576EB" w:rsidRDefault="00AC0575" w:rsidP="000E494A">
                  <w:pPr>
                    <w:rPr>
                      <w:rFonts w:eastAsia="Times New Roman" w:cs="Arial"/>
                      <w:i/>
                      <w:iCs/>
                      <w:color w:val="000000"/>
                      <w:sz w:val="20"/>
                      <w:szCs w:val="20"/>
                      <w:lang w:eastAsia="en-GB"/>
                    </w:rPr>
                  </w:pPr>
                  <w:r w:rsidRPr="00A576EB">
                    <w:rPr>
                      <w:rFonts w:eastAsia="Times New Roman" w:cs="Arial"/>
                      <w:i/>
                      <w:iCs/>
                      <w:color w:val="000000"/>
                      <w:sz w:val="20"/>
                      <w:szCs w:val="20"/>
                      <w:lang w:eastAsia="en-GB"/>
                    </w:rPr>
                    <w:t>Baseline characteristics and interventions</w:t>
                  </w:r>
                </w:p>
              </w:tc>
              <w:tc>
                <w:tcPr>
                  <w:tcW w:w="0" w:type="auto"/>
                  <w:tcBorders>
                    <w:top w:val="nil"/>
                    <w:left w:val="nil"/>
                    <w:bottom w:val="single" w:sz="4" w:space="0" w:color="auto"/>
                    <w:right w:val="nil"/>
                  </w:tcBorders>
                  <w:shd w:val="clear" w:color="auto" w:fill="auto"/>
                  <w:vAlign w:val="center"/>
                  <w:hideMark/>
                </w:tcPr>
                <w:p w14:paraId="5E008407" w14:textId="77777777" w:rsidR="00AC0575" w:rsidRPr="00A576EB" w:rsidRDefault="00AC0575" w:rsidP="000E494A">
                  <w:pPr>
                    <w:jc w:val="center"/>
                    <w:rPr>
                      <w:rFonts w:eastAsia="Times New Roman" w:cs="Arial"/>
                      <w:i/>
                      <w:iCs/>
                      <w:color w:val="000000"/>
                      <w:sz w:val="20"/>
                      <w:szCs w:val="20"/>
                      <w:lang w:eastAsia="en-GB"/>
                    </w:rPr>
                  </w:pPr>
                  <w:r w:rsidRPr="00A576EB">
                    <w:rPr>
                      <w:rFonts w:eastAsia="Times New Roman" w:cs="Arial"/>
                      <w:i/>
                      <w:iCs/>
                      <w:color w:val="000000"/>
                      <w:sz w:val="20"/>
                      <w:szCs w:val="20"/>
                      <w:lang w:eastAsia="en-GB"/>
                    </w:rPr>
                    <w:t>n (%)</w:t>
                  </w:r>
                </w:p>
              </w:tc>
              <w:tc>
                <w:tcPr>
                  <w:tcW w:w="0" w:type="auto"/>
                  <w:tcBorders>
                    <w:top w:val="nil"/>
                    <w:left w:val="nil"/>
                    <w:bottom w:val="single" w:sz="4" w:space="0" w:color="auto"/>
                    <w:right w:val="nil"/>
                  </w:tcBorders>
                  <w:shd w:val="clear" w:color="auto" w:fill="auto"/>
                  <w:vAlign w:val="center"/>
                  <w:hideMark/>
                </w:tcPr>
                <w:p w14:paraId="54D5DDC1" w14:textId="77777777" w:rsidR="00AC0575" w:rsidRPr="00A576EB" w:rsidRDefault="00AC0575" w:rsidP="000E494A">
                  <w:pPr>
                    <w:jc w:val="center"/>
                    <w:rPr>
                      <w:rFonts w:eastAsia="Times New Roman" w:cs="Arial"/>
                      <w:i/>
                      <w:iCs/>
                      <w:color w:val="000000"/>
                      <w:sz w:val="20"/>
                      <w:szCs w:val="20"/>
                      <w:lang w:eastAsia="en-GB"/>
                    </w:rPr>
                  </w:pPr>
                  <w:r w:rsidRPr="00A576EB">
                    <w:rPr>
                      <w:rFonts w:eastAsia="Times New Roman" w:cs="Arial"/>
                      <w:i/>
                      <w:iCs/>
                      <w:color w:val="000000"/>
                      <w:sz w:val="20"/>
                      <w:szCs w:val="20"/>
                      <w:lang w:eastAsia="en-GB"/>
                    </w:rPr>
                    <w:t>n (%)</w:t>
                  </w:r>
                </w:p>
              </w:tc>
              <w:tc>
                <w:tcPr>
                  <w:tcW w:w="0" w:type="auto"/>
                  <w:tcBorders>
                    <w:top w:val="nil"/>
                    <w:left w:val="nil"/>
                    <w:bottom w:val="single" w:sz="4" w:space="0" w:color="auto"/>
                    <w:right w:val="nil"/>
                  </w:tcBorders>
                  <w:shd w:val="clear" w:color="auto" w:fill="auto"/>
                  <w:vAlign w:val="center"/>
                  <w:hideMark/>
                </w:tcPr>
                <w:p w14:paraId="2BA90D75" w14:textId="77777777" w:rsidR="00AC0575" w:rsidRDefault="00AC0575" w:rsidP="000E494A">
                  <w:pPr>
                    <w:jc w:val="center"/>
                    <w:rPr>
                      <w:rFonts w:eastAsia="Times New Roman" w:cs="Arial"/>
                      <w:i/>
                      <w:iCs/>
                      <w:color w:val="000000"/>
                      <w:sz w:val="20"/>
                      <w:szCs w:val="20"/>
                      <w:lang w:eastAsia="en-GB"/>
                    </w:rPr>
                  </w:pPr>
                  <w:r w:rsidRPr="00A576EB">
                    <w:rPr>
                      <w:rFonts w:eastAsia="Times New Roman" w:cs="Arial"/>
                      <w:i/>
                      <w:iCs/>
                      <w:color w:val="000000"/>
                      <w:sz w:val="20"/>
                      <w:szCs w:val="20"/>
                      <w:lang w:eastAsia="en-GB"/>
                    </w:rPr>
                    <w:t>RRR (95% CI)</w:t>
                  </w:r>
                </w:p>
                <w:p w14:paraId="0F75FAE7" w14:textId="77777777" w:rsidR="00AC0575" w:rsidRPr="005567E9" w:rsidRDefault="00AC0575" w:rsidP="000E494A">
                  <w:pPr>
                    <w:pStyle w:val="NoSpacing"/>
                    <w:rPr>
                      <w:lang w:eastAsia="en-GB"/>
                    </w:rPr>
                  </w:pPr>
                </w:p>
              </w:tc>
              <w:tc>
                <w:tcPr>
                  <w:tcW w:w="0" w:type="auto"/>
                  <w:tcBorders>
                    <w:top w:val="nil"/>
                    <w:left w:val="nil"/>
                    <w:bottom w:val="single" w:sz="4" w:space="0" w:color="auto"/>
                    <w:right w:val="nil"/>
                  </w:tcBorders>
                  <w:shd w:val="clear" w:color="auto" w:fill="auto"/>
                  <w:vAlign w:val="center"/>
                  <w:hideMark/>
                </w:tcPr>
                <w:p w14:paraId="3C2728A4" w14:textId="77777777" w:rsidR="00AC0575" w:rsidRPr="00A576EB" w:rsidRDefault="00AC0575" w:rsidP="000E494A">
                  <w:pPr>
                    <w:jc w:val="center"/>
                    <w:rPr>
                      <w:rFonts w:eastAsia="Times New Roman" w:cs="Arial"/>
                      <w:i/>
                      <w:iCs/>
                      <w:color w:val="000000"/>
                      <w:sz w:val="20"/>
                      <w:szCs w:val="20"/>
                      <w:lang w:eastAsia="en-GB"/>
                    </w:rPr>
                  </w:pPr>
                  <w:r w:rsidRPr="00A576EB">
                    <w:rPr>
                      <w:rFonts w:eastAsia="Times New Roman" w:cs="Arial"/>
                      <w:i/>
                      <w:iCs/>
                      <w:color w:val="000000"/>
                      <w:sz w:val="20"/>
                      <w:szCs w:val="20"/>
                      <w:lang w:eastAsia="en-GB"/>
                    </w:rPr>
                    <w:t>n (%)</w:t>
                  </w:r>
                </w:p>
              </w:tc>
              <w:tc>
                <w:tcPr>
                  <w:tcW w:w="0" w:type="auto"/>
                  <w:tcBorders>
                    <w:top w:val="nil"/>
                    <w:left w:val="nil"/>
                    <w:bottom w:val="single" w:sz="4" w:space="0" w:color="auto"/>
                    <w:right w:val="nil"/>
                  </w:tcBorders>
                  <w:shd w:val="clear" w:color="auto" w:fill="auto"/>
                  <w:vAlign w:val="center"/>
                  <w:hideMark/>
                </w:tcPr>
                <w:p w14:paraId="454EE24F" w14:textId="77777777" w:rsidR="00AC0575" w:rsidRPr="00A576EB" w:rsidRDefault="00AC0575" w:rsidP="000E494A">
                  <w:pPr>
                    <w:jc w:val="center"/>
                    <w:rPr>
                      <w:rFonts w:eastAsia="Times New Roman" w:cs="Arial"/>
                      <w:i/>
                      <w:iCs/>
                      <w:color w:val="000000"/>
                      <w:sz w:val="20"/>
                      <w:szCs w:val="20"/>
                      <w:lang w:eastAsia="en-GB"/>
                    </w:rPr>
                  </w:pPr>
                  <w:r w:rsidRPr="00A576EB">
                    <w:rPr>
                      <w:rFonts w:eastAsia="Times New Roman" w:cs="Arial"/>
                      <w:i/>
                      <w:iCs/>
                      <w:color w:val="000000"/>
                      <w:sz w:val="20"/>
                      <w:szCs w:val="20"/>
                      <w:lang w:eastAsia="en-GB"/>
                    </w:rPr>
                    <w:t>RRR (95% CI)</w:t>
                  </w:r>
                  <w:r>
                    <w:rPr>
                      <w:lang w:eastAsia="en-GB"/>
                    </w:rPr>
                    <w:t xml:space="preserve"> </w:t>
                  </w:r>
                </w:p>
              </w:tc>
            </w:tr>
            <w:tr w:rsidR="00AC0575" w:rsidRPr="00A576EB" w14:paraId="373C0416" w14:textId="77777777" w:rsidTr="000E494A">
              <w:trPr>
                <w:trHeight w:val="300"/>
              </w:trPr>
              <w:tc>
                <w:tcPr>
                  <w:tcW w:w="0" w:type="auto"/>
                  <w:tcBorders>
                    <w:top w:val="nil"/>
                    <w:left w:val="nil"/>
                    <w:bottom w:val="nil"/>
                    <w:right w:val="nil"/>
                  </w:tcBorders>
                  <w:shd w:val="clear" w:color="auto" w:fill="auto"/>
                  <w:vAlign w:val="center"/>
                  <w:hideMark/>
                </w:tcPr>
                <w:p w14:paraId="65B4C2C4"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Number of patients</w:t>
                  </w:r>
                </w:p>
              </w:tc>
              <w:tc>
                <w:tcPr>
                  <w:tcW w:w="0" w:type="auto"/>
                  <w:tcBorders>
                    <w:top w:val="nil"/>
                    <w:left w:val="nil"/>
                    <w:bottom w:val="nil"/>
                    <w:right w:val="nil"/>
                  </w:tcBorders>
                  <w:shd w:val="clear" w:color="auto" w:fill="auto"/>
                  <w:vAlign w:val="center"/>
                  <w:hideMark/>
                </w:tcPr>
                <w:p w14:paraId="62A0BB2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18,161(100.0)</w:t>
                  </w:r>
                </w:p>
              </w:tc>
              <w:tc>
                <w:tcPr>
                  <w:tcW w:w="0" w:type="auto"/>
                  <w:tcBorders>
                    <w:top w:val="nil"/>
                    <w:left w:val="nil"/>
                    <w:bottom w:val="nil"/>
                    <w:right w:val="nil"/>
                  </w:tcBorders>
                  <w:shd w:val="clear" w:color="auto" w:fill="auto"/>
                  <w:vAlign w:val="center"/>
                  <w:hideMark/>
                </w:tcPr>
                <w:p w14:paraId="4B37F0B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39,638(100.0)</w:t>
                  </w:r>
                </w:p>
              </w:tc>
              <w:tc>
                <w:tcPr>
                  <w:tcW w:w="0" w:type="auto"/>
                  <w:tcBorders>
                    <w:top w:val="nil"/>
                    <w:left w:val="nil"/>
                    <w:bottom w:val="nil"/>
                    <w:right w:val="nil"/>
                  </w:tcBorders>
                  <w:shd w:val="clear" w:color="auto" w:fill="auto"/>
                  <w:vAlign w:val="center"/>
                  <w:hideMark/>
                </w:tcPr>
                <w:p w14:paraId="3C19EBB4" w14:textId="77777777" w:rsidR="00AC0575" w:rsidRPr="00A576EB" w:rsidRDefault="00AC0575" w:rsidP="000E494A">
                  <w:pPr>
                    <w:jc w:val="right"/>
                    <w:rPr>
                      <w:rFonts w:eastAsia="Times New Roman" w:cs="Arial"/>
                      <w:color w:val="000000"/>
                      <w:sz w:val="20"/>
                      <w:szCs w:val="20"/>
                      <w:lang w:eastAsia="en-GB"/>
                    </w:rPr>
                  </w:pPr>
                </w:p>
              </w:tc>
              <w:tc>
                <w:tcPr>
                  <w:tcW w:w="0" w:type="auto"/>
                  <w:tcBorders>
                    <w:top w:val="nil"/>
                    <w:left w:val="nil"/>
                    <w:bottom w:val="nil"/>
                    <w:right w:val="nil"/>
                  </w:tcBorders>
                  <w:shd w:val="clear" w:color="auto" w:fill="auto"/>
                  <w:vAlign w:val="center"/>
                  <w:hideMark/>
                </w:tcPr>
                <w:p w14:paraId="497428B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61,732(100.0)</w:t>
                  </w:r>
                </w:p>
              </w:tc>
              <w:tc>
                <w:tcPr>
                  <w:tcW w:w="0" w:type="auto"/>
                  <w:tcBorders>
                    <w:top w:val="nil"/>
                    <w:left w:val="nil"/>
                    <w:bottom w:val="nil"/>
                    <w:right w:val="nil"/>
                  </w:tcBorders>
                  <w:shd w:val="clear" w:color="auto" w:fill="auto"/>
                  <w:noWrap/>
                  <w:vAlign w:val="bottom"/>
                  <w:hideMark/>
                </w:tcPr>
                <w:p w14:paraId="084AC389" w14:textId="77777777" w:rsidR="00AC0575" w:rsidRPr="00A576EB" w:rsidRDefault="00AC0575" w:rsidP="000E494A">
                  <w:pPr>
                    <w:jc w:val="right"/>
                    <w:rPr>
                      <w:rFonts w:eastAsia="Times New Roman" w:cs="Arial"/>
                      <w:color w:val="000000"/>
                      <w:sz w:val="20"/>
                      <w:szCs w:val="20"/>
                      <w:lang w:eastAsia="en-GB"/>
                    </w:rPr>
                  </w:pPr>
                </w:p>
              </w:tc>
            </w:tr>
            <w:tr w:rsidR="00AC0575" w:rsidRPr="00A576EB" w14:paraId="3AB8C350" w14:textId="77777777" w:rsidTr="000E494A">
              <w:trPr>
                <w:trHeight w:val="300"/>
              </w:trPr>
              <w:tc>
                <w:tcPr>
                  <w:tcW w:w="0" w:type="auto"/>
                  <w:tcBorders>
                    <w:top w:val="nil"/>
                    <w:left w:val="nil"/>
                    <w:bottom w:val="nil"/>
                    <w:right w:val="nil"/>
                  </w:tcBorders>
                  <w:shd w:val="clear" w:color="auto" w:fill="auto"/>
                  <w:noWrap/>
                  <w:vAlign w:val="bottom"/>
                  <w:hideMark/>
                </w:tcPr>
                <w:p w14:paraId="14758501" w14:textId="77777777" w:rsidR="00AC0575" w:rsidRPr="00A576EB" w:rsidRDefault="00AC0575" w:rsidP="000E494A">
                  <w:pPr>
                    <w:rPr>
                      <w:rFonts w:eastAsia="Times New Roman" w:cs="Arial"/>
                      <w:i/>
                      <w:iCs/>
                      <w:color w:val="000000"/>
                      <w:sz w:val="20"/>
                      <w:szCs w:val="20"/>
                      <w:lang w:eastAsia="en-GB"/>
                    </w:rPr>
                  </w:pPr>
                  <w:r w:rsidRPr="00A576EB">
                    <w:rPr>
                      <w:rFonts w:eastAsia="Times New Roman" w:cs="Arial"/>
                      <w:i/>
                      <w:iCs/>
                      <w:color w:val="000000"/>
                      <w:sz w:val="20"/>
                      <w:szCs w:val="20"/>
                      <w:lang w:eastAsia="en-GB"/>
                    </w:rPr>
                    <w:t>Socio-demographic</w:t>
                  </w:r>
                </w:p>
              </w:tc>
              <w:tc>
                <w:tcPr>
                  <w:tcW w:w="0" w:type="auto"/>
                  <w:tcBorders>
                    <w:top w:val="nil"/>
                    <w:left w:val="nil"/>
                    <w:bottom w:val="nil"/>
                    <w:right w:val="nil"/>
                  </w:tcBorders>
                  <w:shd w:val="clear" w:color="auto" w:fill="auto"/>
                  <w:noWrap/>
                  <w:vAlign w:val="bottom"/>
                  <w:hideMark/>
                </w:tcPr>
                <w:p w14:paraId="7B7C3600" w14:textId="77777777" w:rsidR="00AC0575" w:rsidRPr="00A576EB" w:rsidRDefault="00AC0575" w:rsidP="000E494A">
                  <w:pPr>
                    <w:rPr>
                      <w:rFonts w:eastAsia="Times New Roman"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7309881"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E578C77"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FB497E3"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E338D19"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48F081C3" w14:textId="77777777" w:rsidTr="000E494A">
              <w:trPr>
                <w:trHeight w:val="300"/>
              </w:trPr>
              <w:tc>
                <w:tcPr>
                  <w:tcW w:w="0" w:type="auto"/>
                  <w:tcBorders>
                    <w:top w:val="nil"/>
                    <w:left w:val="nil"/>
                    <w:bottom w:val="nil"/>
                    <w:right w:val="nil"/>
                  </w:tcBorders>
                  <w:shd w:val="clear" w:color="auto" w:fill="auto"/>
                  <w:noWrap/>
                  <w:vAlign w:val="bottom"/>
                  <w:hideMark/>
                </w:tcPr>
                <w:p w14:paraId="5D2995A0"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Pregnancy status:</w:t>
                  </w:r>
                </w:p>
              </w:tc>
              <w:tc>
                <w:tcPr>
                  <w:tcW w:w="0" w:type="auto"/>
                  <w:tcBorders>
                    <w:top w:val="nil"/>
                    <w:left w:val="nil"/>
                    <w:bottom w:val="nil"/>
                    <w:right w:val="nil"/>
                  </w:tcBorders>
                  <w:shd w:val="clear" w:color="auto" w:fill="auto"/>
                  <w:noWrap/>
                  <w:vAlign w:val="bottom"/>
                  <w:hideMark/>
                </w:tcPr>
                <w:p w14:paraId="1F5DF27E"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22C9DAB" w14:textId="77777777" w:rsidR="00AC0575" w:rsidRPr="00A576EB" w:rsidRDefault="00AC0575" w:rsidP="000E494A">
                  <w:pP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4A9976B" w14:textId="77777777" w:rsidR="00AC0575" w:rsidRPr="00A576EB" w:rsidRDefault="00AC0575" w:rsidP="000E494A">
                  <w:pP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922A5BB"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13CEA2C" w14:textId="77777777" w:rsidR="00AC0575" w:rsidRPr="00A576EB" w:rsidRDefault="00AC0575" w:rsidP="000E494A">
                  <w:pPr>
                    <w:rPr>
                      <w:rFonts w:ascii="Times New Roman" w:eastAsia="Times New Roman" w:hAnsi="Times New Roman" w:cs="Times New Roman"/>
                      <w:sz w:val="20"/>
                      <w:szCs w:val="20"/>
                      <w:lang w:eastAsia="en-GB"/>
                    </w:rPr>
                  </w:pPr>
                </w:p>
              </w:tc>
            </w:tr>
            <w:tr w:rsidR="00AC0575" w:rsidRPr="00A576EB" w14:paraId="42630E70" w14:textId="77777777" w:rsidTr="000E494A">
              <w:trPr>
                <w:trHeight w:val="300"/>
              </w:trPr>
              <w:tc>
                <w:tcPr>
                  <w:tcW w:w="0" w:type="auto"/>
                  <w:tcBorders>
                    <w:top w:val="nil"/>
                    <w:left w:val="nil"/>
                    <w:bottom w:val="nil"/>
                    <w:right w:val="nil"/>
                  </w:tcBorders>
                  <w:shd w:val="clear" w:color="auto" w:fill="auto"/>
                  <w:noWrap/>
                  <w:vAlign w:val="bottom"/>
                  <w:hideMark/>
                </w:tcPr>
                <w:p w14:paraId="4DAEDF58"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Not pregnant</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48BB141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17,768 (97.8) </w:t>
                  </w:r>
                </w:p>
              </w:tc>
              <w:tc>
                <w:tcPr>
                  <w:tcW w:w="0" w:type="auto"/>
                  <w:tcBorders>
                    <w:top w:val="nil"/>
                    <w:left w:val="nil"/>
                    <w:bottom w:val="nil"/>
                    <w:right w:val="nil"/>
                  </w:tcBorders>
                  <w:shd w:val="clear" w:color="auto" w:fill="auto"/>
                  <w:noWrap/>
                  <w:vAlign w:val="bottom"/>
                  <w:hideMark/>
                </w:tcPr>
                <w:p w14:paraId="4BFE065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38,734 (98.4) </w:t>
                  </w:r>
                </w:p>
              </w:tc>
              <w:tc>
                <w:tcPr>
                  <w:tcW w:w="0" w:type="auto"/>
                  <w:tcBorders>
                    <w:top w:val="nil"/>
                    <w:left w:val="nil"/>
                    <w:bottom w:val="nil"/>
                    <w:right w:val="nil"/>
                  </w:tcBorders>
                  <w:shd w:val="clear" w:color="auto" w:fill="auto"/>
                  <w:noWrap/>
                  <w:vAlign w:val="bottom"/>
                  <w:hideMark/>
                </w:tcPr>
                <w:p w14:paraId="6B458DCB"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665D974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61,113 (99.0) </w:t>
                  </w:r>
                </w:p>
              </w:tc>
              <w:tc>
                <w:tcPr>
                  <w:tcW w:w="0" w:type="auto"/>
                  <w:tcBorders>
                    <w:top w:val="nil"/>
                    <w:left w:val="nil"/>
                    <w:bottom w:val="nil"/>
                    <w:right w:val="nil"/>
                  </w:tcBorders>
                  <w:shd w:val="clear" w:color="auto" w:fill="auto"/>
                  <w:noWrap/>
                  <w:vAlign w:val="bottom"/>
                  <w:hideMark/>
                </w:tcPr>
                <w:p w14:paraId="2F82A79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52D45D57" w14:textId="77777777" w:rsidTr="000E494A">
              <w:trPr>
                <w:trHeight w:val="300"/>
              </w:trPr>
              <w:tc>
                <w:tcPr>
                  <w:tcW w:w="0" w:type="auto"/>
                  <w:tcBorders>
                    <w:top w:val="nil"/>
                    <w:left w:val="nil"/>
                    <w:bottom w:val="nil"/>
                    <w:right w:val="nil"/>
                  </w:tcBorders>
                  <w:shd w:val="clear" w:color="auto" w:fill="auto"/>
                  <w:noWrap/>
                  <w:vAlign w:val="bottom"/>
                  <w:hideMark/>
                </w:tcPr>
                <w:p w14:paraId="6D2DB155"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Pregnant</w:t>
                  </w:r>
                </w:p>
              </w:tc>
              <w:tc>
                <w:tcPr>
                  <w:tcW w:w="0" w:type="auto"/>
                  <w:tcBorders>
                    <w:top w:val="nil"/>
                    <w:left w:val="nil"/>
                    <w:bottom w:val="nil"/>
                    <w:right w:val="nil"/>
                  </w:tcBorders>
                  <w:shd w:val="clear" w:color="auto" w:fill="auto"/>
                  <w:noWrap/>
                  <w:vAlign w:val="bottom"/>
                  <w:hideMark/>
                </w:tcPr>
                <w:p w14:paraId="0CF8F12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267 (1.5) </w:t>
                  </w:r>
                </w:p>
              </w:tc>
              <w:tc>
                <w:tcPr>
                  <w:tcW w:w="0" w:type="auto"/>
                  <w:tcBorders>
                    <w:top w:val="nil"/>
                    <w:left w:val="nil"/>
                    <w:bottom w:val="nil"/>
                    <w:right w:val="nil"/>
                  </w:tcBorders>
                  <w:shd w:val="clear" w:color="auto" w:fill="auto"/>
                  <w:noWrap/>
                  <w:vAlign w:val="bottom"/>
                  <w:hideMark/>
                </w:tcPr>
                <w:p w14:paraId="4547648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467 (1.2) </w:t>
                  </w:r>
                </w:p>
              </w:tc>
              <w:tc>
                <w:tcPr>
                  <w:tcW w:w="0" w:type="auto"/>
                  <w:tcBorders>
                    <w:top w:val="nil"/>
                    <w:left w:val="nil"/>
                    <w:bottom w:val="nil"/>
                    <w:right w:val="nil"/>
                  </w:tcBorders>
                  <w:shd w:val="clear" w:color="auto" w:fill="auto"/>
                  <w:noWrap/>
                  <w:vAlign w:val="bottom"/>
                  <w:hideMark/>
                </w:tcPr>
                <w:p w14:paraId="5EE7FA8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1.47 (1.16-1.85)**</w:t>
                  </w:r>
                </w:p>
              </w:tc>
              <w:tc>
                <w:tcPr>
                  <w:tcW w:w="0" w:type="auto"/>
                  <w:tcBorders>
                    <w:top w:val="nil"/>
                    <w:left w:val="nil"/>
                    <w:bottom w:val="nil"/>
                    <w:right w:val="nil"/>
                  </w:tcBorders>
                  <w:shd w:val="clear" w:color="auto" w:fill="auto"/>
                  <w:noWrap/>
                  <w:vAlign w:val="bottom"/>
                  <w:hideMark/>
                </w:tcPr>
                <w:p w14:paraId="0482564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311 (0.5) </w:t>
                  </w:r>
                </w:p>
              </w:tc>
              <w:tc>
                <w:tcPr>
                  <w:tcW w:w="0" w:type="auto"/>
                  <w:tcBorders>
                    <w:top w:val="nil"/>
                    <w:left w:val="nil"/>
                    <w:bottom w:val="nil"/>
                    <w:right w:val="nil"/>
                  </w:tcBorders>
                  <w:shd w:val="clear" w:color="auto" w:fill="auto"/>
                  <w:noWrap/>
                  <w:vAlign w:val="bottom"/>
                  <w:hideMark/>
                </w:tcPr>
                <w:p w14:paraId="1734776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0.86 (0.67-1.09)</w:t>
                  </w:r>
                </w:p>
              </w:tc>
            </w:tr>
            <w:tr w:rsidR="00AC0575" w:rsidRPr="00A576EB" w14:paraId="2B41B37D" w14:textId="77777777" w:rsidTr="000E494A">
              <w:trPr>
                <w:trHeight w:val="300"/>
              </w:trPr>
              <w:tc>
                <w:tcPr>
                  <w:tcW w:w="0" w:type="auto"/>
                  <w:tcBorders>
                    <w:top w:val="nil"/>
                    <w:left w:val="nil"/>
                    <w:bottom w:val="nil"/>
                    <w:right w:val="nil"/>
                  </w:tcBorders>
                  <w:shd w:val="clear" w:color="auto" w:fill="auto"/>
                  <w:noWrap/>
                  <w:vAlign w:val="bottom"/>
                  <w:hideMark/>
                </w:tcPr>
                <w:p w14:paraId="380DA6AD"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Age:</w:t>
                  </w:r>
                </w:p>
              </w:tc>
              <w:tc>
                <w:tcPr>
                  <w:tcW w:w="0" w:type="auto"/>
                  <w:tcBorders>
                    <w:top w:val="nil"/>
                    <w:left w:val="nil"/>
                    <w:bottom w:val="nil"/>
                    <w:right w:val="nil"/>
                  </w:tcBorders>
                  <w:shd w:val="clear" w:color="auto" w:fill="auto"/>
                  <w:noWrap/>
                  <w:vAlign w:val="bottom"/>
                  <w:hideMark/>
                </w:tcPr>
                <w:p w14:paraId="7EC00D0A"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8C142CD"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92C8A37"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CBF2E5B"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D6232C0"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326D83C6" w14:textId="77777777" w:rsidTr="000E494A">
              <w:trPr>
                <w:trHeight w:val="300"/>
              </w:trPr>
              <w:tc>
                <w:tcPr>
                  <w:tcW w:w="0" w:type="auto"/>
                  <w:tcBorders>
                    <w:top w:val="nil"/>
                    <w:left w:val="nil"/>
                    <w:bottom w:val="nil"/>
                    <w:right w:val="nil"/>
                  </w:tcBorders>
                  <w:shd w:val="clear" w:color="auto" w:fill="auto"/>
                  <w:noWrap/>
                  <w:vAlign w:val="bottom"/>
                  <w:hideMark/>
                </w:tcPr>
                <w:p w14:paraId="128F7DAE"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18-24</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25D549B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729 (4.0) </w:t>
                  </w:r>
                </w:p>
              </w:tc>
              <w:tc>
                <w:tcPr>
                  <w:tcW w:w="0" w:type="auto"/>
                  <w:tcBorders>
                    <w:top w:val="nil"/>
                    <w:left w:val="nil"/>
                    <w:bottom w:val="nil"/>
                    <w:right w:val="nil"/>
                  </w:tcBorders>
                  <w:shd w:val="clear" w:color="auto" w:fill="auto"/>
                  <w:noWrap/>
                  <w:vAlign w:val="bottom"/>
                  <w:hideMark/>
                </w:tcPr>
                <w:p w14:paraId="0278B7B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1,530 (3.9) </w:t>
                  </w:r>
                </w:p>
              </w:tc>
              <w:tc>
                <w:tcPr>
                  <w:tcW w:w="0" w:type="auto"/>
                  <w:tcBorders>
                    <w:top w:val="nil"/>
                    <w:left w:val="nil"/>
                    <w:bottom w:val="nil"/>
                    <w:right w:val="nil"/>
                  </w:tcBorders>
                  <w:shd w:val="clear" w:color="auto" w:fill="auto"/>
                  <w:noWrap/>
                  <w:vAlign w:val="bottom"/>
                  <w:hideMark/>
                </w:tcPr>
                <w:p w14:paraId="6C2D761E"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2719606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6,979 (11.3) </w:t>
                  </w:r>
                </w:p>
              </w:tc>
              <w:tc>
                <w:tcPr>
                  <w:tcW w:w="0" w:type="auto"/>
                  <w:tcBorders>
                    <w:top w:val="nil"/>
                    <w:left w:val="nil"/>
                    <w:bottom w:val="nil"/>
                    <w:right w:val="nil"/>
                  </w:tcBorders>
                  <w:shd w:val="clear" w:color="auto" w:fill="auto"/>
                  <w:noWrap/>
                  <w:vAlign w:val="bottom"/>
                  <w:hideMark/>
                </w:tcPr>
                <w:p w14:paraId="1394116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4527AD51" w14:textId="77777777" w:rsidTr="000E494A">
              <w:trPr>
                <w:trHeight w:val="300"/>
              </w:trPr>
              <w:tc>
                <w:tcPr>
                  <w:tcW w:w="0" w:type="auto"/>
                  <w:tcBorders>
                    <w:top w:val="nil"/>
                    <w:left w:val="nil"/>
                    <w:bottom w:val="nil"/>
                    <w:right w:val="nil"/>
                  </w:tcBorders>
                  <w:shd w:val="clear" w:color="auto" w:fill="auto"/>
                  <w:noWrap/>
                  <w:vAlign w:val="bottom"/>
                  <w:hideMark/>
                </w:tcPr>
                <w:p w14:paraId="2E652277"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25-34</w:t>
                  </w:r>
                </w:p>
              </w:tc>
              <w:tc>
                <w:tcPr>
                  <w:tcW w:w="0" w:type="auto"/>
                  <w:tcBorders>
                    <w:top w:val="nil"/>
                    <w:left w:val="nil"/>
                    <w:bottom w:val="nil"/>
                    <w:right w:val="nil"/>
                  </w:tcBorders>
                  <w:shd w:val="clear" w:color="auto" w:fill="auto"/>
                  <w:noWrap/>
                  <w:vAlign w:val="bottom"/>
                  <w:hideMark/>
                </w:tcPr>
                <w:p w14:paraId="78E7F968"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5,385 (29.7) </w:t>
                  </w:r>
                </w:p>
              </w:tc>
              <w:tc>
                <w:tcPr>
                  <w:tcW w:w="0" w:type="auto"/>
                  <w:tcBorders>
                    <w:top w:val="nil"/>
                    <w:left w:val="nil"/>
                    <w:bottom w:val="nil"/>
                    <w:right w:val="nil"/>
                  </w:tcBorders>
                  <w:shd w:val="clear" w:color="auto" w:fill="auto"/>
                  <w:noWrap/>
                  <w:vAlign w:val="bottom"/>
                  <w:hideMark/>
                </w:tcPr>
                <w:p w14:paraId="7658043D"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11,419 (29.0) </w:t>
                  </w:r>
                </w:p>
              </w:tc>
              <w:tc>
                <w:tcPr>
                  <w:tcW w:w="0" w:type="auto"/>
                  <w:tcBorders>
                    <w:top w:val="nil"/>
                    <w:left w:val="nil"/>
                    <w:bottom w:val="nil"/>
                    <w:right w:val="nil"/>
                  </w:tcBorders>
                  <w:shd w:val="clear" w:color="auto" w:fill="auto"/>
                  <w:noWrap/>
                  <w:vAlign w:val="bottom"/>
                  <w:hideMark/>
                </w:tcPr>
                <w:p w14:paraId="29A782EF"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0.68 (0.59-0.79)**</w:t>
                  </w:r>
                </w:p>
              </w:tc>
              <w:tc>
                <w:tcPr>
                  <w:tcW w:w="0" w:type="auto"/>
                  <w:tcBorders>
                    <w:top w:val="nil"/>
                    <w:left w:val="nil"/>
                    <w:bottom w:val="nil"/>
                    <w:right w:val="nil"/>
                  </w:tcBorders>
                  <w:shd w:val="clear" w:color="auto" w:fill="auto"/>
                  <w:noWrap/>
                  <w:vAlign w:val="bottom"/>
                  <w:hideMark/>
                </w:tcPr>
                <w:p w14:paraId="1A56DE86"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14,752 (23.9) </w:t>
                  </w:r>
                </w:p>
              </w:tc>
              <w:tc>
                <w:tcPr>
                  <w:tcW w:w="0" w:type="auto"/>
                  <w:tcBorders>
                    <w:top w:val="nil"/>
                    <w:left w:val="nil"/>
                    <w:bottom w:val="nil"/>
                    <w:right w:val="nil"/>
                  </w:tcBorders>
                  <w:shd w:val="clear" w:color="auto" w:fill="auto"/>
                  <w:noWrap/>
                  <w:vAlign w:val="bottom"/>
                  <w:hideMark/>
                </w:tcPr>
                <w:p w14:paraId="11A36A0A"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0.18 (0.16-0.20)**</w:t>
                  </w:r>
                </w:p>
              </w:tc>
            </w:tr>
            <w:tr w:rsidR="00AC0575" w:rsidRPr="00A576EB" w14:paraId="40FDD697" w14:textId="77777777" w:rsidTr="000E494A">
              <w:trPr>
                <w:trHeight w:val="300"/>
              </w:trPr>
              <w:tc>
                <w:tcPr>
                  <w:tcW w:w="0" w:type="auto"/>
                  <w:tcBorders>
                    <w:top w:val="nil"/>
                    <w:left w:val="nil"/>
                    <w:bottom w:val="nil"/>
                    <w:right w:val="nil"/>
                  </w:tcBorders>
                  <w:shd w:val="clear" w:color="auto" w:fill="auto"/>
                  <w:noWrap/>
                  <w:vAlign w:val="bottom"/>
                  <w:hideMark/>
                </w:tcPr>
                <w:p w14:paraId="1E30D24C"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35-44</w:t>
                  </w:r>
                </w:p>
              </w:tc>
              <w:tc>
                <w:tcPr>
                  <w:tcW w:w="0" w:type="auto"/>
                  <w:tcBorders>
                    <w:top w:val="nil"/>
                    <w:left w:val="nil"/>
                    <w:bottom w:val="nil"/>
                    <w:right w:val="nil"/>
                  </w:tcBorders>
                  <w:shd w:val="clear" w:color="auto" w:fill="auto"/>
                  <w:noWrap/>
                  <w:vAlign w:val="bottom"/>
                  <w:hideMark/>
                </w:tcPr>
                <w:p w14:paraId="5200673A"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8,413 (46.3) </w:t>
                  </w:r>
                </w:p>
              </w:tc>
              <w:tc>
                <w:tcPr>
                  <w:tcW w:w="0" w:type="auto"/>
                  <w:tcBorders>
                    <w:top w:val="nil"/>
                    <w:left w:val="nil"/>
                    <w:bottom w:val="nil"/>
                    <w:right w:val="nil"/>
                  </w:tcBorders>
                  <w:shd w:val="clear" w:color="auto" w:fill="auto"/>
                  <w:noWrap/>
                  <w:vAlign w:val="bottom"/>
                  <w:hideMark/>
                </w:tcPr>
                <w:p w14:paraId="7485100E"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15,619 (39.7) </w:t>
                  </w:r>
                </w:p>
              </w:tc>
              <w:tc>
                <w:tcPr>
                  <w:tcW w:w="0" w:type="auto"/>
                  <w:tcBorders>
                    <w:top w:val="nil"/>
                    <w:left w:val="nil"/>
                    <w:bottom w:val="nil"/>
                    <w:right w:val="nil"/>
                  </w:tcBorders>
                  <w:shd w:val="clear" w:color="auto" w:fill="auto"/>
                  <w:noWrap/>
                  <w:vAlign w:val="bottom"/>
                  <w:hideMark/>
                </w:tcPr>
                <w:p w14:paraId="2FC5F02F"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0.51 (0.44-0.59)**</w:t>
                  </w:r>
                </w:p>
              </w:tc>
              <w:tc>
                <w:tcPr>
                  <w:tcW w:w="0" w:type="auto"/>
                  <w:tcBorders>
                    <w:top w:val="nil"/>
                    <w:left w:val="nil"/>
                    <w:bottom w:val="nil"/>
                    <w:right w:val="nil"/>
                  </w:tcBorders>
                  <w:shd w:val="clear" w:color="auto" w:fill="auto"/>
                  <w:noWrap/>
                  <w:vAlign w:val="bottom"/>
                  <w:hideMark/>
                </w:tcPr>
                <w:p w14:paraId="579C01BB"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16,876 (27.3) </w:t>
                  </w:r>
                </w:p>
              </w:tc>
              <w:tc>
                <w:tcPr>
                  <w:tcW w:w="0" w:type="auto"/>
                  <w:tcBorders>
                    <w:top w:val="nil"/>
                    <w:left w:val="nil"/>
                    <w:bottom w:val="nil"/>
                    <w:right w:val="nil"/>
                  </w:tcBorders>
                  <w:shd w:val="clear" w:color="auto" w:fill="auto"/>
                  <w:noWrap/>
                  <w:vAlign w:val="bottom"/>
                  <w:hideMark/>
                </w:tcPr>
                <w:p w14:paraId="16FB47CA"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0.10 (0.09-0.11)**</w:t>
                  </w:r>
                </w:p>
              </w:tc>
            </w:tr>
            <w:tr w:rsidR="00AC0575" w:rsidRPr="00A576EB" w14:paraId="7581013A" w14:textId="77777777" w:rsidTr="000E494A">
              <w:trPr>
                <w:trHeight w:val="300"/>
              </w:trPr>
              <w:tc>
                <w:tcPr>
                  <w:tcW w:w="0" w:type="auto"/>
                  <w:tcBorders>
                    <w:top w:val="nil"/>
                    <w:left w:val="nil"/>
                    <w:bottom w:val="nil"/>
                    <w:right w:val="nil"/>
                  </w:tcBorders>
                  <w:shd w:val="clear" w:color="auto" w:fill="auto"/>
                  <w:noWrap/>
                  <w:vAlign w:val="bottom"/>
                  <w:hideMark/>
                </w:tcPr>
                <w:p w14:paraId="651E4043"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45+</w:t>
                  </w:r>
                </w:p>
              </w:tc>
              <w:tc>
                <w:tcPr>
                  <w:tcW w:w="0" w:type="auto"/>
                  <w:tcBorders>
                    <w:top w:val="nil"/>
                    <w:left w:val="nil"/>
                    <w:bottom w:val="nil"/>
                    <w:right w:val="nil"/>
                  </w:tcBorders>
                  <w:shd w:val="clear" w:color="auto" w:fill="auto"/>
                  <w:noWrap/>
                  <w:vAlign w:val="bottom"/>
                  <w:hideMark/>
                </w:tcPr>
                <w:p w14:paraId="54942946"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3,634 (20.0) </w:t>
                  </w:r>
                </w:p>
              </w:tc>
              <w:tc>
                <w:tcPr>
                  <w:tcW w:w="0" w:type="auto"/>
                  <w:tcBorders>
                    <w:top w:val="nil"/>
                    <w:left w:val="nil"/>
                    <w:bottom w:val="nil"/>
                    <w:right w:val="nil"/>
                  </w:tcBorders>
                  <w:shd w:val="clear" w:color="auto" w:fill="auto"/>
                  <w:noWrap/>
                  <w:vAlign w:val="bottom"/>
                  <w:hideMark/>
                </w:tcPr>
                <w:p w14:paraId="53004196"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10,800 (27.4) </w:t>
                  </w:r>
                </w:p>
              </w:tc>
              <w:tc>
                <w:tcPr>
                  <w:tcW w:w="0" w:type="auto"/>
                  <w:tcBorders>
                    <w:top w:val="nil"/>
                    <w:left w:val="nil"/>
                    <w:bottom w:val="nil"/>
                    <w:right w:val="nil"/>
                  </w:tcBorders>
                  <w:shd w:val="clear" w:color="auto" w:fill="auto"/>
                  <w:noWrap/>
                  <w:vAlign w:val="bottom"/>
                  <w:hideMark/>
                </w:tcPr>
                <w:p w14:paraId="4BE10B8E"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1.03 (0.86-1.22)</w:t>
                  </w:r>
                </w:p>
              </w:tc>
              <w:tc>
                <w:tcPr>
                  <w:tcW w:w="0" w:type="auto"/>
                  <w:tcBorders>
                    <w:top w:val="nil"/>
                    <w:left w:val="nil"/>
                    <w:bottom w:val="nil"/>
                    <w:right w:val="nil"/>
                  </w:tcBorders>
                  <w:shd w:val="clear" w:color="auto" w:fill="auto"/>
                  <w:noWrap/>
                  <w:vAlign w:val="bottom"/>
                  <w:hideMark/>
                </w:tcPr>
                <w:p w14:paraId="13852E4A"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23,125 (37.5) </w:t>
                  </w:r>
                </w:p>
              </w:tc>
              <w:tc>
                <w:tcPr>
                  <w:tcW w:w="0" w:type="auto"/>
                  <w:tcBorders>
                    <w:top w:val="nil"/>
                    <w:left w:val="nil"/>
                    <w:bottom w:val="nil"/>
                    <w:right w:val="nil"/>
                  </w:tcBorders>
                  <w:shd w:val="clear" w:color="auto" w:fill="auto"/>
                  <w:noWrap/>
                  <w:vAlign w:val="bottom"/>
                  <w:hideMark/>
                </w:tcPr>
                <w:p w14:paraId="774D8F5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0.33 (0.29-0.38)**</w:t>
                  </w:r>
                </w:p>
              </w:tc>
            </w:tr>
            <w:tr w:rsidR="00AC0575" w:rsidRPr="00A576EB" w14:paraId="6BD6406E" w14:textId="77777777" w:rsidTr="000E494A">
              <w:trPr>
                <w:trHeight w:val="300"/>
              </w:trPr>
              <w:tc>
                <w:tcPr>
                  <w:tcW w:w="0" w:type="auto"/>
                  <w:tcBorders>
                    <w:top w:val="nil"/>
                    <w:left w:val="nil"/>
                    <w:bottom w:val="nil"/>
                    <w:right w:val="nil"/>
                  </w:tcBorders>
                  <w:shd w:val="clear" w:color="auto" w:fill="auto"/>
                  <w:noWrap/>
                  <w:vAlign w:val="bottom"/>
                  <w:hideMark/>
                </w:tcPr>
                <w:p w14:paraId="7118FB63"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Sex:</w:t>
                  </w:r>
                </w:p>
              </w:tc>
              <w:tc>
                <w:tcPr>
                  <w:tcW w:w="0" w:type="auto"/>
                  <w:tcBorders>
                    <w:top w:val="nil"/>
                    <w:left w:val="nil"/>
                    <w:bottom w:val="nil"/>
                    <w:right w:val="nil"/>
                  </w:tcBorders>
                  <w:shd w:val="clear" w:color="auto" w:fill="auto"/>
                  <w:noWrap/>
                  <w:vAlign w:val="bottom"/>
                  <w:hideMark/>
                </w:tcPr>
                <w:p w14:paraId="667105C4" w14:textId="77777777" w:rsidR="00AC0575" w:rsidRPr="00A50CD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8F71356" w14:textId="77777777" w:rsidR="00AC0575" w:rsidRPr="00A50CD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9AD89A1" w14:textId="77777777" w:rsidR="00AC0575" w:rsidRPr="00A50CD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185D8F3" w14:textId="77777777" w:rsidR="00AC0575" w:rsidRPr="00A50CD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6E0DEF5"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70AAF17F" w14:textId="77777777" w:rsidTr="000E494A">
              <w:trPr>
                <w:trHeight w:val="300"/>
              </w:trPr>
              <w:tc>
                <w:tcPr>
                  <w:tcW w:w="0" w:type="auto"/>
                  <w:tcBorders>
                    <w:top w:val="nil"/>
                    <w:left w:val="nil"/>
                    <w:bottom w:val="nil"/>
                    <w:right w:val="nil"/>
                  </w:tcBorders>
                  <w:shd w:val="clear" w:color="auto" w:fill="auto"/>
                  <w:noWrap/>
                  <w:vAlign w:val="bottom"/>
                  <w:hideMark/>
                </w:tcPr>
                <w:p w14:paraId="1572BD97"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Male</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6DE0069F"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9,037 (49.8) </w:t>
                  </w:r>
                </w:p>
              </w:tc>
              <w:tc>
                <w:tcPr>
                  <w:tcW w:w="0" w:type="auto"/>
                  <w:tcBorders>
                    <w:top w:val="nil"/>
                    <w:left w:val="nil"/>
                    <w:bottom w:val="nil"/>
                    <w:right w:val="nil"/>
                  </w:tcBorders>
                  <w:shd w:val="clear" w:color="auto" w:fill="auto"/>
                  <w:noWrap/>
                  <w:vAlign w:val="bottom"/>
                  <w:hideMark/>
                </w:tcPr>
                <w:p w14:paraId="466AE784"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27,895 (70.9) </w:t>
                  </w:r>
                </w:p>
              </w:tc>
              <w:tc>
                <w:tcPr>
                  <w:tcW w:w="0" w:type="auto"/>
                  <w:tcBorders>
                    <w:top w:val="nil"/>
                    <w:left w:val="nil"/>
                    <w:bottom w:val="nil"/>
                    <w:right w:val="nil"/>
                  </w:tcBorders>
                  <w:shd w:val="clear" w:color="auto" w:fill="auto"/>
                  <w:noWrap/>
                  <w:vAlign w:val="bottom"/>
                  <w:hideMark/>
                </w:tcPr>
                <w:p w14:paraId="0E408035"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5B832F25"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45,023 (72.9) </w:t>
                  </w:r>
                </w:p>
              </w:tc>
              <w:tc>
                <w:tcPr>
                  <w:tcW w:w="0" w:type="auto"/>
                  <w:tcBorders>
                    <w:top w:val="nil"/>
                    <w:left w:val="nil"/>
                    <w:bottom w:val="nil"/>
                    <w:right w:val="nil"/>
                  </w:tcBorders>
                  <w:shd w:val="clear" w:color="auto" w:fill="auto"/>
                  <w:noWrap/>
                  <w:vAlign w:val="bottom"/>
                  <w:hideMark/>
                </w:tcPr>
                <w:p w14:paraId="52B479A1" w14:textId="77777777" w:rsidR="00AC0575" w:rsidRPr="00A576EB" w:rsidRDefault="00AC0575" w:rsidP="000E494A">
                  <w:pPr>
                    <w:jc w:val="right"/>
                    <w:rPr>
                      <w:rFonts w:eastAsia="Times New Roman" w:cs="Arial"/>
                      <w:color w:val="000000"/>
                      <w:sz w:val="20"/>
                      <w:szCs w:val="20"/>
                      <w:lang w:eastAsia="en-GB"/>
                    </w:rPr>
                  </w:pPr>
                </w:p>
              </w:tc>
            </w:tr>
            <w:tr w:rsidR="00AC0575" w:rsidRPr="00A576EB" w14:paraId="3EFD94F9" w14:textId="77777777" w:rsidTr="000E494A">
              <w:trPr>
                <w:trHeight w:val="300"/>
              </w:trPr>
              <w:tc>
                <w:tcPr>
                  <w:tcW w:w="0" w:type="auto"/>
                  <w:tcBorders>
                    <w:top w:val="nil"/>
                    <w:left w:val="nil"/>
                    <w:bottom w:val="nil"/>
                    <w:right w:val="nil"/>
                  </w:tcBorders>
                  <w:shd w:val="clear" w:color="auto" w:fill="auto"/>
                  <w:noWrap/>
                  <w:vAlign w:val="bottom"/>
                  <w:hideMark/>
                </w:tcPr>
                <w:p w14:paraId="68FF976F"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Female</w:t>
                  </w:r>
                </w:p>
              </w:tc>
              <w:tc>
                <w:tcPr>
                  <w:tcW w:w="0" w:type="auto"/>
                  <w:tcBorders>
                    <w:top w:val="nil"/>
                    <w:left w:val="nil"/>
                    <w:bottom w:val="nil"/>
                    <w:right w:val="nil"/>
                  </w:tcBorders>
                  <w:shd w:val="clear" w:color="auto" w:fill="auto"/>
                  <w:noWrap/>
                  <w:vAlign w:val="bottom"/>
                  <w:hideMark/>
                </w:tcPr>
                <w:p w14:paraId="306178BB"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9,124 (50.2) </w:t>
                  </w:r>
                </w:p>
              </w:tc>
              <w:tc>
                <w:tcPr>
                  <w:tcW w:w="0" w:type="auto"/>
                  <w:tcBorders>
                    <w:top w:val="nil"/>
                    <w:left w:val="nil"/>
                    <w:bottom w:val="nil"/>
                    <w:right w:val="nil"/>
                  </w:tcBorders>
                  <w:shd w:val="clear" w:color="auto" w:fill="auto"/>
                  <w:noWrap/>
                  <w:vAlign w:val="bottom"/>
                  <w:hideMark/>
                </w:tcPr>
                <w:p w14:paraId="26617DFE"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11,473 (29.1) </w:t>
                  </w:r>
                </w:p>
              </w:tc>
              <w:tc>
                <w:tcPr>
                  <w:tcW w:w="0" w:type="auto"/>
                  <w:tcBorders>
                    <w:top w:val="nil"/>
                    <w:left w:val="nil"/>
                    <w:bottom w:val="nil"/>
                    <w:right w:val="nil"/>
                  </w:tcBorders>
                  <w:shd w:val="clear" w:color="auto" w:fill="auto"/>
                  <w:noWrap/>
                  <w:vAlign w:val="bottom"/>
                  <w:hideMark/>
                </w:tcPr>
                <w:p w14:paraId="052B4DDF"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0.42 (0.40-0.44)**</w:t>
                  </w:r>
                </w:p>
              </w:tc>
              <w:tc>
                <w:tcPr>
                  <w:tcW w:w="0" w:type="auto"/>
                  <w:tcBorders>
                    <w:top w:val="nil"/>
                    <w:left w:val="nil"/>
                    <w:bottom w:val="nil"/>
                    <w:right w:val="nil"/>
                  </w:tcBorders>
                  <w:shd w:val="clear" w:color="auto" w:fill="auto"/>
                  <w:noWrap/>
                  <w:vAlign w:val="bottom"/>
                  <w:hideMark/>
                </w:tcPr>
                <w:p w14:paraId="69571A42" w14:textId="77777777" w:rsidR="00AC0575" w:rsidRPr="00A50CDB" w:rsidRDefault="00AC0575" w:rsidP="000E494A">
                  <w:pPr>
                    <w:jc w:val="right"/>
                    <w:rPr>
                      <w:rFonts w:eastAsia="Times New Roman" w:cs="Arial"/>
                      <w:color w:val="000000"/>
                      <w:sz w:val="20"/>
                      <w:szCs w:val="20"/>
                      <w:lang w:eastAsia="en-GB"/>
                    </w:rPr>
                  </w:pPr>
                  <w:r w:rsidRPr="00A50CDB">
                    <w:rPr>
                      <w:rFonts w:eastAsia="Times New Roman" w:cs="Arial"/>
                      <w:color w:val="000000"/>
                      <w:sz w:val="20"/>
                      <w:szCs w:val="20"/>
                      <w:lang w:eastAsia="en-GB"/>
                    </w:rPr>
                    <w:t xml:space="preserve"> 16,709 (27.1) </w:t>
                  </w:r>
                </w:p>
              </w:tc>
              <w:tc>
                <w:tcPr>
                  <w:tcW w:w="0" w:type="auto"/>
                  <w:tcBorders>
                    <w:top w:val="nil"/>
                    <w:left w:val="nil"/>
                    <w:bottom w:val="nil"/>
                    <w:right w:val="nil"/>
                  </w:tcBorders>
                  <w:shd w:val="clear" w:color="auto" w:fill="auto"/>
                  <w:noWrap/>
                  <w:vAlign w:val="bottom"/>
                  <w:hideMark/>
                </w:tcPr>
                <w:p w14:paraId="4D97434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0.44 (0.42-0.47)**</w:t>
                  </w:r>
                </w:p>
              </w:tc>
            </w:tr>
            <w:tr w:rsidR="00AC0575" w:rsidRPr="00A576EB" w14:paraId="7AED0AAB" w14:textId="77777777" w:rsidTr="000E494A">
              <w:trPr>
                <w:trHeight w:val="300"/>
              </w:trPr>
              <w:tc>
                <w:tcPr>
                  <w:tcW w:w="0" w:type="auto"/>
                  <w:tcBorders>
                    <w:top w:val="nil"/>
                    <w:left w:val="nil"/>
                    <w:bottom w:val="nil"/>
                    <w:right w:val="nil"/>
                  </w:tcBorders>
                  <w:shd w:val="clear" w:color="auto" w:fill="auto"/>
                  <w:noWrap/>
                  <w:vAlign w:val="bottom"/>
                  <w:hideMark/>
                </w:tcPr>
                <w:p w14:paraId="2148F08C"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Ethnicity:</w:t>
                  </w:r>
                </w:p>
              </w:tc>
              <w:tc>
                <w:tcPr>
                  <w:tcW w:w="0" w:type="auto"/>
                  <w:tcBorders>
                    <w:top w:val="nil"/>
                    <w:left w:val="nil"/>
                    <w:bottom w:val="nil"/>
                    <w:right w:val="nil"/>
                  </w:tcBorders>
                  <w:shd w:val="clear" w:color="auto" w:fill="auto"/>
                  <w:noWrap/>
                  <w:vAlign w:val="bottom"/>
                  <w:hideMark/>
                </w:tcPr>
                <w:p w14:paraId="0640E768" w14:textId="77777777" w:rsidR="00AC0575" w:rsidRPr="00A50CD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2FA2B45" w14:textId="77777777" w:rsidR="00AC0575" w:rsidRPr="00A50CD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25AA92B" w14:textId="77777777" w:rsidR="00AC0575" w:rsidRPr="00A50CD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B18ABD0" w14:textId="77777777" w:rsidR="00AC0575" w:rsidRPr="00A50CD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C844F8F"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42DF03FA" w14:textId="77777777" w:rsidTr="000E494A">
              <w:trPr>
                <w:trHeight w:val="300"/>
              </w:trPr>
              <w:tc>
                <w:tcPr>
                  <w:tcW w:w="0" w:type="auto"/>
                  <w:tcBorders>
                    <w:top w:val="nil"/>
                    <w:left w:val="nil"/>
                    <w:bottom w:val="nil"/>
                    <w:right w:val="nil"/>
                  </w:tcBorders>
                  <w:shd w:val="clear" w:color="auto" w:fill="auto"/>
                  <w:noWrap/>
                  <w:vAlign w:val="bottom"/>
                  <w:hideMark/>
                </w:tcPr>
                <w:p w14:paraId="72BF4DB6"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White</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3015283E"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15,852 (87.3) </w:t>
                  </w:r>
                </w:p>
              </w:tc>
              <w:tc>
                <w:tcPr>
                  <w:tcW w:w="0" w:type="auto"/>
                  <w:tcBorders>
                    <w:top w:val="nil"/>
                    <w:left w:val="nil"/>
                    <w:bottom w:val="nil"/>
                    <w:right w:val="nil"/>
                  </w:tcBorders>
                  <w:shd w:val="clear" w:color="auto" w:fill="auto"/>
                  <w:noWrap/>
                  <w:vAlign w:val="bottom"/>
                  <w:hideMark/>
                </w:tcPr>
                <w:p w14:paraId="36B5A65E"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35,087 (89.1) </w:t>
                  </w:r>
                </w:p>
              </w:tc>
              <w:tc>
                <w:tcPr>
                  <w:tcW w:w="0" w:type="auto"/>
                  <w:tcBorders>
                    <w:top w:val="nil"/>
                    <w:left w:val="nil"/>
                    <w:bottom w:val="nil"/>
                    <w:right w:val="nil"/>
                  </w:tcBorders>
                  <w:shd w:val="clear" w:color="auto" w:fill="auto"/>
                  <w:noWrap/>
                  <w:vAlign w:val="bottom"/>
                  <w:hideMark/>
                </w:tcPr>
                <w:p w14:paraId="71BC47C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5F1B73A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53,856 (87.2) </w:t>
                  </w:r>
                </w:p>
              </w:tc>
              <w:tc>
                <w:tcPr>
                  <w:tcW w:w="0" w:type="auto"/>
                  <w:tcBorders>
                    <w:top w:val="nil"/>
                    <w:left w:val="nil"/>
                    <w:bottom w:val="nil"/>
                    <w:right w:val="nil"/>
                  </w:tcBorders>
                  <w:shd w:val="clear" w:color="auto" w:fill="auto"/>
                  <w:noWrap/>
                  <w:vAlign w:val="bottom"/>
                  <w:hideMark/>
                </w:tcPr>
                <w:p w14:paraId="3B30314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7B273F4E" w14:textId="77777777" w:rsidTr="000E494A">
              <w:trPr>
                <w:trHeight w:val="300"/>
              </w:trPr>
              <w:tc>
                <w:tcPr>
                  <w:tcW w:w="0" w:type="auto"/>
                  <w:tcBorders>
                    <w:top w:val="nil"/>
                    <w:left w:val="nil"/>
                    <w:bottom w:val="nil"/>
                    <w:right w:val="nil"/>
                  </w:tcBorders>
                  <w:shd w:val="clear" w:color="auto" w:fill="auto"/>
                  <w:noWrap/>
                  <w:vAlign w:val="bottom"/>
                  <w:hideMark/>
                </w:tcPr>
                <w:p w14:paraId="00A8547B"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BAME</w:t>
                  </w:r>
                </w:p>
              </w:tc>
              <w:tc>
                <w:tcPr>
                  <w:tcW w:w="0" w:type="auto"/>
                  <w:tcBorders>
                    <w:top w:val="nil"/>
                    <w:left w:val="nil"/>
                    <w:bottom w:val="nil"/>
                    <w:right w:val="nil"/>
                  </w:tcBorders>
                  <w:shd w:val="clear" w:color="auto" w:fill="auto"/>
                  <w:noWrap/>
                  <w:vAlign w:val="bottom"/>
                  <w:hideMark/>
                </w:tcPr>
                <w:p w14:paraId="54BDB12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1,696 (9.3) </w:t>
                  </w:r>
                </w:p>
              </w:tc>
              <w:tc>
                <w:tcPr>
                  <w:tcW w:w="0" w:type="auto"/>
                  <w:tcBorders>
                    <w:top w:val="nil"/>
                    <w:left w:val="nil"/>
                    <w:bottom w:val="nil"/>
                    <w:right w:val="nil"/>
                  </w:tcBorders>
                  <w:shd w:val="clear" w:color="auto" w:fill="auto"/>
                  <w:noWrap/>
                  <w:vAlign w:val="bottom"/>
                  <w:hideMark/>
                </w:tcPr>
                <w:p w14:paraId="0C42D18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3,144 (8.0) </w:t>
                  </w:r>
                </w:p>
              </w:tc>
              <w:tc>
                <w:tcPr>
                  <w:tcW w:w="0" w:type="auto"/>
                  <w:tcBorders>
                    <w:top w:val="nil"/>
                    <w:left w:val="nil"/>
                    <w:bottom w:val="nil"/>
                    <w:right w:val="nil"/>
                  </w:tcBorders>
                  <w:shd w:val="clear" w:color="auto" w:fill="auto"/>
                  <w:noWrap/>
                  <w:vAlign w:val="bottom"/>
                  <w:hideMark/>
                </w:tcPr>
                <w:p w14:paraId="7A6E217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0.77 (0.69-0.86)**</w:t>
                  </w:r>
                </w:p>
              </w:tc>
              <w:tc>
                <w:tcPr>
                  <w:tcW w:w="0" w:type="auto"/>
                  <w:tcBorders>
                    <w:top w:val="nil"/>
                    <w:left w:val="nil"/>
                    <w:bottom w:val="nil"/>
                    <w:right w:val="nil"/>
                  </w:tcBorders>
                  <w:shd w:val="clear" w:color="auto" w:fill="auto"/>
                  <w:noWrap/>
                  <w:vAlign w:val="bottom"/>
                  <w:hideMark/>
                </w:tcPr>
                <w:p w14:paraId="6E065C6B"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5,788 (9.4) </w:t>
                  </w:r>
                </w:p>
              </w:tc>
              <w:tc>
                <w:tcPr>
                  <w:tcW w:w="0" w:type="auto"/>
                  <w:tcBorders>
                    <w:top w:val="nil"/>
                    <w:left w:val="nil"/>
                    <w:bottom w:val="nil"/>
                    <w:right w:val="nil"/>
                  </w:tcBorders>
                  <w:shd w:val="clear" w:color="auto" w:fill="auto"/>
                  <w:noWrap/>
                  <w:vAlign w:val="bottom"/>
                  <w:hideMark/>
                </w:tcPr>
                <w:p w14:paraId="051469B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0.93 (0.84-1.04)</w:t>
                  </w:r>
                </w:p>
              </w:tc>
            </w:tr>
            <w:tr w:rsidR="00AC0575" w:rsidRPr="00A576EB" w14:paraId="47FF2EEA" w14:textId="77777777" w:rsidTr="000E494A">
              <w:trPr>
                <w:trHeight w:val="300"/>
              </w:trPr>
              <w:tc>
                <w:tcPr>
                  <w:tcW w:w="0" w:type="auto"/>
                  <w:tcBorders>
                    <w:top w:val="nil"/>
                    <w:left w:val="nil"/>
                    <w:bottom w:val="nil"/>
                    <w:right w:val="nil"/>
                  </w:tcBorders>
                  <w:shd w:val="clear" w:color="auto" w:fill="auto"/>
                  <w:noWrap/>
                  <w:vAlign w:val="bottom"/>
                  <w:hideMark/>
                </w:tcPr>
                <w:p w14:paraId="2BB48049"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Employment status:</w:t>
                  </w:r>
                </w:p>
              </w:tc>
              <w:tc>
                <w:tcPr>
                  <w:tcW w:w="0" w:type="auto"/>
                  <w:tcBorders>
                    <w:top w:val="nil"/>
                    <w:left w:val="nil"/>
                    <w:bottom w:val="nil"/>
                    <w:right w:val="nil"/>
                  </w:tcBorders>
                  <w:shd w:val="clear" w:color="auto" w:fill="auto"/>
                  <w:noWrap/>
                  <w:vAlign w:val="bottom"/>
                  <w:hideMark/>
                </w:tcPr>
                <w:p w14:paraId="46AA2831"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8D4B812"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3A63CF7"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B7DB2EF"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046678C"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5D515550" w14:textId="77777777" w:rsidTr="000E494A">
              <w:trPr>
                <w:trHeight w:val="300"/>
              </w:trPr>
              <w:tc>
                <w:tcPr>
                  <w:tcW w:w="0" w:type="auto"/>
                  <w:tcBorders>
                    <w:top w:val="nil"/>
                    <w:left w:val="nil"/>
                    <w:bottom w:val="nil"/>
                    <w:right w:val="nil"/>
                  </w:tcBorders>
                  <w:shd w:val="clear" w:color="auto" w:fill="auto"/>
                  <w:noWrap/>
                  <w:vAlign w:val="bottom"/>
                  <w:hideMark/>
                </w:tcPr>
                <w:p w14:paraId="23B7A4AC"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 xml:space="preserve"> NEET</w:t>
                  </w:r>
                  <w:r w:rsidRPr="00A576EB">
                    <w:rPr>
                      <w:sz w:val="20"/>
                      <w:szCs w:val="20"/>
                      <w:vertAlign w:val="superscript"/>
                    </w:rPr>
                    <w:t xml:space="preserve"> ¥</w:t>
                  </w:r>
                </w:p>
              </w:tc>
              <w:tc>
                <w:tcPr>
                  <w:tcW w:w="0" w:type="auto"/>
                  <w:tcBorders>
                    <w:top w:val="nil"/>
                    <w:left w:val="nil"/>
                    <w:bottom w:val="nil"/>
                    <w:right w:val="nil"/>
                  </w:tcBorders>
                  <w:shd w:val="clear" w:color="auto" w:fill="auto"/>
                  <w:noWrap/>
                  <w:vAlign w:val="bottom"/>
                  <w:hideMark/>
                </w:tcPr>
                <w:p w14:paraId="57350FE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6,003 (33.1) </w:t>
                  </w:r>
                </w:p>
              </w:tc>
              <w:tc>
                <w:tcPr>
                  <w:tcW w:w="0" w:type="auto"/>
                  <w:tcBorders>
                    <w:top w:val="nil"/>
                    <w:left w:val="nil"/>
                    <w:bottom w:val="nil"/>
                    <w:right w:val="nil"/>
                  </w:tcBorders>
                  <w:shd w:val="clear" w:color="auto" w:fill="auto"/>
                  <w:noWrap/>
                  <w:vAlign w:val="bottom"/>
                  <w:hideMark/>
                </w:tcPr>
                <w:p w14:paraId="29B024AE"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16,675 (42.4) </w:t>
                  </w:r>
                </w:p>
              </w:tc>
              <w:tc>
                <w:tcPr>
                  <w:tcW w:w="0" w:type="auto"/>
                  <w:tcBorders>
                    <w:top w:val="nil"/>
                    <w:left w:val="nil"/>
                    <w:bottom w:val="nil"/>
                    <w:right w:val="nil"/>
                  </w:tcBorders>
                  <w:shd w:val="clear" w:color="auto" w:fill="auto"/>
                  <w:noWrap/>
                  <w:vAlign w:val="bottom"/>
                  <w:hideMark/>
                </w:tcPr>
                <w:p w14:paraId="657BE22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5CA0D6A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22,841 (37.0) </w:t>
                  </w:r>
                </w:p>
              </w:tc>
              <w:tc>
                <w:tcPr>
                  <w:tcW w:w="0" w:type="auto"/>
                  <w:tcBorders>
                    <w:top w:val="nil"/>
                    <w:left w:val="nil"/>
                    <w:bottom w:val="nil"/>
                    <w:right w:val="nil"/>
                  </w:tcBorders>
                  <w:shd w:val="clear" w:color="auto" w:fill="auto"/>
                  <w:noWrap/>
                  <w:vAlign w:val="bottom"/>
                  <w:hideMark/>
                </w:tcPr>
                <w:p w14:paraId="21588E21"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0593D1A4" w14:textId="77777777" w:rsidTr="000E494A">
              <w:trPr>
                <w:trHeight w:val="300"/>
              </w:trPr>
              <w:tc>
                <w:tcPr>
                  <w:tcW w:w="0" w:type="auto"/>
                  <w:tcBorders>
                    <w:top w:val="nil"/>
                    <w:left w:val="nil"/>
                    <w:bottom w:val="nil"/>
                    <w:right w:val="nil"/>
                  </w:tcBorders>
                  <w:shd w:val="clear" w:color="auto" w:fill="auto"/>
                  <w:noWrap/>
                  <w:vAlign w:val="bottom"/>
                  <w:hideMark/>
                </w:tcPr>
                <w:p w14:paraId="1442C94A"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Disabled</w:t>
                  </w:r>
                </w:p>
              </w:tc>
              <w:tc>
                <w:tcPr>
                  <w:tcW w:w="0" w:type="auto"/>
                  <w:tcBorders>
                    <w:top w:val="nil"/>
                    <w:left w:val="nil"/>
                    <w:bottom w:val="nil"/>
                    <w:right w:val="nil"/>
                  </w:tcBorders>
                  <w:shd w:val="clear" w:color="auto" w:fill="auto"/>
                  <w:noWrap/>
                  <w:vAlign w:val="bottom"/>
                  <w:hideMark/>
                </w:tcPr>
                <w:p w14:paraId="6130CC9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2,962 (16.3) </w:t>
                  </w:r>
                </w:p>
              </w:tc>
              <w:tc>
                <w:tcPr>
                  <w:tcW w:w="0" w:type="auto"/>
                  <w:tcBorders>
                    <w:top w:val="nil"/>
                    <w:left w:val="nil"/>
                    <w:bottom w:val="nil"/>
                    <w:right w:val="nil"/>
                  </w:tcBorders>
                  <w:shd w:val="clear" w:color="auto" w:fill="auto"/>
                  <w:noWrap/>
                  <w:vAlign w:val="bottom"/>
                  <w:hideMark/>
                </w:tcPr>
                <w:p w14:paraId="282572E1"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12,522 (31.8) </w:t>
                  </w:r>
                </w:p>
              </w:tc>
              <w:tc>
                <w:tcPr>
                  <w:tcW w:w="0" w:type="auto"/>
                  <w:tcBorders>
                    <w:top w:val="nil"/>
                    <w:left w:val="nil"/>
                    <w:bottom w:val="nil"/>
                    <w:right w:val="nil"/>
                  </w:tcBorders>
                  <w:shd w:val="clear" w:color="auto" w:fill="auto"/>
                  <w:noWrap/>
                  <w:vAlign w:val="bottom"/>
                  <w:hideMark/>
                </w:tcPr>
                <w:p w14:paraId="3FB4FA2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1.55 (1.42-1.68)**</w:t>
                  </w:r>
                </w:p>
              </w:tc>
              <w:tc>
                <w:tcPr>
                  <w:tcW w:w="0" w:type="auto"/>
                  <w:tcBorders>
                    <w:top w:val="nil"/>
                    <w:left w:val="nil"/>
                    <w:bottom w:val="nil"/>
                    <w:right w:val="nil"/>
                  </w:tcBorders>
                  <w:shd w:val="clear" w:color="auto" w:fill="auto"/>
                  <w:noWrap/>
                  <w:vAlign w:val="bottom"/>
                  <w:hideMark/>
                </w:tcPr>
                <w:p w14:paraId="1CED90E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17,497 (28.3) </w:t>
                  </w:r>
                </w:p>
              </w:tc>
              <w:tc>
                <w:tcPr>
                  <w:tcW w:w="0" w:type="auto"/>
                  <w:tcBorders>
                    <w:top w:val="nil"/>
                    <w:left w:val="nil"/>
                    <w:bottom w:val="nil"/>
                    <w:right w:val="nil"/>
                  </w:tcBorders>
                  <w:shd w:val="clear" w:color="auto" w:fill="auto"/>
                  <w:noWrap/>
                  <w:vAlign w:val="bottom"/>
                  <w:hideMark/>
                </w:tcPr>
                <w:p w14:paraId="60DC7C2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1.57 (1.45-1.71)**</w:t>
                  </w:r>
                </w:p>
              </w:tc>
            </w:tr>
            <w:tr w:rsidR="00AC0575" w:rsidRPr="00A576EB" w14:paraId="009B65B9" w14:textId="77777777" w:rsidTr="000E494A">
              <w:trPr>
                <w:trHeight w:val="300"/>
              </w:trPr>
              <w:tc>
                <w:tcPr>
                  <w:tcW w:w="0" w:type="auto"/>
                  <w:tcBorders>
                    <w:top w:val="nil"/>
                    <w:left w:val="nil"/>
                    <w:bottom w:val="nil"/>
                    <w:right w:val="nil"/>
                  </w:tcBorders>
                  <w:shd w:val="clear" w:color="auto" w:fill="auto"/>
                  <w:noWrap/>
                  <w:vAlign w:val="bottom"/>
                  <w:hideMark/>
                </w:tcPr>
                <w:p w14:paraId="12DE4285"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EET</w:t>
                  </w:r>
                </w:p>
              </w:tc>
              <w:tc>
                <w:tcPr>
                  <w:tcW w:w="0" w:type="auto"/>
                  <w:tcBorders>
                    <w:top w:val="nil"/>
                    <w:left w:val="nil"/>
                    <w:bottom w:val="nil"/>
                    <w:right w:val="nil"/>
                  </w:tcBorders>
                  <w:shd w:val="clear" w:color="auto" w:fill="auto"/>
                  <w:noWrap/>
                  <w:vAlign w:val="bottom"/>
                  <w:hideMark/>
                </w:tcPr>
                <w:p w14:paraId="73AA95C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7,818 (43.0) </w:t>
                  </w:r>
                </w:p>
              </w:tc>
              <w:tc>
                <w:tcPr>
                  <w:tcW w:w="0" w:type="auto"/>
                  <w:tcBorders>
                    <w:top w:val="nil"/>
                    <w:left w:val="nil"/>
                    <w:bottom w:val="nil"/>
                    <w:right w:val="nil"/>
                  </w:tcBorders>
                  <w:shd w:val="clear" w:color="auto" w:fill="auto"/>
                  <w:noWrap/>
                  <w:vAlign w:val="bottom"/>
                  <w:hideMark/>
                </w:tcPr>
                <w:p w14:paraId="724196C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7,336 (18.6) </w:t>
                  </w:r>
                </w:p>
              </w:tc>
              <w:tc>
                <w:tcPr>
                  <w:tcW w:w="0" w:type="auto"/>
                  <w:tcBorders>
                    <w:top w:val="nil"/>
                    <w:left w:val="nil"/>
                    <w:bottom w:val="nil"/>
                    <w:right w:val="nil"/>
                  </w:tcBorders>
                  <w:shd w:val="clear" w:color="auto" w:fill="auto"/>
                  <w:noWrap/>
                  <w:vAlign w:val="bottom"/>
                  <w:hideMark/>
                </w:tcPr>
                <w:p w14:paraId="5941A72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0.45 (0.42-0.48)**</w:t>
                  </w:r>
                </w:p>
              </w:tc>
              <w:tc>
                <w:tcPr>
                  <w:tcW w:w="0" w:type="auto"/>
                  <w:tcBorders>
                    <w:top w:val="nil"/>
                    <w:left w:val="nil"/>
                    <w:bottom w:val="nil"/>
                    <w:right w:val="nil"/>
                  </w:tcBorders>
                  <w:shd w:val="clear" w:color="auto" w:fill="auto"/>
                  <w:noWrap/>
                  <w:vAlign w:val="bottom"/>
                  <w:hideMark/>
                </w:tcPr>
                <w:p w14:paraId="46B68E29"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15,967 (25.9) </w:t>
                  </w:r>
                </w:p>
              </w:tc>
              <w:tc>
                <w:tcPr>
                  <w:tcW w:w="0" w:type="auto"/>
                  <w:tcBorders>
                    <w:top w:val="nil"/>
                    <w:left w:val="nil"/>
                    <w:bottom w:val="nil"/>
                    <w:right w:val="nil"/>
                  </w:tcBorders>
                  <w:shd w:val="clear" w:color="auto" w:fill="auto"/>
                  <w:noWrap/>
                  <w:vAlign w:val="bottom"/>
                  <w:hideMark/>
                </w:tcPr>
                <w:p w14:paraId="6478928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0.53 (0.50-0.57)**</w:t>
                  </w:r>
                </w:p>
              </w:tc>
            </w:tr>
            <w:tr w:rsidR="00AC0575" w:rsidRPr="00A576EB" w14:paraId="64E271C2" w14:textId="77777777" w:rsidTr="000E494A">
              <w:trPr>
                <w:trHeight w:val="300"/>
              </w:trPr>
              <w:tc>
                <w:tcPr>
                  <w:tcW w:w="0" w:type="auto"/>
                  <w:tcBorders>
                    <w:top w:val="nil"/>
                    <w:left w:val="nil"/>
                    <w:bottom w:val="nil"/>
                    <w:right w:val="nil"/>
                  </w:tcBorders>
                  <w:shd w:val="clear" w:color="auto" w:fill="auto"/>
                  <w:noWrap/>
                  <w:vAlign w:val="bottom"/>
                  <w:hideMark/>
                </w:tcPr>
                <w:p w14:paraId="649A21A7"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Housing status:</w:t>
                  </w:r>
                </w:p>
              </w:tc>
              <w:tc>
                <w:tcPr>
                  <w:tcW w:w="0" w:type="auto"/>
                  <w:tcBorders>
                    <w:top w:val="nil"/>
                    <w:left w:val="nil"/>
                    <w:bottom w:val="nil"/>
                    <w:right w:val="nil"/>
                  </w:tcBorders>
                  <w:shd w:val="clear" w:color="auto" w:fill="auto"/>
                  <w:noWrap/>
                  <w:vAlign w:val="bottom"/>
                  <w:hideMark/>
                </w:tcPr>
                <w:p w14:paraId="0809ED66"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FE505F1"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021EEFB"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0D9D38D"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F957CD3"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367FE699" w14:textId="77777777" w:rsidTr="000E494A">
              <w:trPr>
                <w:trHeight w:val="300"/>
              </w:trPr>
              <w:tc>
                <w:tcPr>
                  <w:tcW w:w="0" w:type="auto"/>
                  <w:tcBorders>
                    <w:top w:val="nil"/>
                    <w:left w:val="nil"/>
                    <w:bottom w:val="nil"/>
                    <w:right w:val="nil"/>
                  </w:tcBorders>
                  <w:shd w:val="clear" w:color="auto" w:fill="auto"/>
                  <w:noWrap/>
                  <w:vAlign w:val="bottom"/>
                  <w:hideMark/>
                </w:tcPr>
                <w:p w14:paraId="5E33133D"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lastRenderedPageBreak/>
                    <w:t>No housing problem</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6875FD59"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16,569 (91.2) </w:t>
                  </w:r>
                </w:p>
              </w:tc>
              <w:tc>
                <w:tcPr>
                  <w:tcW w:w="0" w:type="auto"/>
                  <w:tcBorders>
                    <w:top w:val="nil"/>
                    <w:left w:val="nil"/>
                    <w:bottom w:val="nil"/>
                    <w:right w:val="nil"/>
                  </w:tcBorders>
                  <w:shd w:val="clear" w:color="auto" w:fill="auto"/>
                  <w:noWrap/>
                  <w:vAlign w:val="bottom"/>
                  <w:hideMark/>
                </w:tcPr>
                <w:p w14:paraId="118538A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28,429 (72.2) </w:t>
                  </w:r>
                </w:p>
              </w:tc>
              <w:tc>
                <w:tcPr>
                  <w:tcW w:w="0" w:type="auto"/>
                  <w:tcBorders>
                    <w:top w:val="nil"/>
                    <w:left w:val="nil"/>
                    <w:bottom w:val="nil"/>
                    <w:right w:val="nil"/>
                  </w:tcBorders>
                  <w:shd w:val="clear" w:color="auto" w:fill="auto"/>
                  <w:noWrap/>
                  <w:vAlign w:val="bottom"/>
                  <w:hideMark/>
                </w:tcPr>
                <w:p w14:paraId="3EDAC85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6A44867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49,225 (79.7) </w:t>
                  </w:r>
                </w:p>
              </w:tc>
              <w:tc>
                <w:tcPr>
                  <w:tcW w:w="0" w:type="auto"/>
                  <w:tcBorders>
                    <w:top w:val="nil"/>
                    <w:left w:val="nil"/>
                    <w:bottom w:val="nil"/>
                    <w:right w:val="nil"/>
                  </w:tcBorders>
                  <w:shd w:val="clear" w:color="auto" w:fill="auto"/>
                  <w:noWrap/>
                  <w:vAlign w:val="bottom"/>
                  <w:hideMark/>
                </w:tcPr>
                <w:p w14:paraId="61E8AE9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7B1D63F6" w14:textId="77777777" w:rsidTr="000E494A">
              <w:trPr>
                <w:trHeight w:val="300"/>
              </w:trPr>
              <w:tc>
                <w:tcPr>
                  <w:tcW w:w="0" w:type="auto"/>
                  <w:tcBorders>
                    <w:top w:val="nil"/>
                    <w:left w:val="nil"/>
                    <w:bottom w:val="nil"/>
                    <w:right w:val="nil"/>
                  </w:tcBorders>
                  <w:shd w:val="clear" w:color="auto" w:fill="auto"/>
                  <w:noWrap/>
                  <w:vAlign w:val="bottom"/>
                  <w:hideMark/>
                </w:tcPr>
                <w:p w14:paraId="63BE5771"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NFA</w:t>
                  </w:r>
                </w:p>
              </w:tc>
              <w:tc>
                <w:tcPr>
                  <w:tcW w:w="0" w:type="auto"/>
                  <w:tcBorders>
                    <w:top w:val="nil"/>
                    <w:left w:val="nil"/>
                    <w:bottom w:val="nil"/>
                    <w:right w:val="nil"/>
                  </w:tcBorders>
                  <w:shd w:val="clear" w:color="auto" w:fill="auto"/>
                  <w:noWrap/>
                  <w:vAlign w:val="bottom"/>
                  <w:hideMark/>
                </w:tcPr>
                <w:p w14:paraId="182D7E6B"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188 (1.0) </w:t>
                  </w:r>
                </w:p>
              </w:tc>
              <w:tc>
                <w:tcPr>
                  <w:tcW w:w="0" w:type="auto"/>
                  <w:tcBorders>
                    <w:top w:val="nil"/>
                    <w:left w:val="nil"/>
                    <w:bottom w:val="nil"/>
                    <w:right w:val="nil"/>
                  </w:tcBorders>
                  <w:shd w:val="clear" w:color="auto" w:fill="auto"/>
                  <w:noWrap/>
                  <w:vAlign w:val="bottom"/>
                  <w:hideMark/>
                </w:tcPr>
                <w:p w14:paraId="245785B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4,599 (11.7) </w:t>
                  </w:r>
                </w:p>
              </w:tc>
              <w:tc>
                <w:tcPr>
                  <w:tcW w:w="0" w:type="auto"/>
                  <w:tcBorders>
                    <w:top w:val="nil"/>
                    <w:left w:val="nil"/>
                    <w:bottom w:val="nil"/>
                    <w:right w:val="nil"/>
                  </w:tcBorders>
                  <w:shd w:val="clear" w:color="auto" w:fill="auto"/>
                  <w:noWrap/>
                  <w:vAlign w:val="bottom"/>
                  <w:hideMark/>
                </w:tcPr>
                <w:p w14:paraId="4CB1BC2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6.97 (5.65-8.60)**</w:t>
                  </w:r>
                </w:p>
              </w:tc>
              <w:tc>
                <w:tcPr>
                  <w:tcW w:w="0" w:type="auto"/>
                  <w:tcBorders>
                    <w:top w:val="nil"/>
                    <w:left w:val="nil"/>
                    <w:bottom w:val="nil"/>
                    <w:right w:val="nil"/>
                  </w:tcBorders>
                  <w:shd w:val="clear" w:color="auto" w:fill="auto"/>
                  <w:noWrap/>
                  <w:vAlign w:val="bottom"/>
                  <w:hideMark/>
                </w:tcPr>
                <w:p w14:paraId="598D36D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4,604 (7.5) </w:t>
                  </w:r>
                </w:p>
              </w:tc>
              <w:tc>
                <w:tcPr>
                  <w:tcW w:w="0" w:type="auto"/>
                  <w:tcBorders>
                    <w:top w:val="nil"/>
                    <w:left w:val="nil"/>
                    <w:bottom w:val="nil"/>
                    <w:right w:val="nil"/>
                  </w:tcBorders>
                  <w:shd w:val="clear" w:color="auto" w:fill="auto"/>
                  <w:noWrap/>
                  <w:vAlign w:val="bottom"/>
                  <w:hideMark/>
                </w:tcPr>
                <w:p w14:paraId="197D687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5.28 (4.29-6.50)**</w:t>
                  </w:r>
                </w:p>
              </w:tc>
            </w:tr>
            <w:tr w:rsidR="00AC0575" w:rsidRPr="00A576EB" w14:paraId="682BCD28" w14:textId="77777777" w:rsidTr="000E494A">
              <w:trPr>
                <w:trHeight w:val="300"/>
              </w:trPr>
              <w:tc>
                <w:tcPr>
                  <w:tcW w:w="0" w:type="auto"/>
                  <w:tcBorders>
                    <w:top w:val="nil"/>
                    <w:left w:val="nil"/>
                    <w:bottom w:val="nil"/>
                    <w:right w:val="nil"/>
                  </w:tcBorders>
                  <w:shd w:val="clear" w:color="auto" w:fill="auto"/>
                  <w:noWrap/>
                  <w:vAlign w:val="bottom"/>
                  <w:hideMark/>
                </w:tcPr>
                <w:p w14:paraId="3190C031"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Housing problem</w:t>
                  </w:r>
                </w:p>
              </w:tc>
              <w:tc>
                <w:tcPr>
                  <w:tcW w:w="0" w:type="auto"/>
                  <w:tcBorders>
                    <w:top w:val="nil"/>
                    <w:left w:val="nil"/>
                    <w:bottom w:val="nil"/>
                    <w:right w:val="nil"/>
                  </w:tcBorders>
                  <w:shd w:val="clear" w:color="auto" w:fill="auto"/>
                  <w:noWrap/>
                  <w:vAlign w:val="bottom"/>
                  <w:hideMark/>
                </w:tcPr>
                <w:p w14:paraId="1929D9F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1,191 (6.6) </w:t>
                  </w:r>
                </w:p>
              </w:tc>
              <w:tc>
                <w:tcPr>
                  <w:tcW w:w="0" w:type="auto"/>
                  <w:tcBorders>
                    <w:top w:val="nil"/>
                    <w:left w:val="nil"/>
                    <w:bottom w:val="nil"/>
                    <w:right w:val="nil"/>
                  </w:tcBorders>
                  <w:shd w:val="clear" w:color="auto" w:fill="auto"/>
                  <w:noWrap/>
                  <w:vAlign w:val="bottom"/>
                  <w:hideMark/>
                </w:tcPr>
                <w:p w14:paraId="759B9B1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5,851 (14.9) </w:t>
                  </w:r>
                </w:p>
              </w:tc>
              <w:tc>
                <w:tcPr>
                  <w:tcW w:w="0" w:type="auto"/>
                  <w:tcBorders>
                    <w:top w:val="nil"/>
                    <w:left w:val="nil"/>
                    <w:bottom w:val="nil"/>
                    <w:right w:val="nil"/>
                  </w:tcBorders>
                  <w:shd w:val="clear" w:color="auto" w:fill="auto"/>
                  <w:noWrap/>
                  <w:vAlign w:val="bottom"/>
                  <w:hideMark/>
                </w:tcPr>
                <w:p w14:paraId="6D9AA53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2.26 (2.08-2.46)**</w:t>
                  </w:r>
                </w:p>
              </w:tc>
              <w:tc>
                <w:tcPr>
                  <w:tcW w:w="0" w:type="auto"/>
                  <w:tcBorders>
                    <w:top w:val="nil"/>
                    <w:left w:val="nil"/>
                    <w:bottom w:val="nil"/>
                    <w:right w:val="nil"/>
                  </w:tcBorders>
                  <w:shd w:val="clear" w:color="auto" w:fill="auto"/>
                  <w:noWrap/>
                  <w:vAlign w:val="bottom"/>
                  <w:hideMark/>
                </w:tcPr>
                <w:p w14:paraId="60C013C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6,264 (10.1) </w:t>
                  </w:r>
                </w:p>
              </w:tc>
              <w:tc>
                <w:tcPr>
                  <w:tcW w:w="0" w:type="auto"/>
                  <w:tcBorders>
                    <w:top w:val="nil"/>
                    <w:left w:val="nil"/>
                    <w:bottom w:val="nil"/>
                    <w:right w:val="nil"/>
                  </w:tcBorders>
                  <w:shd w:val="clear" w:color="auto" w:fill="auto"/>
                  <w:noWrap/>
                  <w:vAlign w:val="bottom"/>
                  <w:hideMark/>
                </w:tcPr>
                <w:p w14:paraId="43C498EE"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1.71 (1.55-1.88)**</w:t>
                  </w:r>
                </w:p>
              </w:tc>
            </w:tr>
            <w:tr w:rsidR="00AC0575" w:rsidRPr="00A576EB" w14:paraId="662B1B8B" w14:textId="77777777" w:rsidTr="000E494A">
              <w:trPr>
                <w:trHeight w:val="300"/>
              </w:trPr>
              <w:tc>
                <w:tcPr>
                  <w:tcW w:w="0" w:type="auto"/>
                  <w:tcBorders>
                    <w:top w:val="nil"/>
                    <w:left w:val="nil"/>
                    <w:bottom w:val="nil"/>
                    <w:right w:val="nil"/>
                  </w:tcBorders>
                  <w:shd w:val="clear" w:color="auto" w:fill="auto"/>
                  <w:noWrap/>
                  <w:vAlign w:val="bottom"/>
                  <w:hideMark/>
                </w:tcPr>
                <w:p w14:paraId="736A6A8B" w14:textId="77777777" w:rsidR="00AC0575" w:rsidRPr="00A576EB" w:rsidRDefault="00AC0575" w:rsidP="000E494A">
                  <w:pPr>
                    <w:rPr>
                      <w:rFonts w:eastAsia="Times New Roman" w:cs="Arial"/>
                      <w:i/>
                      <w:iCs/>
                      <w:color w:val="000000"/>
                      <w:sz w:val="20"/>
                      <w:szCs w:val="20"/>
                      <w:lang w:eastAsia="en-GB"/>
                    </w:rPr>
                  </w:pPr>
                  <w:r w:rsidRPr="00A576EB">
                    <w:rPr>
                      <w:rFonts w:eastAsia="Times New Roman" w:cs="Arial"/>
                      <w:i/>
                      <w:iCs/>
                      <w:color w:val="000000"/>
                      <w:sz w:val="20"/>
                      <w:szCs w:val="20"/>
                      <w:lang w:eastAsia="en-GB"/>
                    </w:rPr>
                    <w:t>Clinical</w:t>
                  </w:r>
                </w:p>
              </w:tc>
              <w:tc>
                <w:tcPr>
                  <w:tcW w:w="0" w:type="auto"/>
                  <w:tcBorders>
                    <w:top w:val="nil"/>
                    <w:left w:val="nil"/>
                    <w:bottom w:val="nil"/>
                    <w:right w:val="nil"/>
                  </w:tcBorders>
                  <w:shd w:val="clear" w:color="auto" w:fill="auto"/>
                  <w:noWrap/>
                  <w:vAlign w:val="bottom"/>
                  <w:hideMark/>
                </w:tcPr>
                <w:p w14:paraId="54864FBB" w14:textId="77777777" w:rsidR="00AC0575" w:rsidRPr="00A576EB" w:rsidRDefault="00AC0575" w:rsidP="000E494A">
                  <w:pPr>
                    <w:rPr>
                      <w:rFonts w:eastAsia="Times New Roman"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FAD8EE0"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04F0E55"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3E57604"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4ED7EED"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0AFED278" w14:textId="77777777" w:rsidTr="000E494A">
              <w:trPr>
                <w:trHeight w:val="300"/>
              </w:trPr>
              <w:tc>
                <w:tcPr>
                  <w:tcW w:w="0" w:type="auto"/>
                  <w:tcBorders>
                    <w:top w:val="nil"/>
                    <w:left w:val="nil"/>
                    <w:bottom w:val="nil"/>
                    <w:right w:val="nil"/>
                  </w:tcBorders>
                  <w:shd w:val="clear" w:color="auto" w:fill="auto"/>
                  <w:noWrap/>
                  <w:vAlign w:val="bottom"/>
                  <w:hideMark/>
                </w:tcPr>
                <w:p w14:paraId="1ECC8E59"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Substance:</w:t>
                  </w:r>
                </w:p>
              </w:tc>
              <w:tc>
                <w:tcPr>
                  <w:tcW w:w="0" w:type="auto"/>
                  <w:tcBorders>
                    <w:top w:val="nil"/>
                    <w:left w:val="nil"/>
                    <w:bottom w:val="nil"/>
                    <w:right w:val="nil"/>
                  </w:tcBorders>
                  <w:shd w:val="clear" w:color="auto" w:fill="auto"/>
                  <w:noWrap/>
                  <w:vAlign w:val="bottom"/>
                  <w:hideMark/>
                </w:tcPr>
                <w:p w14:paraId="287DA08F"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6855893"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4A3FC4E"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21334BF"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5DB5954"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7340F89D" w14:textId="77777777" w:rsidTr="000E494A">
              <w:trPr>
                <w:trHeight w:val="300"/>
              </w:trPr>
              <w:tc>
                <w:tcPr>
                  <w:tcW w:w="0" w:type="auto"/>
                  <w:tcBorders>
                    <w:top w:val="nil"/>
                    <w:left w:val="nil"/>
                    <w:bottom w:val="nil"/>
                    <w:right w:val="nil"/>
                  </w:tcBorders>
                  <w:shd w:val="clear" w:color="auto" w:fill="auto"/>
                  <w:noWrap/>
                  <w:vAlign w:val="bottom"/>
                  <w:hideMark/>
                </w:tcPr>
                <w:p w14:paraId="6CDD0F19"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Non-opiate user (OU) only</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7799133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3,027 (16.7) </w:t>
                  </w:r>
                </w:p>
              </w:tc>
              <w:tc>
                <w:tcPr>
                  <w:tcW w:w="0" w:type="auto"/>
                  <w:tcBorders>
                    <w:top w:val="nil"/>
                    <w:left w:val="nil"/>
                    <w:bottom w:val="nil"/>
                    <w:right w:val="nil"/>
                  </w:tcBorders>
                  <w:shd w:val="clear" w:color="auto" w:fill="auto"/>
                  <w:noWrap/>
                  <w:vAlign w:val="bottom"/>
                  <w:hideMark/>
                </w:tcPr>
                <w:p w14:paraId="468201D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4,542 (11.5) </w:t>
                  </w:r>
                </w:p>
              </w:tc>
              <w:tc>
                <w:tcPr>
                  <w:tcW w:w="0" w:type="auto"/>
                  <w:tcBorders>
                    <w:top w:val="nil"/>
                    <w:left w:val="nil"/>
                    <w:bottom w:val="nil"/>
                    <w:right w:val="nil"/>
                  </w:tcBorders>
                  <w:shd w:val="clear" w:color="auto" w:fill="auto"/>
                  <w:noWrap/>
                  <w:vAlign w:val="bottom"/>
                  <w:hideMark/>
                </w:tcPr>
                <w:p w14:paraId="048E44A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60EC1AB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7,728 (12.5) </w:t>
                  </w:r>
                </w:p>
              </w:tc>
              <w:tc>
                <w:tcPr>
                  <w:tcW w:w="0" w:type="auto"/>
                  <w:tcBorders>
                    <w:top w:val="nil"/>
                    <w:left w:val="nil"/>
                    <w:bottom w:val="nil"/>
                    <w:right w:val="nil"/>
                  </w:tcBorders>
                  <w:shd w:val="clear" w:color="auto" w:fill="auto"/>
                  <w:noWrap/>
                  <w:vAlign w:val="bottom"/>
                  <w:hideMark/>
                </w:tcPr>
                <w:p w14:paraId="5CCB030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59175A97" w14:textId="77777777" w:rsidTr="000E494A">
              <w:trPr>
                <w:trHeight w:val="300"/>
              </w:trPr>
              <w:tc>
                <w:tcPr>
                  <w:tcW w:w="0" w:type="auto"/>
                  <w:tcBorders>
                    <w:top w:val="nil"/>
                    <w:left w:val="nil"/>
                    <w:bottom w:val="nil"/>
                    <w:right w:val="nil"/>
                  </w:tcBorders>
                  <w:shd w:val="clear" w:color="auto" w:fill="auto"/>
                  <w:noWrap/>
                  <w:vAlign w:val="bottom"/>
                  <w:hideMark/>
                </w:tcPr>
                <w:p w14:paraId="1E8E98A5"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Alcohol and non-OU</w:t>
                  </w:r>
                </w:p>
              </w:tc>
              <w:tc>
                <w:tcPr>
                  <w:tcW w:w="0" w:type="auto"/>
                  <w:tcBorders>
                    <w:top w:val="nil"/>
                    <w:left w:val="nil"/>
                    <w:bottom w:val="nil"/>
                    <w:right w:val="nil"/>
                  </w:tcBorders>
                  <w:shd w:val="clear" w:color="auto" w:fill="auto"/>
                  <w:noWrap/>
                  <w:vAlign w:val="bottom"/>
                  <w:hideMark/>
                </w:tcPr>
                <w:p w14:paraId="5F82C449"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2,661 (14.7) </w:t>
                  </w:r>
                </w:p>
              </w:tc>
              <w:tc>
                <w:tcPr>
                  <w:tcW w:w="0" w:type="auto"/>
                  <w:tcBorders>
                    <w:top w:val="nil"/>
                    <w:left w:val="nil"/>
                    <w:bottom w:val="nil"/>
                    <w:right w:val="nil"/>
                  </w:tcBorders>
                  <w:shd w:val="clear" w:color="auto" w:fill="auto"/>
                  <w:noWrap/>
                  <w:vAlign w:val="bottom"/>
                  <w:hideMark/>
                </w:tcPr>
                <w:p w14:paraId="36B1164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5,355 (13.6) </w:t>
                  </w:r>
                </w:p>
              </w:tc>
              <w:tc>
                <w:tcPr>
                  <w:tcW w:w="0" w:type="auto"/>
                  <w:tcBorders>
                    <w:top w:val="nil"/>
                    <w:left w:val="nil"/>
                    <w:bottom w:val="nil"/>
                    <w:right w:val="nil"/>
                  </w:tcBorders>
                  <w:shd w:val="clear" w:color="auto" w:fill="auto"/>
                  <w:noWrap/>
                  <w:vAlign w:val="bottom"/>
                  <w:hideMark/>
                </w:tcPr>
                <w:p w14:paraId="42AFD7D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1.24 (1.15-1.34)**</w:t>
                  </w:r>
                </w:p>
              </w:tc>
              <w:tc>
                <w:tcPr>
                  <w:tcW w:w="0" w:type="auto"/>
                  <w:tcBorders>
                    <w:top w:val="nil"/>
                    <w:left w:val="nil"/>
                    <w:bottom w:val="nil"/>
                    <w:right w:val="nil"/>
                  </w:tcBorders>
                  <w:shd w:val="clear" w:color="auto" w:fill="auto"/>
                  <w:noWrap/>
                  <w:vAlign w:val="bottom"/>
                  <w:hideMark/>
                </w:tcPr>
                <w:p w14:paraId="6EF8223A"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9,122 (14.8) </w:t>
                  </w:r>
                </w:p>
              </w:tc>
              <w:tc>
                <w:tcPr>
                  <w:tcW w:w="0" w:type="auto"/>
                  <w:tcBorders>
                    <w:top w:val="nil"/>
                    <w:left w:val="nil"/>
                    <w:bottom w:val="nil"/>
                    <w:right w:val="nil"/>
                  </w:tcBorders>
                  <w:shd w:val="clear" w:color="auto" w:fill="auto"/>
                  <w:noWrap/>
                  <w:vAlign w:val="bottom"/>
                  <w:hideMark/>
                </w:tcPr>
                <w:p w14:paraId="4046041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1.26 (1.17-1.37)**</w:t>
                  </w:r>
                </w:p>
              </w:tc>
            </w:tr>
            <w:tr w:rsidR="00AC0575" w:rsidRPr="00A576EB" w14:paraId="07CB4327" w14:textId="77777777" w:rsidTr="000E494A">
              <w:trPr>
                <w:trHeight w:val="300"/>
              </w:trPr>
              <w:tc>
                <w:tcPr>
                  <w:tcW w:w="0" w:type="auto"/>
                  <w:tcBorders>
                    <w:top w:val="nil"/>
                    <w:left w:val="nil"/>
                    <w:bottom w:val="nil"/>
                    <w:right w:val="nil"/>
                  </w:tcBorders>
                  <w:shd w:val="clear" w:color="auto" w:fill="auto"/>
                  <w:noWrap/>
                  <w:vAlign w:val="bottom"/>
                  <w:hideMark/>
                </w:tcPr>
                <w:p w14:paraId="6FFB3F33"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OU</w:t>
                  </w:r>
                </w:p>
              </w:tc>
              <w:tc>
                <w:tcPr>
                  <w:tcW w:w="0" w:type="auto"/>
                  <w:tcBorders>
                    <w:top w:val="nil"/>
                    <w:left w:val="nil"/>
                    <w:bottom w:val="nil"/>
                    <w:right w:val="nil"/>
                  </w:tcBorders>
                  <w:shd w:val="clear" w:color="auto" w:fill="auto"/>
                  <w:noWrap/>
                  <w:vAlign w:val="bottom"/>
                  <w:hideMark/>
                </w:tcPr>
                <w:p w14:paraId="14B47A6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3,548 (19.5) </w:t>
                  </w:r>
                </w:p>
              </w:tc>
              <w:tc>
                <w:tcPr>
                  <w:tcW w:w="0" w:type="auto"/>
                  <w:tcBorders>
                    <w:top w:val="nil"/>
                    <w:left w:val="nil"/>
                    <w:bottom w:val="nil"/>
                    <w:right w:val="nil"/>
                  </w:tcBorders>
                  <w:shd w:val="clear" w:color="auto" w:fill="auto"/>
                  <w:noWrap/>
                  <w:vAlign w:val="bottom"/>
                  <w:hideMark/>
                </w:tcPr>
                <w:p w14:paraId="6AC839B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16,495 (41.9) </w:t>
                  </w:r>
                </w:p>
              </w:tc>
              <w:tc>
                <w:tcPr>
                  <w:tcW w:w="0" w:type="auto"/>
                  <w:tcBorders>
                    <w:top w:val="nil"/>
                    <w:left w:val="nil"/>
                    <w:bottom w:val="nil"/>
                    <w:right w:val="nil"/>
                  </w:tcBorders>
                  <w:shd w:val="clear" w:color="auto" w:fill="auto"/>
                  <w:noWrap/>
                  <w:vAlign w:val="bottom"/>
                  <w:hideMark/>
                </w:tcPr>
                <w:p w14:paraId="1E5A6D0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1.60 (1.45-1.76)**</w:t>
                  </w:r>
                </w:p>
              </w:tc>
              <w:tc>
                <w:tcPr>
                  <w:tcW w:w="0" w:type="auto"/>
                  <w:tcBorders>
                    <w:top w:val="nil"/>
                    <w:left w:val="nil"/>
                    <w:bottom w:val="nil"/>
                    <w:right w:val="nil"/>
                  </w:tcBorders>
                  <w:shd w:val="clear" w:color="auto" w:fill="auto"/>
                  <w:noWrap/>
                  <w:vAlign w:val="bottom"/>
                  <w:hideMark/>
                </w:tcPr>
                <w:p w14:paraId="0E15A00E"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19,728 (32.0) </w:t>
                  </w:r>
                </w:p>
              </w:tc>
              <w:tc>
                <w:tcPr>
                  <w:tcW w:w="0" w:type="auto"/>
                  <w:tcBorders>
                    <w:top w:val="nil"/>
                    <w:left w:val="nil"/>
                    <w:bottom w:val="nil"/>
                    <w:right w:val="nil"/>
                  </w:tcBorders>
                  <w:shd w:val="clear" w:color="auto" w:fill="auto"/>
                  <w:noWrap/>
                  <w:vAlign w:val="bottom"/>
                  <w:hideMark/>
                </w:tcPr>
                <w:p w14:paraId="6EA9EBE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1.56 (1.39-1.75)**</w:t>
                  </w:r>
                </w:p>
              </w:tc>
            </w:tr>
            <w:tr w:rsidR="00AC0575" w:rsidRPr="00A576EB" w14:paraId="346596D5" w14:textId="77777777" w:rsidTr="000E494A">
              <w:trPr>
                <w:trHeight w:val="300"/>
              </w:trPr>
              <w:tc>
                <w:tcPr>
                  <w:tcW w:w="0" w:type="auto"/>
                  <w:tcBorders>
                    <w:top w:val="nil"/>
                    <w:left w:val="nil"/>
                    <w:bottom w:val="nil"/>
                    <w:right w:val="nil"/>
                  </w:tcBorders>
                  <w:shd w:val="clear" w:color="auto" w:fill="auto"/>
                  <w:noWrap/>
                  <w:vAlign w:val="bottom"/>
                  <w:hideMark/>
                </w:tcPr>
                <w:p w14:paraId="1BDBE0FF"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Alcohol only</w:t>
                  </w:r>
                </w:p>
              </w:tc>
              <w:tc>
                <w:tcPr>
                  <w:tcW w:w="0" w:type="auto"/>
                  <w:tcBorders>
                    <w:top w:val="nil"/>
                    <w:left w:val="nil"/>
                    <w:bottom w:val="nil"/>
                    <w:right w:val="nil"/>
                  </w:tcBorders>
                  <w:shd w:val="clear" w:color="auto" w:fill="auto"/>
                  <w:noWrap/>
                  <w:vAlign w:val="bottom"/>
                  <w:hideMark/>
                </w:tcPr>
                <w:p w14:paraId="5D53687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8,925 (49.1) </w:t>
                  </w:r>
                </w:p>
              </w:tc>
              <w:tc>
                <w:tcPr>
                  <w:tcW w:w="0" w:type="auto"/>
                  <w:tcBorders>
                    <w:top w:val="nil"/>
                    <w:left w:val="nil"/>
                    <w:bottom w:val="nil"/>
                    <w:right w:val="nil"/>
                  </w:tcBorders>
                  <w:shd w:val="clear" w:color="auto" w:fill="auto"/>
                  <w:noWrap/>
                  <w:vAlign w:val="bottom"/>
                  <w:hideMark/>
                </w:tcPr>
                <w:p w14:paraId="63DB37D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12,976 (33.0) </w:t>
                  </w:r>
                </w:p>
              </w:tc>
              <w:tc>
                <w:tcPr>
                  <w:tcW w:w="0" w:type="auto"/>
                  <w:tcBorders>
                    <w:top w:val="nil"/>
                    <w:left w:val="nil"/>
                    <w:bottom w:val="nil"/>
                    <w:right w:val="nil"/>
                  </w:tcBorders>
                  <w:shd w:val="clear" w:color="auto" w:fill="auto"/>
                  <w:noWrap/>
                  <w:vAlign w:val="bottom"/>
                  <w:hideMark/>
                </w:tcPr>
                <w:p w14:paraId="6BF9AC5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0.97 (0.89-1.05)</w:t>
                  </w:r>
                </w:p>
              </w:tc>
              <w:tc>
                <w:tcPr>
                  <w:tcW w:w="0" w:type="auto"/>
                  <w:tcBorders>
                    <w:top w:val="nil"/>
                    <w:left w:val="nil"/>
                    <w:bottom w:val="nil"/>
                    <w:right w:val="nil"/>
                  </w:tcBorders>
                  <w:shd w:val="clear" w:color="auto" w:fill="auto"/>
                  <w:noWrap/>
                  <w:vAlign w:val="bottom"/>
                  <w:hideMark/>
                </w:tcPr>
                <w:p w14:paraId="64563849"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25,154 (40.7) </w:t>
                  </w:r>
                </w:p>
              </w:tc>
              <w:tc>
                <w:tcPr>
                  <w:tcW w:w="0" w:type="auto"/>
                  <w:tcBorders>
                    <w:top w:val="nil"/>
                    <w:left w:val="nil"/>
                    <w:bottom w:val="nil"/>
                    <w:right w:val="nil"/>
                  </w:tcBorders>
                  <w:shd w:val="clear" w:color="auto" w:fill="auto"/>
                  <w:noWrap/>
                  <w:vAlign w:val="bottom"/>
                  <w:hideMark/>
                </w:tcPr>
                <w:p w14:paraId="5ABA33E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1.11 (1.02-1.20)*</w:t>
                  </w:r>
                </w:p>
              </w:tc>
            </w:tr>
            <w:tr w:rsidR="00AC0575" w:rsidRPr="00A576EB" w14:paraId="6500ECEB" w14:textId="77777777" w:rsidTr="000E494A">
              <w:trPr>
                <w:trHeight w:val="300"/>
              </w:trPr>
              <w:tc>
                <w:tcPr>
                  <w:tcW w:w="0" w:type="auto"/>
                  <w:tcBorders>
                    <w:top w:val="nil"/>
                    <w:left w:val="nil"/>
                    <w:bottom w:val="nil"/>
                    <w:right w:val="nil"/>
                  </w:tcBorders>
                  <w:shd w:val="clear" w:color="auto" w:fill="auto"/>
                  <w:noWrap/>
                  <w:vAlign w:val="bottom"/>
                  <w:hideMark/>
                </w:tcPr>
                <w:p w14:paraId="38583D86"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Injecting status:</w:t>
                  </w:r>
                </w:p>
              </w:tc>
              <w:tc>
                <w:tcPr>
                  <w:tcW w:w="0" w:type="auto"/>
                  <w:tcBorders>
                    <w:top w:val="nil"/>
                    <w:left w:val="nil"/>
                    <w:bottom w:val="nil"/>
                    <w:right w:val="nil"/>
                  </w:tcBorders>
                  <w:shd w:val="clear" w:color="auto" w:fill="auto"/>
                  <w:noWrap/>
                  <w:vAlign w:val="bottom"/>
                  <w:hideMark/>
                </w:tcPr>
                <w:p w14:paraId="2C3D16D9"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EA23C27"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0EA7C48"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EAEC75F"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2237309"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660D4A9B" w14:textId="77777777" w:rsidTr="000E494A">
              <w:trPr>
                <w:trHeight w:val="300"/>
              </w:trPr>
              <w:tc>
                <w:tcPr>
                  <w:tcW w:w="0" w:type="auto"/>
                  <w:tcBorders>
                    <w:top w:val="nil"/>
                    <w:left w:val="nil"/>
                    <w:bottom w:val="nil"/>
                    <w:right w:val="nil"/>
                  </w:tcBorders>
                  <w:shd w:val="clear" w:color="auto" w:fill="auto"/>
                  <w:noWrap/>
                  <w:vAlign w:val="bottom"/>
                  <w:hideMark/>
                </w:tcPr>
                <w:p w14:paraId="6F8DEC9A"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Non-injector</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32BACC1A"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17,621 (97.0) </w:t>
                  </w:r>
                </w:p>
              </w:tc>
              <w:tc>
                <w:tcPr>
                  <w:tcW w:w="0" w:type="auto"/>
                  <w:tcBorders>
                    <w:top w:val="nil"/>
                    <w:left w:val="nil"/>
                    <w:bottom w:val="nil"/>
                    <w:right w:val="nil"/>
                  </w:tcBorders>
                  <w:shd w:val="clear" w:color="auto" w:fill="auto"/>
                  <w:noWrap/>
                  <w:vAlign w:val="bottom"/>
                  <w:hideMark/>
                </w:tcPr>
                <w:p w14:paraId="4334DA89"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34,067 (86.5) </w:t>
                  </w:r>
                </w:p>
              </w:tc>
              <w:tc>
                <w:tcPr>
                  <w:tcW w:w="0" w:type="auto"/>
                  <w:tcBorders>
                    <w:top w:val="nil"/>
                    <w:left w:val="nil"/>
                    <w:bottom w:val="nil"/>
                    <w:right w:val="nil"/>
                  </w:tcBorders>
                  <w:shd w:val="clear" w:color="auto" w:fill="auto"/>
                  <w:noWrap/>
                  <w:vAlign w:val="bottom"/>
                  <w:hideMark/>
                </w:tcPr>
                <w:p w14:paraId="5DB0927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59F07B4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54,653 (88.5) </w:t>
                  </w:r>
                </w:p>
              </w:tc>
              <w:tc>
                <w:tcPr>
                  <w:tcW w:w="0" w:type="auto"/>
                  <w:tcBorders>
                    <w:top w:val="nil"/>
                    <w:left w:val="nil"/>
                    <w:bottom w:val="nil"/>
                    <w:right w:val="nil"/>
                  </w:tcBorders>
                  <w:shd w:val="clear" w:color="auto" w:fill="auto"/>
                  <w:noWrap/>
                  <w:vAlign w:val="bottom"/>
                  <w:hideMark/>
                </w:tcPr>
                <w:p w14:paraId="79B669F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44A11B41" w14:textId="77777777" w:rsidTr="000E494A">
              <w:trPr>
                <w:trHeight w:val="300"/>
              </w:trPr>
              <w:tc>
                <w:tcPr>
                  <w:tcW w:w="0" w:type="auto"/>
                  <w:tcBorders>
                    <w:top w:val="nil"/>
                    <w:left w:val="nil"/>
                    <w:bottom w:val="nil"/>
                    <w:right w:val="nil"/>
                  </w:tcBorders>
                  <w:shd w:val="clear" w:color="auto" w:fill="auto"/>
                  <w:noWrap/>
                  <w:vAlign w:val="bottom"/>
                  <w:hideMark/>
                </w:tcPr>
                <w:p w14:paraId="26F3F699"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Injector</w:t>
                  </w:r>
                </w:p>
              </w:tc>
              <w:tc>
                <w:tcPr>
                  <w:tcW w:w="0" w:type="auto"/>
                  <w:tcBorders>
                    <w:top w:val="nil"/>
                    <w:left w:val="nil"/>
                    <w:bottom w:val="nil"/>
                    <w:right w:val="nil"/>
                  </w:tcBorders>
                  <w:shd w:val="clear" w:color="auto" w:fill="auto"/>
                  <w:noWrap/>
                  <w:vAlign w:val="bottom"/>
                  <w:hideMark/>
                </w:tcPr>
                <w:p w14:paraId="784820B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354 (1.9) </w:t>
                  </w:r>
                </w:p>
              </w:tc>
              <w:tc>
                <w:tcPr>
                  <w:tcW w:w="0" w:type="auto"/>
                  <w:tcBorders>
                    <w:top w:val="nil"/>
                    <w:left w:val="nil"/>
                    <w:bottom w:val="nil"/>
                    <w:right w:val="nil"/>
                  </w:tcBorders>
                  <w:shd w:val="clear" w:color="auto" w:fill="auto"/>
                  <w:noWrap/>
                  <w:vAlign w:val="bottom"/>
                  <w:hideMark/>
                </w:tcPr>
                <w:p w14:paraId="021B5A0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4,918 (12.5) </w:t>
                  </w:r>
                </w:p>
              </w:tc>
              <w:tc>
                <w:tcPr>
                  <w:tcW w:w="0" w:type="auto"/>
                  <w:tcBorders>
                    <w:top w:val="nil"/>
                    <w:left w:val="nil"/>
                    <w:bottom w:val="nil"/>
                    <w:right w:val="nil"/>
                  </w:tcBorders>
                  <w:shd w:val="clear" w:color="auto" w:fill="auto"/>
                  <w:noWrap/>
                  <w:vAlign w:val="bottom"/>
                  <w:hideMark/>
                </w:tcPr>
                <w:p w14:paraId="6E5A9BA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3.28 (2.86-3.76)**</w:t>
                  </w:r>
                </w:p>
              </w:tc>
              <w:tc>
                <w:tcPr>
                  <w:tcW w:w="0" w:type="auto"/>
                  <w:tcBorders>
                    <w:top w:val="nil"/>
                    <w:left w:val="nil"/>
                    <w:bottom w:val="nil"/>
                    <w:right w:val="nil"/>
                  </w:tcBorders>
                  <w:shd w:val="clear" w:color="auto" w:fill="auto"/>
                  <w:noWrap/>
                  <w:vAlign w:val="bottom"/>
                  <w:hideMark/>
                </w:tcPr>
                <w:p w14:paraId="251179C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5,430 (8.8) </w:t>
                  </w:r>
                </w:p>
              </w:tc>
              <w:tc>
                <w:tcPr>
                  <w:tcW w:w="0" w:type="auto"/>
                  <w:tcBorders>
                    <w:top w:val="nil"/>
                    <w:left w:val="nil"/>
                    <w:bottom w:val="nil"/>
                    <w:right w:val="nil"/>
                  </w:tcBorders>
                  <w:shd w:val="clear" w:color="auto" w:fill="auto"/>
                  <w:noWrap/>
                  <w:vAlign w:val="bottom"/>
                  <w:hideMark/>
                </w:tcPr>
                <w:p w14:paraId="2A7AD09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3.10 (2.69-3.57)**</w:t>
                  </w:r>
                </w:p>
              </w:tc>
            </w:tr>
            <w:tr w:rsidR="00AC0575" w:rsidRPr="00A576EB" w14:paraId="3EC9C6AF" w14:textId="77777777" w:rsidTr="000E494A">
              <w:trPr>
                <w:trHeight w:val="300"/>
              </w:trPr>
              <w:tc>
                <w:tcPr>
                  <w:tcW w:w="0" w:type="auto"/>
                  <w:tcBorders>
                    <w:top w:val="nil"/>
                    <w:left w:val="nil"/>
                    <w:bottom w:val="nil"/>
                    <w:right w:val="nil"/>
                  </w:tcBorders>
                  <w:shd w:val="clear" w:color="auto" w:fill="auto"/>
                  <w:noWrap/>
                  <w:vAlign w:val="bottom"/>
                  <w:hideMark/>
                </w:tcPr>
                <w:p w14:paraId="739F63C1"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Co-morbidity:</w:t>
                  </w:r>
                </w:p>
              </w:tc>
              <w:tc>
                <w:tcPr>
                  <w:tcW w:w="0" w:type="auto"/>
                  <w:tcBorders>
                    <w:top w:val="nil"/>
                    <w:left w:val="nil"/>
                    <w:bottom w:val="nil"/>
                    <w:right w:val="nil"/>
                  </w:tcBorders>
                  <w:shd w:val="clear" w:color="auto" w:fill="auto"/>
                  <w:noWrap/>
                  <w:vAlign w:val="bottom"/>
                  <w:hideMark/>
                </w:tcPr>
                <w:p w14:paraId="44C2C678"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F44BE09"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B3B5450"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E1E2A0B"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63FF5E9"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7DAFDD3C" w14:textId="77777777" w:rsidTr="000E494A">
              <w:trPr>
                <w:trHeight w:val="300"/>
              </w:trPr>
              <w:tc>
                <w:tcPr>
                  <w:tcW w:w="0" w:type="auto"/>
                  <w:tcBorders>
                    <w:top w:val="nil"/>
                    <w:left w:val="nil"/>
                    <w:bottom w:val="nil"/>
                    <w:right w:val="nil"/>
                  </w:tcBorders>
                  <w:shd w:val="clear" w:color="auto" w:fill="auto"/>
                  <w:noWrap/>
                  <w:vAlign w:val="bottom"/>
                  <w:hideMark/>
                </w:tcPr>
                <w:p w14:paraId="5DD7F5A6"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No mental health problem</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40F7C57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9,511 (52.4) </w:t>
                  </w:r>
                </w:p>
              </w:tc>
              <w:tc>
                <w:tcPr>
                  <w:tcW w:w="0" w:type="auto"/>
                  <w:tcBorders>
                    <w:top w:val="nil"/>
                    <w:left w:val="nil"/>
                    <w:bottom w:val="nil"/>
                    <w:right w:val="nil"/>
                  </w:tcBorders>
                  <w:shd w:val="clear" w:color="auto" w:fill="auto"/>
                  <w:noWrap/>
                  <w:vAlign w:val="bottom"/>
                  <w:hideMark/>
                </w:tcPr>
                <w:p w14:paraId="7C5FFA4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18,105 (46.0) </w:t>
                  </w:r>
                </w:p>
              </w:tc>
              <w:tc>
                <w:tcPr>
                  <w:tcW w:w="0" w:type="auto"/>
                  <w:tcBorders>
                    <w:top w:val="nil"/>
                    <w:left w:val="nil"/>
                    <w:bottom w:val="nil"/>
                    <w:right w:val="nil"/>
                  </w:tcBorders>
                  <w:shd w:val="clear" w:color="auto" w:fill="auto"/>
                  <w:noWrap/>
                  <w:vAlign w:val="bottom"/>
                  <w:hideMark/>
                </w:tcPr>
                <w:p w14:paraId="0910E2D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67DB0761"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30,135 (48.8) </w:t>
                  </w:r>
                </w:p>
              </w:tc>
              <w:tc>
                <w:tcPr>
                  <w:tcW w:w="0" w:type="auto"/>
                  <w:tcBorders>
                    <w:top w:val="nil"/>
                    <w:left w:val="nil"/>
                    <w:bottom w:val="nil"/>
                    <w:right w:val="nil"/>
                  </w:tcBorders>
                  <w:shd w:val="clear" w:color="auto" w:fill="auto"/>
                  <w:noWrap/>
                  <w:vAlign w:val="bottom"/>
                  <w:hideMark/>
                </w:tcPr>
                <w:p w14:paraId="58B6F3B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6622B1D6" w14:textId="77777777" w:rsidTr="000E494A">
              <w:trPr>
                <w:trHeight w:val="300"/>
              </w:trPr>
              <w:tc>
                <w:tcPr>
                  <w:tcW w:w="0" w:type="auto"/>
                  <w:tcBorders>
                    <w:top w:val="nil"/>
                    <w:left w:val="nil"/>
                    <w:bottom w:val="nil"/>
                    <w:right w:val="nil"/>
                  </w:tcBorders>
                  <w:shd w:val="clear" w:color="auto" w:fill="auto"/>
                  <w:noWrap/>
                  <w:vAlign w:val="bottom"/>
                  <w:hideMark/>
                </w:tcPr>
                <w:p w14:paraId="5EC74460"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Mental health problem</w:t>
                  </w:r>
                </w:p>
              </w:tc>
              <w:tc>
                <w:tcPr>
                  <w:tcW w:w="0" w:type="auto"/>
                  <w:tcBorders>
                    <w:top w:val="nil"/>
                    <w:left w:val="nil"/>
                    <w:bottom w:val="nil"/>
                    <w:right w:val="nil"/>
                  </w:tcBorders>
                  <w:shd w:val="clear" w:color="auto" w:fill="auto"/>
                  <w:noWrap/>
                  <w:vAlign w:val="bottom"/>
                  <w:hideMark/>
                </w:tcPr>
                <w:p w14:paraId="1D97013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7,011 (38.6) </w:t>
                  </w:r>
                </w:p>
              </w:tc>
              <w:tc>
                <w:tcPr>
                  <w:tcW w:w="0" w:type="auto"/>
                  <w:tcBorders>
                    <w:top w:val="nil"/>
                    <w:left w:val="nil"/>
                    <w:bottom w:val="nil"/>
                    <w:right w:val="nil"/>
                  </w:tcBorders>
                  <w:shd w:val="clear" w:color="auto" w:fill="auto"/>
                  <w:noWrap/>
                  <w:vAlign w:val="bottom"/>
                  <w:hideMark/>
                </w:tcPr>
                <w:p w14:paraId="4515D1B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18,298 (46.5) </w:t>
                  </w:r>
                </w:p>
              </w:tc>
              <w:tc>
                <w:tcPr>
                  <w:tcW w:w="0" w:type="auto"/>
                  <w:tcBorders>
                    <w:top w:val="nil"/>
                    <w:left w:val="nil"/>
                    <w:bottom w:val="nil"/>
                    <w:right w:val="nil"/>
                  </w:tcBorders>
                  <w:shd w:val="clear" w:color="auto" w:fill="auto"/>
                  <w:noWrap/>
                  <w:vAlign w:val="bottom"/>
                  <w:hideMark/>
                </w:tcPr>
                <w:p w14:paraId="711AA78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1.23 (1.17-1.29)**</w:t>
                  </w:r>
                </w:p>
              </w:tc>
              <w:tc>
                <w:tcPr>
                  <w:tcW w:w="0" w:type="auto"/>
                  <w:tcBorders>
                    <w:top w:val="nil"/>
                    <w:left w:val="nil"/>
                    <w:bottom w:val="nil"/>
                    <w:right w:val="nil"/>
                  </w:tcBorders>
                  <w:shd w:val="clear" w:color="auto" w:fill="auto"/>
                  <w:noWrap/>
                  <w:vAlign w:val="bottom"/>
                  <w:hideMark/>
                </w:tcPr>
                <w:p w14:paraId="2698D3C9"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26,957 (43.7) </w:t>
                  </w:r>
                </w:p>
              </w:tc>
              <w:tc>
                <w:tcPr>
                  <w:tcW w:w="0" w:type="auto"/>
                  <w:tcBorders>
                    <w:top w:val="nil"/>
                    <w:left w:val="nil"/>
                    <w:bottom w:val="nil"/>
                    <w:right w:val="nil"/>
                  </w:tcBorders>
                  <w:shd w:val="clear" w:color="auto" w:fill="auto"/>
                  <w:noWrap/>
                  <w:vAlign w:val="bottom"/>
                  <w:hideMark/>
                </w:tcPr>
                <w:p w14:paraId="50018A4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1.16 (1.10-1.23)**</w:t>
                  </w:r>
                </w:p>
              </w:tc>
            </w:tr>
            <w:tr w:rsidR="00AC0575" w:rsidRPr="00A576EB" w14:paraId="6CEB6802" w14:textId="77777777" w:rsidTr="000E494A">
              <w:trPr>
                <w:trHeight w:val="300"/>
              </w:trPr>
              <w:tc>
                <w:tcPr>
                  <w:tcW w:w="0" w:type="auto"/>
                  <w:tcBorders>
                    <w:top w:val="nil"/>
                    <w:left w:val="nil"/>
                    <w:bottom w:val="nil"/>
                    <w:right w:val="nil"/>
                  </w:tcBorders>
                  <w:shd w:val="clear" w:color="auto" w:fill="auto"/>
                  <w:noWrap/>
                  <w:vAlign w:val="bottom"/>
                  <w:hideMark/>
                </w:tcPr>
                <w:p w14:paraId="5C0D5C19" w14:textId="77777777" w:rsidR="00AC0575" w:rsidRPr="00A576EB" w:rsidRDefault="00AC0575" w:rsidP="000E494A">
                  <w:pPr>
                    <w:rPr>
                      <w:rFonts w:eastAsia="Times New Roman" w:cs="Arial"/>
                      <w:i/>
                      <w:iCs/>
                      <w:color w:val="000000"/>
                      <w:sz w:val="20"/>
                      <w:szCs w:val="20"/>
                      <w:lang w:eastAsia="en-GB"/>
                    </w:rPr>
                  </w:pPr>
                  <w:r w:rsidRPr="00A576EB">
                    <w:rPr>
                      <w:rFonts w:eastAsia="Times New Roman" w:cs="Arial"/>
                      <w:i/>
                      <w:iCs/>
                      <w:color w:val="000000"/>
                      <w:sz w:val="20"/>
                      <w:szCs w:val="20"/>
                      <w:lang w:eastAsia="en-GB"/>
                    </w:rPr>
                    <w:t>Treatment exposure</w:t>
                  </w:r>
                </w:p>
              </w:tc>
              <w:tc>
                <w:tcPr>
                  <w:tcW w:w="0" w:type="auto"/>
                  <w:tcBorders>
                    <w:top w:val="nil"/>
                    <w:left w:val="nil"/>
                    <w:bottom w:val="nil"/>
                    <w:right w:val="nil"/>
                  </w:tcBorders>
                  <w:shd w:val="clear" w:color="auto" w:fill="auto"/>
                  <w:noWrap/>
                  <w:vAlign w:val="bottom"/>
                  <w:hideMark/>
                </w:tcPr>
                <w:p w14:paraId="07930081" w14:textId="77777777" w:rsidR="00AC0575" w:rsidRPr="00A576EB" w:rsidRDefault="00AC0575" w:rsidP="000E494A">
                  <w:pPr>
                    <w:rPr>
                      <w:rFonts w:eastAsia="Times New Roman"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D870B0A"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0BF3E9F"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3D2383F"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2C4A49A"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3F8B0229" w14:textId="77777777" w:rsidTr="000E494A">
              <w:trPr>
                <w:trHeight w:val="300"/>
              </w:trPr>
              <w:tc>
                <w:tcPr>
                  <w:tcW w:w="0" w:type="auto"/>
                  <w:tcBorders>
                    <w:top w:val="nil"/>
                    <w:left w:val="nil"/>
                    <w:bottom w:val="nil"/>
                    <w:right w:val="nil"/>
                  </w:tcBorders>
                  <w:shd w:val="clear" w:color="auto" w:fill="auto"/>
                  <w:noWrap/>
                  <w:vAlign w:val="bottom"/>
                  <w:hideMark/>
                </w:tcPr>
                <w:p w14:paraId="1E01FA2F"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 xml:space="preserve">Referral source: </w:t>
                  </w:r>
                </w:p>
              </w:tc>
              <w:tc>
                <w:tcPr>
                  <w:tcW w:w="0" w:type="auto"/>
                  <w:tcBorders>
                    <w:top w:val="nil"/>
                    <w:left w:val="nil"/>
                    <w:bottom w:val="nil"/>
                    <w:right w:val="nil"/>
                  </w:tcBorders>
                  <w:shd w:val="clear" w:color="auto" w:fill="auto"/>
                  <w:noWrap/>
                  <w:vAlign w:val="bottom"/>
                  <w:hideMark/>
                </w:tcPr>
                <w:p w14:paraId="4CE78E74"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A50C683"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7DC8FA5"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37F70AE"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B127E7A"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47E2C465" w14:textId="77777777" w:rsidTr="000E494A">
              <w:trPr>
                <w:trHeight w:val="300"/>
              </w:trPr>
              <w:tc>
                <w:tcPr>
                  <w:tcW w:w="0" w:type="auto"/>
                  <w:tcBorders>
                    <w:top w:val="nil"/>
                    <w:left w:val="nil"/>
                    <w:bottom w:val="nil"/>
                    <w:right w:val="nil"/>
                  </w:tcBorders>
                  <w:shd w:val="clear" w:color="auto" w:fill="auto"/>
                  <w:noWrap/>
                  <w:vAlign w:val="bottom"/>
                  <w:hideMark/>
                </w:tcPr>
                <w:p w14:paraId="52DEB1D7"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Non-CJS referral</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445961DE"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17,089 (94.1) </w:t>
                  </w:r>
                </w:p>
              </w:tc>
              <w:tc>
                <w:tcPr>
                  <w:tcW w:w="0" w:type="auto"/>
                  <w:tcBorders>
                    <w:top w:val="nil"/>
                    <w:left w:val="nil"/>
                    <w:bottom w:val="nil"/>
                    <w:right w:val="nil"/>
                  </w:tcBorders>
                  <w:shd w:val="clear" w:color="auto" w:fill="auto"/>
                  <w:noWrap/>
                  <w:vAlign w:val="bottom"/>
                  <w:hideMark/>
                </w:tcPr>
                <w:p w14:paraId="340C568B"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31,382 (79.7) </w:t>
                  </w:r>
                </w:p>
              </w:tc>
              <w:tc>
                <w:tcPr>
                  <w:tcW w:w="0" w:type="auto"/>
                  <w:tcBorders>
                    <w:top w:val="nil"/>
                    <w:left w:val="nil"/>
                    <w:bottom w:val="nil"/>
                    <w:right w:val="nil"/>
                  </w:tcBorders>
                  <w:shd w:val="clear" w:color="auto" w:fill="auto"/>
                  <w:noWrap/>
                  <w:vAlign w:val="bottom"/>
                  <w:hideMark/>
                </w:tcPr>
                <w:p w14:paraId="5860E49E"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182F5E3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53,285 (86.3) </w:t>
                  </w:r>
                </w:p>
              </w:tc>
              <w:tc>
                <w:tcPr>
                  <w:tcW w:w="0" w:type="auto"/>
                  <w:tcBorders>
                    <w:top w:val="nil"/>
                    <w:left w:val="nil"/>
                    <w:bottom w:val="nil"/>
                    <w:right w:val="nil"/>
                  </w:tcBorders>
                  <w:shd w:val="clear" w:color="auto" w:fill="auto"/>
                  <w:noWrap/>
                  <w:vAlign w:val="bottom"/>
                  <w:hideMark/>
                </w:tcPr>
                <w:p w14:paraId="6C3EFFA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1F35CCA2" w14:textId="77777777" w:rsidTr="000E494A">
              <w:trPr>
                <w:trHeight w:val="300"/>
              </w:trPr>
              <w:tc>
                <w:tcPr>
                  <w:tcW w:w="0" w:type="auto"/>
                  <w:tcBorders>
                    <w:top w:val="nil"/>
                    <w:left w:val="nil"/>
                    <w:bottom w:val="nil"/>
                    <w:right w:val="nil"/>
                  </w:tcBorders>
                  <w:shd w:val="clear" w:color="auto" w:fill="auto"/>
                  <w:noWrap/>
                  <w:vAlign w:val="bottom"/>
                  <w:hideMark/>
                </w:tcPr>
                <w:p w14:paraId="619533FA"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Criminal Justice System (CJS) referral</w:t>
                  </w:r>
                </w:p>
              </w:tc>
              <w:tc>
                <w:tcPr>
                  <w:tcW w:w="0" w:type="auto"/>
                  <w:tcBorders>
                    <w:top w:val="nil"/>
                    <w:left w:val="nil"/>
                    <w:bottom w:val="nil"/>
                    <w:right w:val="nil"/>
                  </w:tcBorders>
                  <w:shd w:val="clear" w:color="auto" w:fill="auto"/>
                  <w:noWrap/>
                  <w:vAlign w:val="bottom"/>
                  <w:hideMark/>
                </w:tcPr>
                <w:p w14:paraId="33F7DD21"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1,006 (5.5) </w:t>
                  </w:r>
                </w:p>
              </w:tc>
              <w:tc>
                <w:tcPr>
                  <w:tcW w:w="0" w:type="auto"/>
                  <w:tcBorders>
                    <w:top w:val="nil"/>
                    <w:left w:val="nil"/>
                    <w:bottom w:val="nil"/>
                    <w:right w:val="nil"/>
                  </w:tcBorders>
                  <w:shd w:val="clear" w:color="auto" w:fill="auto"/>
                  <w:noWrap/>
                  <w:vAlign w:val="bottom"/>
                  <w:hideMark/>
                </w:tcPr>
                <w:p w14:paraId="46EB16A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7,784 (19.8) </w:t>
                  </w:r>
                </w:p>
              </w:tc>
              <w:tc>
                <w:tcPr>
                  <w:tcW w:w="0" w:type="auto"/>
                  <w:tcBorders>
                    <w:top w:val="nil"/>
                    <w:left w:val="nil"/>
                    <w:bottom w:val="nil"/>
                    <w:right w:val="nil"/>
                  </w:tcBorders>
                  <w:shd w:val="clear" w:color="auto" w:fill="auto"/>
                  <w:noWrap/>
                  <w:vAlign w:val="bottom"/>
                  <w:hideMark/>
                </w:tcPr>
                <w:p w14:paraId="43CFD79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2.21 (1.99-2.46)**</w:t>
                  </w:r>
                </w:p>
              </w:tc>
              <w:tc>
                <w:tcPr>
                  <w:tcW w:w="0" w:type="auto"/>
                  <w:tcBorders>
                    <w:top w:val="nil"/>
                    <w:left w:val="nil"/>
                    <w:bottom w:val="nil"/>
                    <w:right w:val="nil"/>
                  </w:tcBorders>
                  <w:shd w:val="clear" w:color="auto" w:fill="auto"/>
                  <w:noWrap/>
                  <w:vAlign w:val="bottom"/>
                  <w:hideMark/>
                </w:tcPr>
                <w:p w14:paraId="178E58B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8,202 (13.3) </w:t>
                  </w:r>
                </w:p>
              </w:tc>
              <w:tc>
                <w:tcPr>
                  <w:tcW w:w="0" w:type="auto"/>
                  <w:tcBorders>
                    <w:top w:val="nil"/>
                    <w:left w:val="nil"/>
                    <w:bottom w:val="nil"/>
                    <w:right w:val="nil"/>
                  </w:tcBorders>
                  <w:shd w:val="clear" w:color="auto" w:fill="auto"/>
                  <w:noWrap/>
                  <w:vAlign w:val="bottom"/>
                  <w:hideMark/>
                </w:tcPr>
                <w:p w14:paraId="4AEDC89B"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1.71 (1.53-1.90)**</w:t>
                  </w:r>
                </w:p>
              </w:tc>
            </w:tr>
            <w:tr w:rsidR="00AC0575" w:rsidRPr="00A576EB" w14:paraId="2F81C8FA" w14:textId="77777777" w:rsidTr="000E494A">
              <w:trPr>
                <w:trHeight w:val="300"/>
              </w:trPr>
              <w:tc>
                <w:tcPr>
                  <w:tcW w:w="0" w:type="auto"/>
                  <w:tcBorders>
                    <w:top w:val="nil"/>
                    <w:left w:val="nil"/>
                    <w:bottom w:val="nil"/>
                    <w:right w:val="nil"/>
                  </w:tcBorders>
                  <w:shd w:val="clear" w:color="auto" w:fill="auto"/>
                  <w:noWrap/>
                  <w:vAlign w:val="bottom"/>
                  <w:hideMark/>
                </w:tcPr>
                <w:p w14:paraId="6DF83306"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Days in treatment:</w:t>
                  </w:r>
                </w:p>
              </w:tc>
              <w:tc>
                <w:tcPr>
                  <w:tcW w:w="0" w:type="auto"/>
                  <w:tcBorders>
                    <w:top w:val="nil"/>
                    <w:left w:val="nil"/>
                    <w:bottom w:val="nil"/>
                    <w:right w:val="nil"/>
                  </w:tcBorders>
                  <w:shd w:val="clear" w:color="auto" w:fill="auto"/>
                  <w:noWrap/>
                  <w:vAlign w:val="bottom"/>
                  <w:hideMark/>
                </w:tcPr>
                <w:p w14:paraId="65CA54A7"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E1E8507"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3E228C6"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642F57D"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1D0BA24"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5311474C" w14:textId="77777777" w:rsidTr="000E494A">
              <w:trPr>
                <w:trHeight w:val="300"/>
              </w:trPr>
              <w:tc>
                <w:tcPr>
                  <w:tcW w:w="0" w:type="auto"/>
                  <w:tcBorders>
                    <w:top w:val="nil"/>
                    <w:left w:val="nil"/>
                    <w:bottom w:val="nil"/>
                    <w:right w:val="nil"/>
                  </w:tcBorders>
                  <w:shd w:val="clear" w:color="auto" w:fill="auto"/>
                  <w:noWrap/>
                  <w:vAlign w:val="bottom"/>
                  <w:hideMark/>
                </w:tcPr>
                <w:p w14:paraId="2107E6C1"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&lt;3m</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472C3BFA"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5,308 (29.2) </w:t>
                  </w:r>
                </w:p>
              </w:tc>
              <w:tc>
                <w:tcPr>
                  <w:tcW w:w="0" w:type="auto"/>
                  <w:tcBorders>
                    <w:top w:val="nil"/>
                    <w:left w:val="nil"/>
                    <w:bottom w:val="nil"/>
                    <w:right w:val="nil"/>
                  </w:tcBorders>
                  <w:shd w:val="clear" w:color="auto" w:fill="auto"/>
                  <w:noWrap/>
                  <w:vAlign w:val="bottom"/>
                  <w:hideMark/>
                </w:tcPr>
                <w:p w14:paraId="0705B2B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11,605 (29.5) </w:t>
                  </w:r>
                </w:p>
              </w:tc>
              <w:tc>
                <w:tcPr>
                  <w:tcW w:w="0" w:type="auto"/>
                  <w:tcBorders>
                    <w:top w:val="nil"/>
                    <w:left w:val="nil"/>
                    <w:bottom w:val="nil"/>
                    <w:right w:val="nil"/>
                  </w:tcBorders>
                  <w:shd w:val="clear" w:color="auto" w:fill="auto"/>
                  <w:noWrap/>
                  <w:vAlign w:val="bottom"/>
                  <w:hideMark/>
                </w:tcPr>
                <w:p w14:paraId="00A53E7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5E593E7B"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18,876 (30.6) </w:t>
                  </w:r>
                </w:p>
              </w:tc>
              <w:tc>
                <w:tcPr>
                  <w:tcW w:w="0" w:type="auto"/>
                  <w:tcBorders>
                    <w:top w:val="nil"/>
                    <w:left w:val="nil"/>
                    <w:bottom w:val="nil"/>
                    <w:right w:val="nil"/>
                  </w:tcBorders>
                  <w:shd w:val="clear" w:color="auto" w:fill="auto"/>
                  <w:noWrap/>
                  <w:vAlign w:val="bottom"/>
                  <w:hideMark/>
                </w:tcPr>
                <w:p w14:paraId="20BECED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30C8F066" w14:textId="77777777" w:rsidTr="000E494A">
              <w:trPr>
                <w:trHeight w:val="300"/>
              </w:trPr>
              <w:tc>
                <w:tcPr>
                  <w:tcW w:w="0" w:type="auto"/>
                  <w:tcBorders>
                    <w:top w:val="nil"/>
                    <w:left w:val="nil"/>
                    <w:bottom w:val="nil"/>
                    <w:right w:val="nil"/>
                  </w:tcBorders>
                  <w:shd w:val="clear" w:color="auto" w:fill="auto"/>
                  <w:noWrap/>
                  <w:vAlign w:val="bottom"/>
                  <w:hideMark/>
                </w:tcPr>
                <w:p w14:paraId="58E915DC"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3-6m</w:t>
                  </w:r>
                </w:p>
              </w:tc>
              <w:tc>
                <w:tcPr>
                  <w:tcW w:w="0" w:type="auto"/>
                  <w:tcBorders>
                    <w:top w:val="nil"/>
                    <w:left w:val="nil"/>
                    <w:bottom w:val="nil"/>
                    <w:right w:val="nil"/>
                  </w:tcBorders>
                  <w:shd w:val="clear" w:color="auto" w:fill="auto"/>
                  <w:noWrap/>
                  <w:vAlign w:val="bottom"/>
                  <w:hideMark/>
                </w:tcPr>
                <w:p w14:paraId="00F87E4E"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5,599 (30.8) </w:t>
                  </w:r>
                </w:p>
              </w:tc>
              <w:tc>
                <w:tcPr>
                  <w:tcW w:w="0" w:type="auto"/>
                  <w:tcBorders>
                    <w:top w:val="nil"/>
                    <w:left w:val="nil"/>
                    <w:bottom w:val="nil"/>
                    <w:right w:val="nil"/>
                  </w:tcBorders>
                  <w:shd w:val="clear" w:color="auto" w:fill="auto"/>
                  <w:noWrap/>
                  <w:vAlign w:val="bottom"/>
                  <w:hideMark/>
                </w:tcPr>
                <w:p w14:paraId="5812209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10,988 (27.9) </w:t>
                  </w:r>
                </w:p>
              </w:tc>
              <w:tc>
                <w:tcPr>
                  <w:tcW w:w="0" w:type="auto"/>
                  <w:tcBorders>
                    <w:top w:val="nil"/>
                    <w:left w:val="nil"/>
                    <w:bottom w:val="nil"/>
                    <w:right w:val="nil"/>
                  </w:tcBorders>
                  <w:shd w:val="clear" w:color="auto" w:fill="auto"/>
                  <w:noWrap/>
                  <w:vAlign w:val="bottom"/>
                  <w:hideMark/>
                </w:tcPr>
                <w:p w14:paraId="4A79522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0.95 (0.90-1.01)</w:t>
                  </w:r>
                </w:p>
              </w:tc>
              <w:tc>
                <w:tcPr>
                  <w:tcW w:w="0" w:type="auto"/>
                  <w:tcBorders>
                    <w:top w:val="nil"/>
                    <w:left w:val="nil"/>
                    <w:bottom w:val="nil"/>
                    <w:right w:val="nil"/>
                  </w:tcBorders>
                  <w:shd w:val="clear" w:color="auto" w:fill="auto"/>
                  <w:noWrap/>
                  <w:vAlign w:val="bottom"/>
                  <w:hideMark/>
                </w:tcPr>
                <w:p w14:paraId="2B511C1A"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17,796 (28.8) </w:t>
                  </w:r>
                </w:p>
              </w:tc>
              <w:tc>
                <w:tcPr>
                  <w:tcW w:w="0" w:type="auto"/>
                  <w:tcBorders>
                    <w:top w:val="nil"/>
                    <w:left w:val="nil"/>
                    <w:bottom w:val="nil"/>
                    <w:right w:val="nil"/>
                  </w:tcBorders>
                  <w:shd w:val="clear" w:color="auto" w:fill="auto"/>
                  <w:noWrap/>
                  <w:vAlign w:val="bottom"/>
                  <w:hideMark/>
                </w:tcPr>
                <w:p w14:paraId="61AFCFE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0.96 (0.91-1.01)</w:t>
                  </w:r>
                </w:p>
              </w:tc>
            </w:tr>
            <w:tr w:rsidR="00AC0575" w:rsidRPr="00A576EB" w14:paraId="3320B121" w14:textId="77777777" w:rsidTr="000E494A">
              <w:trPr>
                <w:trHeight w:val="300"/>
              </w:trPr>
              <w:tc>
                <w:tcPr>
                  <w:tcW w:w="0" w:type="auto"/>
                  <w:tcBorders>
                    <w:top w:val="nil"/>
                    <w:left w:val="nil"/>
                    <w:bottom w:val="nil"/>
                    <w:right w:val="nil"/>
                  </w:tcBorders>
                  <w:shd w:val="clear" w:color="auto" w:fill="auto"/>
                  <w:noWrap/>
                  <w:vAlign w:val="bottom"/>
                  <w:hideMark/>
                </w:tcPr>
                <w:p w14:paraId="27BB341A"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6-12m</w:t>
                  </w:r>
                </w:p>
              </w:tc>
              <w:tc>
                <w:tcPr>
                  <w:tcW w:w="0" w:type="auto"/>
                  <w:tcBorders>
                    <w:top w:val="nil"/>
                    <w:left w:val="nil"/>
                    <w:bottom w:val="nil"/>
                    <w:right w:val="nil"/>
                  </w:tcBorders>
                  <w:shd w:val="clear" w:color="auto" w:fill="auto"/>
                  <w:noWrap/>
                  <w:vAlign w:val="bottom"/>
                  <w:hideMark/>
                </w:tcPr>
                <w:p w14:paraId="53CA820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3,793 (20.9) </w:t>
                  </w:r>
                </w:p>
              </w:tc>
              <w:tc>
                <w:tcPr>
                  <w:tcW w:w="0" w:type="auto"/>
                  <w:tcBorders>
                    <w:top w:val="nil"/>
                    <w:left w:val="nil"/>
                    <w:bottom w:val="nil"/>
                    <w:right w:val="nil"/>
                  </w:tcBorders>
                  <w:shd w:val="clear" w:color="auto" w:fill="auto"/>
                  <w:noWrap/>
                  <w:vAlign w:val="bottom"/>
                  <w:hideMark/>
                </w:tcPr>
                <w:p w14:paraId="1AEAB29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7,709 (19.6) </w:t>
                  </w:r>
                </w:p>
              </w:tc>
              <w:tc>
                <w:tcPr>
                  <w:tcW w:w="0" w:type="auto"/>
                  <w:tcBorders>
                    <w:top w:val="nil"/>
                    <w:left w:val="nil"/>
                    <w:bottom w:val="nil"/>
                    <w:right w:val="nil"/>
                  </w:tcBorders>
                  <w:shd w:val="clear" w:color="auto" w:fill="auto"/>
                  <w:noWrap/>
                  <w:vAlign w:val="bottom"/>
                  <w:hideMark/>
                </w:tcPr>
                <w:p w14:paraId="38D2FEB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0.91 (0.85-0.98)*</w:t>
                  </w:r>
                </w:p>
              </w:tc>
              <w:tc>
                <w:tcPr>
                  <w:tcW w:w="0" w:type="auto"/>
                  <w:tcBorders>
                    <w:top w:val="nil"/>
                    <w:left w:val="nil"/>
                    <w:bottom w:val="nil"/>
                    <w:right w:val="nil"/>
                  </w:tcBorders>
                  <w:shd w:val="clear" w:color="auto" w:fill="auto"/>
                  <w:noWrap/>
                  <w:vAlign w:val="bottom"/>
                  <w:hideMark/>
                </w:tcPr>
                <w:p w14:paraId="11835A0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11,988 (19.4) </w:t>
                  </w:r>
                </w:p>
              </w:tc>
              <w:tc>
                <w:tcPr>
                  <w:tcW w:w="0" w:type="auto"/>
                  <w:tcBorders>
                    <w:top w:val="nil"/>
                    <w:left w:val="nil"/>
                    <w:bottom w:val="nil"/>
                    <w:right w:val="nil"/>
                  </w:tcBorders>
                  <w:shd w:val="clear" w:color="auto" w:fill="auto"/>
                  <w:noWrap/>
                  <w:vAlign w:val="bottom"/>
                  <w:hideMark/>
                </w:tcPr>
                <w:p w14:paraId="7720747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0.97 (0.91-1.04)</w:t>
                  </w:r>
                </w:p>
              </w:tc>
            </w:tr>
            <w:tr w:rsidR="00AC0575" w:rsidRPr="00A576EB" w14:paraId="3B336DE6" w14:textId="77777777" w:rsidTr="000E494A">
              <w:trPr>
                <w:trHeight w:val="300"/>
              </w:trPr>
              <w:tc>
                <w:tcPr>
                  <w:tcW w:w="0" w:type="auto"/>
                  <w:tcBorders>
                    <w:top w:val="nil"/>
                    <w:left w:val="nil"/>
                    <w:bottom w:val="nil"/>
                    <w:right w:val="nil"/>
                  </w:tcBorders>
                  <w:shd w:val="clear" w:color="auto" w:fill="auto"/>
                  <w:noWrap/>
                  <w:vAlign w:val="bottom"/>
                  <w:hideMark/>
                </w:tcPr>
                <w:p w14:paraId="083805F3"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12m+</w:t>
                  </w:r>
                </w:p>
              </w:tc>
              <w:tc>
                <w:tcPr>
                  <w:tcW w:w="0" w:type="auto"/>
                  <w:tcBorders>
                    <w:top w:val="nil"/>
                    <w:left w:val="nil"/>
                    <w:bottom w:val="nil"/>
                    <w:right w:val="nil"/>
                  </w:tcBorders>
                  <w:shd w:val="clear" w:color="auto" w:fill="auto"/>
                  <w:noWrap/>
                  <w:vAlign w:val="bottom"/>
                  <w:hideMark/>
                </w:tcPr>
                <w:p w14:paraId="6848EF47"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3,461 (19.1) </w:t>
                  </w:r>
                </w:p>
              </w:tc>
              <w:tc>
                <w:tcPr>
                  <w:tcW w:w="0" w:type="auto"/>
                  <w:tcBorders>
                    <w:top w:val="nil"/>
                    <w:left w:val="nil"/>
                    <w:bottom w:val="nil"/>
                    <w:right w:val="nil"/>
                  </w:tcBorders>
                  <w:shd w:val="clear" w:color="auto" w:fill="auto"/>
                  <w:noWrap/>
                  <w:vAlign w:val="bottom"/>
                  <w:hideMark/>
                </w:tcPr>
                <w:p w14:paraId="511052E1"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9,066 (23.0) </w:t>
                  </w:r>
                </w:p>
              </w:tc>
              <w:tc>
                <w:tcPr>
                  <w:tcW w:w="0" w:type="auto"/>
                  <w:tcBorders>
                    <w:top w:val="nil"/>
                    <w:left w:val="nil"/>
                    <w:bottom w:val="nil"/>
                    <w:right w:val="nil"/>
                  </w:tcBorders>
                  <w:shd w:val="clear" w:color="auto" w:fill="auto"/>
                  <w:noWrap/>
                  <w:vAlign w:val="bottom"/>
                  <w:hideMark/>
                </w:tcPr>
                <w:p w14:paraId="7A4864A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0.85 (0.78-0.92)**</w:t>
                  </w:r>
                </w:p>
              </w:tc>
              <w:tc>
                <w:tcPr>
                  <w:tcW w:w="0" w:type="auto"/>
                  <w:tcBorders>
                    <w:top w:val="nil"/>
                    <w:left w:val="nil"/>
                    <w:bottom w:val="nil"/>
                    <w:right w:val="nil"/>
                  </w:tcBorders>
                  <w:shd w:val="clear" w:color="auto" w:fill="auto"/>
                  <w:noWrap/>
                  <w:vAlign w:val="bottom"/>
                  <w:hideMark/>
                </w:tcPr>
                <w:p w14:paraId="4649DECA"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13,072 (21.2) </w:t>
                  </w:r>
                </w:p>
              </w:tc>
              <w:tc>
                <w:tcPr>
                  <w:tcW w:w="0" w:type="auto"/>
                  <w:tcBorders>
                    <w:top w:val="nil"/>
                    <w:left w:val="nil"/>
                    <w:bottom w:val="nil"/>
                    <w:right w:val="nil"/>
                  </w:tcBorders>
                  <w:shd w:val="clear" w:color="auto" w:fill="auto"/>
                  <w:noWrap/>
                  <w:vAlign w:val="bottom"/>
                  <w:hideMark/>
                </w:tcPr>
                <w:p w14:paraId="1AF4C4E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0.93 (0.85-1.02)</w:t>
                  </w:r>
                </w:p>
              </w:tc>
            </w:tr>
            <w:tr w:rsidR="00AC0575" w:rsidRPr="00A576EB" w14:paraId="7EC32DF3" w14:textId="77777777" w:rsidTr="000E494A">
              <w:trPr>
                <w:trHeight w:val="300"/>
              </w:trPr>
              <w:tc>
                <w:tcPr>
                  <w:tcW w:w="0" w:type="auto"/>
                  <w:tcBorders>
                    <w:top w:val="nil"/>
                    <w:left w:val="nil"/>
                    <w:bottom w:val="nil"/>
                    <w:right w:val="nil"/>
                  </w:tcBorders>
                  <w:shd w:val="clear" w:color="auto" w:fill="auto"/>
                  <w:noWrap/>
                  <w:vAlign w:val="bottom"/>
                  <w:hideMark/>
                </w:tcPr>
                <w:p w14:paraId="3F0BD411"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Previous treatment:</w:t>
                  </w:r>
                </w:p>
              </w:tc>
              <w:tc>
                <w:tcPr>
                  <w:tcW w:w="0" w:type="auto"/>
                  <w:tcBorders>
                    <w:top w:val="nil"/>
                    <w:left w:val="nil"/>
                    <w:bottom w:val="nil"/>
                    <w:right w:val="nil"/>
                  </w:tcBorders>
                  <w:shd w:val="clear" w:color="auto" w:fill="auto"/>
                  <w:noWrap/>
                  <w:vAlign w:val="bottom"/>
                  <w:hideMark/>
                </w:tcPr>
                <w:p w14:paraId="43D35CE7"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E9FE3C2"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6F15B25"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4429A32"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A223E77"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75231B3E" w14:textId="77777777" w:rsidTr="000E494A">
              <w:trPr>
                <w:trHeight w:val="300"/>
              </w:trPr>
              <w:tc>
                <w:tcPr>
                  <w:tcW w:w="0" w:type="auto"/>
                  <w:tcBorders>
                    <w:top w:val="nil"/>
                    <w:left w:val="nil"/>
                    <w:bottom w:val="nil"/>
                    <w:right w:val="nil"/>
                  </w:tcBorders>
                  <w:shd w:val="clear" w:color="auto" w:fill="auto"/>
                  <w:noWrap/>
                  <w:vAlign w:val="bottom"/>
                  <w:hideMark/>
                </w:tcPr>
                <w:p w14:paraId="20C6B180"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0</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01943679"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15,076 (83.0) </w:t>
                  </w:r>
                </w:p>
              </w:tc>
              <w:tc>
                <w:tcPr>
                  <w:tcW w:w="0" w:type="auto"/>
                  <w:tcBorders>
                    <w:top w:val="nil"/>
                    <w:left w:val="nil"/>
                    <w:bottom w:val="nil"/>
                    <w:right w:val="nil"/>
                  </w:tcBorders>
                  <w:shd w:val="clear" w:color="auto" w:fill="auto"/>
                  <w:noWrap/>
                  <w:vAlign w:val="bottom"/>
                  <w:hideMark/>
                </w:tcPr>
                <w:p w14:paraId="2DFA719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27,686 (70.3) </w:t>
                  </w:r>
                </w:p>
              </w:tc>
              <w:tc>
                <w:tcPr>
                  <w:tcW w:w="0" w:type="auto"/>
                  <w:tcBorders>
                    <w:top w:val="nil"/>
                    <w:left w:val="nil"/>
                    <w:bottom w:val="nil"/>
                    <w:right w:val="nil"/>
                  </w:tcBorders>
                  <w:shd w:val="clear" w:color="auto" w:fill="auto"/>
                  <w:noWrap/>
                  <w:vAlign w:val="bottom"/>
                  <w:hideMark/>
                </w:tcPr>
                <w:p w14:paraId="7BE35E3A"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5CA2D64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46,954 (76.1) </w:t>
                  </w:r>
                </w:p>
              </w:tc>
              <w:tc>
                <w:tcPr>
                  <w:tcW w:w="0" w:type="auto"/>
                  <w:tcBorders>
                    <w:top w:val="nil"/>
                    <w:left w:val="nil"/>
                    <w:bottom w:val="nil"/>
                    <w:right w:val="nil"/>
                  </w:tcBorders>
                  <w:shd w:val="clear" w:color="auto" w:fill="auto"/>
                  <w:noWrap/>
                  <w:vAlign w:val="bottom"/>
                  <w:hideMark/>
                </w:tcPr>
                <w:p w14:paraId="6E029BE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r>
            <w:tr w:rsidR="00AC0575" w:rsidRPr="00A576EB" w14:paraId="0A9BEF8E" w14:textId="77777777" w:rsidTr="000E494A">
              <w:trPr>
                <w:trHeight w:val="300"/>
              </w:trPr>
              <w:tc>
                <w:tcPr>
                  <w:tcW w:w="0" w:type="auto"/>
                  <w:tcBorders>
                    <w:top w:val="nil"/>
                    <w:left w:val="nil"/>
                    <w:bottom w:val="nil"/>
                    <w:right w:val="nil"/>
                  </w:tcBorders>
                  <w:shd w:val="clear" w:color="auto" w:fill="auto"/>
                  <w:noWrap/>
                  <w:vAlign w:val="bottom"/>
                  <w:hideMark/>
                </w:tcPr>
                <w:p w14:paraId="5ED91A53"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49D3C54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2,689 (14.8) </w:t>
                  </w:r>
                </w:p>
              </w:tc>
              <w:tc>
                <w:tcPr>
                  <w:tcW w:w="0" w:type="auto"/>
                  <w:tcBorders>
                    <w:top w:val="nil"/>
                    <w:left w:val="nil"/>
                    <w:bottom w:val="nil"/>
                    <w:right w:val="nil"/>
                  </w:tcBorders>
                  <w:shd w:val="clear" w:color="auto" w:fill="auto"/>
                  <w:noWrap/>
                  <w:vAlign w:val="bottom"/>
                  <w:hideMark/>
                </w:tcPr>
                <w:p w14:paraId="5C4440E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8,854 (22.5) </w:t>
                  </w:r>
                </w:p>
              </w:tc>
              <w:tc>
                <w:tcPr>
                  <w:tcW w:w="0" w:type="auto"/>
                  <w:tcBorders>
                    <w:top w:val="nil"/>
                    <w:left w:val="nil"/>
                    <w:bottom w:val="nil"/>
                    <w:right w:val="nil"/>
                  </w:tcBorders>
                  <w:shd w:val="clear" w:color="auto" w:fill="auto"/>
                  <w:noWrap/>
                  <w:vAlign w:val="bottom"/>
                  <w:hideMark/>
                </w:tcPr>
                <w:p w14:paraId="417AF7B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1.43 (1.34-1.52)**</w:t>
                  </w:r>
                </w:p>
              </w:tc>
              <w:tc>
                <w:tcPr>
                  <w:tcW w:w="0" w:type="auto"/>
                  <w:tcBorders>
                    <w:top w:val="nil"/>
                    <w:left w:val="nil"/>
                    <w:bottom w:val="nil"/>
                    <w:right w:val="nil"/>
                  </w:tcBorders>
                  <w:shd w:val="clear" w:color="auto" w:fill="auto"/>
                  <w:noWrap/>
                  <w:vAlign w:val="bottom"/>
                  <w:hideMark/>
                </w:tcPr>
                <w:p w14:paraId="257F30B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11,723 (19.0) </w:t>
                  </w:r>
                </w:p>
              </w:tc>
              <w:tc>
                <w:tcPr>
                  <w:tcW w:w="0" w:type="auto"/>
                  <w:tcBorders>
                    <w:top w:val="nil"/>
                    <w:left w:val="nil"/>
                    <w:bottom w:val="nil"/>
                    <w:right w:val="nil"/>
                  </w:tcBorders>
                  <w:shd w:val="clear" w:color="auto" w:fill="auto"/>
                  <w:noWrap/>
                  <w:vAlign w:val="bottom"/>
                  <w:hideMark/>
                </w:tcPr>
                <w:p w14:paraId="1B7C4CD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1.25 (1.17-1.34)**</w:t>
                  </w:r>
                </w:p>
              </w:tc>
            </w:tr>
            <w:tr w:rsidR="00AC0575" w:rsidRPr="00A576EB" w14:paraId="1F706E4E" w14:textId="77777777" w:rsidTr="000E494A">
              <w:trPr>
                <w:trHeight w:val="300"/>
              </w:trPr>
              <w:tc>
                <w:tcPr>
                  <w:tcW w:w="0" w:type="auto"/>
                  <w:tcBorders>
                    <w:top w:val="nil"/>
                    <w:left w:val="nil"/>
                    <w:bottom w:val="nil"/>
                    <w:right w:val="nil"/>
                  </w:tcBorders>
                  <w:shd w:val="clear" w:color="auto" w:fill="auto"/>
                  <w:noWrap/>
                  <w:vAlign w:val="bottom"/>
                  <w:hideMark/>
                </w:tcPr>
                <w:p w14:paraId="1B41D735"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2+</w:t>
                  </w:r>
                </w:p>
              </w:tc>
              <w:tc>
                <w:tcPr>
                  <w:tcW w:w="0" w:type="auto"/>
                  <w:tcBorders>
                    <w:top w:val="nil"/>
                    <w:left w:val="nil"/>
                    <w:bottom w:val="nil"/>
                    <w:right w:val="nil"/>
                  </w:tcBorders>
                  <w:shd w:val="clear" w:color="auto" w:fill="auto"/>
                  <w:noWrap/>
                  <w:vAlign w:val="bottom"/>
                  <w:hideMark/>
                </w:tcPr>
                <w:p w14:paraId="47E9BDB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396 (2.2) </w:t>
                  </w:r>
                </w:p>
              </w:tc>
              <w:tc>
                <w:tcPr>
                  <w:tcW w:w="0" w:type="auto"/>
                  <w:tcBorders>
                    <w:top w:val="nil"/>
                    <w:left w:val="nil"/>
                    <w:bottom w:val="nil"/>
                    <w:right w:val="nil"/>
                  </w:tcBorders>
                  <w:shd w:val="clear" w:color="auto" w:fill="auto"/>
                  <w:noWrap/>
                  <w:vAlign w:val="bottom"/>
                  <w:hideMark/>
                </w:tcPr>
                <w:p w14:paraId="6D1F9E1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2,828 (7.2) </w:t>
                  </w:r>
                </w:p>
              </w:tc>
              <w:tc>
                <w:tcPr>
                  <w:tcW w:w="0" w:type="auto"/>
                  <w:tcBorders>
                    <w:top w:val="nil"/>
                    <w:left w:val="nil"/>
                    <w:bottom w:val="nil"/>
                    <w:right w:val="nil"/>
                  </w:tcBorders>
                  <w:shd w:val="clear" w:color="auto" w:fill="auto"/>
                  <w:noWrap/>
                  <w:vAlign w:val="bottom"/>
                  <w:hideMark/>
                </w:tcPr>
                <w:p w14:paraId="7100FAA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1.94 (1.71-2.19)**</w:t>
                  </w:r>
                </w:p>
              </w:tc>
              <w:tc>
                <w:tcPr>
                  <w:tcW w:w="0" w:type="auto"/>
                  <w:tcBorders>
                    <w:top w:val="nil"/>
                    <w:left w:val="nil"/>
                    <w:bottom w:val="nil"/>
                    <w:right w:val="nil"/>
                  </w:tcBorders>
                  <w:shd w:val="clear" w:color="auto" w:fill="auto"/>
                  <w:noWrap/>
                  <w:vAlign w:val="bottom"/>
                  <w:hideMark/>
                </w:tcPr>
                <w:p w14:paraId="4D9C9CED"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3,055 (4.9) </w:t>
                  </w:r>
                </w:p>
              </w:tc>
              <w:tc>
                <w:tcPr>
                  <w:tcW w:w="0" w:type="auto"/>
                  <w:tcBorders>
                    <w:top w:val="nil"/>
                    <w:left w:val="nil"/>
                    <w:bottom w:val="nil"/>
                    <w:right w:val="nil"/>
                  </w:tcBorders>
                  <w:shd w:val="clear" w:color="auto" w:fill="auto"/>
                  <w:noWrap/>
                  <w:vAlign w:val="bottom"/>
                  <w:hideMark/>
                </w:tcPr>
                <w:p w14:paraId="0C3D1C39"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1.67 (1.48-1.89)**</w:t>
                  </w:r>
                </w:p>
              </w:tc>
            </w:tr>
            <w:tr w:rsidR="00AC0575" w:rsidRPr="00A576EB" w14:paraId="5DCB8B08" w14:textId="77777777" w:rsidTr="000E494A">
              <w:trPr>
                <w:trHeight w:val="300"/>
              </w:trPr>
              <w:tc>
                <w:tcPr>
                  <w:tcW w:w="0" w:type="auto"/>
                  <w:tcBorders>
                    <w:top w:val="nil"/>
                    <w:left w:val="nil"/>
                    <w:bottom w:val="nil"/>
                    <w:right w:val="nil"/>
                  </w:tcBorders>
                  <w:shd w:val="clear" w:color="auto" w:fill="auto"/>
                  <w:noWrap/>
                  <w:vAlign w:val="bottom"/>
                  <w:hideMark/>
                </w:tcPr>
                <w:p w14:paraId="374477A2" w14:textId="77777777" w:rsidR="00AC0575" w:rsidRPr="00A576EB" w:rsidRDefault="00AC0575" w:rsidP="000E494A">
                  <w:pPr>
                    <w:rPr>
                      <w:rFonts w:eastAsia="Times New Roman" w:cs="Arial"/>
                      <w:i/>
                      <w:iCs/>
                      <w:color w:val="000000"/>
                      <w:sz w:val="20"/>
                      <w:szCs w:val="20"/>
                      <w:lang w:eastAsia="en-GB"/>
                    </w:rPr>
                  </w:pPr>
                  <w:r w:rsidRPr="00A576EB">
                    <w:rPr>
                      <w:rFonts w:eastAsia="Times New Roman" w:cs="Arial"/>
                      <w:i/>
                      <w:iCs/>
                      <w:color w:val="000000"/>
                      <w:sz w:val="20"/>
                      <w:szCs w:val="20"/>
                      <w:lang w:eastAsia="en-GB"/>
                    </w:rPr>
                    <w:t>Interventions</w:t>
                  </w:r>
                </w:p>
              </w:tc>
              <w:tc>
                <w:tcPr>
                  <w:tcW w:w="0" w:type="auto"/>
                  <w:tcBorders>
                    <w:top w:val="nil"/>
                    <w:left w:val="nil"/>
                    <w:bottom w:val="nil"/>
                    <w:right w:val="nil"/>
                  </w:tcBorders>
                  <w:shd w:val="clear" w:color="auto" w:fill="auto"/>
                  <w:noWrap/>
                  <w:vAlign w:val="bottom"/>
                  <w:hideMark/>
                </w:tcPr>
                <w:p w14:paraId="58AE5EC3" w14:textId="77777777" w:rsidR="00AC0575" w:rsidRPr="00A576EB" w:rsidRDefault="00AC0575" w:rsidP="000E494A">
                  <w:pPr>
                    <w:rPr>
                      <w:rFonts w:eastAsia="Times New Roman"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47641AC"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7C22D5D"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F53265F"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3F3DF55"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3C132CA6" w14:textId="77777777" w:rsidTr="000E494A">
              <w:trPr>
                <w:trHeight w:val="300"/>
              </w:trPr>
              <w:tc>
                <w:tcPr>
                  <w:tcW w:w="0" w:type="auto"/>
                  <w:tcBorders>
                    <w:top w:val="nil"/>
                    <w:left w:val="nil"/>
                    <w:bottom w:val="nil"/>
                    <w:right w:val="nil"/>
                  </w:tcBorders>
                  <w:shd w:val="clear" w:color="auto" w:fill="auto"/>
                  <w:noWrap/>
                  <w:vAlign w:val="bottom"/>
                  <w:hideMark/>
                </w:tcPr>
                <w:p w14:paraId="64A192DD"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Outpatient pharmacological</w:t>
                  </w:r>
                </w:p>
              </w:tc>
              <w:tc>
                <w:tcPr>
                  <w:tcW w:w="0" w:type="auto"/>
                  <w:tcBorders>
                    <w:top w:val="nil"/>
                    <w:left w:val="nil"/>
                    <w:bottom w:val="nil"/>
                    <w:right w:val="nil"/>
                  </w:tcBorders>
                  <w:shd w:val="clear" w:color="auto" w:fill="auto"/>
                  <w:noWrap/>
                  <w:vAlign w:val="bottom"/>
                  <w:hideMark/>
                </w:tcPr>
                <w:p w14:paraId="258C03C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4,662 (25.7) </w:t>
                  </w:r>
                </w:p>
              </w:tc>
              <w:tc>
                <w:tcPr>
                  <w:tcW w:w="0" w:type="auto"/>
                  <w:tcBorders>
                    <w:top w:val="nil"/>
                    <w:left w:val="nil"/>
                    <w:bottom w:val="nil"/>
                    <w:right w:val="nil"/>
                  </w:tcBorders>
                  <w:shd w:val="clear" w:color="auto" w:fill="auto"/>
                  <w:noWrap/>
                  <w:vAlign w:val="bottom"/>
                  <w:hideMark/>
                </w:tcPr>
                <w:p w14:paraId="0779947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17,023 (43.2) </w:t>
                  </w:r>
                </w:p>
              </w:tc>
              <w:tc>
                <w:tcPr>
                  <w:tcW w:w="0" w:type="auto"/>
                  <w:tcBorders>
                    <w:top w:val="nil"/>
                    <w:left w:val="nil"/>
                    <w:bottom w:val="nil"/>
                    <w:right w:val="nil"/>
                  </w:tcBorders>
                  <w:shd w:val="clear" w:color="auto" w:fill="auto"/>
                  <w:noWrap/>
                  <w:vAlign w:val="bottom"/>
                  <w:hideMark/>
                </w:tcPr>
                <w:p w14:paraId="5E40F19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1.02 (0.94-1.11)</w:t>
                  </w:r>
                </w:p>
              </w:tc>
              <w:tc>
                <w:tcPr>
                  <w:tcW w:w="0" w:type="auto"/>
                  <w:tcBorders>
                    <w:top w:val="nil"/>
                    <w:left w:val="nil"/>
                    <w:bottom w:val="nil"/>
                    <w:right w:val="nil"/>
                  </w:tcBorders>
                  <w:shd w:val="clear" w:color="auto" w:fill="auto"/>
                  <w:noWrap/>
                  <w:vAlign w:val="bottom"/>
                  <w:hideMark/>
                </w:tcPr>
                <w:p w14:paraId="7C812AA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21,377 (34.6) </w:t>
                  </w:r>
                </w:p>
              </w:tc>
              <w:tc>
                <w:tcPr>
                  <w:tcW w:w="0" w:type="auto"/>
                  <w:tcBorders>
                    <w:top w:val="nil"/>
                    <w:left w:val="nil"/>
                    <w:bottom w:val="nil"/>
                    <w:right w:val="nil"/>
                  </w:tcBorders>
                  <w:shd w:val="clear" w:color="auto" w:fill="auto"/>
                  <w:noWrap/>
                  <w:vAlign w:val="bottom"/>
                  <w:hideMark/>
                </w:tcPr>
                <w:p w14:paraId="024F6CF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0.94 (0.85-1.03)</w:t>
                  </w:r>
                </w:p>
              </w:tc>
            </w:tr>
            <w:tr w:rsidR="00AC0575" w:rsidRPr="00A576EB" w14:paraId="597EB1CE" w14:textId="77777777" w:rsidTr="000E494A">
              <w:trPr>
                <w:trHeight w:val="300"/>
              </w:trPr>
              <w:tc>
                <w:tcPr>
                  <w:tcW w:w="0" w:type="auto"/>
                  <w:tcBorders>
                    <w:top w:val="nil"/>
                    <w:left w:val="nil"/>
                    <w:bottom w:val="nil"/>
                    <w:right w:val="nil"/>
                  </w:tcBorders>
                  <w:shd w:val="clear" w:color="auto" w:fill="auto"/>
                  <w:noWrap/>
                  <w:vAlign w:val="bottom"/>
                  <w:hideMark/>
                </w:tcPr>
                <w:p w14:paraId="46A4A0A4"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lastRenderedPageBreak/>
                    <w:t>Outpatient psychosocial</w:t>
                  </w:r>
                </w:p>
              </w:tc>
              <w:tc>
                <w:tcPr>
                  <w:tcW w:w="0" w:type="auto"/>
                  <w:tcBorders>
                    <w:top w:val="nil"/>
                    <w:left w:val="nil"/>
                    <w:bottom w:val="nil"/>
                    <w:right w:val="nil"/>
                  </w:tcBorders>
                  <w:shd w:val="clear" w:color="auto" w:fill="auto"/>
                  <w:noWrap/>
                  <w:vAlign w:val="bottom"/>
                  <w:hideMark/>
                </w:tcPr>
                <w:p w14:paraId="34B3973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17,698 (97.5) </w:t>
                  </w:r>
                </w:p>
              </w:tc>
              <w:tc>
                <w:tcPr>
                  <w:tcW w:w="0" w:type="auto"/>
                  <w:tcBorders>
                    <w:top w:val="nil"/>
                    <w:left w:val="nil"/>
                    <w:bottom w:val="nil"/>
                    <w:right w:val="nil"/>
                  </w:tcBorders>
                  <w:shd w:val="clear" w:color="auto" w:fill="auto"/>
                  <w:noWrap/>
                  <w:vAlign w:val="bottom"/>
                  <w:hideMark/>
                </w:tcPr>
                <w:p w14:paraId="68BDA299"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37,999 (96.5) </w:t>
                  </w:r>
                </w:p>
              </w:tc>
              <w:tc>
                <w:tcPr>
                  <w:tcW w:w="0" w:type="auto"/>
                  <w:tcBorders>
                    <w:top w:val="nil"/>
                    <w:left w:val="nil"/>
                    <w:bottom w:val="nil"/>
                    <w:right w:val="nil"/>
                  </w:tcBorders>
                  <w:shd w:val="clear" w:color="auto" w:fill="auto"/>
                  <w:noWrap/>
                  <w:vAlign w:val="bottom"/>
                  <w:hideMark/>
                </w:tcPr>
                <w:p w14:paraId="4E13C49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1.04 (0.72-1.51)</w:t>
                  </w:r>
                </w:p>
              </w:tc>
              <w:tc>
                <w:tcPr>
                  <w:tcW w:w="0" w:type="auto"/>
                  <w:tcBorders>
                    <w:top w:val="nil"/>
                    <w:left w:val="nil"/>
                    <w:bottom w:val="nil"/>
                    <w:right w:val="nil"/>
                  </w:tcBorders>
                  <w:shd w:val="clear" w:color="auto" w:fill="auto"/>
                  <w:noWrap/>
                  <w:vAlign w:val="bottom"/>
                  <w:hideMark/>
                </w:tcPr>
                <w:p w14:paraId="6768A14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58,608 (94.9) </w:t>
                  </w:r>
                </w:p>
              </w:tc>
              <w:tc>
                <w:tcPr>
                  <w:tcW w:w="0" w:type="auto"/>
                  <w:tcBorders>
                    <w:top w:val="nil"/>
                    <w:left w:val="nil"/>
                    <w:bottom w:val="nil"/>
                    <w:right w:val="nil"/>
                  </w:tcBorders>
                  <w:shd w:val="clear" w:color="auto" w:fill="auto"/>
                  <w:noWrap/>
                  <w:vAlign w:val="bottom"/>
                  <w:hideMark/>
                </w:tcPr>
                <w:p w14:paraId="33FF056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0.91 (0.72-1.15)</w:t>
                  </w:r>
                </w:p>
              </w:tc>
            </w:tr>
            <w:tr w:rsidR="00AC0575" w:rsidRPr="00A576EB" w14:paraId="68BCEB61" w14:textId="77777777" w:rsidTr="000E494A">
              <w:trPr>
                <w:trHeight w:val="300"/>
              </w:trPr>
              <w:tc>
                <w:tcPr>
                  <w:tcW w:w="0" w:type="auto"/>
                  <w:tcBorders>
                    <w:top w:val="nil"/>
                    <w:left w:val="nil"/>
                    <w:bottom w:val="nil"/>
                    <w:right w:val="nil"/>
                  </w:tcBorders>
                  <w:shd w:val="clear" w:color="auto" w:fill="auto"/>
                  <w:noWrap/>
                  <w:vAlign w:val="bottom"/>
                  <w:hideMark/>
                </w:tcPr>
                <w:p w14:paraId="6C781BED"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Inpatient detoxification</w:t>
                  </w:r>
                </w:p>
              </w:tc>
              <w:tc>
                <w:tcPr>
                  <w:tcW w:w="0" w:type="auto"/>
                  <w:tcBorders>
                    <w:top w:val="nil"/>
                    <w:left w:val="nil"/>
                    <w:bottom w:val="nil"/>
                    <w:right w:val="nil"/>
                  </w:tcBorders>
                  <w:shd w:val="clear" w:color="auto" w:fill="auto"/>
                  <w:noWrap/>
                  <w:vAlign w:val="bottom"/>
                  <w:hideMark/>
                </w:tcPr>
                <w:p w14:paraId="56D4491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495 (2.7) </w:t>
                  </w:r>
                </w:p>
              </w:tc>
              <w:tc>
                <w:tcPr>
                  <w:tcW w:w="0" w:type="auto"/>
                  <w:tcBorders>
                    <w:top w:val="nil"/>
                    <w:left w:val="nil"/>
                    <w:bottom w:val="nil"/>
                    <w:right w:val="nil"/>
                  </w:tcBorders>
                  <w:shd w:val="clear" w:color="auto" w:fill="auto"/>
                  <w:noWrap/>
                  <w:vAlign w:val="bottom"/>
                  <w:hideMark/>
                </w:tcPr>
                <w:p w14:paraId="2905944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1,324 (3.4) </w:t>
                  </w:r>
                </w:p>
              </w:tc>
              <w:tc>
                <w:tcPr>
                  <w:tcW w:w="0" w:type="auto"/>
                  <w:tcBorders>
                    <w:top w:val="nil"/>
                    <w:left w:val="nil"/>
                    <w:bottom w:val="nil"/>
                    <w:right w:val="nil"/>
                  </w:tcBorders>
                  <w:shd w:val="clear" w:color="auto" w:fill="auto"/>
                  <w:noWrap/>
                  <w:vAlign w:val="bottom"/>
                  <w:hideMark/>
                </w:tcPr>
                <w:p w14:paraId="56176C1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1.24 (1.05-1.46)*</w:t>
                  </w:r>
                </w:p>
              </w:tc>
              <w:tc>
                <w:tcPr>
                  <w:tcW w:w="0" w:type="auto"/>
                  <w:tcBorders>
                    <w:top w:val="nil"/>
                    <w:left w:val="nil"/>
                    <w:bottom w:val="nil"/>
                    <w:right w:val="nil"/>
                  </w:tcBorders>
                  <w:shd w:val="clear" w:color="auto" w:fill="auto"/>
                  <w:noWrap/>
                  <w:vAlign w:val="bottom"/>
                  <w:hideMark/>
                </w:tcPr>
                <w:p w14:paraId="5B99D26B"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2,410 (3.9) </w:t>
                  </w:r>
                </w:p>
              </w:tc>
              <w:tc>
                <w:tcPr>
                  <w:tcW w:w="0" w:type="auto"/>
                  <w:tcBorders>
                    <w:top w:val="nil"/>
                    <w:left w:val="nil"/>
                    <w:bottom w:val="nil"/>
                    <w:right w:val="nil"/>
                  </w:tcBorders>
                  <w:shd w:val="clear" w:color="auto" w:fill="auto"/>
                  <w:noWrap/>
                  <w:vAlign w:val="bottom"/>
                  <w:hideMark/>
                </w:tcPr>
                <w:p w14:paraId="372A319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1.26 (1.09-1.45)**</w:t>
                  </w:r>
                </w:p>
              </w:tc>
            </w:tr>
            <w:tr w:rsidR="00AC0575" w:rsidRPr="00A576EB" w14:paraId="7A26CBBE" w14:textId="77777777" w:rsidTr="000E494A">
              <w:trPr>
                <w:trHeight w:val="300"/>
              </w:trPr>
              <w:tc>
                <w:tcPr>
                  <w:tcW w:w="0" w:type="auto"/>
                  <w:tcBorders>
                    <w:top w:val="nil"/>
                    <w:left w:val="nil"/>
                    <w:bottom w:val="nil"/>
                    <w:right w:val="nil"/>
                  </w:tcBorders>
                  <w:shd w:val="clear" w:color="auto" w:fill="auto"/>
                  <w:noWrap/>
                  <w:vAlign w:val="bottom"/>
                  <w:hideMark/>
                </w:tcPr>
                <w:p w14:paraId="329EE8AB" w14:textId="77777777" w:rsidR="00AC0575" w:rsidRPr="00A576EB" w:rsidRDefault="00AC0575" w:rsidP="000E494A">
                  <w:pPr>
                    <w:rPr>
                      <w:rFonts w:eastAsia="Times New Roman" w:cs="Arial"/>
                      <w:color w:val="000000"/>
                      <w:sz w:val="20"/>
                      <w:szCs w:val="20"/>
                      <w:lang w:eastAsia="en-GB"/>
                    </w:rPr>
                  </w:pPr>
                  <w:r>
                    <w:rPr>
                      <w:rFonts w:eastAsia="Times New Roman" w:cs="Arial"/>
                      <w:color w:val="000000"/>
                      <w:sz w:val="20"/>
                      <w:szCs w:val="20"/>
                      <w:lang w:eastAsia="en-GB"/>
                    </w:rPr>
                    <w:t>Residential rehabilitation</w:t>
                  </w:r>
                </w:p>
              </w:tc>
              <w:tc>
                <w:tcPr>
                  <w:tcW w:w="0" w:type="auto"/>
                  <w:tcBorders>
                    <w:top w:val="nil"/>
                    <w:left w:val="nil"/>
                    <w:bottom w:val="nil"/>
                    <w:right w:val="nil"/>
                  </w:tcBorders>
                  <w:shd w:val="clear" w:color="auto" w:fill="auto"/>
                  <w:noWrap/>
                  <w:vAlign w:val="bottom"/>
                  <w:hideMark/>
                </w:tcPr>
                <w:p w14:paraId="1550A85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353 (1.9) </w:t>
                  </w:r>
                </w:p>
              </w:tc>
              <w:tc>
                <w:tcPr>
                  <w:tcW w:w="0" w:type="auto"/>
                  <w:tcBorders>
                    <w:top w:val="nil"/>
                    <w:left w:val="nil"/>
                    <w:bottom w:val="nil"/>
                    <w:right w:val="nil"/>
                  </w:tcBorders>
                  <w:shd w:val="clear" w:color="auto" w:fill="auto"/>
                  <w:noWrap/>
                  <w:vAlign w:val="bottom"/>
                  <w:hideMark/>
                </w:tcPr>
                <w:p w14:paraId="5256B84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897 (2.3) </w:t>
                  </w:r>
                </w:p>
              </w:tc>
              <w:tc>
                <w:tcPr>
                  <w:tcW w:w="0" w:type="auto"/>
                  <w:tcBorders>
                    <w:top w:val="nil"/>
                    <w:left w:val="nil"/>
                    <w:bottom w:val="nil"/>
                    <w:right w:val="nil"/>
                  </w:tcBorders>
                  <w:shd w:val="clear" w:color="auto" w:fill="auto"/>
                  <w:noWrap/>
                  <w:vAlign w:val="bottom"/>
                  <w:hideMark/>
                </w:tcPr>
                <w:p w14:paraId="63E7FE6A"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1.01 (0.80-1.27)</w:t>
                  </w:r>
                </w:p>
              </w:tc>
              <w:tc>
                <w:tcPr>
                  <w:tcW w:w="0" w:type="auto"/>
                  <w:tcBorders>
                    <w:top w:val="nil"/>
                    <w:left w:val="nil"/>
                    <w:bottom w:val="nil"/>
                    <w:right w:val="nil"/>
                  </w:tcBorders>
                  <w:shd w:val="clear" w:color="auto" w:fill="auto"/>
                  <w:noWrap/>
                  <w:vAlign w:val="bottom"/>
                  <w:hideMark/>
                </w:tcPr>
                <w:p w14:paraId="5618100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1,630 (2.6) </w:t>
                  </w:r>
                </w:p>
              </w:tc>
              <w:tc>
                <w:tcPr>
                  <w:tcW w:w="0" w:type="auto"/>
                  <w:tcBorders>
                    <w:top w:val="nil"/>
                    <w:left w:val="nil"/>
                    <w:bottom w:val="nil"/>
                    <w:right w:val="nil"/>
                  </w:tcBorders>
                  <w:shd w:val="clear" w:color="auto" w:fill="auto"/>
                  <w:noWrap/>
                  <w:vAlign w:val="bottom"/>
                  <w:hideMark/>
                </w:tcPr>
                <w:p w14:paraId="742CEA5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1.11 (0.92-1.34)</w:t>
                  </w:r>
                </w:p>
              </w:tc>
            </w:tr>
            <w:tr w:rsidR="00AC0575" w:rsidRPr="00A576EB" w14:paraId="1154C01E" w14:textId="77777777" w:rsidTr="000E494A">
              <w:trPr>
                <w:trHeight w:val="300"/>
              </w:trPr>
              <w:tc>
                <w:tcPr>
                  <w:tcW w:w="0" w:type="auto"/>
                  <w:tcBorders>
                    <w:top w:val="nil"/>
                    <w:left w:val="nil"/>
                    <w:bottom w:val="nil"/>
                    <w:right w:val="nil"/>
                  </w:tcBorders>
                  <w:shd w:val="clear" w:color="auto" w:fill="auto"/>
                  <w:noWrap/>
                  <w:vAlign w:val="bottom"/>
                  <w:hideMark/>
                </w:tcPr>
                <w:p w14:paraId="3D632472"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Recovery support:</w:t>
                  </w:r>
                </w:p>
              </w:tc>
              <w:tc>
                <w:tcPr>
                  <w:tcW w:w="0" w:type="auto"/>
                  <w:tcBorders>
                    <w:top w:val="nil"/>
                    <w:left w:val="nil"/>
                    <w:bottom w:val="nil"/>
                    <w:right w:val="nil"/>
                  </w:tcBorders>
                  <w:shd w:val="clear" w:color="auto" w:fill="auto"/>
                  <w:noWrap/>
                  <w:vAlign w:val="bottom"/>
                  <w:hideMark/>
                </w:tcPr>
                <w:p w14:paraId="1F79FCF6"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5EA3127"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46C5918"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BA2C2D6"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E1972C4"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7A61300A" w14:textId="77777777" w:rsidTr="000E494A">
              <w:trPr>
                <w:trHeight w:val="300"/>
              </w:trPr>
              <w:tc>
                <w:tcPr>
                  <w:tcW w:w="0" w:type="auto"/>
                  <w:tcBorders>
                    <w:top w:val="nil"/>
                    <w:left w:val="nil"/>
                    <w:bottom w:val="nil"/>
                    <w:right w:val="nil"/>
                  </w:tcBorders>
                  <w:shd w:val="clear" w:color="auto" w:fill="auto"/>
                  <w:noWrap/>
                  <w:vAlign w:val="bottom"/>
                  <w:hideMark/>
                </w:tcPr>
                <w:p w14:paraId="7B5AFC7C"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Parenting/ family support</w:t>
                  </w:r>
                </w:p>
              </w:tc>
              <w:tc>
                <w:tcPr>
                  <w:tcW w:w="0" w:type="auto"/>
                  <w:tcBorders>
                    <w:top w:val="nil"/>
                    <w:left w:val="nil"/>
                    <w:bottom w:val="nil"/>
                    <w:right w:val="nil"/>
                  </w:tcBorders>
                  <w:shd w:val="clear" w:color="auto" w:fill="auto"/>
                  <w:noWrap/>
                  <w:vAlign w:val="bottom"/>
                  <w:hideMark/>
                </w:tcPr>
                <w:p w14:paraId="6C952D1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1,805 (9.9) </w:t>
                  </w:r>
                </w:p>
              </w:tc>
              <w:tc>
                <w:tcPr>
                  <w:tcW w:w="0" w:type="auto"/>
                  <w:tcBorders>
                    <w:top w:val="nil"/>
                    <w:left w:val="nil"/>
                    <w:bottom w:val="nil"/>
                    <w:right w:val="nil"/>
                  </w:tcBorders>
                  <w:shd w:val="clear" w:color="auto" w:fill="auto"/>
                  <w:noWrap/>
                  <w:vAlign w:val="bottom"/>
                  <w:hideMark/>
                </w:tcPr>
                <w:p w14:paraId="31EF9191"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2,276 (5.8) </w:t>
                  </w:r>
                </w:p>
              </w:tc>
              <w:tc>
                <w:tcPr>
                  <w:tcW w:w="0" w:type="auto"/>
                  <w:tcBorders>
                    <w:top w:val="nil"/>
                    <w:left w:val="nil"/>
                    <w:bottom w:val="nil"/>
                    <w:right w:val="nil"/>
                  </w:tcBorders>
                  <w:shd w:val="clear" w:color="auto" w:fill="auto"/>
                  <w:noWrap/>
                  <w:vAlign w:val="bottom"/>
                  <w:hideMark/>
                </w:tcPr>
                <w:p w14:paraId="4EB022CB"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0.58 (0.52-0.65)**</w:t>
                  </w:r>
                </w:p>
              </w:tc>
              <w:tc>
                <w:tcPr>
                  <w:tcW w:w="0" w:type="auto"/>
                  <w:tcBorders>
                    <w:top w:val="nil"/>
                    <w:left w:val="nil"/>
                    <w:bottom w:val="nil"/>
                    <w:right w:val="nil"/>
                  </w:tcBorders>
                  <w:shd w:val="clear" w:color="auto" w:fill="auto"/>
                  <w:noWrap/>
                  <w:vAlign w:val="bottom"/>
                  <w:hideMark/>
                </w:tcPr>
                <w:p w14:paraId="5633ABA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2,724 (4.4) </w:t>
                  </w:r>
                </w:p>
              </w:tc>
              <w:tc>
                <w:tcPr>
                  <w:tcW w:w="0" w:type="auto"/>
                  <w:tcBorders>
                    <w:top w:val="nil"/>
                    <w:left w:val="nil"/>
                    <w:bottom w:val="nil"/>
                    <w:right w:val="nil"/>
                  </w:tcBorders>
                  <w:shd w:val="clear" w:color="auto" w:fill="auto"/>
                  <w:noWrap/>
                  <w:vAlign w:val="bottom"/>
                  <w:hideMark/>
                </w:tcPr>
                <w:p w14:paraId="174CDA5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0.47 (0.41-0.54)**</w:t>
                  </w:r>
                </w:p>
              </w:tc>
            </w:tr>
            <w:tr w:rsidR="00AC0575" w:rsidRPr="00A576EB" w14:paraId="3A4903BC" w14:textId="77777777" w:rsidTr="000E494A">
              <w:trPr>
                <w:trHeight w:val="300"/>
              </w:trPr>
              <w:tc>
                <w:tcPr>
                  <w:tcW w:w="0" w:type="auto"/>
                  <w:tcBorders>
                    <w:top w:val="nil"/>
                    <w:left w:val="nil"/>
                    <w:bottom w:val="nil"/>
                    <w:right w:val="nil"/>
                  </w:tcBorders>
                  <w:shd w:val="clear" w:color="auto" w:fill="auto"/>
                  <w:noWrap/>
                  <w:vAlign w:val="bottom"/>
                  <w:hideMark/>
                </w:tcPr>
                <w:p w14:paraId="7D7CFA2C"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Housing/ employment</w:t>
                  </w:r>
                </w:p>
              </w:tc>
              <w:tc>
                <w:tcPr>
                  <w:tcW w:w="0" w:type="auto"/>
                  <w:tcBorders>
                    <w:top w:val="nil"/>
                    <w:left w:val="nil"/>
                    <w:bottom w:val="nil"/>
                    <w:right w:val="nil"/>
                  </w:tcBorders>
                  <w:shd w:val="clear" w:color="auto" w:fill="auto"/>
                  <w:noWrap/>
                  <w:vAlign w:val="bottom"/>
                  <w:hideMark/>
                </w:tcPr>
                <w:p w14:paraId="3E9664A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992 (5.5) </w:t>
                  </w:r>
                </w:p>
              </w:tc>
              <w:tc>
                <w:tcPr>
                  <w:tcW w:w="0" w:type="auto"/>
                  <w:tcBorders>
                    <w:top w:val="nil"/>
                    <w:left w:val="nil"/>
                    <w:bottom w:val="nil"/>
                    <w:right w:val="nil"/>
                  </w:tcBorders>
                  <w:shd w:val="clear" w:color="auto" w:fill="auto"/>
                  <w:noWrap/>
                  <w:vAlign w:val="bottom"/>
                  <w:hideMark/>
                </w:tcPr>
                <w:p w14:paraId="2A9FCEC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3,275 (8.3) </w:t>
                  </w:r>
                </w:p>
              </w:tc>
              <w:tc>
                <w:tcPr>
                  <w:tcW w:w="0" w:type="auto"/>
                  <w:tcBorders>
                    <w:top w:val="nil"/>
                    <w:left w:val="nil"/>
                    <w:bottom w:val="nil"/>
                    <w:right w:val="nil"/>
                  </w:tcBorders>
                  <w:shd w:val="clear" w:color="auto" w:fill="auto"/>
                  <w:noWrap/>
                  <w:vAlign w:val="bottom"/>
                  <w:hideMark/>
                </w:tcPr>
                <w:p w14:paraId="4FCBA08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1.61 (1.42-1.82)**</w:t>
                  </w:r>
                </w:p>
              </w:tc>
              <w:tc>
                <w:tcPr>
                  <w:tcW w:w="0" w:type="auto"/>
                  <w:tcBorders>
                    <w:top w:val="nil"/>
                    <w:left w:val="nil"/>
                    <w:bottom w:val="nil"/>
                    <w:right w:val="nil"/>
                  </w:tcBorders>
                  <w:shd w:val="clear" w:color="auto" w:fill="auto"/>
                  <w:noWrap/>
                  <w:vAlign w:val="bottom"/>
                  <w:hideMark/>
                </w:tcPr>
                <w:p w14:paraId="51DA096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4,709 (7.6) </w:t>
                  </w:r>
                </w:p>
              </w:tc>
              <w:tc>
                <w:tcPr>
                  <w:tcW w:w="0" w:type="auto"/>
                  <w:tcBorders>
                    <w:top w:val="nil"/>
                    <w:left w:val="nil"/>
                    <w:bottom w:val="nil"/>
                    <w:right w:val="nil"/>
                  </w:tcBorders>
                  <w:shd w:val="clear" w:color="auto" w:fill="auto"/>
                  <w:noWrap/>
                  <w:vAlign w:val="bottom"/>
                  <w:hideMark/>
                </w:tcPr>
                <w:p w14:paraId="34A85EC9"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1.66 (1.48-1.86)**</w:t>
                  </w:r>
                </w:p>
              </w:tc>
            </w:tr>
            <w:tr w:rsidR="00AC0575" w:rsidRPr="00A576EB" w14:paraId="3EE3B3C5" w14:textId="77777777" w:rsidTr="000E494A">
              <w:trPr>
                <w:trHeight w:val="300"/>
              </w:trPr>
              <w:tc>
                <w:tcPr>
                  <w:tcW w:w="0" w:type="auto"/>
                  <w:tcBorders>
                    <w:top w:val="nil"/>
                    <w:left w:val="nil"/>
                    <w:bottom w:val="nil"/>
                    <w:right w:val="nil"/>
                  </w:tcBorders>
                  <w:shd w:val="clear" w:color="auto" w:fill="auto"/>
                  <w:noWrap/>
                  <w:vAlign w:val="bottom"/>
                  <w:hideMark/>
                </w:tcPr>
                <w:p w14:paraId="1E211E69"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Domestic abuse</w:t>
                  </w:r>
                </w:p>
              </w:tc>
              <w:tc>
                <w:tcPr>
                  <w:tcW w:w="0" w:type="auto"/>
                  <w:tcBorders>
                    <w:top w:val="nil"/>
                    <w:left w:val="nil"/>
                    <w:bottom w:val="nil"/>
                    <w:right w:val="nil"/>
                  </w:tcBorders>
                  <w:shd w:val="clear" w:color="auto" w:fill="auto"/>
                  <w:noWrap/>
                  <w:vAlign w:val="bottom"/>
                  <w:hideMark/>
                </w:tcPr>
                <w:p w14:paraId="7798772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199 (1.1) </w:t>
                  </w:r>
                </w:p>
              </w:tc>
              <w:tc>
                <w:tcPr>
                  <w:tcW w:w="0" w:type="auto"/>
                  <w:tcBorders>
                    <w:top w:val="nil"/>
                    <w:left w:val="nil"/>
                    <w:bottom w:val="nil"/>
                    <w:right w:val="nil"/>
                  </w:tcBorders>
                  <w:shd w:val="clear" w:color="auto" w:fill="auto"/>
                  <w:noWrap/>
                  <w:vAlign w:val="bottom"/>
                  <w:hideMark/>
                </w:tcPr>
                <w:p w14:paraId="2F214C7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440 (1.1) </w:t>
                  </w:r>
                </w:p>
              </w:tc>
              <w:tc>
                <w:tcPr>
                  <w:tcW w:w="0" w:type="auto"/>
                  <w:tcBorders>
                    <w:top w:val="nil"/>
                    <w:left w:val="nil"/>
                    <w:bottom w:val="nil"/>
                    <w:right w:val="nil"/>
                  </w:tcBorders>
                  <w:shd w:val="clear" w:color="auto" w:fill="auto"/>
                  <w:noWrap/>
                  <w:vAlign w:val="bottom"/>
                  <w:hideMark/>
                </w:tcPr>
                <w:p w14:paraId="2B8078E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1.36 (1.11-1.68)**</w:t>
                  </w:r>
                </w:p>
              </w:tc>
              <w:tc>
                <w:tcPr>
                  <w:tcW w:w="0" w:type="auto"/>
                  <w:tcBorders>
                    <w:top w:val="nil"/>
                    <w:left w:val="nil"/>
                    <w:bottom w:val="nil"/>
                    <w:right w:val="nil"/>
                  </w:tcBorders>
                  <w:shd w:val="clear" w:color="auto" w:fill="auto"/>
                  <w:noWrap/>
                  <w:vAlign w:val="bottom"/>
                  <w:hideMark/>
                </w:tcPr>
                <w:p w14:paraId="7AAA3A4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417 (0.7) </w:t>
                  </w:r>
                </w:p>
              </w:tc>
              <w:tc>
                <w:tcPr>
                  <w:tcW w:w="0" w:type="auto"/>
                  <w:tcBorders>
                    <w:top w:val="nil"/>
                    <w:left w:val="nil"/>
                    <w:bottom w:val="nil"/>
                    <w:right w:val="nil"/>
                  </w:tcBorders>
                  <w:shd w:val="clear" w:color="auto" w:fill="auto"/>
                  <w:noWrap/>
                  <w:vAlign w:val="bottom"/>
                  <w:hideMark/>
                </w:tcPr>
                <w:p w14:paraId="6F8AE798"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1.05 (0.83-1.31)</w:t>
                  </w:r>
                </w:p>
              </w:tc>
            </w:tr>
            <w:tr w:rsidR="00AC0575" w:rsidRPr="00A576EB" w14:paraId="0ADC0D0A" w14:textId="77777777" w:rsidTr="000E494A">
              <w:trPr>
                <w:trHeight w:val="300"/>
              </w:trPr>
              <w:tc>
                <w:tcPr>
                  <w:tcW w:w="0" w:type="auto"/>
                  <w:tcBorders>
                    <w:top w:val="nil"/>
                    <w:left w:val="nil"/>
                    <w:bottom w:val="nil"/>
                    <w:right w:val="nil"/>
                  </w:tcBorders>
                  <w:shd w:val="clear" w:color="auto" w:fill="auto"/>
                  <w:noWrap/>
                  <w:vAlign w:val="bottom"/>
                  <w:hideMark/>
                </w:tcPr>
                <w:p w14:paraId="407468A7" w14:textId="77777777" w:rsidR="00AC0575" w:rsidRPr="00A576EB" w:rsidRDefault="00AC0575" w:rsidP="000E494A">
                  <w:pPr>
                    <w:rPr>
                      <w:rFonts w:eastAsia="Times New Roman" w:cs="Arial"/>
                      <w:color w:val="000000"/>
                      <w:sz w:val="20"/>
                      <w:szCs w:val="20"/>
                      <w:lang w:eastAsia="en-GB"/>
                    </w:rPr>
                  </w:pPr>
                  <w:r w:rsidRPr="00A576EB">
                    <w:rPr>
                      <w:rFonts w:eastAsia="Times New Roman" w:cs="Arial"/>
                      <w:color w:val="000000"/>
                      <w:sz w:val="20"/>
                      <w:szCs w:val="20"/>
                      <w:lang w:eastAsia="en-GB"/>
                    </w:rPr>
                    <w:t>Child welfare support:</w:t>
                  </w:r>
                </w:p>
              </w:tc>
              <w:tc>
                <w:tcPr>
                  <w:tcW w:w="0" w:type="auto"/>
                  <w:tcBorders>
                    <w:top w:val="nil"/>
                    <w:left w:val="nil"/>
                    <w:bottom w:val="nil"/>
                    <w:right w:val="nil"/>
                  </w:tcBorders>
                  <w:shd w:val="clear" w:color="auto" w:fill="auto"/>
                  <w:noWrap/>
                  <w:vAlign w:val="bottom"/>
                  <w:hideMark/>
                </w:tcPr>
                <w:p w14:paraId="4CDFB193" w14:textId="77777777" w:rsidR="00AC0575" w:rsidRPr="00A576EB" w:rsidRDefault="00AC0575" w:rsidP="000E494A">
                  <w:pPr>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CAC2540"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31DE1B7"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C68FEAD" w14:textId="77777777" w:rsidR="00AC0575" w:rsidRPr="00A576EB" w:rsidRDefault="00AC0575" w:rsidP="000E494A">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2FEFA7C" w14:textId="77777777" w:rsidR="00AC0575" w:rsidRPr="00A576EB" w:rsidRDefault="00AC0575" w:rsidP="000E494A">
                  <w:pPr>
                    <w:jc w:val="right"/>
                    <w:rPr>
                      <w:rFonts w:ascii="Times New Roman" w:eastAsia="Times New Roman" w:hAnsi="Times New Roman" w:cs="Times New Roman"/>
                      <w:sz w:val="20"/>
                      <w:szCs w:val="20"/>
                      <w:lang w:eastAsia="en-GB"/>
                    </w:rPr>
                  </w:pPr>
                </w:p>
              </w:tc>
            </w:tr>
            <w:tr w:rsidR="00AC0575" w:rsidRPr="00A576EB" w14:paraId="23414164" w14:textId="77777777" w:rsidTr="000E494A">
              <w:trPr>
                <w:trHeight w:val="300"/>
              </w:trPr>
              <w:tc>
                <w:tcPr>
                  <w:tcW w:w="0" w:type="auto"/>
                  <w:tcBorders>
                    <w:top w:val="nil"/>
                    <w:left w:val="nil"/>
                    <w:bottom w:val="nil"/>
                    <w:right w:val="nil"/>
                  </w:tcBorders>
                  <w:shd w:val="clear" w:color="auto" w:fill="auto"/>
                  <w:noWrap/>
                  <w:vAlign w:val="bottom"/>
                  <w:hideMark/>
                </w:tcPr>
                <w:p w14:paraId="36ECEFA2"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No support</w:t>
                  </w:r>
                  <w:r w:rsidRPr="00A576EB">
                    <w:rPr>
                      <w:sz w:val="20"/>
                      <w:szCs w:val="20"/>
                      <w:vertAlign w:val="superscript"/>
                    </w:rPr>
                    <w:t>¥</w:t>
                  </w:r>
                </w:p>
              </w:tc>
              <w:tc>
                <w:tcPr>
                  <w:tcW w:w="0" w:type="auto"/>
                  <w:tcBorders>
                    <w:top w:val="nil"/>
                    <w:left w:val="nil"/>
                    <w:bottom w:val="nil"/>
                    <w:right w:val="nil"/>
                  </w:tcBorders>
                  <w:shd w:val="clear" w:color="auto" w:fill="auto"/>
                  <w:noWrap/>
                  <w:vAlign w:val="bottom"/>
                  <w:hideMark/>
                </w:tcPr>
                <w:p w14:paraId="3AB1F0C2"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11,882 (65.4) </w:t>
                  </w:r>
                </w:p>
              </w:tc>
              <w:tc>
                <w:tcPr>
                  <w:tcW w:w="0" w:type="auto"/>
                  <w:tcBorders>
                    <w:top w:val="nil"/>
                    <w:left w:val="nil"/>
                    <w:bottom w:val="nil"/>
                    <w:right w:val="nil"/>
                  </w:tcBorders>
                  <w:shd w:val="clear" w:color="auto" w:fill="auto"/>
                  <w:noWrap/>
                  <w:vAlign w:val="bottom"/>
                  <w:hideMark/>
                </w:tcPr>
                <w:p w14:paraId="576E2801"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29,160 (74.1) </w:t>
                  </w:r>
                </w:p>
              </w:tc>
              <w:tc>
                <w:tcPr>
                  <w:tcW w:w="0" w:type="auto"/>
                  <w:tcBorders>
                    <w:top w:val="nil"/>
                    <w:left w:val="nil"/>
                    <w:bottom w:val="nil"/>
                    <w:right w:val="nil"/>
                  </w:tcBorders>
                  <w:shd w:val="clear" w:color="auto" w:fill="auto"/>
                  <w:noWrap/>
                  <w:vAlign w:val="bottom"/>
                  <w:hideMark/>
                </w:tcPr>
                <w:p w14:paraId="38018CE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1.00</w:t>
                  </w:r>
                </w:p>
              </w:tc>
              <w:tc>
                <w:tcPr>
                  <w:tcW w:w="0" w:type="auto"/>
                  <w:tcBorders>
                    <w:top w:val="nil"/>
                    <w:left w:val="nil"/>
                    <w:bottom w:val="nil"/>
                    <w:right w:val="nil"/>
                  </w:tcBorders>
                  <w:shd w:val="clear" w:color="auto" w:fill="auto"/>
                  <w:noWrap/>
                  <w:vAlign w:val="bottom"/>
                  <w:hideMark/>
                </w:tcPr>
                <w:p w14:paraId="2E881C6B"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61,732 (100.0) </w:t>
                  </w:r>
                </w:p>
              </w:tc>
              <w:tc>
                <w:tcPr>
                  <w:tcW w:w="0" w:type="auto"/>
                  <w:tcBorders>
                    <w:top w:val="nil"/>
                    <w:left w:val="nil"/>
                    <w:bottom w:val="nil"/>
                    <w:right w:val="nil"/>
                  </w:tcBorders>
                  <w:shd w:val="clear" w:color="auto" w:fill="auto"/>
                  <w:noWrap/>
                  <w:vAlign w:val="bottom"/>
                  <w:hideMark/>
                </w:tcPr>
                <w:p w14:paraId="36B6F0D1" w14:textId="77777777" w:rsidR="00AC0575" w:rsidRPr="00A576EB" w:rsidRDefault="00AC0575" w:rsidP="000E494A">
                  <w:pPr>
                    <w:jc w:val="right"/>
                    <w:rPr>
                      <w:rFonts w:eastAsia="Times New Roman" w:cs="Arial"/>
                      <w:color w:val="000000"/>
                      <w:sz w:val="20"/>
                      <w:szCs w:val="20"/>
                      <w:lang w:eastAsia="en-GB"/>
                    </w:rPr>
                  </w:pPr>
                  <w:r>
                    <w:rPr>
                      <w:rFonts w:eastAsia="Times New Roman" w:cs="Arial"/>
                      <w:color w:val="000000"/>
                      <w:sz w:val="20"/>
                      <w:szCs w:val="20"/>
                      <w:lang w:eastAsia="en-GB"/>
                    </w:rPr>
                    <w:t>n/a</w:t>
                  </w:r>
                </w:p>
              </w:tc>
            </w:tr>
            <w:tr w:rsidR="00AC0575" w:rsidRPr="00A576EB" w14:paraId="7A106B8C" w14:textId="77777777" w:rsidTr="000E494A">
              <w:trPr>
                <w:trHeight w:val="300"/>
              </w:trPr>
              <w:tc>
                <w:tcPr>
                  <w:tcW w:w="0" w:type="auto"/>
                  <w:tcBorders>
                    <w:top w:val="nil"/>
                    <w:left w:val="nil"/>
                    <w:bottom w:val="nil"/>
                    <w:right w:val="nil"/>
                  </w:tcBorders>
                  <w:shd w:val="clear" w:color="auto" w:fill="auto"/>
                  <w:noWrap/>
                  <w:vAlign w:val="bottom"/>
                  <w:hideMark/>
                </w:tcPr>
                <w:p w14:paraId="19766D66"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Early help</w:t>
                  </w:r>
                </w:p>
              </w:tc>
              <w:tc>
                <w:tcPr>
                  <w:tcW w:w="0" w:type="auto"/>
                  <w:tcBorders>
                    <w:top w:val="nil"/>
                    <w:left w:val="nil"/>
                    <w:bottom w:val="nil"/>
                    <w:right w:val="nil"/>
                  </w:tcBorders>
                  <w:shd w:val="clear" w:color="auto" w:fill="auto"/>
                  <w:noWrap/>
                  <w:vAlign w:val="bottom"/>
                  <w:hideMark/>
                </w:tcPr>
                <w:p w14:paraId="6F4FB44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1,034 (5.7) </w:t>
                  </w:r>
                </w:p>
              </w:tc>
              <w:tc>
                <w:tcPr>
                  <w:tcW w:w="0" w:type="auto"/>
                  <w:tcBorders>
                    <w:top w:val="nil"/>
                    <w:left w:val="nil"/>
                    <w:bottom w:val="nil"/>
                    <w:right w:val="nil"/>
                  </w:tcBorders>
                  <w:shd w:val="clear" w:color="auto" w:fill="auto"/>
                  <w:noWrap/>
                  <w:vAlign w:val="bottom"/>
                  <w:hideMark/>
                </w:tcPr>
                <w:p w14:paraId="5FC2DF0E"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474 (1.2) </w:t>
                  </w:r>
                </w:p>
              </w:tc>
              <w:tc>
                <w:tcPr>
                  <w:tcW w:w="0" w:type="auto"/>
                  <w:tcBorders>
                    <w:top w:val="nil"/>
                    <w:left w:val="nil"/>
                    <w:bottom w:val="nil"/>
                    <w:right w:val="nil"/>
                  </w:tcBorders>
                  <w:shd w:val="clear" w:color="auto" w:fill="auto"/>
                  <w:noWrap/>
                  <w:vAlign w:val="bottom"/>
                  <w:hideMark/>
                </w:tcPr>
                <w:p w14:paraId="51F3F3D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0.23 (0.20-0.26)**</w:t>
                  </w:r>
                </w:p>
              </w:tc>
              <w:tc>
                <w:tcPr>
                  <w:tcW w:w="0" w:type="auto"/>
                  <w:tcBorders>
                    <w:top w:val="nil"/>
                    <w:left w:val="nil"/>
                    <w:bottom w:val="nil"/>
                    <w:right w:val="nil"/>
                  </w:tcBorders>
                  <w:shd w:val="clear" w:color="auto" w:fill="auto"/>
                  <w:noWrap/>
                  <w:vAlign w:val="bottom"/>
                  <w:hideMark/>
                </w:tcPr>
                <w:p w14:paraId="16DDDA65"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n/a </w:t>
                  </w:r>
                </w:p>
              </w:tc>
              <w:tc>
                <w:tcPr>
                  <w:tcW w:w="0" w:type="auto"/>
                  <w:tcBorders>
                    <w:top w:val="nil"/>
                    <w:left w:val="nil"/>
                    <w:bottom w:val="nil"/>
                    <w:right w:val="nil"/>
                  </w:tcBorders>
                  <w:shd w:val="clear" w:color="auto" w:fill="auto"/>
                  <w:noWrap/>
                  <w:vAlign w:val="bottom"/>
                  <w:hideMark/>
                </w:tcPr>
                <w:p w14:paraId="5810080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n/a </w:t>
                  </w:r>
                </w:p>
              </w:tc>
            </w:tr>
            <w:tr w:rsidR="00AC0575" w:rsidRPr="00A576EB" w14:paraId="7AA3A6C6" w14:textId="77777777" w:rsidTr="000E494A">
              <w:trPr>
                <w:trHeight w:val="300"/>
              </w:trPr>
              <w:tc>
                <w:tcPr>
                  <w:tcW w:w="0" w:type="auto"/>
                  <w:tcBorders>
                    <w:top w:val="nil"/>
                    <w:left w:val="nil"/>
                    <w:bottom w:val="nil"/>
                    <w:right w:val="nil"/>
                  </w:tcBorders>
                  <w:shd w:val="clear" w:color="auto" w:fill="auto"/>
                  <w:noWrap/>
                  <w:vAlign w:val="bottom"/>
                  <w:hideMark/>
                </w:tcPr>
                <w:p w14:paraId="62FAE1DA"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Child in need</w:t>
                  </w:r>
                </w:p>
              </w:tc>
              <w:tc>
                <w:tcPr>
                  <w:tcW w:w="0" w:type="auto"/>
                  <w:tcBorders>
                    <w:top w:val="nil"/>
                    <w:left w:val="nil"/>
                    <w:bottom w:val="nil"/>
                    <w:right w:val="nil"/>
                  </w:tcBorders>
                  <w:shd w:val="clear" w:color="auto" w:fill="auto"/>
                  <w:noWrap/>
                  <w:vAlign w:val="bottom"/>
                  <w:hideMark/>
                </w:tcPr>
                <w:p w14:paraId="4DB75C1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1,067 (5.9) </w:t>
                  </w:r>
                </w:p>
              </w:tc>
              <w:tc>
                <w:tcPr>
                  <w:tcW w:w="0" w:type="auto"/>
                  <w:tcBorders>
                    <w:top w:val="nil"/>
                    <w:left w:val="nil"/>
                    <w:bottom w:val="nil"/>
                    <w:right w:val="nil"/>
                  </w:tcBorders>
                  <w:shd w:val="clear" w:color="auto" w:fill="auto"/>
                  <w:noWrap/>
                  <w:vAlign w:val="bottom"/>
                  <w:hideMark/>
                </w:tcPr>
                <w:p w14:paraId="0E5577F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679 (1.7) </w:t>
                  </w:r>
                </w:p>
              </w:tc>
              <w:tc>
                <w:tcPr>
                  <w:tcW w:w="0" w:type="auto"/>
                  <w:tcBorders>
                    <w:top w:val="nil"/>
                    <w:left w:val="nil"/>
                    <w:bottom w:val="nil"/>
                    <w:right w:val="nil"/>
                  </w:tcBorders>
                  <w:shd w:val="clear" w:color="auto" w:fill="auto"/>
                  <w:noWrap/>
                  <w:vAlign w:val="bottom"/>
                  <w:hideMark/>
                </w:tcPr>
                <w:p w14:paraId="7FE6FCE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0.30 (0.26-0.34)**</w:t>
                  </w:r>
                </w:p>
              </w:tc>
              <w:tc>
                <w:tcPr>
                  <w:tcW w:w="0" w:type="auto"/>
                  <w:tcBorders>
                    <w:top w:val="nil"/>
                    <w:left w:val="nil"/>
                    <w:bottom w:val="nil"/>
                    <w:right w:val="nil"/>
                  </w:tcBorders>
                  <w:shd w:val="clear" w:color="auto" w:fill="auto"/>
                  <w:noWrap/>
                  <w:vAlign w:val="bottom"/>
                  <w:hideMark/>
                </w:tcPr>
                <w:p w14:paraId="5B80945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n/a </w:t>
                  </w:r>
                </w:p>
              </w:tc>
              <w:tc>
                <w:tcPr>
                  <w:tcW w:w="0" w:type="auto"/>
                  <w:tcBorders>
                    <w:top w:val="nil"/>
                    <w:left w:val="nil"/>
                    <w:bottom w:val="nil"/>
                    <w:right w:val="nil"/>
                  </w:tcBorders>
                  <w:shd w:val="clear" w:color="auto" w:fill="auto"/>
                  <w:noWrap/>
                  <w:vAlign w:val="bottom"/>
                  <w:hideMark/>
                </w:tcPr>
                <w:p w14:paraId="6EC79B7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n/a </w:t>
                  </w:r>
                </w:p>
              </w:tc>
            </w:tr>
            <w:tr w:rsidR="00AC0575" w:rsidRPr="00A576EB" w14:paraId="7B331D55" w14:textId="77777777" w:rsidTr="000E494A">
              <w:trPr>
                <w:trHeight w:val="300"/>
              </w:trPr>
              <w:tc>
                <w:tcPr>
                  <w:tcW w:w="0" w:type="auto"/>
                  <w:tcBorders>
                    <w:top w:val="nil"/>
                    <w:left w:val="nil"/>
                    <w:bottom w:val="nil"/>
                    <w:right w:val="nil"/>
                  </w:tcBorders>
                  <w:shd w:val="clear" w:color="auto" w:fill="auto"/>
                  <w:noWrap/>
                  <w:vAlign w:val="bottom"/>
                  <w:hideMark/>
                </w:tcPr>
                <w:p w14:paraId="73420106"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Child protection</w:t>
                  </w:r>
                </w:p>
              </w:tc>
              <w:tc>
                <w:tcPr>
                  <w:tcW w:w="0" w:type="auto"/>
                  <w:tcBorders>
                    <w:top w:val="nil"/>
                    <w:left w:val="nil"/>
                    <w:bottom w:val="nil"/>
                    <w:right w:val="nil"/>
                  </w:tcBorders>
                  <w:shd w:val="clear" w:color="auto" w:fill="auto"/>
                  <w:noWrap/>
                  <w:vAlign w:val="bottom"/>
                  <w:hideMark/>
                </w:tcPr>
                <w:p w14:paraId="462E3033"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2,009 (11.1) </w:t>
                  </w:r>
                </w:p>
              </w:tc>
              <w:tc>
                <w:tcPr>
                  <w:tcW w:w="0" w:type="auto"/>
                  <w:tcBorders>
                    <w:top w:val="nil"/>
                    <w:left w:val="nil"/>
                    <w:bottom w:val="nil"/>
                    <w:right w:val="nil"/>
                  </w:tcBorders>
                  <w:shd w:val="clear" w:color="auto" w:fill="auto"/>
                  <w:noWrap/>
                  <w:vAlign w:val="bottom"/>
                  <w:hideMark/>
                </w:tcPr>
                <w:p w14:paraId="74FBF97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1,959 (5.0) </w:t>
                  </w:r>
                </w:p>
              </w:tc>
              <w:tc>
                <w:tcPr>
                  <w:tcW w:w="0" w:type="auto"/>
                  <w:tcBorders>
                    <w:top w:val="nil"/>
                    <w:left w:val="nil"/>
                    <w:bottom w:val="nil"/>
                    <w:right w:val="nil"/>
                  </w:tcBorders>
                  <w:shd w:val="clear" w:color="auto" w:fill="auto"/>
                  <w:noWrap/>
                  <w:vAlign w:val="bottom"/>
                  <w:hideMark/>
                </w:tcPr>
                <w:p w14:paraId="019DCAAF"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0.45 (0.40-0.51)**</w:t>
                  </w:r>
                </w:p>
              </w:tc>
              <w:tc>
                <w:tcPr>
                  <w:tcW w:w="0" w:type="auto"/>
                  <w:tcBorders>
                    <w:top w:val="nil"/>
                    <w:left w:val="nil"/>
                    <w:bottom w:val="nil"/>
                    <w:right w:val="nil"/>
                  </w:tcBorders>
                  <w:shd w:val="clear" w:color="auto" w:fill="auto"/>
                  <w:noWrap/>
                  <w:vAlign w:val="bottom"/>
                  <w:hideMark/>
                </w:tcPr>
                <w:p w14:paraId="1D7552A6"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n/a </w:t>
                  </w:r>
                </w:p>
              </w:tc>
              <w:tc>
                <w:tcPr>
                  <w:tcW w:w="0" w:type="auto"/>
                  <w:tcBorders>
                    <w:top w:val="nil"/>
                    <w:left w:val="nil"/>
                    <w:bottom w:val="nil"/>
                    <w:right w:val="nil"/>
                  </w:tcBorders>
                  <w:shd w:val="clear" w:color="auto" w:fill="auto"/>
                  <w:noWrap/>
                  <w:vAlign w:val="bottom"/>
                  <w:hideMark/>
                </w:tcPr>
                <w:p w14:paraId="38F0713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n/a </w:t>
                  </w:r>
                </w:p>
              </w:tc>
            </w:tr>
            <w:tr w:rsidR="00AC0575" w:rsidRPr="00A576EB" w14:paraId="0AEC63FE" w14:textId="77777777" w:rsidTr="000E494A">
              <w:trPr>
                <w:trHeight w:val="300"/>
              </w:trPr>
              <w:tc>
                <w:tcPr>
                  <w:tcW w:w="0" w:type="auto"/>
                  <w:tcBorders>
                    <w:top w:val="nil"/>
                    <w:left w:val="nil"/>
                    <w:bottom w:val="nil"/>
                    <w:right w:val="nil"/>
                  </w:tcBorders>
                  <w:shd w:val="clear" w:color="auto" w:fill="auto"/>
                  <w:noWrap/>
                  <w:vAlign w:val="bottom"/>
                  <w:hideMark/>
                </w:tcPr>
                <w:p w14:paraId="72F934C5" w14:textId="77777777" w:rsidR="00AC0575" w:rsidRPr="00A576EB" w:rsidRDefault="00AC0575" w:rsidP="000E494A">
                  <w:pPr>
                    <w:ind w:firstLineChars="200" w:firstLine="400"/>
                    <w:rPr>
                      <w:rFonts w:eastAsia="Times New Roman" w:cs="Arial"/>
                      <w:color w:val="000000"/>
                      <w:sz w:val="20"/>
                      <w:szCs w:val="20"/>
                      <w:lang w:eastAsia="en-GB"/>
                    </w:rPr>
                  </w:pPr>
                  <w:r w:rsidRPr="00A576EB">
                    <w:rPr>
                      <w:rFonts w:eastAsia="Times New Roman" w:cs="Arial"/>
                      <w:color w:val="000000"/>
                      <w:sz w:val="20"/>
                      <w:szCs w:val="20"/>
                      <w:lang w:eastAsia="en-GB"/>
                    </w:rPr>
                    <w:t>Child looked after</w:t>
                  </w:r>
                </w:p>
              </w:tc>
              <w:tc>
                <w:tcPr>
                  <w:tcW w:w="0" w:type="auto"/>
                  <w:tcBorders>
                    <w:top w:val="nil"/>
                    <w:left w:val="nil"/>
                    <w:bottom w:val="nil"/>
                    <w:right w:val="nil"/>
                  </w:tcBorders>
                  <w:shd w:val="clear" w:color="auto" w:fill="auto"/>
                  <w:noWrap/>
                  <w:vAlign w:val="bottom"/>
                  <w:hideMark/>
                </w:tcPr>
                <w:p w14:paraId="5D6A632C"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209 (1.2) </w:t>
                  </w:r>
                </w:p>
              </w:tc>
              <w:tc>
                <w:tcPr>
                  <w:tcW w:w="0" w:type="auto"/>
                  <w:tcBorders>
                    <w:top w:val="nil"/>
                    <w:left w:val="nil"/>
                    <w:bottom w:val="nil"/>
                    <w:right w:val="nil"/>
                  </w:tcBorders>
                  <w:shd w:val="clear" w:color="auto" w:fill="auto"/>
                  <w:noWrap/>
                  <w:vAlign w:val="bottom"/>
                  <w:hideMark/>
                </w:tcPr>
                <w:p w14:paraId="556B87B1"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2,401 (6.1) </w:t>
                  </w:r>
                </w:p>
              </w:tc>
              <w:tc>
                <w:tcPr>
                  <w:tcW w:w="0" w:type="auto"/>
                  <w:tcBorders>
                    <w:top w:val="nil"/>
                    <w:left w:val="nil"/>
                    <w:bottom w:val="nil"/>
                    <w:right w:val="nil"/>
                  </w:tcBorders>
                  <w:shd w:val="clear" w:color="auto" w:fill="auto"/>
                  <w:noWrap/>
                  <w:vAlign w:val="bottom"/>
                  <w:hideMark/>
                </w:tcPr>
                <w:p w14:paraId="1941830B"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4.43 (3.47-5.64)**</w:t>
                  </w:r>
                </w:p>
              </w:tc>
              <w:tc>
                <w:tcPr>
                  <w:tcW w:w="0" w:type="auto"/>
                  <w:tcBorders>
                    <w:top w:val="nil"/>
                    <w:left w:val="nil"/>
                    <w:bottom w:val="nil"/>
                    <w:right w:val="nil"/>
                  </w:tcBorders>
                  <w:shd w:val="clear" w:color="auto" w:fill="auto"/>
                  <w:noWrap/>
                  <w:vAlign w:val="bottom"/>
                  <w:hideMark/>
                </w:tcPr>
                <w:p w14:paraId="014D0C80"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n/a </w:t>
                  </w:r>
                </w:p>
              </w:tc>
              <w:tc>
                <w:tcPr>
                  <w:tcW w:w="0" w:type="auto"/>
                  <w:tcBorders>
                    <w:top w:val="nil"/>
                    <w:left w:val="nil"/>
                    <w:bottom w:val="nil"/>
                    <w:right w:val="nil"/>
                  </w:tcBorders>
                  <w:shd w:val="clear" w:color="auto" w:fill="auto"/>
                  <w:noWrap/>
                  <w:vAlign w:val="bottom"/>
                  <w:hideMark/>
                </w:tcPr>
                <w:p w14:paraId="03E53344"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xml:space="preserve"> n/a </w:t>
                  </w:r>
                </w:p>
              </w:tc>
            </w:tr>
            <w:tr w:rsidR="00AC0575" w:rsidRPr="00A576EB" w14:paraId="4242277D" w14:textId="77777777" w:rsidTr="000E494A">
              <w:trPr>
                <w:trHeight w:val="315"/>
              </w:trPr>
              <w:tc>
                <w:tcPr>
                  <w:tcW w:w="0" w:type="auto"/>
                  <w:tcBorders>
                    <w:top w:val="nil"/>
                    <w:left w:val="nil"/>
                    <w:bottom w:val="single" w:sz="8" w:space="0" w:color="auto"/>
                    <w:right w:val="nil"/>
                  </w:tcBorders>
                  <w:shd w:val="clear" w:color="auto" w:fill="auto"/>
                  <w:noWrap/>
                  <w:vAlign w:val="bottom"/>
                  <w:hideMark/>
                </w:tcPr>
                <w:p w14:paraId="29C4AD4C" w14:textId="77777777" w:rsidR="00AC0575" w:rsidRPr="00A576EB" w:rsidRDefault="00AC0575" w:rsidP="000E494A">
                  <w:pPr>
                    <w:ind w:firstLineChars="300" w:firstLine="600"/>
                    <w:rPr>
                      <w:rFonts w:eastAsia="Times New Roman" w:cs="Arial"/>
                      <w:color w:val="000000"/>
                      <w:sz w:val="20"/>
                      <w:szCs w:val="20"/>
                      <w:lang w:eastAsia="en-GB"/>
                    </w:rPr>
                  </w:pPr>
                  <w:r w:rsidRPr="00A576EB">
                    <w:rPr>
                      <w:rFonts w:eastAsia="Times New Roman" w:cs="Arial"/>
                      <w:color w:val="000000"/>
                      <w:sz w:val="20"/>
                      <w:szCs w:val="20"/>
                      <w:lang w:eastAsia="en-GB"/>
                    </w:rPr>
                    <w:t> </w:t>
                  </w:r>
                </w:p>
              </w:tc>
              <w:tc>
                <w:tcPr>
                  <w:tcW w:w="0" w:type="auto"/>
                  <w:tcBorders>
                    <w:top w:val="nil"/>
                    <w:left w:val="nil"/>
                    <w:bottom w:val="single" w:sz="8" w:space="0" w:color="auto"/>
                    <w:right w:val="nil"/>
                  </w:tcBorders>
                  <w:shd w:val="clear" w:color="auto" w:fill="auto"/>
                  <w:noWrap/>
                  <w:vAlign w:val="bottom"/>
                  <w:hideMark/>
                </w:tcPr>
                <w:p w14:paraId="793902A5" w14:textId="77777777" w:rsidR="00AC0575" w:rsidRPr="00A576EB" w:rsidRDefault="00AC0575" w:rsidP="000E494A">
                  <w:pPr>
                    <w:ind w:firstLineChars="300" w:firstLine="600"/>
                    <w:rPr>
                      <w:rFonts w:eastAsia="Times New Roman" w:cs="Arial"/>
                      <w:color w:val="000000"/>
                      <w:sz w:val="20"/>
                      <w:szCs w:val="20"/>
                      <w:lang w:eastAsia="en-GB"/>
                    </w:rPr>
                  </w:pPr>
                  <w:r w:rsidRPr="00A576EB">
                    <w:rPr>
                      <w:rFonts w:eastAsia="Times New Roman" w:cs="Arial"/>
                      <w:color w:val="000000"/>
                      <w:sz w:val="20"/>
                      <w:szCs w:val="20"/>
                      <w:lang w:eastAsia="en-GB"/>
                    </w:rPr>
                    <w:t> </w:t>
                  </w:r>
                </w:p>
              </w:tc>
              <w:tc>
                <w:tcPr>
                  <w:tcW w:w="0" w:type="auto"/>
                  <w:tcBorders>
                    <w:top w:val="nil"/>
                    <w:left w:val="nil"/>
                    <w:bottom w:val="single" w:sz="8" w:space="0" w:color="auto"/>
                    <w:right w:val="nil"/>
                  </w:tcBorders>
                  <w:shd w:val="clear" w:color="auto" w:fill="auto"/>
                  <w:noWrap/>
                  <w:vAlign w:val="bottom"/>
                  <w:hideMark/>
                </w:tcPr>
                <w:p w14:paraId="1B2775A5" w14:textId="77777777" w:rsidR="00AC0575" w:rsidRPr="00A576EB" w:rsidRDefault="00AC0575" w:rsidP="000E494A">
                  <w:pPr>
                    <w:ind w:firstLineChars="300" w:firstLine="600"/>
                    <w:rPr>
                      <w:rFonts w:eastAsia="Times New Roman" w:cs="Arial"/>
                      <w:color w:val="000000"/>
                      <w:sz w:val="20"/>
                      <w:szCs w:val="20"/>
                      <w:lang w:eastAsia="en-GB"/>
                    </w:rPr>
                  </w:pPr>
                  <w:r w:rsidRPr="00A576EB">
                    <w:rPr>
                      <w:rFonts w:eastAsia="Times New Roman" w:cs="Arial"/>
                      <w:color w:val="000000"/>
                      <w:sz w:val="20"/>
                      <w:szCs w:val="20"/>
                      <w:lang w:eastAsia="en-GB"/>
                    </w:rPr>
                    <w:t> </w:t>
                  </w:r>
                </w:p>
              </w:tc>
              <w:tc>
                <w:tcPr>
                  <w:tcW w:w="0" w:type="auto"/>
                  <w:tcBorders>
                    <w:top w:val="nil"/>
                    <w:left w:val="nil"/>
                    <w:bottom w:val="single" w:sz="8" w:space="0" w:color="auto"/>
                    <w:right w:val="nil"/>
                  </w:tcBorders>
                  <w:shd w:val="clear" w:color="auto" w:fill="auto"/>
                  <w:noWrap/>
                  <w:vAlign w:val="bottom"/>
                  <w:hideMark/>
                </w:tcPr>
                <w:p w14:paraId="53D8FE9A" w14:textId="77777777" w:rsidR="00AC0575" w:rsidRPr="00A576EB" w:rsidRDefault="00AC0575" w:rsidP="000E494A">
                  <w:pPr>
                    <w:jc w:val="right"/>
                    <w:rPr>
                      <w:rFonts w:eastAsia="Times New Roman" w:cs="Arial"/>
                      <w:color w:val="000000"/>
                      <w:sz w:val="20"/>
                      <w:szCs w:val="20"/>
                      <w:lang w:eastAsia="en-GB"/>
                    </w:rPr>
                  </w:pPr>
                  <w:r w:rsidRPr="00A576EB">
                    <w:rPr>
                      <w:rFonts w:eastAsia="Times New Roman" w:cs="Arial"/>
                      <w:color w:val="000000"/>
                      <w:sz w:val="20"/>
                      <w:szCs w:val="20"/>
                      <w:lang w:eastAsia="en-GB"/>
                    </w:rPr>
                    <w:t> </w:t>
                  </w:r>
                </w:p>
              </w:tc>
              <w:tc>
                <w:tcPr>
                  <w:tcW w:w="0" w:type="auto"/>
                  <w:tcBorders>
                    <w:top w:val="nil"/>
                    <w:left w:val="nil"/>
                    <w:bottom w:val="single" w:sz="8" w:space="0" w:color="auto"/>
                    <w:right w:val="nil"/>
                  </w:tcBorders>
                  <w:shd w:val="clear" w:color="auto" w:fill="auto"/>
                  <w:noWrap/>
                  <w:vAlign w:val="bottom"/>
                  <w:hideMark/>
                </w:tcPr>
                <w:p w14:paraId="46AC349C" w14:textId="77777777" w:rsidR="00AC0575" w:rsidRPr="00A576EB" w:rsidRDefault="00AC0575" w:rsidP="000E494A">
                  <w:pPr>
                    <w:ind w:firstLineChars="300" w:firstLine="600"/>
                    <w:rPr>
                      <w:rFonts w:eastAsia="Times New Roman" w:cs="Arial"/>
                      <w:color w:val="000000"/>
                      <w:sz w:val="20"/>
                      <w:szCs w:val="20"/>
                      <w:lang w:eastAsia="en-GB"/>
                    </w:rPr>
                  </w:pPr>
                  <w:r w:rsidRPr="00A576EB">
                    <w:rPr>
                      <w:rFonts w:eastAsia="Times New Roman" w:cs="Arial"/>
                      <w:color w:val="000000"/>
                      <w:sz w:val="20"/>
                      <w:szCs w:val="20"/>
                      <w:lang w:eastAsia="en-GB"/>
                    </w:rPr>
                    <w:t> </w:t>
                  </w:r>
                </w:p>
              </w:tc>
              <w:tc>
                <w:tcPr>
                  <w:tcW w:w="0" w:type="auto"/>
                  <w:tcBorders>
                    <w:top w:val="nil"/>
                    <w:left w:val="nil"/>
                    <w:bottom w:val="single" w:sz="8" w:space="0" w:color="auto"/>
                    <w:right w:val="nil"/>
                  </w:tcBorders>
                  <w:shd w:val="clear" w:color="auto" w:fill="auto"/>
                  <w:noWrap/>
                  <w:vAlign w:val="bottom"/>
                  <w:hideMark/>
                </w:tcPr>
                <w:p w14:paraId="576B1645" w14:textId="77777777" w:rsidR="00AC0575" w:rsidRPr="00A576EB" w:rsidRDefault="00AC0575" w:rsidP="000E494A">
                  <w:pPr>
                    <w:ind w:firstLineChars="300" w:firstLine="600"/>
                    <w:rPr>
                      <w:rFonts w:eastAsia="Times New Roman" w:cs="Arial"/>
                      <w:color w:val="000000"/>
                      <w:sz w:val="20"/>
                      <w:szCs w:val="20"/>
                      <w:lang w:eastAsia="en-GB"/>
                    </w:rPr>
                  </w:pPr>
                  <w:r w:rsidRPr="00A576EB">
                    <w:rPr>
                      <w:rFonts w:eastAsia="Times New Roman" w:cs="Arial"/>
                      <w:color w:val="000000"/>
                      <w:sz w:val="20"/>
                      <w:szCs w:val="20"/>
                      <w:lang w:eastAsia="en-GB"/>
                    </w:rPr>
                    <w:t> </w:t>
                  </w:r>
                </w:p>
              </w:tc>
            </w:tr>
          </w:tbl>
          <w:p w14:paraId="7EF1B8C1" w14:textId="77777777" w:rsidR="00AC0575" w:rsidRPr="001876F4" w:rsidRDefault="00AC0575" w:rsidP="000E494A">
            <w:pPr>
              <w:rPr>
                <w:rFonts w:eastAsia="Times New Roman" w:cs="Arial"/>
                <w:i/>
                <w:iCs/>
                <w:color w:val="000000"/>
                <w:sz w:val="15"/>
                <w:szCs w:val="15"/>
                <w:lang w:eastAsia="en-GB"/>
              </w:rPr>
            </w:pPr>
          </w:p>
        </w:tc>
        <w:tc>
          <w:tcPr>
            <w:tcW w:w="1280" w:type="dxa"/>
            <w:shd w:val="clear" w:color="auto" w:fill="auto"/>
            <w:noWrap/>
            <w:vAlign w:val="bottom"/>
          </w:tcPr>
          <w:p w14:paraId="1A49B5DB" w14:textId="77777777" w:rsidR="00AC0575" w:rsidRPr="001876F4" w:rsidRDefault="00AC0575" w:rsidP="000E494A">
            <w:pPr>
              <w:rPr>
                <w:rFonts w:eastAsia="Times New Roman" w:cs="Arial"/>
                <w:i/>
                <w:iCs/>
                <w:color w:val="000000"/>
                <w:sz w:val="15"/>
                <w:szCs w:val="15"/>
                <w:lang w:eastAsia="en-GB"/>
              </w:rPr>
            </w:pPr>
          </w:p>
        </w:tc>
        <w:tc>
          <w:tcPr>
            <w:tcW w:w="1280" w:type="dxa"/>
            <w:shd w:val="clear" w:color="auto" w:fill="auto"/>
            <w:noWrap/>
            <w:vAlign w:val="bottom"/>
          </w:tcPr>
          <w:p w14:paraId="18D26236" w14:textId="77777777" w:rsidR="00AC0575" w:rsidRPr="001876F4" w:rsidRDefault="00AC0575" w:rsidP="000E494A">
            <w:pPr>
              <w:rPr>
                <w:rFonts w:ascii="Times New Roman" w:eastAsia="Times New Roman" w:hAnsi="Times New Roman" w:cs="Times New Roman"/>
                <w:sz w:val="20"/>
                <w:szCs w:val="20"/>
                <w:lang w:eastAsia="en-GB"/>
              </w:rPr>
            </w:pPr>
          </w:p>
        </w:tc>
        <w:tc>
          <w:tcPr>
            <w:tcW w:w="1507" w:type="dxa"/>
            <w:shd w:val="clear" w:color="auto" w:fill="auto"/>
            <w:noWrap/>
            <w:vAlign w:val="bottom"/>
          </w:tcPr>
          <w:p w14:paraId="5A0E6850" w14:textId="77777777" w:rsidR="00AC0575" w:rsidRPr="001876F4" w:rsidRDefault="00AC0575" w:rsidP="000E494A">
            <w:pPr>
              <w:rPr>
                <w:rFonts w:ascii="Times New Roman" w:eastAsia="Times New Roman" w:hAnsi="Times New Roman" w:cs="Times New Roman"/>
                <w:sz w:val="20"/>
                <w:szCs w:val="20"/>
                <w:lang w:eastAsia="en-GB"/>
              </w:rPr>
            </w:pPr>
          </w:p>
        </w:tc>
        <w:tc>
          <w:tcPr>
            <w:tcW w:w="1280" w:type="dxa"/>
            <w:shd w:val="clear" w:color="auto" w:fill="auto"/>
            <w:noWrap/>
            <w:vAlign w:val="bottom"/>
          </w:tcPr>
          <w:p w14:paraId="75C4B5D4" w14:textId="77777777" w:rsidR="00AC0575" w:rsidRPr="001876F4" w:rsidRDefault="00AC0575" w:rsidP="000E494A">
            <w:pPr>
              <w:rPr>
                <w:rFonts w:ascii="Times New Roman" w:eastAsia="Times New Roman" w:hAnsi="Times New Roman" w:cs="Times New Roman"/>
                <w:sz w:val="20"/>
                <w:szCs w:val="20"/>
                <w:lang w:eastAsia="en-GB"/>
              </w:rPr>
            </w:pPr>
          </w:p>
        </w:tc>
        <w:tc>
          <w:tcPr>
            <w:tcW w:w="1458" w:type="dxa"/>
            <w:shd w:val="clear" w:color="auto" w:fill="auto"/>
            <w:noWrap/>
            <w:vAlign w:val="bottom"/>
          </w:tcPr>
          <w:p w14:paraId="16806E05" w14:textId="77777777" w:rsidR="00AC0575" w:rsidRPr="001876F4" w:rsidRDefault="00AC0575" w:rsidP="000E494A">
            <w:pPr>
              <w:rPr>
                <w:rFonts w:ascii="Times New Roman" w:eastAsia="Times New Roman" w:hAnsi="Times New Roman" w:cs="Times New Roman"/>
                <w:sz w:val="20"/>
                <w:szCs w:val="20"/>
                <w:lang w:eastAsia="en-GB"/>
              </w:rPr>
            </w:pPr>
          </w:p>
        </w:tc>
      </w:tr>
    </w:tbl>
    <w:p w14:paraId="7CC5AC28" w14:textId="77777777" w:rsidR="00AC0575" w:rsidRDefault="00AC0575" w:rsidP="002F491B">
      <w:pPr>
        <w:pStyle w:val="NoSpacing"/>
        <w:spacing w:line="240" w:lineRule="auto"/>
        <w:rPr>
          <w:sz w:val="15"/>
          <w:szCs w:val="15"/>
        </w:rPr>
      </w:pPr>
      <w:r w:rsidRPr="00DB57B8">
        <w:rPr>
          <w:sz w:val="15"/>
          <w:szCs w:val="15"/>
          <w:vertAlign w:val="superscript"/>
        </w:rPr>
        <w:lastRenderedPageBreak/>
        <w:t xml:space="preserve">¥ </w:t>
      </w:r>
      <w:r w:rsidRPr="00DB57B8">
        <w:rPr>
          <w:sz w:val="15"/>
          <w:szCs w:val="15"/>
        </w:rPr>
        <w:t xml:space="preserve">= referent; significance at ** p&lt;0.01 and * p&lt;0.05. Multinomial logistic regression; </w:t>
      </w:r>
      <w:r>
        <w:rPr>
          <w:sz w:val="15"/>
          <w:szCs w:val="15"/>
        </w:rPr>
        <w:t>RR</w:t>
      </w:r>
      <w:r w:rsidRPr="00DB57B8">
        <w:rPr>
          <w:sz w:val="15"/>
          <w:szCs w:val="15"/>
        </w:rPr>
        <w:t xml:space="preserve">R = </w:t>
      </w:r>
      <w:r>
        <w:rPr>
          <w:sz w:val="15"/>
          <w:szCs w:val="15"/>
        </w:rPr>
        <w:t>adjusted relative risk ratio</w:t>
      </w:r>
      <w:r w:rsidRPr="00DB57B8">
        <w:rPr>
          <w:sz w:val="15"/>
          <w:szCs w:val="15"/>
        </w:rPr>
        <w:t>; CI = confidence</w:t>
      </w:r>
      <w:r>
        <w:rPr>
          <w:sz w:val="15"/>
          <w:szCs w:val="15"/>
        </w:rPr>
        <w:t xml:space="preserve"> </w:t>
      </w:r>
      <w:r w:rsidRPr="00DB57B8">
        <w:rPr>
          <w:sz w:val="15"/>
          <w:szCs w:val="15"/>
        </w:rPr>
        <w:t>intervals. Wald  X</w:t>
      </w:r>
      <w:r w:rsidRPr="00DB57B8">
        <w:rPr>
          <w:sz w:val="15"/>
          <w:szCs w:val="15"/>
          <w:vertAlign w:val="superscript"/>
        </w:rPr>
        <w:t>2</w:t>
      </w:r>
      <w:r w:rsidRPr="00DB57B8">
        <w:rPr>
          <w:sz w:val="15"/>
          <w:szCs w:val="15"/>
        </w:rPr>
        <w:t xml:space="preserve"> </w:t>
      </w:r>
      <w:r>
        <w:rPr>
          <w:sz w:val="15"/>
          <w:szCs w:val="15"/>
        </w:rPr>
        <w:t xml:space="preserve">(d.f.=64) </w:t>
      </w:r>
      <w:r w:rsidRPr="00DB57B8">
        <w:rPr>
          <w:sz w:val="15"/>
          <w:szCs w:val="15"/>
        </w:rPr>
        <w:t xml:space="preserve">models tested significant at p = 0.000. </w:t>
      </w:r>
      <w:r>
        <w:rPr>
          <w:sz w:val="15"/>
          <w:szCs w:val="15"/>
        </w:rPr>
        <w:t>Log R</w:t>
      </w:r>
      <w:r w:rsidRPr="00F7755A">
        <w:rPr>
          <w:sz w:val="15"/>
          <w:szCs w:val="15"/>
          <w:vertAlign w:val="superscript"/>
        </w:rPr>
        <w:t>2</w:t>
      </w:r>
      <w:r>
        <w:rPr>
          <w:sz w:val="15"/>
          <w:szCs w:val="15"/>
        </w:rPr>
        <w:t xml:space="preserve">=0.1637. </w:t>
      </w:r>
      <w:r w:rsidRPr="00DB57B8">
        <w:rPr>
          <w:sz w:val="15"/>
          <w:szCs w:val="15"/>
        </w:rPr>
        <w:t>Standard errors were adjusted for 150 clusters in each local authority</w:t>
      </w:r>
    </w:p>
    <w:p w14:paraId="2E3E17A7" w14:textId="77777777" w:rsidR="00D15731" w:rsidRDefault="00D15731"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612F11D3" w14:textId="77777777" w:rsidR="00436924" w:rsidRDefault="00436924"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55195096" w14:textId="77777777" w:rsidR="00436924" w:rsidRDefault="00436924"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3522FF54" w14:textId="77777777" w:rsidR="00436924" w:rsidRDefault="00436924"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0A8CF209" w14:textId="77777777" w:rsidR="00436924" w:rsidRDefault="00436924"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69FB3395" w14:textId="77777777" w:rsidR="00436924" w:rsidRDefault="00436924"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6BD64E3B" w14:textId="77777777" w:rsidR="00436924" w:rsidRDefault="00436924"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13B9F9A7" w14:textId="77777777" w:rsidR="00C9313D" w:rsidRDefault="00C9313D"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472AD296" w14:textId="77777777" w:rsidR="00C9313D" w:rsidRDefault="00C9313D"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43F4821A" w14:textId="77777777" w:rsidR="00436924" w:rsidRDefault="00436924"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4C35B7C4" w14:textId="77777777" w:rsidR="00436924" w:rsidRDefault="00436924" w:rsidP="00D15731">
      <w:pPr>
        <w:pStyle w:val="paragraph"/>
        <w:spacing w:before="0" w:beforeAutospacing="0" w:after="0" w:afterAutospacing="0" w:line="360" w:lineRule="auto"/>
        <w:textAlignment w:val="baseline"/>
        <w:rPr>
          <w:rFonts w:ascii="Arial" w:eastAsiaTheme="minorHAnsi" w:hAnsi="Arial" w:cs="Arial"/>
          <w:szCs w:val="22"/>
          <w:lang w:eastAsia="en-US"/>
        </w:rPr>
      </w:pPr>
    </w:p>
    <w:p w14:paraId="473560F6" w14:textId="7BD6B2DA" w:rsidR="00436924" w:rsidRPr="00C9313D" w:rsidRDefault="003544A3" w:rsidP="00C9313D">
      <w:pPr>
        <w:pStyle w:val="Caption"/>
        <w:ind w:left="1440" w:hanging="1440"/>
        <w:rPr>
          <w:rFonts w:cs="Arial"/>
          <w:b w:val="0"/>
          <w:bCs w:val="0"/>
          <w:i/>
          <w:iCs/>
          <w:color w:val="auto"/>
          <w:sz w:val="24"/>
          <w:szCs w:val="24"/>
        </w:rPr>
      </w:pPr>
      <w:bookmarkStart w:id="85" w:name="_Ref176790380"/>
      <w:bookmarkStart w:id="86" w:name="_Toc185844994"/>
      <w:r>
        <w:rPr>
          <w:b w:val="0"/>
          <w:bCs w:val="0"/>
          <w:i/>
          <w:iCs/>
          <w:color w:val="auto"/>
          <w:sz w:val="24"/>
          <w:szCs w:val="24"/>
        </w:rPr>
        <w:lastRenderedPageBreak/>
        <w:t>Table</w:t>
      </w:r>
      <w:r w:rsidR="00C9313D" w:rsidRPr="00C9313D">
        <w:rPr>
          <w:b w:val="0"/>
          <w:bCs w:val="0"/>
          <w:i/>
          <w:iCs/>
          <w:color w:val="auto"/>
          <w:sz w:val="24"/>
          <w:szCs w:val="24"/>
        </w:rPr>
        <w:t xml:space="preserv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3.7</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2</w:t>
      </w:r>
      <w:r w:rsidR="00367870">
        <w:rPr>
          <w:b w:val="0"/>
          <w:bCs w:val="0"/>
          <w:i/>
          <w:iCs/>
          <w:color w:val="auto"/>
          <w:sz w:val="24"/>
          <w:szCs w:val="24"/>
        </w:rPr>
        <w:fldChar w:fldCharType="end"/>
      </w:r>
      <w:bookmarkEnd w:id="85"/>
      <w:r w:rsidR="00C9313D">
        <w:rPr>
          <w:b w:val="0"/>
          <w:bCs w:val="0"/>
          <w:i/>
          <w:iCs/>
          <w:color w:val="auto"/>
          <w:sz w:val="24"/>
          <w:szCs w:val="24"/>
        </w:rPr>
        <w:tab/>
      </w:r>
      <w:r w:rsidR="00436924" w:rsidRPr="00C9313D">
        <w:rPr>
          <w:rFonts w:cs="Arial"/>
          <w:b w:val="0"/>
          <w:bCs w:val="0"/>
          <w:i/>
          <w:iCs/>
          <w:color w:val="auto"/>
          <w:sz w:val="24"/>
          <w:szCs w:val="24"/>
        </w:rPr>
        <w:t>Characteristics associated with a greater likelihood of receiving concurrent treatment and child welfare support:   comparison of treatment alone (reference case) with 1) treatment and early help, 2) treatment and child in need support, 3) treatment and child protection plan and 4) treatment and child looked after</w:t>
      </w:r>
      <w:bookmarkEnd w:id="86"/>
      <w:r w:rsidR="00436924" w:rsidRPr="00C9313D">
        <w:rPr>
          <w:rFonts w:cs="Arial"/>
          <w:b w:val="0"/>
          <w:bCs w:val="0"/>
          <w:i/>
          <w:iCs/>
          <w:color w:val="auto"/>
          <w:sz w:val="24"/>
          <w:szCs w:val="24"/>
        </w:rPr>
        <w:t xml:space="preserve"> </w:t>
      </w:r>
    </w:p>
    <w:p w14:paraId="6EA728C9" w14:textId="77777777" w:rsidR="00436924" w:rsidRPr="00436924" w:rsidRDefault="00436924" w:rsidP="00436924">
      <w:pPr>
        <w:pStyle w:val="NoSpacing"/>
      </w:pPr>
    </w:p>
    <w:tbl>
      <w:tblPr>
        <w:tblW w:w="5027" w:type="pct"/>
        <w:tblLook w:val="04A0" w:firstRow="1" w:lastRow="0" w:firstColumn="1" w:lastColumn="0" w:noHBand="0" w:noVBand="1"/>
      </w:tblPr>
      <w:tblGrid>
        <w:gridCol w:w="2539"/>
        <w:gridCol w:w="1524"/>
        <w:gridCol w:w="1524"/>
        <w:gridCol w:w="1524"/>
        <w:gridCol w:w="1480"/>
        <w:gridCol w:w="1524"/>
        <w:gridCol w:w="1613"/>
        <w:gridCol w:w="1480"/>
        <w:gridCol w:w="1480"/>
      </w:tblGrid>
      <w:tr w:rsidR="00436924" w:rsidRPr="00AD50C0" w14:paraId="41238F7D" w14:textId="77777777" w:rsidTr="000E494A">
        <w:trPr>
          <w:trHeight w:val="541"/>
        </w:trPr>
        <w:tc>
          <w:tcPr>
            <w:tcW w:w="857" w:type="pct"/>
            <w:vMerge w:val="restart"/>
            <w:tcBorders>
              <w:top w:val="single" w:sz="4" w:space="0" w:color="auto"/>
              <w:left w:val="nil"/>
              <w:bottom w:val="single" w:sz="4" w:space="0" w:color="000000"/>
              <w:right w:val="nil"/>
            </w:tcBorders>
            <w:shd w:val="clear" w:color="auto" w:fill="auto"/>
            <w:vAlign w:val="center"/>
            <w:hideMark/>
          </w:tcPr>
          <w:p w14:paraId="65D5885E" w14:textId="77777777" w:rsidR="00436924" w:rsidRPr="00AD50C0" w:rsidRDefault="00436924" w:rsidP="000E494A">
            <w:pPr>
              <w:rPr>
                <w:rFonts w:eastAsia="Times New Roman" w:cs="Arial"/>
                <w:i/>
                <w:iCs/>
                <w:color w:val="000000"/>
                <w:sz w:val="16"/>
                <w:szCs w:val="16"/>
                <w:lang w:eastAsia="en-GB"/>
              </w:rPr>
            </w:pPr>
            <w:r w:rsidRPr="00AD50C0">
              <w:rPr>
                <w:rFonts w:eastAsia="Times New Roman" w:cs="Arial"/>
                <w:i/>
                <w:iCs/>
                <w:color w:val="000000"/>
                <w:sz w:val="16"/>
                <w:szCs w:val="16"/>
                <w:lang w:eastAsia="en-GB"/>
              </w:rPr>
              <w:t>Baseline characteristics and interventions</w:t>
            </w:r>
          </w:p>
        </w:tc>
        <w:tc>
          <w:tcPr>
            <w:tcW w:w="2050" w:type="pct"/>
            <w:gridSpan w:val="4"/>
            <w:tcBorders>
              <w:top w:val="single" w:sz="4" w:space="0" w:color="auto"/>
              <w:left w:val="nil"/>
              <w:bottom w:val="nil"/>
              <w:right w:val="nil"/>
            </w:tcBorders>
            <w:shd w:val="clear" w:color="auto" w:fill="auto"/>
            <w:vAlign w:val="center"/>
            <w:hideMark/>
          </w:tcPr>
          <w:p w14:paraId="4BDD7788" w14:textId="1F19D155" w:rsidR="00436924" w:rsidRPr="00AD50C0" w:rsidRDefault="00436924" w:rsidP="000E494A">
            <w:pPr>
              <w:jc w:val="center"/>
              <w:rPr>
                <w:rFonts w:eastAsia="Times New Roman" w:cs="Arial"/>
                <w:i/>
                <w:iCs/>
                <w:sz w:val="16"/>
                <w:szCs w:val="16"/>
                <w:lang w:eastAsia="en-GB"/>
              </w:rPr>
            </w:pPr>
            <w:r w:rsidRPr="00AD50C0">
              <w:rPr>
                <w:rFonts w:eastAsia="Times New Roman" w:cs="Arial"/>
                <w:i/>
                <w:iCs/>
                <w:sz w:val="16"/>
                <w:szCs w:val="16"/>
                <w:lang w:eastAsia="en-GB"/>
              </w:rPr>
              <w:t>Parents living with children (L</w:t>
            </w:r>
            <w:r w:rsidR="00D3119E">
              <w:rPr>
                <w:rFonts w:eastAsia="Times New Roman" w:cs="Arial"/>
                <w:i/>
                <w:iCs/>
                <w:sz w:val="16"/>
                <w:szCs w:val="16"/>
                <w:lang w:eastAsia="en-GB"/>
              </w:rPr>
              <w:t>W</w:t>
            </w:r>
            <w:r w:rsidRPr="00AD50C0">
              <w:rPr>
                <w:rFonts w:eastAsia="Times New Roman" w:cs="Arial"/>
                <w:i/>
                <w:iCs/>
                <w:sz w:val="16"/>
                <w:szCs w:val="16"/>
                <w:lang w:eastAsia="en-GB"/>
              </w:rPr>
              <w:t>C, n=14,062)</w:t>
            </w:r>
          </w:p>
        </w:tc>
        <w:tc>
          <w:tcPr>
            <w:tcW w:w="2093" w:type="pct"/>
            <w:gridSpan w:val="4"/>
            <w:tcBorders>
              <w:top w:val="single" w:sz="4" w:space="0" w:color="auto"/>
              <w:left w:val="nil"/>
              <w:bottom w:val="nil"/>
              <w:right w:val="nil"/>
            </w:tcBorders>
            <w:shd w:val="clear" w:color="auto" w:fill="auto"/>
            <w:vAlign w:val="center"/>
            <w:hideMark/>
          </w:tcPr>
          <w:p w14:paraId="0A3F8024" w14:textId="260B40E5" w:rsidR="00436924" w:rsidRPr="00AD50C0" w:rsidRDefault="00436924" w:rsidP="000E494A">
            <w:pPr>
              <w:jc w:val="center"/>
              <w:rPr>
                <w:rFonts w:eastAsia="Times New Roman" w:cs="Arial"/>
                <w:i/>
                <w:iCs/>
                <w:sz w:val="16"/>
                <w:szCs w:val="16"/>
                <w:lang w:eastAsia="en-GB"/>
              </w:rPr>
            </w:pPr>
            <w:r w:rsidRPr="00AD50C0">
              <w:rPr>
                <w:rFonts w:eastAsia="Times New Roman" w:cs="Arial"/>
                <w:i/>
                <w:iCs/>
                <w:sz w:val="16"/>
                <w:szCs w:val="16"/>
                <w:lang w:eastAsia="en-GB"/>
              </w:rPr>
              <w:t>Parents not living with children (N</w:t>
            </w:r>
            <w:r w:rsidR="00D3119E">
              <w:rPr>
                <w:rFonts w:eastAsia="Times New Roman" w:cs="Arial"/>
                <w:i/>
                <w:iCs/>
                <w:sz w:val="16"/>
                <w:szCs w:val="16"/>
                <w:lang w:eastAsia="en-GB"/>
              </w:rPr>
              <w:t>W</w:t>
            </w:r>
            <w:r w:rsidRPr="00AD50C0">
              <w:rPr>
                <w:rFonts w:eastAsia="Times New Roman" w:cs="Arial"/>
                <w:i/>
                <w:iCs/>
                <w:sz w:val="16"/>
                <w:szCs w:val="16"/>
                <w:lang w:eastAsia="en-GB"/>
              </w:rPr>
              <w:t>C, n=30,444)</w:t>
            </w:r>
          </w:p>
        </w:tc>
      </w:tr>
      <w:tr w:rsidR="00436924" w:rsidRPr="00AD50C0" w14:paraId="6D169555" w14:textId="77777777" w:rsidTr="000E494A">
        <w:trPr>
          <w:trHeight w:val="730"/>
        </w:trPr>
        <w:tc>
          <w:tcPr>
            <w:tcW w:w="857" w:type="pct"/>
            <w:vMerge/>
            <w:tcBorders>
              <w:top w:val="single" w:sz="4" w:space="0" w:color="auto"/>
              <w:left w:val="nil"/>
              <w:bottom w:val="single" w:sz="4" w:space="0" w:color="000000"/>
              <w:right w:val="nil"/>
            </w:tcBorders>
            <w:vAlign w:val="center"/>
            <w:hideMark/>
          </w:tcPr>
          <w:p w14:paraId="0C4480E9" w14:textId="77777777" w:rsidR="00436924" w:rsidRPr="00AD50C0" w:rsidRDefault="00436924" w:rsidP="000E494A">
            <w:pPr>
              <w:rPr>
                <w:rFonts w:eastAsia="Times New Roman" w:cs="Arial"/>
                <w:i/>
                <w:iCs/>
                <w:color w:val="000000"/>
                <w:sz w:val="16"/>
                <w:szCs w:val="16"/>
                <w:lang w:eastAsia="en-GB"/>
              </w:rPr>
            </w:pPr>
          </w:p>
        </w:tc>
        <w:tc>
          <w:tcPr>
            <w:tcW w:w="516" w:type="pct"/>
            <w:tcBorders>
              <w:top w:val="nil"/>
              <w:left w:val="nil"/>
              <w:bottom w:val="single" w:sz="4" w:space="0" w:color="auto"/>
              <w:right w:val="nil"/>
            </w:tcBorders>
            <w:shd w:val="clear" w:color="auto" w:fill="auto"/>
            <w:vAlign w:val="center"/>
            <w:hideMark/>
          </w:tcPr>
          <w:p w14:paraId="3B121D99" w14:textId="77777777" w:rsidR="00436924" w:rsidRPr="00AD50C0" w:rsidRDefault="00436924" w:rsidP="000E494A">
            <w:pPr>
              <w:rPr>
                <w:rFonts w:eastAsia="Times New Roman" w:cs="Arial"/>
                <w:i/>
                <w:iCs/>
                <w:sz w:val="16"/>
                <w:szCs w:val="16"/>
                <w:lang w:eastAsia="en-GB"/>
              </w:rPr>
            </w:pPr>
            <w:r w:rsidRPr="00AD50C0">
              <w:rPr>
                <w:rFonts w:eastAsia="Times New Roman" w:cs="Arial"/>
                <w:i/>
                <w:iCs/>
                <w:sz w:val="16"/>
                <w:szCs w:val="16"/>
                <w:lang w:eastAsia="en-GB"/>
              </w:rPr>
              <w:t>Concurrent treatment and Early help RRR (95% CI)</w:t>
            </w:r>
          </w:p>
        </w:tc>
        <w:tc>
          <w:tcPr>
            <w:tcW w:w="516" w:type="pct"/>
            <w:tcBorders>
              <w:top w:val="nil"/>
              <w:left w:val="nil"/>
              <w:bottom w:val="single" w:sz="4" w:space="0" w:color="auto"/>
              <w:right w:val="nil"/>
            </w:tcBorders>
            <w:shd w:val="clear" w:color="auto" w:fill="auto"/>
            <w:vAlign w:val="center"/>
            <w:hideMark/>
          </w:tcPr>
          <w:p w14:paraId="41063DD7" w14:textId="77777777" w:rsidR="00436924" w:rsidRPr="00AD50C0" w:rsidRDefault="00436924" w:rsidP="000E494A">
            <w:pPr>
              <w:rPr>
                <w:rFonts w:eastAsia="Times New Roman" w:cs="Arial"/>
                <w:i/>
                <w:iCs/>
                <w:sz w:val="16"/>
                <w:szCs w:val="16"/>
                <w:lang w:eastAsia="en-GB"/>
              </w:rPr>
            </w:pPr>
            <w:r w:rsidRPr="00AD50C0">
              <w:rPr>
                <w:rFonts w:eastAsia="Times New Roman" w:cs="Arial"/>
                <w:i/>
                <w:iCs/>
                <w:sz w:val="16"/>
                <w:szCs w:val="16"/>
                <w:lang w:eastAsia="en-GB"/>
              </w:rPr>
              <w:t>Concurrent treatment and Child in need RRR (95% CI)</w:t>
            </w:r>
          </w:p>
        </w:tc>
        <w:tc>
          <w:tcPr>
            <w:tcW w:w="516" w:type="pct"/>
            <w:tcBorders>
              <w:top w:val="nil"/>
              <w:left w:val="nil"/>
              <w:bottom w:val="single" w:sz="4" w:space="0" w:color="auto"/>
              <w:right w:val="nil"/>
            </w:tcBorders>
            <w:shd w:val="clear" w:color="auto" w:fill="auto"/>
            <w:vAlign w:val="center"/>
            <w:hideMark/>
          </w:tcPr>
          <w:p w14:paraId="277F30FB" w14:textId="77777777" w:rsidR="00436924" w:rsidRPr="00AD50C0" w:rsidRDefault="00436924" w:rsidP="000E494A">
            <w:pPr>
              <w:rPr>
                <w:rFonts w:eastAsia="Times New Roman" w:cs="Arial"/>
                <w:i/>
                <w:iCs/>
                <w:sz w:val="16"/>
                <w:szCs w:val="16"/>
                <w:lang w:eastAsia="en-GB"/>
              </w:rPr>
            </w:pPr>
            <w:r w:rsidRPr="00AD50C0">
              <w:rPr>
                <w:rFonts w:eastAsia="Times New Roman" w:cs="Arial"/>
                <w:i/>
                <w:iCs/>
                <w:sz w:val="16"/>
                <w:szCs w:val="16"/>
                <w:lang w:eastAsia="en-GB"/>
              </w:rPr>
              <w:t>Concurrent treatment and Child protection plan RRR (95% CI)</w:t>
            </w:r>
          </w:p>
        </w:tc>
        <w:tc>
          <w:tcPr>
            <w:tcW w:w="502" w:type="pct"/>
            <w:tcBorders>
              <w:top w:val="nil"/>
              <w:left w:val="nil"/>
              <w:bottom w:val="single" w:sz="4" w:space="0" w:color="auto"/>
              <w:right w:val="nil"/>
            </w:tcBorders>
            <w:shd w:val="clear" w:color="auto" w:fill="auto"/>
            <w:vAlign w:val="center"/>
            <w:hideMark/>
          </w:tcPr>
          <w:p w14:paraId="5586D8C9" w14:textId="77777777" w:rsidR="00436924" w:rsidRPr="00AD50C0" w:rsidRDefault="00436924" w:rsidP="000E494A">
            <w:pPr>
              <w:rPr>
                <w:rFonts w:eastAsia="Times New Roman" w:cs="Arial"/>
                <w:i/>
                <w:iCs/>
                <w:sz w:val="16"/>
                <w:szCs w:val="16"/>
                <w:lang w:eastAsia="en-GB"/>
              </w:rPr>
            </w:pPr>
            <w:r w:rsidRPr="00AD50C0">
              <w:rPr>
                <w:rFonts w:eastAsia="Times New Roman" w:cs="Arial"/>
                <w:i/>
                <w:iCs/>
                <w:sz w:val="16"/>
                <w:szCs w:val="16"/>
                <w:lang w:eastAsia="en-GB"/>
              </w:rPr>
              <w:t>Concurrent treatment and Child looked after RRR (95% CI)</w:t>
            </w:r>
          </w:p>
        </w:tc>
        <w:tc>
          <w:tcPr>
            <w:tcW w:w="516" w:type="pct"/>
            <w:tcBorders>
              <w:top w:val="nil"/>
              <w:left w:val="nil"/>
              <w:bottom w:val="single" w:sz="4" w:space="0" w:color="auto"/>
              <w:right w:val="nil"/>
            </w:tcBorders>
            <w:shd w:val="clear" w:color="auto" w:fill="auto"/>
            <w:vAlign w:val="center"/>
            <w:hideMark/>
          </w:tcPr>
          <w:p w14:paraId="31377B6D" w14:textId="77777777" w:rsidR="00436924" w:rsidRPr="00AD50C0" w:rsidRDefault="00436924" w:rsidP="000E494A">
            <w:pPr>
              <w:rPr>
                <w:rFonts w:eastAsia="Times New Roman" w:cs="Arial"/>
                <w:i/>
                <w:iCs/>
                <w:sz w:val="16"/>
                <w:szCs w:val="16"/>
                <w:lang w:eastAsia="en-GB"/>
              </w:rPr>
            </w:pPr>
            <w:r w:rsidRPr="00AD50C0">
              <w:rPr>
                <w:rFonts w:eastAsia="Times New Roman" w:cs="Arial"/>
                <w:i/>
                <w:iCs/>
                <w:sz w:val="16"/>
                <w:szCs w:val="16"/>
                <w:lang w:eastAsia="en-GB"/>
              </w:rPr>
              <w:t>Concurrent treatment and Early help RRR (95% CI)</w:t>
            </w:r>
          </w:p>
        </w:tc>
        <w:tc>
          <w:tcPr>
            <w:tcW w:w="546" w:type="pct"/>
            <w:tcBorders>
              <w:top w:val="nil"/>
              <w:left w:val="nil"/>
              <w:bottom w:val="single" w:sz="4" w:space="0" w:color="auto"/>
              <w:right w:val="nil"/>
            </w:tcBorders>
            <w:shd w:val="clear" w:color="auto" w:fill="auto"/>
            <w:vAlign w:val="center"/>
            <w:hideMark/>
          </w:tcPr>
          <w:p w14:paraId="3886C75C" w14:textId="77777777" w:rsidR="00436924" w:rsidRPr="00AD50C0" w:rsidRDefault="00436924" w:rsidP="000E494A">
            <w:pPr>
              <w:rPr>
                <w:rFonts w:eastAsia="Times New Roman" w:cs="Arial"/>
                <w:i/>
                <w:iCs/>
                <w:sz w:val="16"/>
                <w:szCs w:val="16"/>
                <w:lang w:eastAsia="en-GB"/>
              </w:rPr>
            </w:pPr>
            <w:r w:rsidRPr="00AD50C0">
              <w:rPr>
                <w:rFonts w:eastAsia="Times New Roman" w:cs="Arial"/>
                <w:i/>
                <w:iCs/>
                <w:sz w:val="16"/>
                <w:szCs w:val="16"/>
                <w:lang w:eastAsia="en-GB"/>
              </w:rPr>
              <w:t>Concurrent treatment and Child in need RRR (95% CI)</w:t>
            </w:r>
          </w:p>
        </w:tc>
        <w:tc>
          <w:tcPr>
            <w:tcW w:w="502" w:type="pct"/>
            <w:tcBorders>
              <w:top w:val="nil"/>
              <w:left w:val="nil"/>
              <w:bottom w:val="single" w:sz="4" w:space="0" w:color="auto"/>
              <w:right w:val="nil"/>
            </w:tcBorders>
            <w:shd w:val="clear" w:color="auto" w:fill="auto"/>
            <w:vAlign w:val="center"/>
            <w:hideMark/>
          </w:tcPr>
          <w:p w14:paraId="259AE832" w14:textId="77777777" w:rsidR="00436924" w:rsidRPr="00AD50C0" w:rsidRDefault="00436924" w:rsidP="000E494A">
            <w:pPr>
              <w:rPr>
                <w:rFonts w:eastAsia="Times New Roman" w:cs="Arial"/>
                <w:i/>
                <w:iCs/>
                <w:sz w:val="16"/>
                <w:szCs w:val="16"/>
                <w:lang w:eastAsia="en-GB"/>
              </w:rPr>
            </w:pPr>
            <w:r w:rsidRPr="00AD50C0">
              <w:rPr>
                <w:rFonts w:eastAsia="Times New Roman" w:cs="Arial"/>
                <w:i/>
                <w:iCs/>
                <w:sz w:val="16"/>
                <w:szCs w:val="16"/>
                <w:lang w:eastAsia="en-GB"/>
              </w:rPr>
              <w:t>Concurrent treatment and Child protection plan RRR (95% CI)</w:t>
            </w:r>
          </w:p>
        </w:tc>
        <w:tc>
          <w:tcPr>
            <w:tcW w:w="529" w:type="pct"/>
            <w:tcBorders>
              <w:top w:val="nil"/>
              <w:left w:val="nil"/>
              <w:bottom w:val="single" w:sz="4" w:space="0" w:color="auto"/>
              <w:right w:val="nil"/>
            </w:tcBorders>
            <w:shd w:val="clear" w:color="auto" w:fill="auto"/>
            <w:vAlign w:val="center"/>
            <w:hideMark/>
          </w:tcPr>
          <w:p w14:paraId="42CA7C7D" w14:textId="77777777" w:rsidR="00436924" w:rsidRPr="00AD50C0" w:rsidRDefault="00436924" w:rsidP="000E494A">
            <w:pPr>
              <w:rPr>
                <w:rFonts w:eastAsia="Times New Roman" w:cs="Arial"/>
                <w:i/>
                <w:iCs/>
                <w:sz w:val="16"/>
                <w:szCs w:val="16"/>
                <w:lang w:eastAsia="en-GB"/>
              </w:rPr>
            </w:pPr>
            <w:r w:rsidRPr="00AD50C0">
              <w:rPr>
                <w:rFonts w:eastAsia="Times New Roman" w:cs="Arial"/>
                <w:i/>
                <w:iCs/>
                <w:sz w:val="16"/>
                <w:szCs w:val="16"/>
                <w:lang w:eastAsia="en-GB"/>
              </w:rPr>
              <w:t>Concurrent treatment and Child looked after RRR (95% CI)</w:t>
            </w:r>
          </w:p>
        </w:tc>
      </w:tr>
      <w:tr w:rsidR="00436924" w:rsidRPr="00AD50C0" w14:paraId="4994835D" w14:textId="77777777" w:rsidTr="000E494A">
        <w:trPr>
          <w:trHeight w:val="230"/>
        </w:trPr>
        <w:tc>
          <w:tcPr>
            <w:tcW w:w="857" w:type="pct"/>
            <w:tcBorders>
              <w:top w:val="nil"/>
              <w:left w:val="nil"/>
              <w:bottom w:val="nil"/>
              <w:right w:val="nil"/>
            </w:tcBorders>
            <w:shd w:val="clear" w:color="auto" w:fill="auto"/>
            <w:vAlign w:val="center"/>
            <w:hideMark/>
          </w:tcPr>
          <w:p w14:paraId="166BDA7D" w14:textId="77777777" w:rsidR="00436924" w:rsidRPr="00AD50C0" w:rsidRDefault="00436924" w:rsidP="000E494A">
            <w:pPr>
              <w:rPr>
                <w:rFonts w:eastAsia="Times New Roman" w:cs="Arial"/>
                <w:i/>
                <w:iCs/>
                <w:sz w:val="16"/>
                <w:szCs w:val="16"/>
                <w:lang w:eastAsia="en-GB"/>
              </w:rPr>
            </w:pPr>
          </w:p>
        </w:tc>
        <w:tc>
          <w:tcPr>
            <w:tcW w:w="516" w:type="pct"/>
            <w:tcBorders>
              <w:top w:val="nil"/>
              <w:left w:val="nil"/>
              <w:bottom w:val="nil"/>
              <w:right w:val="nil"/>
            </w:tcBorders>
            <w:shd w:val="clear" w:color="auto" w:fill="auto"/>
            <w:noWrap/>
            <w:vAlign w:val="bottom"/>
            <w:hideMark/>
          </w:tcPr>
          <w:p w14:paraId="42A9A395" w14:textId="77777777" w:rsidR="00436924" w:rsidRPr="00AD50C0" w:rsidRDefault="00436924" w:rsidP="000E494A">
            <w:pPr>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00F5717C"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630F5A2B"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F02FF55"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110A51C6"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53EFD000" w14:textId="77777777" w:rsidR="00436924" w:rsidRPr="00AD50C0" w:rsidRDefault="00436924" w:rsidP="000E494A">
            <w:pPr>
              <w:jc w:val="cente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320B7D3F" w14:textId="77777777" w:rsidR="00436924" w:rsidRPr="00AD50C0" w:rsidRDefault="00436924" w:rsidP="000E494A">
            <w:pPr>
              <w:jc w:val="cente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7DD0AD47"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051A821F" w14:textId="77777777" w:rsidTr="000E494A">
        <w:trPr>
          <w:trHeight w:val="230"/>
        </w:trPr>
        <w:tc>
          <w:tcPr>
            <w:tcW w:w="857" w:type="pct"/>
            <w:tcBorders>
              <w:top w:val="nil"/>
              <w:left w:val="nil"/>
              <w:bottom w:val="nil"/>
              <w:right w:val="nil"/>
            </w:tcBorders>
            <w:shd w:val="clear" w:color="auto" w:fill="auto"/>
            <w:noWrap/>
            <w:vAlign w:val="bottom"/>
            <w:hideMark/>
          </w:tcPr>
          <w:p w14:paraId="61806950" w14:textId="77777777" w:rsidR="00436924" w:rsidRPr="00AD50C0" w:rsidRDefault="00436924" w:rsidP="000E494A">
            <w:pPr>
              <w:rPr>
                <w:rFonts w:eastAsia="Times New Roman" w:cs="Arial"/>
                <w:i/>
                <w:iCs/>
                <w:color w:val="000000"/>
                <w:sz w:val="16"/>
                <w:szCs w:val="16"/>
                <w:lang w:eastAsia="en-GB"/>
              </w:rPr>
            </w:pPr>
            <w:r w:rsidRPr="00AD50C0">
              <w:rPr>
                <w:rFonts w:eastAsia="Times New Roman" w:cs="Arial"/>
                <w:i/>
                <w:iCs/>
                <w:color w:val="000000"/>
                <w:sz w:val="16"/>
                <w:szCs w:val="16"/>
                <w:lang w:eastAsia="en-GB"/>
              </w:rPr>
              <w:t>Socio-demographic</w:t>
            </w:r>
          </w:p>
        </w:tc>
        <w:tc>
          <w:tcPr>
            <w:tcW w:w="516" w:type="pct"/>
            <w:tcBorders>
              <w:top w:val="nil"/>
              <w:left w:val="nil"/>
              <w:bottom w:val="nil"/>
              <w:right w:val="nil"/>
            </w:tcBorders>
            <w:shd w:val="clear" w:color="auto" w:fill="auto"/>
            <w:noWrap/>
            <w:vAlign w:val="bottom"/>
            <w:hideMark/>
          </w:tcPr>
          <w:p w14:paraId="16551CCC" w14:textId="77777777" w:rsidR="00436924" w:rsidRPr="00AD50C0" w:rsidRDefault="00436924" w:rsidP="000E494A">
            <w:pPr>
              <w:rPr>
                <w:rFonts w:eastAsia="Times New Roman" w:cs="Arial"/>
                <w:i/>
                <w:iCs/>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5A3E85D1"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2BA0763F"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45E52820"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03413A48"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786589C9"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6A63D59C"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1306C0AE"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13A163A7" w14:textId="77777777" w:rsidTr="000E494A">
        <w:trPr>
          <w:trHeight w:val="230"/>
        </w:trPr>
        <w:tc>
          <w:tcPr>
            <w:tcW w:w="857" w:type="pct"/>
            <w:tcBorders>
              <w:top w:val="nil"/>
              <w:left w:val="nil"/>
              <w:bottom w:val="nil"/>
              <w:right w:val="nil"/>
            </w:tcBorders>
            <w:shd w:val="clear" w:color="auto" w:fill="auto"/>
            <w:noWrap/>
            <w:vAlign w:val="bottom"/>
            <w:hideMark/>
          </w:tcPr>
          <w:p w14:paraId="64FE877F"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No. of children living with parent:</w:t>
            </w:r>
          </w:p>
        </w:tc>
        <w:tc>
          <w:tcPr>
            <w:tcW w:w="516" w:type="pct"/>
            <w:tcBorders>
              <w:top w:val="nil"/>
              <w:left w:val="nil"/>
              <w:bottom w:val="nil"/>
              <w:right w:val="nil"/>
            </w:tcBorders>
            <w:shd w:val="clear" w:color="auto" w:fill="auto"/>
            <w:noWrap/>
            <w:vAlign w:val="bottom"/>
            <w:hideMark/>
          </w:tcPr>
          <w:p w14:paraId="13A101BC"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22CC40AC"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10D9C2E1"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0D15F4A7"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1E576603"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19F15589"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A6B3771"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5E3ADF9D"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1169E70E" w14:textId="77777777" w:rsidTr="000E494A">
        <w:trPr>
          <w:trHeight w:val="230"/>
        </w:trPr>
        <w:tc>
          <w:tcPr>
            <w:tcW w:w="857" w:type="pct"/>
            <w:tcBorders>
              <w:top w:val="nil"/>
              <w:left w:val="nil"/>
              <w:bottom w:val="nil"/>
              <w:right w:val="nil"/>
            </w:tcBorders>
            <w:shd w:val="clear" w:color="auto" w:fill="auto"/>
            <w:noWrap/>
            <w:vAlign w:val="bottom"/>
            <w:hideMark/>
          </w:tcPr>
          <w:p w14:paraId="3178BA70"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1</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7F951A1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16163E5F"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6E63728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782E0287"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1823F28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c>
          <w:tcPr>
            <w:tcW w:w="546" w:type="pct"/>
            <w:tcBorders>
              <w:top w:val="nil"/>
              <w:left w:val="nil"/>
              <w:bottom w:val="nil"/>
              <w:right w:val="nil"/>
            </w:tcBorders>
            <w:shd w:val="clear" w:color="auto" w:fill="auto"/>
            <w:noWrap/>
            <w:vAlign w:val="bottom"/>
            <w:hideMark/>
          </w:tcPr>
          <w:p w14:paraId="361CC84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c>
          <w:tcPr>
            <w:tcW w:w="502" w:type="pct"/>
            <w:tcBorders>
              <w:top w:val="nil"/>
              <w:left w:val="nil"/>
              <w:bottom w:val="nil"/>
              <w:right w:val="nil"/>
            </w:tcBorders>
            <w:shd w:val="clear" w:color="auto" w:fill="auto"/>
            <w:noWrap/>
            <w:vAlign w:val="bottom"/>
            <w:hideMark/>
          </w:tcPr>
          <w:p w14:paraId="093C9A2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c>
          <w:tcPr>
            <w:tcW w:w="529" w:type="pct"/>
            <w:tcBorders>
              <w:top w:val="nil"/>
              <w:left w:val="nil"/>
              <w:bottom w:val="nil"/>
              <w:right w:val="nil"/>
            </w:tcBorders>
            <w:shd w:val="clear" w:color="auto" w:fill="auto"/>
            <w:noWrap/>
            <w:vAlign w:val="bottom"/>
            <w:hideMark/>
          </w:tcPr>
          <w:p w14:paraId="74F2606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r>
      <w:tr w:rsidR="00436924" w:rsidRPr="00AD50C0" w14:paraId="5F2E8977" w14:textId="77777777" w:rsidTr="000E494A">
        <w:trPr>
          <w:trHeight w:val="230"/>
        </w:trPr>
        <w:tc>
          <w:tcPr>
            <w:tcW w:w="857" w:type="pct"/>
            <w:tcBorders>
              <w:top w:val="nil"/>
              <w:left w:val="nil"/>
              <w:bottom w:val="nil"/>
              <w:right w:val="nil"/>
            </w:tcBorders>
            <w:shd w:val="clear" w:color="auto" w:fill="auto"/>
            <w:noWrap/>
            <w:vAlign w:val="bottom"/>
            <w:hideMark/>
          </w:tcPr>
          <w:p w14:paraId="26D1B311"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2</w:t>
            </w:r>
          </w:p>
        </w:tc>
        <w:tc>
          <w:tcPr>
            <w:tcW w:w="516" w:type="pct"/>
            <w:tcBorders>
              <w:top w:val="nil"/>
              <w:left w:val="nil"/>
              <w:bottom w:val="nil"/>
              <w:right w:val="nil"/>
            </w:tcBorders>
            <w:shd w:val="clear" w:color="auto" w:fill="auto"/>
            <w:noWrap/>
            <w:vAlign w:val="bottom"/>
            <w:hideMark/>
          </w:tcPr>
          <w:p w14:paraId="55CF68BE"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1.27 (1.09-1.48)**</w:t>
            </w:r>
          </w:p>
        </w:tc>
        <w:tc>
          <w:tcPr>
            <w:tcW w:w="516" w:type="pct"/>
            <w:tcBorders>
              <w:top w:val="nil"/>
              <w:left w:val="nil"/>
              <w:bottom w:val="nil"/>
              <w:right w:val="nil"/>
            </w:tcBorders>
            <w:shd w:val="clear" w:color="auto" w:fill="auto"/>
            <w:noWrap/>
            <w:vAlign w:val="bottom"/>
            <w:hideMark/>
          </w:tcPr>
          <w:p w14:paraId="10F22B8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1.07 (0.92-1.25) </w:t>
            </w:r>
          </w:p>
        </w:tc>
        <w:tc>
          <w:tcPr>
            <w:tcW w:w="516" w:type="pct"/>
            <w:tcBorders>
              <w:top w:val="nil"/>
              <w:left w:val="nil"/>
              <w:bottom w:val="nil"/>
              <w:right w:val="nil"/>
            </w:tcBorders>
            <w:shd w:val="clear" w:color="auto" w:fill="auto"/>
            <w:noWrap/>
            <w:vAlign w:val="bottom"/>
            <w:hideMark/>
          </w:tcPr>
          <w:p w14:paraId="357B853F"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1.16 (1.02-1.32)* </w:t>
            </w:r>
          </w:p>
        </w:tc>
        <w:tc>
          <w:tcPr>
            <w:tcW w:w="502" w:type="pct"/>
            <w:tcBorders>
              <w:top w:val="nil"/>
              <w:left w:val="nil"/>
              <w:bottom w:val="nil"/>
              <w:right w:val="nil"/>
            </w:tcBorders>
            <w:shd w:val="clear" w:color="auto" w:fill="auto"/>
            <w:noWrap/>
            <w:vAlign w:val="bottom"/>
            <w:hideMark/>
          </w:tcPr>
          <w:p w14:paraId="5EB3A11E"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0.56 (0.39-0.81)**</w:t>
            </w:r>
          </w:p>
        </w:tc>
        <w:tc>
          <w:tcPr>
            <w:tcW w:w="516" w:type="pct"/>
            <w:tcBorders>
              <w:top w:val="nil"/>
              <w:left w:val="nil"/>
              <w:bottom w:val="nil"/>
              <w:right w:val="nil"/>
            </w:tcBorders>
            <w:shd w:val="clear" w:color="auto" w:fill="auto"/>
            <w:noWrap/>
            <w:vAlign w:val="bottom"/>
            <w:hideMark/>
          </w:tcPr>
          <w:p w14:paraId="2C38F6EF"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c>
          <w:tcPr>
            <w:tcW w:w="546" w:type="pct"/>
            <w:tcBorders>
              <w:top w:val="nil"/>
              <w:left w:val="nil"/>
              <w:bottom w:val="nil"/>
              <w:right w:val="nil"/>
            </w:tcBorders>
            <w:shd w:val="clear" w:color="auto" w:fill="auto"/>
            <w:noWrap/>
            <w:vAlign w:val="bottom"/>
            <w:hideMark/>
          </w:tcPr>
          <w:p w14:paraId="2065EC0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c>
          <w:tcPr>
            <w:tcW w:w="502" w:type="pct"/>
            <w:tcBorders>
              <w:top w:val="nil"/>
              <w:left w:val="nil"/>
              <w:bottom w:val="nil"/>
              <w:right w:val="nil"/>
            </w:tcBorders>
            <w:shd w:val="clear" w:color="auto" w:fill="auto"/>
            <w:noWrap/>
            <w:vAlign w:val="bottom"/>
            <w:hideMark/>
          </w:tcPr>
          <w:p w14:paraId="011D24D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c>
          <w:tcPr>
            <w:tcW w:w="529" w:type="pct"/>
            <w:tcBorders>
              <w:top w:val="nil"/>
              <w:left w:val="nil"/>
              <w:bottom w:val="nil"/>
              <w:right w:val="nil"/>
            </w:tcBorders>
            <w:shd w:val="clear" w:color="auto" w:fill="auto"/>
            <w:noWrap/>
            <w:vAlign w:val="bottom"/>
            <w:hideMark/>
          </w:tcPr>
          <w:p w14:paraId="561ADA1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r>
      <w:tr w:rsidR="00436924" w:rsidRPr="00AD50C0" w14:paraId="2BFE27F9" w14:textId="77777777" w:rsidTr="000E494A">
        <w:trPr>
          <w:trHeight w:val="230"/>
        </w:trPr>
        <w:tc>
          <w:tcPr>
            <w:tcW w:w="857" w:type="pct"/>
            <w:tcBorders>
              <w:top w:val="nil"/>
              <w:left w:val="nil"/>
              <w:bottom w:val="nil"/>
              <w:right w:val="nil"/>
            </w:tcBorders>
            <w:shd w:val="clear" w:color="auto" w:fill="auto"/>
            <w:noWrap/>
            <w:vAlign w:val="bottom"/>
            <w:hideMark/>
          </w:tcPr>
          <w:p w14:paraId="175C73FF"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3+</w:t>
            </w:r>
          </w:p>
        </w:tc>
        <w:tc>
          <w:tcPr>
            <w:tcW w:w="516" w:type="pct"/>
            <w:tcBorders>
              <w:top w:val="nil"/>
              <w:left w:val="nil"/>
              <w:bottom w:val="nil"/>
              <w:right w:val="nil"/>
            </w:tcBorders>
            <w:shd w:val="clear" w:color="auto" w:fill="auto"/>
            <w:noWrap/>
            <w:vAlign w:val="bottom"/>
            <w:hideMark/>
          </w:tcPr>
          <w:p w14:paraId="50DAC857"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1.76 (1.47-2.11)**</w:t>
            </w:r>
          </w:p>
        </w:tc>
        <w:tc>
          <w:tcPr>
            <w:tcW w:w="516" w:type="pct"/>
            <w:tcBorders>
              <w:top w:val="nil"/>
              <w:left w:val="nil"/>
              <w:bottom w:val="nil"/>
              <w:right w:val="nil"/>
            </w:tcBorders>
            <w:shd w:val="clear" w:color="auto" w:fill="auto"/>
            <w:noWrap/>
            <w:vAlign w:val="bottom"/>
            <w:hideMark/>
          </w:tcPr>
          <w:p w14:paraId="74448F1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1.48 (1.25-1.76)** </w:t>
            </w:r>
          </w:p>
        </w:tc>
        <w:tc>
          <w:tcPr>
            <w:tcW w:w="516" w:type="pct"/>
            <w:tcBorders>
              <w:top w:val="nil"/>
              <w:left w:val="nil"/>
              <w:bottom w:val="nil"/>
              <w:right w:val="nil"/>
            </w:tcBorders>
            <w:shd w:val="clear" w:color="auto" w:fill="auto"/>
            <w:noWrap/>
            <w:vAlign w:val="bottom"/>
            <w:hideMark/>
          </w:tcPr>
          <w:p w14:paraId="05333FC1"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1.75 (1.53-1.99)** </w:t>
            </w:r>
          </w:p>
        </w:tc>
        <w:tc>
          <w:tcPr>
            <w:tcW w:w="502" w:type="pct"/>
            <w:tcBorders>
              <w:top w:val="nil"/>
              <w:left w:val="nil"/>
              <w:bottom w:val="nil"/>
              <w:right w:val="nil"/>
            </w:tcBorders>
            <w:shd w:val="clear" w:color="auto" w:fill="auto"/>
            <w:noWrap/>
            <w:vAlign w:val="bottom"/>
            <w:hideMark/>
          </w:tcPr>
          <w:p w14:paraId="1A21781A"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0.73 (0.49-1.11)</w:t>
            </w:r>
          </w:p>
        </w:tc>
        <w:tc>
          <w:tcPr>
            <w:tcW w:w="516" w:type="pct"/>
            <w:tcBorders>
              <w:top w:val="nil"/>
              <w:left w:val="nil"/>
              <w:bottom w:val="nil"/>
              <w:right w:val="nil"/>
            </w:tcBorders>
            <w:shd w:val="clear" w:color="auto" w:fill="auto"/>
            <w:noWrap/>
            <w:vAlign w:val="bottom"/>
            <w:hideMark/>
          </w:tcPr>
          <w:p w14:paraId="11093EA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c>
          <w:tcPr>
            <w:tcW w:w="546" w:type="pct"/>
            <w:tcBorders>
              <w:top w:val="nil"/>
              <w:left w:val="nil"/>
              <w:bottom w:val="nil"/>
              <w:right w:val="nil"/>
            </w:tcBorders>
            <w:shd w:val="clear" w:color="auto" w:fill="auto"/>
            <w:noWrap/>
            <w:vAlign w:val="bottom"/>
            <w:hideMark/>
          </w:tcPr>
          <w:p w14:paraId="2AB4A7B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c>
          <w:tcPr>
            <w:tcW w:w="502" w:type="pct"/>
            <w:tcBorders>
              <w:top w:val="nil"/>
              <w:left w:val="nil"/>
              <w:bottom w:val="nil"/>
              <w:right w:val="nil"/>
            </w:tcBorders>
            <w:shd w:val="clear" w:color="auto" w:fill="auto"/>
            <w:noWrap/>
            <w:vAlign w:val="bottom"/>
            <w:hideMark/>
          </w:tcPr>
          <w:p w14:paraId="6F93E42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c>
          <w:tcPr>
            <w:tcW w:w="529" w:type="pct"/>
            <w:tcBorders>
              <w:top w:val="nil"/>
              <w:left w:val="nil"/>
              <w:bottom w:val="nil"/>
              <w:right w:val="nil"/>
            </w:tcBorders>
            <w:shd w:val="clear" w:color="auto" w:fill="auto"/>
            <w:noWrap/>
            <w:vAlign w:val="bottom"/>
            <w:hideMark/>
          </w:tcPr>
          <w:p w14:paraId="17A4E552"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n/a </w:t>
            </w:r>
          </w:p>
        </w:tc>
      </w:tr>
      <w:tr w:rsidR="00436924" w:rsidRPr="00AD50C0" w14:paraId="5ED8B9DC" w14:textId="77777777" w:rsidTr="000E494A">
        <w:trPr>
          <w:trHeight w:val="230"/>
        </w:trPr>
        <w:tc>
          <w:tcPr>
            <w:tcW w:w="857" w:type="pct"/>
            <w:tcBorders>
              <w:top w:val="nil"/>
              <w:left w:val="nil"/>
              <w:bottom w:val="nil"/>
              <w:right w:val="nil"/>
            </w:tcBorders>
            <w:shd w:val="clear" w:color="auto" w:fill="auto"/>
            <w:noWrap/>
            <w:vAlign w:val="bottom"/>
            <w:hideMark/>
          </w:tcPr>
          <w:p w14:paraId="5050433D"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Pregnancy status:</w:t>
            </w:r>
          </w:p>
        </w:tc>
        <w:tc>
          <w:tcPr>
            <w:tcW w:w="516" w:type="pct"/>
            <w:tcBorders>
              <w:top w:val="nil"/>
              <w:left w:val="nil"/>
              <w:bottom w:val="nil"/>
              <w:right w:val="nil"/>
            </w:tcBorders>
            <w:shd w:val="clear" w:color="auto" w:fill="auto"/>
            <w:noWrap/>
            <w:vAlign w:val="bottom"/>
            <w:hideMark/>
          </w:tcPr>
          <w:p w14:paraId="32305573"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034AF1E6"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6D2EC537"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3650C5D2"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53C1D6FD"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4E618F9C"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0FCF3C80"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1C50B266"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075EB469" w14:textId="77777777" w:rsidTr="000E494A">
        <w:trPr>
          <w:trHeight w:val="230"/>
        </w:trPr>
        <w:tc>
          <w:tcPr>
            <w:tcW w:w="857" w:type="pct"/>
            <w:tcBorders>
              <w:top w:val="nil"/>
              <w:left w:val="nil"/>
              <w:bottom w:val="nil"/>
              <w:right w:val="nil"/>
            </w:tcBorders>
            <w:shd w:val="clear" w:color="auto" w:fill="auto"/>
            <w:noWrap/>
            <w:vAlign w:val="bottom"/>
            <w:hideMark/>
          </w:tcPr>
          <w:p w14:paraId="3B5F1FB6"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Not pregnant</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4B506D72"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67839091"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3D4E08E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75B96EC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65DB736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2EE614C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4BB8B7A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086AE1A2"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378EA90D" w14:textId="77777777" w:rsidTr="000E494A">
        <w:trPr>
          <w:trHeight w:val="230"/>
        </w:trPr>
        <w:tc>
          <w:tcPr>
            <w:tcW w:w="857" w:type="pct"/>
            <w:tcBorders>
              <w:top w:val="nil"/>
              <w:left w:val="nil"/>
              <w:bottom w:val="nil"/>
              <w:right w:val="nil"/>
            </w:tcBorders>
            <w:shd w:val="clear" w:color="auto" w:fill="auto"/>
            <w:noWrap/>
            <w:vAlign w:val="bottom"/>
            <w:hideMark/>
          </w:tcPr>
          <w:p w14:paraId="573BC83B"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Pregnant</w:t>
            </w:r>
          </w:p>
        </w:tc>
        <w:tc>
          <w:tcPr>
            <w:tcW w:w="516" w:type="pct"/>
            <w:tcBorders>
              <w:top w:val="nil"/>
              <w:left w:val="nil"/>
              <w:bottom w:val="nil"/>
              <w:right w:val="nil"/>
            </w:tcBorders>
            <w:shd w:val="clear" w:color="auto" w:fill="auto"/>
            <w:noWrap/>
            <w:vAlign w:val="bottom"/>
            <w:hideMark/>
          </w:tcPr>
          <w:p w14:paraId="2B7D6018"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0.63 (0.35-1.14)</w:t>
            </w:r>
          </w:p>
        </w:tc>
        <w:tc>
          <w:tcPr>
            <w:tcW w:w="516" w:type="pct"/>
            <w:tcBorders>
              <w:top w:val="nil"/>
              <w:left w:val="nil"/>
              <w:bottom w:val="nil"/>
              <w:right w:val="nil"/>
            </w:tcBorders>
            <w:shd w:val="clear" w:color="auto" w:fill="auto"/>
            <w:noWrap/>
            <w:vAlign w:val="bottom"/>
            <w:hideMark/>
          </w:tcPr>
          <w:p w14:paraId="03DC385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1.34 (0.78-2.31) </w:t>
            </w:r>
          </w:p>
        </w:tc>
        <w:tc>
          <w:tcPr>
            <w:tcW w:w="516" w:type="pct"/>
            <w:tcBorders>
              <w:top w:val="nil"/>
              <w:left w:val="nil"/>
              <w:bottom w:val="nil"/>
              <w:right w:val="nil"/>
            </w:tcBorders>
            <w:shd w:val="clear" w:color="auto" w:fill="auto"/>
            <w:noWrap/>
            <w:vAlign w:val="bottom"/>
            <w:hideMark/>
          </w:tcPr>
          <w:p w14:paraId="3269F6E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1.14 (0.76-1.70) </w:t>
            </w:r>
          </w:p>
        </w:tc>
        <w:tc>
          <w:tcPr>
            <w:tcW w:w="502" w:type="pct"/>
            <w:tcBorders>
              <w:top w:val="nil"/>
              <w:left w:val="nil"/>
              <w:bottom w:val="nil"/>
              <w:right w:val="nil"/>
            </w:tcBorders>
            <w:shd w:val="clear" w:color="auto" w:fill="auto"/>
            <w:noWrap/>
            <w:vAlign w:val="bottom"/>
            <w:hideMark/>
          </w:tcPr>
          <w:p w14:paraId="26312C6C"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1.10 (0.37-3.25)</w:t>
            </w:r>
          </w:p>
        </w:tc>
        <w:tc>
          <w:tcPr>
            <w:tcW w:w="516" w:type="pct"/>
            <w:tcBorders>
              <w:top w:val="nil"/>
              <w:left w:val="nil"/>
              <w:bottom w:val="nil"/>
              <w:right w:val="nil"/>
            </w:tcBorders>
            <w:shd w:val="clear" w:color="auto" w:fill="auto"/>
            <w:noWrap/>
            <w:vAlign w:val="bottom"/>
            <w:hideMark/>
          </w:tcPr>
          <w:p w14:paraId="4781E96D"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3.01 (1.83-4.95)** </w:t>
            </w:r>
          </w:p>
        </w:tc>
        <w:tc>
          <w:tcPr>
            <w:tcW w:w="546" w:type="pct"/>
            <w:tcBorders>
              <w:top w:val="nil"/>
              <w:left w:val="nil"/>
              <w:bottom w:val="nil"/>
              <w:right w:val="nil"/>
            </w:tcBorders>
            <w:shd w:val="clear" w:color="auto" w:fill="auto"/>
            <w:noWrap/>
            <w:vAlign w:val="bottom"/>
            <w:hideMark/>
          </w:tcPr>
          <w:p w14:paraId="5DE4CB4B"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1.63 (0.93-2.87) </w:t>
            </w:r>
          </w:p>
        </w:tc>
        <w:tc>
          <w:tcPr>
            <w:tcW w:w="502" w:type="pct"/>
            <w:tcBorders>
              <w:top w:val="nil"/>
              <w:left w:val="nil"/>
              <w:bottom w:val="nil"/>
              <w:right w:val="nil"/>
            </w:tcBorders>
            <w:shd w:val="clear" w:color="auto" w:fill="auto"/>
            <w:noWrap/>
            <w:vAlign w:val="bottom"/>
            <w:hideMark/>
          </w:tcPr>
          <w:p w14:paraId="2D57EE23"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2.27 (1.65-3.13)**</w:t>
            </w:r>
          </w:p>
        </w:tc>
        <w:tc>
          <w:tcPr>
            <w:tcW w:w="529" w:type="pct"/>
            <w:tcBorders>
              <w:top w:val="nil"/>
              <w:left w:val="nil"/>
              <w:bottom w:val="nil"/>
              <w:right w:val="nil"/>
            </w:tcBorders>
            <w:shd w:val="clear" w:color="auto" w:fill="auto"/>
            <w:noWrap/>
            <w:vAlign w:val="bottom"/>
            <w:hideMark/>
          </w:tcPr>
          <w:p w14:paraId="21579227"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1.48 (1.10-2.00)*</w:t>
            </w:r>
          </w:p>
        </w:tc>
      </w:tr>
      <w:tr w:rsidR="00436924" w:rsidRPr="00AD50C0" w14:paraId="7415571A" w14:textId="77777777" w:rsidTr="000E494A">
        <w:trPr>
          <w:trHeight w:val="230"/>
        </w:trPr>
        <w:tc>
          <w:tcPr>
            <w:tcW w:w="857" w:type="pct"/>
            <w:tcBorders>
              <w:top w:val="nil"/>
              <w:left w:val="nil"/>
              <w:bottom w:val="nil"/>
              <w:right w:val="nil"/>
            </w:tcBorders>
            <w:shd w:val="clear" w:color="auto" w:fill="auto"/>
            <w:noWrap/>
            <w:vAlign w:val="bottom"/>
            <w:hideMark/>
          </w:tcPr>
          <w:p w14:paraId="76F82B1D"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Age:</w:t>
            </w:r>
          </w:p>
        </w:tc>
        <w:tc>
          <w:tcPr>
            <w:tcW w:w="516" w:type="pct"/>
            <w:tcBorders>
              <w:top w:val="nil"/>
              <w:left w:val="nil"/>
              <w:bottom w:val="nil"/>
              <w:right w:val="nil"/>
            </w:tcBorders>
            <w:shd w:val="clear" w:color="auto" w:fill="auto"/>
            <w:noWrap/>
            <w:vAlign w:val="bottom"/>
            <w:hideMark/>
          </w:tcPr>
          <w:p w14:paraId="299AFE1C"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3A133457"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0DCBC1FA"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CDD5B86"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330D1D5D"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192C5207"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45396D5"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25CE3D60"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05EE7E6C" w14:textId="77777777" w:rsidTr="000E494A">
        <w:trPr>
          <w:trHeight w:val="230"/>
        </w:trPr>
        <w:tc>
          <w:tcPr>
            <w:tcW w:w="857" w:type="pct"/>
            <w:tcBorders>
              <w:top w:val="nil"/>
              <w:left w:val="nil"/>
              <w:bottom w:val="nil"/>
              <w:right w:val="nil"/>
            </w:tcBorders>
            <w:shd w:val="clear" w:color="auto" w:fill="auto"/>
            <w:noWrap/>
            <w:vAlign w:val="bottom"/>
            <w:hideMark/>
          </w:tcPr>
          <w:p w14:paraId="71BB685E"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18-24</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3D9FDBF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38C5F89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1DDE36E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70ED46C2"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59C07091"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46AB60B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37A91D0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6DCA5367"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6477C26C" w14:textId="77777777" w:rsidTr="000E494A">
        <w:trPr>
          <w:trHeight w:val="230"/>
        </w:trPr>
        <w:tc>
          <w:tcPr>
            <w:tcW w:w="857" w:type="pct"/>
            <w:tcBorders>
              <w:top w:val="nil"/>
              <w:left w:val="nil"/>
              <w:bottom w:val="nil"/>
              <w:right w:val="nil"/>
            </w:tcBorders>
            <w:shd w:val="clear" w:color="auto" w:fill="auto"/>
            <w:noWrap/>
            <w:vAlign w:val="bottom"/>
            <w:hideMark/>
          </w:tcPr>
          <w:p w14:paraId="2974AD35"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25-34</w:t>
            </w:r>
          </w:p>
        </w:tc>
        <w:tc>
          <w:tcPr>
            <w:tcW w:w="516" w:type="pct"/>
            <w:tcBorders>
              <w:top w:val="nil"/>
              <w:left w:val="nil"/>
              <w:bottom w:val="nil"/>
              <w:right w:val="nil"/>
            </w:tcBorders>
            <w:shd w:val="clear" w:color="auto" w:fill="auto"/>
            <w:noWrap/>
            <w:vAlign w:val="bottom"/>
            <w:hideMark/>
          </w:tcPr>
          <w:p w14:paraId="7C259807"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0.58 (0.41-0.83)**</w:t>
            </w:r>
          </w:p>
        </w:tc>
        <w:tc>
          <w:tcPr>
            <w:tcW w:w="516" w:type="pct"/>
            <w:tcBorders>
              <w:top w:val="nil"/>
              <w:left w:val="nil"/>
              <w:bottom w:val="nil"/>
              <w:right w:val="nil"/>
            </w:tcBorders>
            <w:shd w:val="clear" w:color="auto" w:fill="auto"/>
            <w:noWrap/>
            <w:vAlign w:val="bottom"/>
            <w:hideMark/>
          </w:tcPr>
          <w:p w14:paraId="4946333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0.54 (0.38-0.77)** </w:t>
            </w:r>
          </w:p>
        </w:tc>
        <w:tc>
          <w:tcPr>
            <w:tcW w:w="516" w:type="pct"/>
            <w:tcBorders>
              <w:top w:val="nil"/>
              <w:left w:val="nil"/>
              <w:bottom w:val="nil"/>
              <w:right w:val="nil"/>
            </w:tcBorders>
            <w:shd w:val="clear" w:color="auto" w:fill="auto"/>
            <w:noWrap/>
            <w:vAlign w:val="bottom"/>
            <w:hideMark/>
          </w:tcPr>
          <w:p w14:paraId="2527836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0.59 (0.46-0.76)** </w:t>
            </w:r>
          </w:p>
        </w:tc>
        <w:tc>
          <w:tcPr>
            <w:tcW w:w="502" w:type="pct"/>
            <w:tcBorders>
              <w:top w:val="nil"/>
              <w:left w:val="nil"/>
              <w:bottom w:val="nil"/>
              <w:right w:val="nil"/>
            </w:tcBorders>
            <w:shd w:val="clear" w:color="auto" w:fill="auto"/>
            <w:noWrap/>
            <w:vAlign w:val="bottom"/>
            <w:hideMark/>
          </w:tcPr>
          <w:p w14:paraId="77E89F4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0.59 (0.28-1.25)</w:t>
            </w:r>
          </w:p>
        </w:tc>
        <w:tc>
          <w:tcPr>
            <w:tcW w:w="516" w:type="pct"/>
            <w:tcBorders>
              <w:top w:val="nil"/>
              <w:left w:val="nil"/>
              <w:bottom w:val="nil"/>
              <w:right w:val="nil"/>
            </w:tcBorders>
            <w:shd w:val="clear" w:color="auto" w:fill="auto"/>
            <w:noWrap/>
            <w:vAlign w:val="bottom"/>
            <w:hideMark/>
          </w:tcPr>
          <w:p w14:paraId="3233E5C6"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0.66 (0.46-0.95)* </w:t>
            </w:r>
          </w:p>
        </w:tc>
        <w:tc>
          <w:tcPr>
            <w:tcW w:w="546" w:type="pct"/>
            <w:tcBorders>
              <w:top w:val="nil"/>
              <w:left w:val="nil"/>
              <w:bottom w:val="nil"/>
              <w:right w:val="nil"/>
            </w:tcBorders>
            <w:shd w:val="clear" w:color="auto" w:fill="auto"/>
            <w:noWrap/>
            <w:vAlign w:val="bottom"/>
            <w:hideMark/>
          </w:tcPr>
          <w:p w14:paraId="0C02BB91"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1.03 (0.68-1.56) </w:t>
            </w:r>
          </w:p>
        </w:tc>
        <w:tc>
          <w:tcPr>
            <w:tcW w:w="502" w:type="pct"/>
            <w:tcBorders>
              <w:top w:val="nil"/>
              <w:left w:val="nil"/>
              <w:bottom w:val="nil"/>
              <w:right w:val="nil"/>
            </w:tcBorders>
            <w:shd w:val="clear" w:color="auto" w:fill="auto"/>
            <w:noWrap/>
            <w:vAlign w:val="bottom"/>
            <w:hideMark/>
          </w:tcPr>
          <w:p w14:paraId="5FE26CF6"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0.74 (0.60-0.91)**</w:t>
            </w:r>
          </w:p>
        </w:tc>
        <w:tc>
          <w:tcPr>
            <w:tcW w:w="529" w:type="pct"/>
            <w:tcBorders>
              <w:top w:val="nil"/>
              <w:left w:val="nil"/>
              <w:bottom w:val="nil"/>
              <w:right w:val="nil"/>
            </w:tcBorders>
            <w:shd w:val="clear" w:color="auto" w:fill="auto"/>
            <w:noWrap/>
            <w:vAlign w:val="bottom"/>
            <w:hideMark/>
          </w:tcPr>
          <w:p w14:paraId="0C7AF78E"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0.66 (0.54-0.80)**</w:t>
            </w:r>
          </w:p>
        </w:tc>
      </w:tr>
      <w:tr w:rsidR="00436924" w:rsidRPr="00AD50C0" w14:paraId="01269C6B" w14:textId="77777777" w:rsidTr="000E494A">
        <w:trPr>
          <w:trHeight w:val="230"/>
        </w:trPr>
        <w:tc>
          <w:tcPr>
            <w:tcW w:w="857" w:type="pct"/>
            <w:tcBorders>
              <w:top w:val="nil"/>
              <w:left w:val="nil"/>
              <w:bottom w:val="nil"/>
              <w:right w:val="nil"/>
            </w:tcBorders>
            <w:shd w:val="clear" w:color="auto" w:fill="auto"/>
            <w:noWrap/>
            <w:vAlign w:val="bottom"/>
            <w:hideMark/>
          </w:tcPr>
          <w:p w14:paraId="616AA025"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35-44</w:t>
            </w:r>
          </w:p>
        </w:tc>
        <w:tc>
          <w:tcPr>
            <w:tcW w:w="516" w:type="pct"/>
            <w:tcBorders>
              <w:top w:val="nil"/>
              <w:left w:val="nil"/>
              <w:bottom w:val="nil"/>
              <w:right w:val="nil"/>
            </w:tcBorders>
            <w:shd w:val="clear" w:color="auto" w:fill="auto"/>
            <w:noWrap/>
            <w:vAlign w:val="bottom"/>
            <w:hideMark/>
          </w:tcPr>
          <w:p w14:paraId="528E8F65"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0.45 (0.31-0.65)**</w:t>
            </w:r>
          </w:p>
        </w:tc>
        <w:tc>
          <w:tcPr>
            <w:tcW w:w="516" w:type="pct"/>
            <w:tcBorders>
              <w:top w:val="nil"/>
              <w:left w:val="nil"/>
              <w:bottom w:val="nil"/>
              <w:right w:val="nil"/>
            </w:tcBorders>
            <w:shd w:val="clear" w:color="auto" w:fill="auto"/>
            <w:noWrap/>
            <w:vAlign w:val="bottom"/>
            <w:hideMark/>
          </w:tcPr>
          <w:p w14:paraId="421FFB5F"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0.44 (0.31-0.63)** </w:t>
            </w:r>
          </w:p>
        </w:tc>
        <w:tc>
          <w:tcPr>
            <w:tcW w:w="516" w:type="pct"/>
            <w:tcBorders>
              <w:top w:val="nil"/>
              <w:left w:val="nil"/>
              <w:bottom w:val="nil"/>
              <w:right w:val="nil"/>
            </w:tcBorders>
            <w:shd w:val="clear" w:color="auto" w:fill="auto"/>
            <w:noWrap/>
            <w:vAlign w:val="bottom"/>
            <w:hideMark/>
          </w:tcPr>
          <w:p w14:paraId="5FFB31A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0.36 (0.27-0.47)** </w:t>
            </w:r>
          </w:p>
        </w:tc>
        <w:tc>
          <w:tcPr>
            <w:tcW w:w="502" w:type="pct"/>
            <w:tcBorders>
              <w:top w:val="nil"/>
              <w:left w:val="nil"/>
              <w:bottom w:val="nil"/>
              <w:right w:val="nil"/>
            </w:tcBorders>
            <w:shd w:val="clear" w:color="auto" w:fill="auto"/>
            <w:noWrap/>
            <w:vAlign w:val="bottom"/>
            <w:hideMark/>
          </w:tcPr>
          <w:p w14:paraId="42AC6161"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0.51 (0.24-1.12)</w:t>
            </w:r>
          </w:p>
        </w:tc>
        <w:tc>
          <w:tcPr>
            <w:tcW w:w="516" w:type="pct"/>
            <w:tcBorders>
              <w:top w:val="nil"/>
              <w:left w:val="nil"/>
              <w:bottom w:val="nil"/>
              <w:right w:val="nil"/>
            </w:tcBorders>
            <w:shd w:val="clear" w:color="auto" w:fill="auto"/>
            <w:noWrap/>
            <w:vAlign w:val="bottom"/>
            <w:hideMark/>
          </w:tcPr>
          <w:p w14:paraId="6A20A94B"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0.34 (0.22-0.52)** </w:t>
            </w:r>
          </w:p>
        </w:tc>
        <w:tc>
          <w:tcPr>
            <w:tcW w:w="546" w:type="pct"/>
            <w:tcBorders>
              <w:top w:val="nil"/>
              <w:left w:val="nil"/>
              <w:bottom w:val="nil"/>
              <w:right w:val="nil"/>
            </w:tcBorders>
            <w:shd w:val="clear" w:color="auto" w:fill="auto"/>
            <w:noWrap/>
            <w:vAlign w:val="bottom"/>
            <w:hideMark/>
          </w:tcPr>
          <w:p w14:paraId="020B8109"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0.64 (0.44-0.94)* </w:t>
            </w:r>
          </w:p>
        </w:tc>
        <w:tc>
          <w:tcPr>
            <w:tcW w:w="502" w:type="pct"/>
            <w:tcBorders>
              <w:top w:val="nil"/>
              <w:left w:val="nil"/>
              <w:bottom w:val="nil"/>
              <w:right w:val="nil"/>
            </w:tcBorders>
            <w:shd w:val="clear" w:color="auto" w:fill="auto"/>
            <w:noWrap/>
            <w:vAlign w:val="bottom"/>
            <w:hideMark/>
          </w:tcPr>
          <w:p w14:paraId="0E61E122"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0.39 (0.32-0.48)**</w:t>
            </w:r>
          </w:p>
        </w:tc>
        <w:tc>
          <w:tcPr>
            <w:tcW w:w="529" w:type="pct"/>
            <w:tcBorders>
              <w:top w:val="nil"/>
              <w:left w:val="nil"/>
              <w:bottom w:val="nil"/>
              <w:right w:val="nil"/>
            </w:tcBorders>
            <w:shd w:val="clear" w:color="auto" w:fill="auto"/>
            <w:noWrap/>
            <w:vAlign w:val="bottom"/>
            <w:hideMark/>
          </w:tcPr>
          <w:p w14:paraId="5C0684EF"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0.50 (0.41-0.61)**</w:t>
            </w:r>
          </w:p>
        </w:tc>
      </w:tr>
      <w:tr w:rsidR="00436924" w:rsidRPr="00AD50C0" w14:paraId="04007EFD" w14:textId="77777777" w:rsidTr="000E494A">
        <w:trPr>
          <w:trHeight w:val="230"/>
        </w:trPr>
        <w:tc>
          <w:tcPr>
            <w:tcW w:w="857" w:type="pct"/>
            <w:tcBorders>
              <w:top w:val="nil"/>
              <w:left w:val="nil"/>
              <w:bottom w:val="nil"/>
              <w:right w:val="nil"/>
            </w:tcBorders>
            <w:shd w:val="clear" w:color="auto" w:fill="auto"/>
            <w:noWrap/>
            <w:vAlign w:val="bottom"/>
            <w:hideMark/>
          </w:tcPr>
          <w:p w14:paraId="414B754F"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45+</w:t>
            </w:r>
          </w:p>
        </w:tc>
        <w:tc>
          <w:tcPr>
            <w:tcW w:w="516" w:type="pct"/>
            <w:tcBorders>
              <w:top w:val="nil"/>
              <w:left w:val="nil"/>
              <w:bottom w:val="nil"/>
              <w:right w:val="nil"/>
            </w:tcBorders>
            <w:shd w:val="clear" w:color="auto" w:fill="auto"/>
            <w:noWrap/>
            <w:vAlign w:val="bottom"/>
            <w:hideMark/>
          </w:tcPr>
          <w:p w14:paraId="06E039A3"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0.29 (0.19-0.44)**</w:t>
            </w:r>
          </w:p>
        </w:tc>
        <w:tc>
          <w:tcPr>
            <w:tcW w:w="516" w:type="pct"/>
            <w:tcBorders>
              <w:top w:val="nil"/>
              <w:left w:val="nil"/>
              <w:bottom w:val="nil"/>
              <w:right w:val="nil"/>
            </w:tcBorders>
            <w:shd w:val="clear" w:color="auto" w:fill="auto"/>
            <w:noWrap/>
            <w:vAlign w:val="bottom"/>
            <w:hideMark/>
          </w:tcPr>
          <w:p w14:paraId="630FCA4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0.25 (0.17-0.37)** </w:t>
            </w:r>
          </w:p>
        </w:tc>
        <w:tc>
          <w:tcPr>
            <w:tcW w:w="516" w:type="pct"/>
            <w:tcBorders>
              <w:top w:val="nil"/>
              <w:left w:val="nil"/>
              <w:bottom w:val="nil"/>
              <w:right w:val="nil"/>
            </w:tcBorders>
            <w:shd w:val="clear" w:color="auto" w:fill="auto"/>
            <w:noWrap/>
            <w:vAlign w:val="bottom"/>
            <w:hideMark/>
          </w:tcPr>
          <w:p w14:paraId="6FD0CCA1"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0.21 (0.16-0.29)** </w:t>
            </w:r>
          </w:p>
        </w:tc>
        <w:tc>
          <w:tcPr>
            <w:tcW w:w="502" w:type="pct"/>
            <w:tcBorders>
              <w:top w:val="nil"/>
              <w:left w:val="nil"/>
              <w:bottom w:val="nil"/>
              <w:right w:val="nil"/>
            </w:tcBorders>
            <w:shd w:val="clear" w:color="auto" w:fill="auto"/>
            <w:noWrap/>
            <w:vAlign w:val="bottom"/>
            <w:hideMark/>
          </w:tcPr>
          <w:p w14:paraId="38472277"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0.55 (0.24-1.28)</w:t>
            </w:r>
          </w:p>
        </w:tc>
        <w:tc>
          <w:tcPr>
            <w:tcW w:w="516" w:type="pct"/>
            <w:tcBorders>
              <w:top w:val="nil"/>
              <w:left w:val="nil"/>
              <w:bottom w:val="nil"/>
              <w:right w:val="nil"/>
            </w:tcBorders>
            <w:shd w:val="clear" w:color="auto" w:fill="auto"/>
            <w:noWrap/>
            <w:vAlign w:val="bottom"/>
            <w:hideMark/>
          </w:tcPr>
          <w:p w14:paraId="1C021150"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0.13 (0.08-0.20)** </w:t>
            </w:r>
          </w:p>
        </w:tc>
        <w:tc>
          <w:tcPr>
            <w:tcW w:w="546" w:type="pct"/>
            <w:tcBorders>
              <w:top w:val="nil"/>
              <w:left w:val="nil"/>
              <w:bottom w:val="nil"/>
              <w:right w:val="nil"/>
            </w:tcBorders>
            <w:shd w:val="clear" w:color="auto" w:fill="auto"/>
            <w:noWrap/>
            <w:vAlign w:val="bottom"/>
            <w:hideMark/>
          </w:tcPr>
          <w:p w14:paraId="165EFAFD"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0.13 (0.08-0.22)** </w:t>
            </w:r>
          </w:p>
        </w:tc>
        <w:tc>
          <w:tcPr>
            <w:tcW w:w="502" w:type="pct"/>
            <w:tcBorders>
              <w:top w:val="nil"/>
              <w:left w:val="nil"/>
              <w:bottom w:val="nil"/>
              <w:right w:val="nil"/>
            </w:tcBorders>
            <w:shd w:val="clear" w:color="auto" w:fill="auto"/>
            <w:noWrap/>
            <w:vAlign w:val="bottom"/>
            <w:hideMark/>
          </w:tcPr>
          <w:p w14:paraId="54CF75F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0.07 (0.06-0.10)**</w:t>
            </w:r>
          </w:p>
        </w:tc>
        <w:tc>
          <w:tcPr>
            <w:tcW w:w="529" w:type="pct"/>
            <w:tcBorders>
              <w:top w:val="nil"/>
              <w:left w:val="nil"/>
              <w:bottom w:val="nil"/>
              <w:right w:val="nil"/>
            </w:tcBorders>
            <w:shd w:val="clear" w:color="auto" w:fill="auto"/>
            <w:noWrap/>
            <w:vAlign w:val="bottom"/>
            <w:hideMark/>
          </w:tcPr>
          <w:p w14:paraId="35EDEF42"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0.15 (0.12-0.20)**</w:t>
            </w:r>
          </w:p>
        </w:tc>
      </w:tr>
      <w:tr w:rsidR="00436924" w:rsidRPr="00AD50C0" w14:paraId="519AD6AC" w14:textId="77777777" w:rsidTr="000E494A">
        <w:trPr>
          <w:trHeight w:val="230"/>
        </w:trPr>
        <w:tc>
          <w:tcPr>
            <w:tcW w:w="857" w:type="pct"/>
            <w:tcBorders>
              <w:top w:val="nil"/>
              <w:left w:val="nil"/>
              <w:bottom w:val="nil"/>
              <w:right w:val="nil"/>
            </w:tcBorders>
            <w:shd w:val="clear" w:color="auto" w:fill="auto"/>
            <w:noWrap/>
            <w:vAlign w:val="bottom"/>
            <w:hideMark/>
          </w:tcPr>
          <w:p w14:paraId="22145261"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Sex:</w:t>
            </w:r>
          </w:p>
        </w:tc>
        <w:tc>
          <w:tcPr>
            <w:tcW w:w="516" w:type="pct"/>
            <w:tcBorders>
              <w:top w:val="nil"/>
              <w:left w:val="nil"/>
              <w:bottom w:val="nil"/>
              <w:right w:val="nil"/>
            </w:tcBorders>
            <w:shd w:val="clear" w:color="auto" w:fill="auto"/>
            <w:noWrap/>
            <w:vAlign w:val="bottom"/>
            <w:hideMark/>
          </w:tcPr>
          <w:p w14:paraId="00A91BFF"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72A3C76C"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10266683"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2C375A60"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6292E3D9"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383BE6E8"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6D161B69"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04266FC7"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57A9B972" w14:textId="77777777" w:rsidTr="000E494A">
        <w:trPr>
          <w:trHeight w:val="230"/>
        </w:trPr>
        <w:tc>
          <w:tcPr>
            <w:tcW w:w="857" w:type="pct"/>
            <w:tcBorders>
              <w:top w:val="nil"/>
              <w:left w:val="nil"/>
              <w:bottom w:val="nil"/>
              <w:right w:val="nil"/>
            </w:tcBorders>
            <w:shd w:val="clear" w:color="auto" w:fill="auto"/>
            <w:noWrap/>
            <w:vAlign w:val="bottom"/>
            <w:hideMark/>
          </w:tcPr>
          <w:p w14:paraId="3C2A52DC"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Male</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3EB99B9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719399C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467EFC3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109DFE1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18291F08"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7C98409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77F37E2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533C9EE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6CACCB69" w14:textId="77777777" w:rsidTr="000E494A">
        <w:trPr>
          <w:trHeight w:val="230"/>
        </w:trPr>
        <w:tc>
          <w:tcPr>
            <w:tcW w:w="857" w:type="pct"/>
            <w:tcBorders>
              <w:top w:val="nil"/>
              <w:left w:val="nil"/>
              <w:bottom w:val="nil"/>
              <w:right w:val="nil"/>
            </w:tcBorders>
            <w:shd w:val="clear" w:color="auto" w:fill="auto"/>
            <w:noWrap/>
            <w:vAlign w:val="bottom"/>
            <w:hideMark/>
          </w:tcPr>
          <w:p w14:paraId="253C31F8"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Female</w:t>
            </w:r>
          </w:p>
        </w:tc>
        <w:tc>
          <w:tcPr>
            <w:tcW w:w="516" w:type="pct"/>
            <w:tcBorders>
              <w:top w:val="nil"/>
              <w:left w:val="nil"/>
              <w:bottom w:val="nil"/>
              <w:right w:val="nil"/>
            </w:tcBorders>
            <w:shd w:val="clear" w:color="auto" w:fill="auto"/>
            <w:noWrap/>
            <w:vAlign w:val="bottom"/>
            <w:hideMark/>
          </w:tcPr>
          <w:p w14:paraId="1155AB9F"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2.47 (2.08-2.93)**</w:t>
            </w:r>
          </w:p>
        </w:tc>
        <w:tc>
          <w:tcPr>
            <w:tcW w:w="516" w:type="pct"/>
            <w:tcBorders>
              <w:top w:val="nil"/>
              <w:left w:val="nil"/>
              <w:bottom w:val="nil"/>
              <w:right w:val="nil"/>
            </w:tcBorders>
            <w:shd w:val="clear" w:color="auto" w:fill="auto"/>
            <w:noWrap/>
            <w:vAlign w:val="bottom"/>
            <w:hideMark/>
          </w:tcPr>
          <w:p w14:paraId="1EA5B2E7"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2.20 (1.86-2.61)** </w:t>
            </w:r>
          </w:p>
        </w:tc>
        <w:tc>
          <w:tcPr>
            <w:tcW w:w="516" w:type="pct"/>
            <w:tcBorders>
              <w:top w:val="nil"/>
              <w:left w:val="nil"/>
              <w:bottom w:val="nil"/>
              <w:right w:val="nil"/>
            </w:tcBorders>
            <w:shd w:val="clear" w:color="auto" w:fill="auto"/>
            <w:noWrap/>
            <w:vAlign w:val="bottom"/>
            <w:hideMark/>
          </w:tcPr>
          <w:p w14:paraId="55CD0DF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2.37 (2.10-2.68)** </w:t>
            </w:r>
          </w:p>
        </w:tc>
        <w:tc>
          <w:tcPr>
            <w:tcW w:w="502" w:type="pct"/>
            <w:tcBorders>
              <w:top w:val="nil"/>
              <w:left w:val="nil"/>
              <w:bottom w:val="nil"/>
              <w:right w:val="nil"/>
            </w:tcBorders>
            <w:shd w:val="clear" w:color="auto" w:fill="auto"/>
            <w:noWrap/>
            <w:vAlign w:val="bottom"/>
            <w:hideMark/>
          </w:tcPr>
          <w:p w14:paraId="369E034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2.48 (1.80-3.41)**</w:t>
            </w:r>
          </w:p>
        </w:tc>
        <w:tc>
          <w:tcPr>
            <w:tcW w:w="516" w:type="pct"/>
            <w:tcBorders>
              <w:top w:val="nil"/>
              <w:left w:val="nil"/>
              <w:bottom w:val="nil"/>
              <w:right w:val="nil"/>
            </w:tcBorders>
            <w:shd w:val="clear" w:color="auto" w:fill="auto"/>
            <w:noWrap/>
            <w:vAlign w:val="bottom"/>
            <w:hideMark/>
          </w:tcPr>
          <w:p w14:paraId="66F1150F"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1.48 (1.17-1.88)** </w:t>
            </w:r>
          </w:p>
        </w:tc>
        <w:tc>
          <w:tcPr>
            <w:tcW w:w="546" w:type="pct"/>
            <w:tcBorders>
              <w:top w:val="nil"/>
              <w:left w:val="nil"/>
              <w:bottom w:val="nil"/>
              <w:right w:val="nil"/>
            </w:tcBorders>
            <w:shd w:val="clear" w:color="auto" w:fill="auto"/>
            <w:noWrap/>
            <w:vAlign w:val="bottom"/>
            <w:hideMark/>
          </w:tcPr>
          <w:p w14:paraId="49C1BEDC"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2.00 (1.69-2.35)** </w:t>
            </w:r>
          </w:p>
        </w:tc>
        <w:tc>
          <w:tcPr>
            <w:tcW w:w="502" w:type="pct"/>
            <w:tcBorders>
              <w:top w:val="nil"/>
              <w:left w:val="nil"/>
              <w:bottom w:val="nil"/>
              <w:right w:val="nil"/>
            </w:tcBorders>
            <w:shd w:val="clear" w:color="auto" w:fill="auto"/>
            <w:noWrap/>
            <w:vAlign w:val="bottom"/>
            <w:hideMark/>
          </w:tcPr>
          <w:p w14:paraId="28C3D2A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2.51 (2.23-2.83)**</w:t>
            </w:r>
          </w:p>
        </w:tc>
        <w:tc>
          <w:tcPr>
            <w:tcW w:w="529" w:type="pct"/>
            <w:tcBorders>
              <w:top w:val="nil"/>
              <w:left w:val="nil"/>
              <w:bottom w:val="nil"/>
              <w:right w:val="nil"/>
            </w:tcBorders>
            <w:shd w:val="clear" w:color="auto" w:fill="auto"/>
            <w:noWrap/>
            <w:vAlign w:val="bottom"/>
            <w:hideMark/>
          </w:tcPr>
          <w:p w14:paraId="7B75AE4D"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4.25 (3.78-4.78)**</w:t>
            </w:r>
          </w:p>
        </w:tc>
      </w:tr>
      <w:tr w:rsidR="00436924" w:rsidRPr="00AD50C0" w14:paraId="5873DBBC" w14:textId="77777777" w:rsidTr="000E494A">
        <w:trPr>
          <w:trHeight w:val="230"/>
        </w:trPr>
        <w:tc>
          <w:tcPr>
            <w:tcW w:w="857" w:type="pct"/>
            <w:tcBorders>
              <w:top w:val="nil"/>
              <w:left w:val="nil"/>
              <w:bottom w:val="nil"/>
              <w:right w:val="nil"/>
            </w:tcBorders>
            <w:shd w:val="clear" w:color="auto" w:fill="auto"/>
            <w:noWrap/>
            <w:vAlign w:val="bottom"/>
            <w:hideMark/>
          </w:tcPr>
          <w:p w14:paraId="3C047CB2"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Ethnicity:</w:t>
            </w:r>
          </w:p>
        </w:tc>
        <w:tc>
          <w:tcPr>
            <w:tcW w:w="516" w:type="pct"/>
            <w:tcBorders>
              <w:top w:val="nil"/>
              <w:left w:val="nil"/>
              <w:bottom w:val="nil"/>
              <w:right w:val="nil"/>
            </w:tcBorders>
            <w:shd w:val="clear" w:color="auto" w:fill="auto"/>
            <w:noWrap/>
            <w:vAlign w:val="bottom"/>
            <w:hideMark/>
          </w:tcPr>
          <w:p w14:paraId="133094C1"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49C76CA8"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02A039E2"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7D94634"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45670E16"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1D9440A1"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B8023C6"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5DE9411D"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2847F13A" w14:textId="77777777" w:rsidTr="000E494A">
        <w:trPr>
          <w:trHeight w:val="230"/>
        </w:trPr>
        <w:tc>
          <w:tcPr>
            <w:tcW w:w="857" w:type="pct"/>
            <w:tcBorders>
              <w:top w:val="nil"/>
              <w:left w:val="nil"/>
              <w:bottom w:val="nil"/>
              <w:right w:val="nil"/>
            </w:tcBorders>
            <w:shd w:val="clear" w:color="auto" w:fill="auto"/>
            <w:noWrap/>
            <w:vAlign w:val="bottom"/>
            <w:hideMark/>
          </w:tcPr>
          <w:p w14:paraId="6FC1B235"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White</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74DE7F3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16C2FA1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5100CBC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2696441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6DBF2C6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5A174388"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4986A99F"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4E26243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12BB6418" w14:textId="77777777" w:rsidTr="000E494A">
        <w:trPr>
          <w:trHeight w:val="230"/>
        </w:trPr>
        <w:tc>
          <w:tcPr>
            <w:tcW w:w="857" w:type="pct"/>
            <w:tcBorders>
              <w:top w:val="nil"/>
              <w:left w:val="nil"/>
              <w:bottom w:val="nil"/>
              <w:right w:val="nil"/>
            </w:tcBorders>
            <w:shd w:val="clear" w:color="auto" w:fill="auto"/>
            <w:noWrap/>
            <w:vAlign w:val="bottom"/>
            <w:hideMark/>
          </w:tcPr>
          <w:p w14:paraId="6AFE0E17"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BAME</w:t>
            </w:r>
          </w:p>
        </w:tc>
        <w:tc>
          <w:tcPr>
            <w:tcW w:w="516" w:type="pct"/>
            <w:tcBorders>
              <w:top w:val="nil"/>
              <w:left w:val="nil"/>
              <w:bottom w:val="nil"/>
              <w:right w:val="nil"/>
            </w:tcBorders>
            <w:shd w:val="clear" w:color="auto" w:fill="auto"/>
            <w:noWrap/>
            <w:vAlign w:val="bottom"/>
            <w:hideMark/>
          </w:tcPr>
          <w:p w14:paraId="2F6F8842"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1.17 (0.93-1.48)</w:t>
            </w:r>
          </w:p>
        </w:tc>
        <w:tc>
          <w:tcPr>
            <w:tcW w:w="516" w:type="pct"/>
            <w:tcBorders>
              <w:top w:val="nil"/>
              <w:left w:val="nil"/>
              <w:bottom w:val="nil"/>
              <w:right w:val="nil"/>
            </w:tcBorders>
            <w:shd w:val="clear" w:color="auto" w:fill="auto"/>
            <w:noWrap/>
            <w:vAlign w:val="bottom"/>
            <w:hideMark/>
          </w:tcPr>
          <w:p w14:paraId="64CB283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1.11 (0.83-1.48) </w:t>
            </w:r>
          </w:p>
        </w:tc>
        <w:tc>
          <w:tcPr>
            <w:tcW w:w="516" w:type="pct"/>
            <w:tcBorders>
              <w:top w:val="nil"/>
              <w:left w:val="nil"/>
              <w:bottom w:val="nil"/>
              <w:right w:val="nil"/>
            </w:tcBorders>
            <w:shd w:val="clear" w:color="auto" w:fill="auto"/>
            <w:noWrap/>
            <w:vAlign w:val="bottom"/>
            <w:hideMark/>
          </w:tcPr>
          <w:p w14:paraId="60D2907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1.14 (0.90-1.43) </w:t>
            </w:r>
          </w:p>
        </w:tc>
        <w:tc>
          <w:tcPr>
            <w:tcW w:w="502" w:type="pct"/>
            <w:tcBorders>
              <w:top w:val="nil"/>
              <w:left w:val="nil"/>
              <w:bottom w:val="nil"/>
              <w:right w:val="nil"/>
            </w:tcBorders>
            <w:shd w:val="clear" w:color="auto" w:fill="auto"/>
            <w:noWrap/>
            <w:vAlign w:val="bottom"/>
            <w:hideMark/>
          </w:tcPr>
          <w:p w14:paraId="08FCC77A"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1.07 (0.68-1.70)</w:t>
            </w:r>
          </w:p>
        </w:tc>
        <w:tc>
          <w:tcPr>
            <w:tcW w:w="516" w:type="pct"/>
            <w:tcBorders>
              <w:top w:val="nil"/>
              <w:left w:val="nil"/>
              <w:bottom w:val="nil"/>
              <w:right w:val="nil"/>
            </w:tcBorders>
            <w:shd w:val="clear" w:color="auto" w:fill="auto"/>
            <w:noWrap/>
            <w:vAlign w:val="bottom"/>
            <w:hideMark/>
          </w:tcPr>
          <w:p w14:paraId="647D472B"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1.09 (0.74-1.61) </w:t>
            </w:r>
          </w:p>
        </w:tc>
        <w:tc>
          <w:tcPr>
            <w:tcW w:w="546" w:type="pct"/>
            <w:tcBorders>
              <w:top w:val="nil"/>
              <w:left w:val="nil"/>
              <w:bottom w:val="nil"/>
              <w:right w:val="nil"/>
            </w:tcBorders>
            <w:shd w:val="clear" w:color="auto" w:fill="auto"/>
            <w:noWrap/>
            <w:vAlign w:val="bottom"/>
            <w:hideMark/>
          </w:tcPr>
          <w:p w14:paraId="35203123"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0.80 (0.54-1.18) </w:t>
            </w:r>
          </w:p>
        </w:tc>
        <w:tc>
          <w:tcPr>
            <w:tcW w:w="502" w:type="pct"/>
            <w:tcBorders>
              <w:top w:val="nil"/>
              <w:left w:val="nil"/>
              <w:bottom w:val="nil"/>
              <w:right w:val="nil"/>
            </w:tcBorders>
            <w:shd w:val="clear" w:color="auto" w:fill="auto"/>
            <w:noWrap/>
            <w:vAlign w:val="bottom"/>
            <w:hideMark/>
          </w:tcPr>
          <w:p w14:paraId="2F09D080"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1.02 (0.83-1.25)</w:t>
            </w:r>
          </w:p>
        </w:tc>
        <w:tc>
          <w:tcPr>
            <w:tcW w:w="529" w:type="pct"/>
            <w:tcBorders>
              <w:top w:val="nil"/>
              <w:left w:val="nil"/>
              <w:bottom w:val="nil"/>
              <w:right w:val="nil"/>
            </w:tcBorders>
            <w:shd w:val="clear" w:color="auto" w:fill="auto"/>
            <w:noWrap/>
            <w:vAlign w:val="bottom"/>
            <w:hideMark/>
          </w:tcPr>
          <w:p w14:paraId="26908E9A"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0.95 (0.73-1.24)</w:t>
            </w:r>
          </w:p>
        </w:tc>
      </w:tr>
      <w:tr w:rsidR="00436924" w:rsidRPr="00AD50C0" w14:paraId="322411AE" w14:textId="77777777" w:rsidTr="000E494A">
        <w:trPr>
          <w:trHeight w:val="230"/>
        </w:trPr>
        <w:tc>
          <w:tcPr>
            <w:tcW w:w="857" w:type="pct"/>
            <w:tcBorders>
              <w:top w:val="nil"/>
              <w:left w:val="nil"/>
              <w:bottom w:val="nil"/>
              <w:right w:val="nil"/>
            </w:tcBorders>
            <w:shd w:val="clear" w:color="auto" w:fill="auto"/>
            <w:noWrap/>
            <w:vAlign w:val="bottom"/>
            <w:hideMark/>
          </w:tcPr>
          <w:p w14:paraId="39FB9E66"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Employment status:</w:t>
            </w:r>
          </w:p>
        </w:tc>
        <w:tc>
          <w:tcPr>
            <w:tcW w:w="516" w:type="pct"/>
            <w:tcBorders>
              <w:top w:val="nil"/>
              <w:left w:val="nil"/>
              <w:bottom w:val="nil"/>
              <w:right w:val="nil"/>
            </w:tcBorders>
            <w:shd w:val="clear" w:color="auto" w:fill="auto"/>
            <w:noWrap/>
            <w:vAlign w:val="bottom"/>
            <w:hideMark/>
          </w:tcPr>
          <w:p w14:paraId="04F872F2"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4A5E50C1"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1F4CE7B6"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646204A9"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1F59B58B"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4F96496C"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38B895A"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2B2128B9"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2D411126" w14:textId="77777777" w:rsidTr="000E494A">
        <w:trPr>
          <w:trHeight w:val="230"/>
        </w:trPr>
        <w:tc>
          <w:tcPr>
            <w:tcW w:w="857" w:type="pct"/>
            <w:tcBorders>
              <w:top w:val="nil"/>
              <w:left w:val="nil"/>
              <w:bottom w:val="nil"/>
              <w:right w:val="nil"/>
            </w:tcBorders>
            <w:shd w:val="clear" w:color="auto" w:fill="auto"/>
            <w:noWrap/>
            <w:vAlign w:val="bottom"/>
            <w:hideMark/>
          </w:tcPr>
          <w:p w14:paraId="2CC71D33"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NEET</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6DB7F0F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44A3F97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61A70E72"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60E203A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59B4030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69E3FA3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6A02899C"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7E66150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0CA6A0D8" w14:textId="77777777" w:rsidTr="000E494A">
        <w:trPr>
          <w:trHeight w:val="230"/>
        </w:trPr>
        <w:tc>
          <w:tcPr>
            <w:tcW w:w="857" w:type="pct"/>
            <w:tcBorders>
              <w:top w:val="nil"/>
              <w:left w:val="nil"/>
              <w:bottom w:val="nil"/>
              <w:right w:val="nil"/>
            </w:tcBorders>
            <w:shd w:val="clear" w:color="auto" w:fill="auto"/>
            <w:noWrap/>
            <w:vAlign w:val="bottom"/>
            <w:hideMark/>
          </w:tcPr>
          <w:p w14:paraId="343B986D"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Disabled</w:t>
            </w:r>
          </w:p>
        </w:tc>
        <w:tc>
          <w:tcPr>
            <w:tcW w:w="516" w:type="pct"/>
            <w:tcBorders>
              <w:top w:val="nil"/>
              <w:left w:val="nil"/>
              <w:bottom w:val="nil"/>
              <w:right w:val="nil"/>
            </w:tcBorders>
            <w:shd w:val="clear" w:color="auto" w:fill="auto"/>
            <w:noWrap/>
            <w:vAlign w:val="bottom"/>
            <w:hideMark/>
          </w:tcPr>
          <w:p w14:paraId="6D535B39"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1.18 (0.98-1.42)</w:t>
            </w:r>
          </w:p>
        </w:tc>
        <w:tc>
          <w:tcPr>
            <w:tcW w:w="516" w:type="pct"/>
            <w:tcBorders>
              <w:top w:val="nil"/>
              <w:left w:val="nil"/>
              <w:bottom w:val="nil"/>
              <w:right w:val="nil"/>
            </w:tcBorders>
            <w:shd w:val="clear" w:color="auto" w:fill="auto"/>
            <w:noWrap/>
            <w:vAlign w:val="bottom"/>
            <w:hideMark/>
          </w:tcPr>
          <w:p w14:paraId="31DF7A71"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1.04 (0.87-1.25) </w:t>
            </w:r>
          </w:p>
        </w:tc>
        <w:tc>
          <w:tcPr>
            <w:tcW w:w="516" w:type="pct"/>
            <w:tcBorders>
              <w:top w:val="nil"/>
              <w:left w:val="nil"/>
              <w:bottom w:val="nil"/>
              <w:right w:val="nil"/>
            </w:tcBorders>
            <w:shd w:val="clear" w:color="auto" w:fill="auto"/>
            <w:noWrap/>
            <w:vAlign w:val="bottom"/>
            <w:hideMark/>
          </w:tcPr>
          <w:p w14:paraId="656907B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1.04 (0.90-1.20) </w:t>
            </w:r>
          </w:p>
        </w:tc>
        <w:tc>
          <w:tcPr>
            <w:tcW w:w="502" w:type="pct"/>
            <w:tcBorders>
              <w:top w:val="nil"/>
              <w:left w:val="nil"/>
              <w:bottom w:val="nil"/>
              <w:right w:val="nil"/>
            </w:tcBorders>
            <w:shd w:val="clear" w:color="auto" w:fill="auto"/>
            <w:noWrap/>
            <w:vAlign w:val="bottom"/>
            <w:hideMark/>
          </w:tcPr>
          <w:p w14:paraId="09598F9C"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0.96 (0.66-1.41)</w:t>
            </w:r>
          </w:p>
        </w:tc>
        <w:tc>
          <w:tcPr>
            <w:tcW w:w="516" w:type="pct"/>
            <w:tcBorders>
              <w:top w:val="nil"/>
              <w:left w:val="nil"/>
              <w:bottom w:val="nil"/>
              <w:right w:val="nil"/>
            </w:tcBorders>
            <w:shd w:val="clear" w:color="auto" w:fill="auto"/>
            <w:noWrap/>
            <w:vAlign w:val="bottom"/>
            <w:hideMark/>
          </w:tcPr>
          <w:p w14:paraId="4BE719E1"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0.83 (0.65-1.06) </w:t>
            </w:r>
          </w:p>
        </w:tc>
        <w:tc>
          <w:tcPr>
            <w:tcW w:w="546" w:type="pct"/>
            <w:tcBorders>
              <w:top w:val="nil"/>
              <w:left w:val="nil"/>
              <w:bottom w:val="nil"/>
              <w:right w:val="nil"/>
            </w:tcBorders>
            <w:shd w:val="clear" w:color="auto" w:fill="auto"/>
            <w:noWrap/>
            <w:vAlign w:val="bottom"/>
            <w:hideMark/>
          </w:tcPr>
          <w:p w14:paraId="7BD8AE24"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0.97 (0.79-1.18) </w:t>
            </w:r>
          </w:p>
        </w:tc>
        <w:tc>
          <w:tcPr>
            <w:tcW w:w="502" w:type="pct"/>
            <w:tcBorders>
              <w:top w:val="nil"/>
              <w:left w:val="nil"/>
              <w:bottom w:val="nil"/>
              <w:right w:val="nil"/>
            </w:tcBorders>
            <w:shd w:val="clear" w:color="auto" w:fill="auto"/>
            <w:noWrap/>
            <w:vAlign w:val="bottom"/>
            <w:hideMark/>
          </w:tcPr>
          <w:p w14:paraId="429DA060"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0.93 (0.81-1.05)</w:t>
            </w:r>
          </w:p>
        </w:tc>
        <w:tc>
          <w:tcPr>
            <w:tcW w:w="529" w:type="pct"/>
            <w:tcBorders>
              <w:top w:val="nil"/>
              <w:left w:val="nil"/>
              <w:bottom w:val="nil"/>
              <w:right w:val="nil"/>
            </w:tcBorders>
            <w:shd w:val="clear" w:color="auto" w:fill="auto"/>
            <w:noWrap/>
            <w:vAlign w:val="bottom"/>
            <w:hideMark/>
          </w:tcPr>
          <w:p w14:paraId="341E621C"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1.05 (0.93-1.19)</w:t>
            </w:r>
          </w:p>
        </w:tc>
      </w:tr>
      <w:tr w:rsidR="00436924" w:rsidRPr="00AD50C0" w14:paraId="5D97FDCC" w14:textId="77777777" w:rsidTr="000E494A">
        <w:trPr>
          <w:trHeight w:val="230"/>
        </w:trPr>
        <w:tc>
          <w:tcPr>
            <w:tcW w:w="857" w:type="pct"/>
            <w:tcBorders>
              <w:top w:val="nil"/>
              <w:left w:val="nil"/>
              <w:bottom w:val="nil"/>
              <w:right w:val="nil"/>
            </w:tcBorders>
            <w:shd w:val="clear" w:color="auto" w:fill="auto"/>
            <w:noWrap/>
            <w:vAlign w:val="bottom"/>
            <w:hideMark/>
          </w:tcPr>
          <w:p w14:paraId="6F753BAF"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EET</w:t>
            </w:r>
          </w:p>
        </w:tc>
        <w:tc>
          <w:tcPr>
            <w:tcW w:w="516" w:type="pct"/>
            <w:tcBorders>
              <w:top w:val="nil"/>
              <w:left w:val="nil"/>
              <w:bottom w:val="nil"/>
              <w:right w:val="nil"/>
            </w:tcBorders>
            <w:shd w:val="clear" w:color="auto" w:fill="auto"/>
            <w:noWrap/>
            <w:vAlign w:val="bottom"/>
            <w:hideMark/>
          </w:tcPr>
          <w:p w14:paraId="7F7F91C5"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0.55 (0.46-0.67)**</w:t>
            </w:r>
          </w:p>
        </w:tc>
        <w:tc>
          <w:tcPr>
            <w:tcW w:w="516" w:type="pct"/>
            <w:tcBorders>
              <w:top w:val="nil"/>
              <w:left w:val="nil"/>
              <w:bottom w:val="nil"/>
              <w:right w:val="nil"/>
            </w:tcBorders>
            <w:shd w:val="clear" w:color="auto" w:fill="auto"/>
            <w:noWrap/>
            <w:vAlign w:val="bottom"/>
            <w:hideMark/>
          </w:tcPr>
          <w:p w14:paraId="5C0833A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0.46 (0.38-0.56)** </w:t>
            </w:r>
          </w:p>
        </w:tc>
        <w:tc>
          <w:tcPr>
            <w:tcW w:w="516" w:type="pct"/>
            <w:tcBorders>
              <w:top w:val="nil"/>
              <w:left w:val="nil"/>
              <w:bottom w:val="nil"/>
              <w:right w:val="nil"/>
            </w:tcBorders>
            <w:shd w:val="clear" w:color="auto" w:fill="auto"/>
            <w:noWrap/>
            <w:vAlign w:val="bottom"/>
            <w:hideMark/>
          </w:tcPr>
          <w:p w14:paraId="41B2FFC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0.33 (0.28-0.39)** </w:t>
            </w:r>
          </w:p>
        </w:tc>
        <w:tc>
          <w:tcPr>
            <w:tcW w:w="502" w:type="pct"/>
            <w:tcBorders>
              <w:top w:val="nil"/>
              <w:left w:val="nil"/>
              <w:bottom w:val="nil"/>
              <w:right w:val="nil"/>
            </w:tcBorders>
            <w:shd w:val="clear" w:color="auto" w:fill="auto"/>
            <w:noWrap/>
            <w:vAlign w:val="bottom"/>
            <w:hideMark/>
          </w:tcPr>
          <w:p w14:paraId="0B0AB11D"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0.47 (0.31-0.72)**</w:t>
            </w:r>
          </w:p>
        </w:tc>
        <w:tc>
          <w:tcPr>
            <w:tcW w:w="516" w:type="pct"/>
            <w:tcBorders>
              <w:top w:val="nil"/>
              <w:left w:val="nil"/>
              <w:bottom w:val="nil"/>
              <w:right w:val="nil"/>
            </w:tcBorders>
            <w:shd w:val="clear" w:color="auto" w:fill="auto"/>
            <w:noWrap/>
            <w:vAlign w:val="bottom"/>
            <w:hideMark/>
          </w:tcPr>
          <w:p w14:paraId="34394DC6"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1.05 (0.81-1.35) </w:t>
            </w:r>
          </w:p>
        </w:tc>
        <w:tc>
          <w:tcPr>
            <w:tcW w:w="546" w:type="pct"/>
            <w:tcBorders>
              <w:top w:val="nil"/>
              <w:left w:val="nil"/>
              <w:bottom w:val="nil"/>
              <w:right w:val="nil"/>
            </w:tcBorders>
            <w:shd w:val="clear" w:color="auto" w:fill="auto"/>
            <w:noWrap/>
            <w:vAlign w:val="bottom"/>
            <w:hideMark/>
          </w:tcPr>
          <w:p w14:paraId="15696D2A"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0.98 (0.77-1.24) </w:t>
            </w:r>
          </w:p>
        </w:tc>
        <w:tc>
          <w:tcPr>
            <w:tcW w:w="502" w:type="pct"/>
            <w:tcBorders>
              <w:top w:val="nil"/>
              <w:left w:val="nil"/>
              <w:bottom w:val="nil"/>
              <w:right w:val="nil"/>
            </w:tcBorders>
            <w:shd w:val="clear" w:color="auto" w:fill="auto"/>
            <w:noWrap/>
            <w:vAlign w:val="bottom"/>
            <w:hideMark/>
          </w:tcPr>
          <w:p w14:paraId="088D9BA2"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0.69 (0.59-0.80)**</w:t>
            </w:r>
          </w:p>
        </w:tc>
        <w:tc>
          <w:tcPr>
            <w:tcW w:w="529" w:type="pct"/>
            <w:tcBorders>
              <w:top w:val="nil"/>
              <w:left w:val="nil"/>
              <w:bottom w:val="nil"/>
              <w:right w:val="nil"/>
            </w:tcBorders>
            <w:shd w:val="clear" w:color="auto" w:fill="auto"/>
            <w:noWrap/>
            <w:vAlign w:val="bottom"/>
            <w:hideMark/>
          </w:tcPr>
          <w:p w14:paraId="3B98523F"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0.50 (0.42-0.59)**</w:t>
            </w:r>
          </w:p>
        </w:tc>
      </w:tr>
      <w:tr w:rsidR="00436924" w:rsidRPr="00AD50C0" w14:paraId="080C4574" w14:textId="77777777" w:rsidTr="000E494A">
        <w:trPr>
          <w:trHeight w:val="230"/>
        </w:trPr>
        <w:tc>
          <w:tcPr>
            <w:tcW w:w="857" w:type="pct"/>
            <w:tcBorders>
              <w:top w:val="nil"/>
              <w:left w:val="nil"/>
              <w:bottom w:val="nil"/>
              <w:right w:val="nil"/>
            </w:tcBorders>
            <w:shd w:val="clear" w:color="auto" w:fill="auto"/>
            <w:noWrap/>
            <w:vAlign w:val="bottom"/>
            <w:hideMark/>
          </w:tcPr>
          <w:p w14:paraId="2AF05CD1"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Housing status:</w:t>
            </w:r>
          </w:p>
        </w:tc>
        <w:tc>
          <w:tcPr>
            <w:tcW w:w="516" w:type="pct"/>
            <w:tcBorders>
              <w:top w:val="nil"/>
              <w:left w:val="nil"/>
              <w:bottom w:val="nil"/>
              <w:right w:val="nil"/>
            </w:tcBorders>
            <w:shd w:val="clear" w:color="auto" w:fill="auto"/>
            <w:noWrap/>
            <w:vAlign w:val="bottom"/>
            <w:hideMark/>
          </w:tcPr>
          <w:p w14:paraId="6225925E"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566D152F"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31D2A1A3"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788FC3D3"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3E587F25"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64129444"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37CEEF23"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18B8E3EA"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196BA284" w14:textId="77777777" w:rsidTr="000E494A">
        <w:trPr>
          <w:trHeight w:val="230"/>
        </w:trPr>
        <w:tc>
          <w:tcPr>
            <w:tcW w:w="857" w:type="pct"/>
            <w:tcBorders>
              <w:top w:val="nil"/>
              <w:left w:val="nil"/>
              <w:bottom w:val="nil"/>
              <w:right w:val="nil"/>
            </w:tcBorders>
            <w:shd w:val="clear" w:color="auto" w:fill="auto"/>
            <w:noWrap/>
            <w:vAlign w:val="bottom"/>
            <w:hideMark/>
          </w:tcPr>
          <w:p w14:paraId="59D12484"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No housing problem</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4772D0B1"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1ABCEFF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5D4FA702"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53C6D95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0E8D6BE7"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6271295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2A4C308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47EE3B7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21766318" w14:textId="77777777" w:rsidTr="000E494A">
        <w:trPr>
          <w:trHeight w:val="230"/>
        </w:trPr>
        <w:tc>
          <w:tcPr>
            <w:tcW w:w="857" w:type="pct"/>
            <w:tcBorders>
              <w:top w:val="nil"/>
              <w:left w:val="nil"/>
              <w:bottom w:val="nil"/>
              <w:right w:val="nil"/>
            </w:tcBorders>
            <w:shd w:val="clear" w:color="auto" w:fill="auto"/>
            <w:noWrap/>
            <w:vAlign w:val="bottom"/>
            <w:hideMark/>
          </w:tcPr>
          <w:p w14:paraId="51465F78"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lastRenderedPageBreak/>
              <w:t>NFA</w:t>
            </w:r>
          </w:p>
        </w:tc>
        <w:tc>
          <w:tcPr>
            <w:tcW w:w="516" w:type="pct"/>
            <w:tcBorders>
              <w:top w:val="nil"/>
              <w:left w:val="nil"/>
              <w:bottom w:val="nil"/>
              <w:right w:val="nil"/>
            </w:tcBorders>
            <w:shd w:val="clear" w:color="auto" w:fill="auto"/>
            <w:noWrap/>
            <w:vAlign w:val="bottom"/>
            <w:hideMark/>
          </w:tcPr>
          <w:p w14:paraId="13C95D4E"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1.46 (0.80-2.66)</w:t>
            </w:r>
          </w:p>
        </w:tc>
        <w:tc>
          <w:tcPr>
            <w:tcW w:w="516" w:type="pct"/>
            <w:tcBorders>
              <w:top w:val="nil"/>
              <w:left w:val="nil"/>
              <w:bottom w:val="nil"/>
              <w:right w:val="nil"/>
            </w:tcBorders>
            <w:shd w:val="clear" w:color="auto" w:fill="auto"/>
            <w:noWrap/>
            <w:vAlign w:val="bottom"/>
            <w:hideMark/>
          </w:tcPr>
          <w:p w14:paraId="2F0D4397"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1.71 (1.00-2.94) </w:t>
            </w:r>
          </w:p>
        </w:tc>
        <w:tc>
          <w:tcPr>
            <w:tcW w:w="516" w:type="pct"/>
            <w:tcBorders>
              <w:top w:val="nil"/>
              <w:left w:val="nil"/>
              <w:bottom w:val="nil"/>
              <w:right w:val="nil"/>
            </w:tcBorders>
            <w:shd w:val="clear" w:color="auto" w:fill="auto"/>
            <w:noWrap/>
            <w:vAlign w:val="bottom"/>
            <w:hideMark/>
          </w:tcPr>
          <w:p w14:paraId="2AE6D1EC"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1.60 (0.91-2.79) </w:t>
            </w:r>
          </w:p>
        </w:tc>
        <w:tc>
          <w:tcPr>
            <w:tcW w:w="502" w:type="pct"/>
            <w:tcBorders>
              <w:top w:val="nil"/>
              <w:left w:val="nil"/>
              <w:bottom w:val="nil"/>
              <w:right w:val="nil"/>
            </w:tcBorders>
            <w:shd w:val="clear" w:color="auto" w:fill="auto"/>
            <w:noWrap/>
            <w:vAlign w:val="bottom"/>
            <w:hideMark/>
          </w:tcPr>
          <w:p w14:paraId="74100AF2"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1.34 (0.52-3.48)</w:t>
            </w:r>
          </w:p>
        </w:tc>
        <w:tc>
          <w:tcPr>
            <w:tcW w:w="516" w:type="pct"/>
            <w:tcBorders>
              <w:top w:val="nil"/>
              <w:left w:val="nil"/>
              <w:bottom w:val="nil"/>
              <w:right w:val="nil"/>
            </w:tcBorders>
            <w:shd w:val="clear" w:color="auto" w:fill="auto"/>
            <w:noWrap/>
            <w:vAlign w:val="bottom"/>
            <w:hideMark/>
          </w:tcPr>
          <w:p w14:paraId="2680D94E"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0.64 (0.42-0.98)* </w:t>
            </w:r>
          </w:p>
        </w:tc>
        <w:tc>
          <w:tcPr>
            <w:tcW w:w="546" w:type="pct"/>
            <w:tcBorders>
              <w:top w:val="nil"/>
              <w:left w:val="nil"/>
              <w:bottom w:val="nil"/>
              <w:right w:val="nil"/>
            </w:tcBorders>
            <w:shd w:val="clear" w:color="auto" w:fill="auto"/>
            <w:noWrap/>
            <w:vAlign w:val="bottom"/>
            <w:hideMark/>
          </w:tcPr>
          <w:p w14:paraId="381D54B0"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1.20 (0.92-1.58) </w:t>
            </w:r>
          </w:p>
        </w:tc>
        <w:tc>
          <w:tcPr>
            <w:tcW w:w="502" w:type="pct"/>
            <w:tcBorders>
              <w:top w:val="nil"/>
              <w:left w:val="nil"/>
              <w:bottom w:val="nil"/>
              <w:right w:val="nil"/>
            </w:tcBorders>
            <w:shd w:val="clear" w:color="auto" w:fill="auto"/>
            <w:noWrap/>
            <w:vAlign w:val="bottom"/>
            <w:hideMark/>
          </w:tcPr>
          <w:p w14:paraId="5846A520"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1.07 (0.91-1.27)</w:t>
            </w:r>
          </w:p>
        </w:tc>
        <w:tc>
          <w:tcPr>
            <w:tcW w:w="529" w:type="pct"/>
            <w:tcBorders>
              <w:top w:val="nil"/>
              <w:left w:val="nil"/>
              <w:bottom w:val="nil"/>
              <w:right w:val="nil"/>
            </w:tcBorders>
            <w:shd w:val="clear" w:color="auto" w:fill="auto"/>
            <w:noWrap/>
            <w:vAlign w:val="bottom"/>
            <w:hideMark/>
          </w:tcPr>
          <w:p w14:paraId="29399784"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1.12 (0.96-1.29)</w:t>
            </w:r>
          </w:p>
        </w:tc>
      </w:tr>
      <w:tr w:rsidR="00436924" w:rsidRPr="00AD50C0" w14:paraId="314F4745" w14:textId="77777777" w:rsidTr="000E494A">
        <w:trPr>
          <w:trHeight w:val="230"/>
        </w:trPr>
        <w:tc>
          <w:tcPr>
            <w:tcW w:w="857" w:type="pct"/>
            <w:tcBorders>
              <w:top w:val="nil"/>
              <w:left w:val="nil"/>
              <w:bottom w:val="nil"/>
              <w:right w:val="nil"/>
            </w:tcBorders>
            <w:shd w:val="clear" w:color="auto" w:fill="auto"/>
            <w:noWrap/>
            <w:vAlign w:val="bottom"/>
            <w:hideMark/>
          </w:tcPr>
          <w:p w14:paraId="55C455C7"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Housing problem</w:t>
            </w:r>
          </w:p>
        </w:tc>
        <w:tc>
          <w:tcPr>
            <w:tcW w:w="516" w:type="pct"/>
            <w:tcBorders>
              <w:top w:val="nil"/>
              <w:left w:val="nil"/>
              <w:bottom w:val="nil"/>
              <w:right w:val="nil"/>
            </w:tcBorders>
            <w:shd w:val="clear" w:color="auto" w:fill="auto"/>
            <w:noWrap/>
            <w:vAlign w:val="bottom"/>
            <w:hideMark/>
          </w:tcPr>
          <w:p w14:paraId="681B86C3"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1.36 (1.03-1.79)*</w:t>
            </w:r>
          </w:p>
        </w:tc>
        <w:tc>
          <w:tcPr>
            <w:tcW w:w="516" w:type="pct"/>
            <w:tcBorders>
              <w:top w:val="nil"/>
              <w:left w:val="nil"/>
              <w:bottom w:val="nil"/>
              <w:right w:val="nil"/>
            </w:tcBorders>
            <w:shd w:val="clear" w:color="auto" w:fill="auto"/>
            <w:noWrap/>
            <w:vAlign w:val="bottom"/>
            <w:hideMark/>
          </w:tcPr>
          <w:p w14:paraId="030DCE0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1.69 (1.30-2.20)** </w:t>
            </w:r>
          </w:p>
        </w:tc>
        <w:tc>
          <w:tcPr>
            <w:tcW w:w="516" w:type="pct"/>
            <w:tcBorders>
              <w:top w:val="nil"/>
              <w:left w:val="nil"/>
              <w:bottom w:val="nil"/>
              <w:right w:val="nil"/>
            </w:tcBorders>
            <w:shd w:val="clear" w:color="auto" w:fill="auto"/>
            <w:noWrap/>
            <w:vAlign w:val="bottom"/>
            <w:hideMark/>
          </w:tcPr>
          <w:p w14:paraId="43A54DD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1.93 (1.58-2.35)** </w:t>
            </w:r>
          </w:p>
        </w:tc>
        <w:tc>
          <w:tcPr>
            <w:tcW w:w="502" w:type="pct"/>
            <w:tcBorders>
              <w:top w:val="nil"/>
              <w:left w:val="nil"/>
              <w:bottom w:val="nil"/>
              <w:right w:val="nil"/>
            </w:tcBorders>
            <w:shd w:val="clear" w:color="auto" w:fill="auto"/>
            <w:noWrap/>
            <w:vAlign w:val="bottom"/>
            <w:hideMark/>
          </w:tcPr>
          <w:p w14:paraId="37A8EC08"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2.24 (1.45-3.44)**</w:t>
            </w:r>
          </w:p>
        </w:tc>
        <w:tc>
          <w:tcPr>
            <w:tcW w:w="516" w:type="pct"/>
            <w:tcBorders>
              <w:top w:val="nil"/>
              <w:left w:val="nil"/>
              <w:bottom w:val="nil"/>
              <w:right w:val="nil"/>
            </w:tcBorders>
            <w:shd w:val="clear" w:color="auto" w:fill="auto"/>
            <w:noWrap/>
            <w:vAlign w:val="bottom"/>
            <w:hideMark/>
          </w:tcPr>
          <w:p w14:paraId="6673CA18"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1.48 (1.18-1.86)** </w:t>
            </w:r>
          </w:p>
        </w:tc>
        <w:tc>
          <w:tcPr>
            <w:tcW w:w="546" w:type="pct"/>
            <w:tcBorders>
              <w:top w:val="nil"/>
              <w:left w:val="nil"/>
              <w:bottom w:val="nil"/>
              <w:right w:val="nil"/>
            </w:tcBorders>
            <w:shd w:val="clear" w:color="auto" w:fill="auto"/>
            <w:noWrap/>
            <w:vAlign w:val="bottom"/>
            <w:hideMark/>
          </w:tcPr>
          <w:p w14:paraId="031CD6BC"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1.19 (0.94-1.52) </w:t>
            </w:r>
          </w:p>
        </w:tc>
        <w:tc>
          <w:tcPr>
            <w:tcW w:w="502" w:type="pct"/>
            <w:tcBorders>
              <w:top w:val="nil"/>
              <w:left w:val="nil"/>
              <w:bottom w:val="nil"/>
              <w:right w:val="nil"/>
            </w:tcBorders>
            <w:shd w:val="clear" w:color="auto" w:fill="auto"/>
            <w:noWrap/>
            <w:vAlign w:val="bottom"/>
            <w:hideMark/>
          </w:tcPr>
          <w:p w14:paraId="04669FE0"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1.34 (1.16-1.55)**</w:t>
            </w:r>
          </w:p>
        </w:tc>
        <w:tc>
          <w:tcPr>
            <w:tcW w:w="529" w:type="pct"/>
            <w:tcBorders>
              <w:top w:val="nil"/>
              <w:left w:val="nil"/>
              <w:bottom w:val="nil"/>
              <w:right w:val="nil"/>
            </w:tcBorders>
            <w:shd w:val="clear" w:color="auto" w:fill="auto"/>
            <w:noWrap/>
            <w:vAlign w:val="bottom"/>
            <w:hideMark/>
          </w:tcPr>
          <w:p w14:paraId="701002F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1.19 (1.05-1.34)**</w:t>
            </w:r>
          </w:p>
        </w:tc>
      </w:tr>
      <w:tr w:rsidR="00436924" w:rsidRPr="00AD50C0" w14:paraId="672DDC02" w14:textId="77777777" w:rsidTr="000E494A">
        <w:trPr>
          <w:trHeight w:val="230"/>
        </w:trPr>
        <w:tc>
          <w:tcPr>
            <w:tcW w:w="857" w:type="pct"/>
            <w:tcBorders>
              <w:top w:val="nil"/>
              <w:left w:val="nil"/>
              <w:bottom w:val="nil"/>
              <w:right w:val="nil"/>
            </w:tcBorders>
            <w:shd w:val="clear" w:color="auto" w:fill="auto"/>
            <w:noWrap/>
            <w:vAlign w:val="bottom"/>
            <w:hideMark/>
          </w:tcPr>
          <w:p w14:paraId="496DE294" w14:textId="77777777" w:rsidR="00436924" w:rsidRPr="00AD50C0" w:rsidRDefault="00436924" w:rsidP="000E494A">
            <w:pPr>
              <w:rPr>
                <w:rFonts w:eastAsia="Times New Roman" w:cs="Arial"/>
                <w:i/>
                <w:iCs/>
                <w:color w:val="000000"/>
                <w:sz w:val="16"/>
                <w:szCs w:val="16"/>
                <w:lang w:eastAsia="en-GB"/>
              </w:rPr>
            </w:pPr>
            <w:r w:rsidRPr="00AD50C0">
              <w:rPr>
                <w:rFonts w:eastAsia="Times New Roman" w:cs="Arial"/>
                <w:i/>
                <w:iCs/>
                <w:color w:val="000000"/>
                <w:sz w:val="16"/>
                <w:szCs w:val="16"/>
                <w:lang w:eastAsia="en-GB"/>
              </w:rPr>
              <w:t>Clinical</w:t>
            </w:r>
          </w:p>
        </w:tc>
        <w:tc>
          <w:tcPr>
            <w:tcW w:w="516" w:type="pct"/>
            <w:tcBorders>
              <w:top w:val="nil"/>
              <w:left w:val="nil"/>
              <w:bottom w:val="nil"/>
              <w:right w:val="nil"/>
            </w:tcBorders>
            <w:shd w:val="clear" w:color="auto" w:fill="auto"/>
            <w:noWrap/>
            <w:vAlign w:val="bottom"/>
            <w:hideMark/>
          </w:tcPr>
          <w:p w14:paraId="179A30AB" w14:textId="77777777" w:rsidR="00436924" w:rsidRPr="00AD50C0" w:rsidRDefault="00436924" w:rsidP="000E494A">
            <w:pPr>
              <w:rPr>
                <w:rFonts w:eastAsia="Times New Roman" w:cs="Arial"/>
                <w:i/>
                <w:iCs/>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1149CEFD"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57968298"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441CF462"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25D83469"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725F6DB1"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2001F6D"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69C289D0"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6FD5C886" w14:textId="77777777" w:rsidTr="000E494A">
        <w:trPr>
          <w:trHeight w:val="230"/>
        </w:trPr>
        <w:tc>
          <w:tcPr>
            <w:tcW w:w="857" w:type="pct"/>
            <w:tcBorders>
              <w:top w:val="nil"/>
              <w:left w:val="nil"/>
              <w:bottom w:val="nil"/>
              <w:right w:val="nil"/>
            </w:tcBorders>
            <w:shd w:val="clear" w:color="auto" w:fill="auto"/>
            <w:noWrap/>
            <w:vAlign w:val="bottom"/>
            <w:hideMark/>
          </w:tcPr>
          <w:p w14:paraId="655E24B2"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Substance:</w:t>
            </w:r>
          </w:p>
        </w:tc>
        <w:tc>
          <w:tcPr>
            <w:tcW w:w="516" w:type="pct"/>
            <w:tcBorders>
              <w:top w:val="nil"/>
              <w:left w:val="nil"/>
              <w:bottom w:val="nil"/>
              <w:right w:val="nil"/>
            </w:tcBorders>
            <w:shd w:val="clear" w:color="auto" w:fill="auto"/>
            <w:noWrap/>
            <w:vAlign w:val="bottom"/>
            <w:hideMark/>
          </w:tcPr>
          <w:p w14:paraId="67B2B70C"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4E254743"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072BB181"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32456560"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2B4EE09A"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0C0B4DCA"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28B3E9B1"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191904B1"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0C6B2860" w14:textId="77777777" w:rsidTr="000E494A">
        <w:trPr>
          <w:trHeight w:val="230"/>
        </w:trPr>
        <w:tc>
          <w:tcPr>
            <w:tcW w:w="857" w:type="pct"/>
            <w:tcBorders>
              <w:top w:val="nil"/>
              <w:left w:val="nil"/>
              <w:bottom w:val="nil"/>
              <w:right w:val="nil"/>
            </w:tcBorders>
            <w:shd w:val="clear" w:color="auto" w:fill="auto"/>
            <w:noWrap/>
            <w:vAlign w:val="bottom"/>
            <w:hideMark/>
          </w:tcPr>
          <w:p w14:paraId="777AAECB"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Non-opiate user (OU) only</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3890942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1D90D0D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57A7DFA8"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5E3C01E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3F22CF6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357B178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4E436F7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0C17E9A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67F71FE4" w14:textId="77777777" w:rsidTr="000E494A">
        <w:trPr>
          <w:trHeight w:val="230"/>
        </w:trPr>
        <w:tc>
          <w:tcPr>
            <w:tcW w:w="857" w:type="pct"/>
            <w:tcBorders>
              <w:top w:val="nil"/>
              <w:left w:val="nil"/>
              <w:bottom w:val="nil"/>
              <w:right w:val="nil"/>
            </w:tcBorders>
            <w:shd w:val="clear" w:color="auto" w:fill="auto"/>
            <w:noWrap/>
            <w:vAlign w:val="bottom"/>
            <w:hideMark/>
          </w:tcPr>
          <w:p w14:paraId="05F89EA8"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Alcohol and non-OU</w:t>
            </w:r>
          </w:p>
        </w:tc>
        <w:tc>
          <w:tcPr>
            <w:tcW w:w="516" w:type="pct"/>
            <w:tcBorders>
              <w:top w:val="nil"/>
              <w:left w:val="nil"/>
              <w:bottom w:val="nil"/>
              <w:right w:val="nil"/>
            </w:tcBorders>
            <w:shd w:val="clear" w:color="auto" w:fill="auto"/>
            <w:noWrap/>
            <w:vAlign w:val="bottom"/>
            <w:hideMark/>
          </w:tcPr>
          <w:p w14:paraId="2DEB33D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0.85 (0.66-1.11) </w:t>
            </w:r>
          </w:p>
        </w:tc>
        <w:tc>
          <w:tcPr>
            <w:tcW w:w="516" w:type="pct"/>
            <w:tcBorders>
              <w:top w:val="nil"/>
              <w:left w:val="nil"/>
              <w:bottom w:val="nil"/>
              <w:right w:val="nil"/>
            </w:tcBorders>
            <w:shd w:val="clear" w:color="auto" w:fill="auto"/>
            <w:noWrap/>
            <w:vAlign w:val="bottom"/>
            <w:hideMark/>
          </w:tcPr>
          <w:p w14:paraId="3330FB1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0.80 (0.64-1.00) </w:t>
            </w:r>
          </w:p>
        </w:tc>
        <w:tc>
          <w:tcPr>
            <w:tcW w:w="516" w:type="pct"/>
            <w:tcBorders>
              <w:top w:val="nil"/>
              <w:left w:val="nil"/>
              <w:bottom w:val="nil"/>
              <w:right w:val="nil"/>
            </w:tcBorders>
            <w:shd w:val="clear" w:color="auto" w:fill="auto"/>
            <w:noWrap/>
            <w:vAlign w:val="bottom"/>
            <w:hideMark/>
          </w:tcPr>
          <w:p w14:paraId="791DE42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0.70 (0.58-0.85)** </w:t>
            </w:r>
          </w:p>
        </w:tc>
        <w:tc>
          <w:tcPr>
            <w:tcW w:w="502" w:type="pct"/>
            <w:tcBorders>
              <w:top w:val="nil"/>
              <w:left w:val="nil"/>
              <w:bottom w:val="nil"/>
              <w:right w:val="nil"/>
            </w:tcBorders>
            <w:shd w:val="clear" w:color="auto" w:fill="auto"/>
            <w:noWrap/>
            <w:vAlign w:val="bottom"/>
            <w:hideMark/>
          </w:tcPr>
          <w:p w14:paraId="0AC729A7"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0.91 (0.52-1.59)</w:t>
            </w:r>
          </w:p>
        </w:tc>
        <w:tc>
          <w:tcPr>
            <w:tcW w:w="516" w:type="pct"/>
            <w:tcBorders>
              <w:top w:val="nil"/>
              <w:left w:val="nil"/>
              <w:bottom w:val="nil"/>
              <w:right w:val="nil"/>
            </w:tcBorders>
            <w:shd w:val="clear" w:color="auto" w:fill="auto"/>
            <w:noWrap/>
            <w:vAlign w:val="bottom"/>
            <w:hideMark/>
          </w:tcPr>
          <w:p w14:paraId="1595B207"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0.77 (0.55-1.08) </w:t>
            </w:r>
          </w:p>
        </w:tc>
        <w:tc>
          <w:tcPr>
            <w:tcW w:w="546" w:type="pct"/>
            <w:tcBorders>
              <w:top w:val="nil"/>
              <w:left w:val="nil"/>
              <w:bottom w:val="nil"/>
              <w:right w:val="nil"/>
            </w:tcBorders>
            <w:shd w:val="clear" w:color="auto" w:fill="auto"/>
            <w:noWrap/>
            <w:vAlign w:val="bottom"/>
            <w:hideMark/>
          </w:tcPr>
          <w:p w14:paraId="2ADB7F86"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0.69 (0.52-0.93)* </w:t>
            </w:r>
          </w:p>
        </w:tc>
        <w:tc>
          <w:tcPr>
            <w:tcW w:w="502" w:type="pct"/>
            <w:tcBorders>
              <w:top w:val="nil"/>
              <w:left w:val="nil"/>
              <w:bottom w:val="nil"/>
              <w:right w:val="nil"/>
            </w:tcBorders>
            <w:shd w:val="clear" w:color="auto" w:fill="auto"/>
            <w:noWrap/>
            <w:vAlign w:val="bottom"/>
            <w:hideMark/>
          </w:tcPr>
          <w:p w14:paraId="41B80E5F"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0.71 (0.61-0.84)**</w:t>
            </w:r>
          </w:p>
        </w:tc>
        <w:tc>
          <w:tcPr>
            <w:tcW w:w="529" w:type="pct"/>
            <w:tcBorders>
              <w:top w:val="nil"/>
              <w:left w:val="nil"/>
              <w:bottom w:val="nil"/>
              <w:right w:val="nil"/>
            </w:tcBorders>
            <w:shd w:val="clear" w:color="auto" w:fill="auto"/>
            <w:noWrap/>
            <w:vAlign w:val="bottom"/>
            <w:hideMark/>
          </w:tcPr>
          <w:p w14:paraId="4D0C326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0.69 (0.56-0.84)**</w:t>
            </w:r>
          </w:p>
        </w:tc>
      </w:tr>
      <w:tr w:rsidR="00436924" w:rsidRPr="00AD50C0" w14:paraId="5B71450E" w14:textId="77777777" w:rsidTr="000E494A">
        <w:trPr>
          <w:trHeight w:val="230"/>
        </w:trPr>
        <w:tc>
          <w:tcPr>
            <w:tcW w:w="857" w:type="pct"/>
            <w:tcBorders>
              <w:top w:val="nil"/>
              <w:left w:val="nil"/>
              <w:bottom w:val="nil"/>
              <w:right w:val="nil"/>
            </w:tcBorders>
            <w:shd w:val="clear" w:color="auto" w:fill="auto"/>
            <w:noWrap/>
            <w:vAlign w:val="bottom"/>
            <w:hideMark/>
          </w:tcPr>
          <w:p w14:paraId="0E8F52AF"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OU</w:t>
            </w:r>
          </w:p>
        </w:tc>
        <w:tc>
          <w:tcPr>
            <w:tcW w:w="516" w:type="pct"/>
            <w:tcBorders>
              <w:top w:val="nil"/>
              <w:left w:val="nil"/>
              <w:bottom w:val="nil"/>
              <w:right w:val="nil"/>
            </w:tcBorders>
            <w:shd w:val="clear" w:color="auto" w:fill="auto"/>
            <w:noWrap/>
            <w:vAlign w:val="bottom"/>
            <w:hideMark/>
          </w:tcPr>
          <w:p w14:paraId="2B63C9C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0.67 (0.49-0.90)** </w:t>
            </w:r>
          </w:p>
        </w:tc>
        <w:tc>
          <w:tcPr>
            <w:tcW w:w="516" w:type="pct"/>
            <w:tcBorders>
              <w:top w:val="nil"/>
              <w:left w:val="nil"/>
              <w:bottom w:val="nil"/>
              <w:right w:val="nil"/>
            </w:tcBorders>
            <w:shd w:val="clear" w:color="auto" w:fill="auto"/>
            <w:noWrap/>
            <w:vAlign w:val="bottom"/>
            <w:hideMark/>
          </w:tcPr>
          <w:p w14:paraId="2E40DF1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0.76 (0.57-1.02) </w:t>
            </w:r>
          </w:p>
        </w:tc>
        <w:tc>
          <w:tcPr>
            <w:tcW w:w="516" w:type="pct"/>
            <w:tcBorders>
              <w:top w:val="nil"/>
              <w:left w:val="nil"/>
              <w:bottom w:val="nil"/>
              <w:right w:val="nil"/>
            </w:tcBorders>
            <w:shd w:val="clear" w:color="auto" w:fill="auto"/>
            <w:noWrap/>
            <w:vAlign w:val="bottom"/>
            <w:hideMark/>
          </w:tcPr>
          <w:p w14:paraId="09BA47C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0.58 (0.45-0.75)** </w:t>
            </w:r>
          </w:p>
        </w:tc>
        <w:tc>
          <w:tcPr>
            <w:tcW w:w="502" w:type="pct"/>
            <w:tcBorders>
              <w:top w:val="nil"/>
              <w:left w:val="nil"/>
              <w:bottom w:val="nil"/>
              <w:right w:val="nil"/>
            </w:tcBorders>
            <w:shd w:val="clear" w:color="auto" w:fill="auto"/>
            <w:noWrap/>
            <w:vAlign w:val="bottom"/>
            <w:hideMark/>
          </w:tcPr>
          <w:p w14:paraId="4A5F498C"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1.01 (0.55-1.87)</w:t>
            </w:r>
          </w:p>
        </w:tc>
        <w:tc>
          <w:tcPr>
            <w:tcW w:w="516" w:type="pct"/>
            <w:tcBorders>
              <w:top w:val="nil"/>
              <w:left w:val="nil"/>
              <w:bottom w:val="nil"/>
              <w:right w:val="nil"/>
            </w:tcBorders>
            <w:shd w:val="clear" w:color="auto" w:fill="auto"/>
            <w:noWrap/>
            <w:vAlign w:val="bottom"/>
            <w:hideMark/>
          </w:tcPr>
          <w:p w14:paraId="44954D8F"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0.55 (0.35-0.88)* </w:t>
            </w:r>
          </w:p>
        </w:tc>
        <w:tc>
          <w:tcPr>
            <w:tcW w:w="546" w:type="pct"/>
            <w:tcBorders>
              <w:top w:val="nil"/>
              <w:left w:val="nil"/>
              <w:bottom w:val="nil"/>
              <w:right w:val="nil"/>
            </w:tcBorders>
            <w:shd w:val="clear" w:color="auto" w:fill="auto"/>
            <w:noWrap/>
            <w:vAlign w:val="bottom"/>
            <w:hideMark/>
          </w:tcPr>
          <w:p w14:paraId="2ECD4EA7"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0.38 (0.26-0.54)** </w:t>
            </w:r>
          </w:p>
        </w:tc>
        <w:tc>
          <w:tcPr>
            <w:tcW w:w="502" w:type="pct"/>
            <w:tcBorders>
              <w:top w:val="nil"/>
              <w:left w:val="nil"/>
              <w:bottom w:val="nil"/>
              <w:right w:val="nil"/>
            </w:tcBorders>
            <w:shd w:val="clear" w:color="auto" w:fill="auto"/>
            <w:noWrap/>
            <w:vAlign w:val="bottom"/>
            <w:hideMark/>
          </w:tcPr>
          <w:p w14:paraId="154F1F22"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0.48 (0.39-0.58)**</w:t>
            </w:r>
          </w:p>
        </w:tc>
        <w:tc>
          <w:tcPr>
            <w:tcW w:w="529" w:type="pct"/>
            <w:tcBorders>
              <w:top w:val="nil"/>
              <w:left w:val="nil"/>
              <w:bottom w:val="nil"/>
              <w:right w:val="nil"/>
            </w:tcBorders>
            <w:shd w:val="clear" w:color="auto" w:fill="auto"/>
            <w:noWrap/>
            <w:vAlign w:val="bottom"/>
            <w:hideMark/>
          </w:tcPr>
          <w:p w14:paraId="176A1340"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0.76 (0.60-0.97)*</w:t>
            </w:r>
          </w:p>
        </w:tc>
      </w:tr>
      <w:tr w:rsidR="00436924" w:rsidRPr="00AD50C0" w14:paraId="4E73F1B6" w14:textId="77777777" w:rsidTr="000E494A">
        <w:trPr>
          <w:trHeight w:val="230"/>
        </w:trPr>
        <w:tc>
          <w:tcPr>
            <w:tcW w:w="857" w:type="pct"/>
            <w:tcBorders>
              <w:top w:val="nil"/>
              <w:left w:val="nil"/>
              <w:bottom w:val="nil"/>
              <w:right w:val="nil"/>
            </w:tcBorders>
            <w:shd w:val="clear" w:color="auto" w:fill="auto"/>
            <w:noWrap/>
            <w:vAlign w:val="bottom"/>
            <w:hideMark/>
          </w:tcPr>
          <w:p w14:paraId="23731CE1"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Alcohol only</w:t>
            </w:r>
          </w:p>
        </w:tc>
        <w:tc>
          <w:tcPr>
            <w:tcW w:w="516" w:type="pct"/>
            <w:tcBorders>
              <w:top w:val="nil"/>
              <w:left w:val="nil"/>
              <w:bottom w:val="nil"/>
              <w:right w:val="nil"/>
            </w:tcBorders>
            <w:shd w:val="clear" w:color="auto" w:fill="auto"/>
            <w:noWrap/>
            <w:vAlign w:val="bottom"/>
            <w:hideMark/>
          </w:tcPr>
          <w:p w14:paraId="1227A1B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0.91 (0.73-1.13) </w:t>
            </w:r>
          </w:p>
        </w:tc>
        <w:tc>
          <w:tcPr>
            <w:tcW w:w="516" w:type="pct"/>
            <w:tcBorders>
              <w:top w:val="nil"/>
              <w:left w:val="nil"/>
              <w:bottom w:val="nil"/>
              <w:right w:val="nil"/>
            </w:tcBorders>
            <w:shd w:val="clear" w:color="auto" w:fill="auto"/>
            <w:noWrap/>
            <w:vAlign w:val="bottom"/>
            <w:hideMark/>
          </w:tcPr>
          <w:p w14:paraId="1573588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0.78 (0.63-0.96)* </w:t>
            </w:r>
          </w:p>
        </w:tc>
        <w:tc>
          <w:tcPr>
            <w:tcW w:w="516" w:type="pct"/>
            <w:tcBorders>
              <w:top w:val="nil"/>
              <w:left w:val="nil"/>
              <w:bottom w:val="nil"/>
              <w:right w:val="nil"/>
            </w:tcBorders>
            <w:shd w:val="clear" w:color="auto" w:fill="auto"/>
            <w:noWrap/>
            <w:vAlign w:val="bottom"/>
            <w:hideMark/>
          </w:tcPr>
          <w:p w14:paraId="0518CAC1"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0.59 (0.50-0.70)** </w:t>
            </w:r>
          </w:p>
        </w:tc>
        <w:tc>
          <w:tcPr>
            <w:tcW w:w="502" w:type="pct"/>
            <w:tcBorders>
              <w:top w:val="nil"/>
              <w:left w:val="nil"/>
              <w:bottom w:val="nil"/>
              <w:right w:val="nil"/>
            </w:tcBorders>
            <w:shd w:val="clear" w:color="auto" w:fill="auto"/>
            <w:noWrap/>
            <w:vAlign w:val="bottom"/>
            <w:hideMark/>
          </w:tcPr>
          <w:p w14:paraId="23270410"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0.64 (0.38-1.08)</w:t>
            </w:r>
          </w:p>
        </w:tc>
        <w:tc>
          <w:tcPr>
            <w:tcW w:w="516" w:type="pct"/>
            <w:tcBorders>
              <w:top w:val="nil"/>
              <w:left w:val="nil"/>
              <w:bottom w:val="nil"/>
              <w:right w:val="nil"/>
            </w:tcBorders>
            <w:shd w:val="clear" w:color="auto" w:fill="auto"/>
            <w:noWrap/>
            <w:vAlign w:val="bottom"/>
            <w:hideMark/>
          </w:tcPr>
          <w:p w14:paraId="2AD3AB43"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0.76 (0.55-1.05) </w:t>
            </w:r>
          </w:p>
        </w:tc>
        <w:tc>
          <w:tcPr>
            <w:tcW w:w="546" w:type="pct"/>
            <w:tcBorders>
              <w:top w:val="nil"/>
              <w:left w:val="nil"/>
              <w:bottom w:val="nil"/>
              <w:right w:val="nil"/>
            </w:tcBorders>
            <w:shd w:val="clear" w:color="auto" w:fill="auto"/>
            <w:noWrap/>
            <w:vAlign w:val="bottom"/>
            <w:hideMark/>
          </w:tcPr>
          <w:p w14:paraId="155DEDD4"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0.71 (0.55-0.91)** </w:t>
            </w:r>
          </w:p>
        </w:tc>
        <w:tc>
          <w:tcPr>
            <w:tcW w:w="502" w:type="pct"/>
            <w:tcBorders>
              <w:top w:val="nil"/>
              <w:left w:val="nil"/>
              <w:bottom w:val="nil"/>
              <w:right w:val="nil"/>
            </w:tcBorders>
            <w:shd w:val="clear" w:color="auto" w:fill="auto"/>
            <w:noWrap/>
            <w:vAlign w:val="bottom"/>
            <w:hideMark/>
          </w:tcPr>
          <w:p w14:paraId="4F79923D"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0.62 (0.52-0.74)**</w:t>
            </w:r>
          </w:p>
        </w:tc>
        <w:tc>
          <w:tcPr>
            <w:tcW w:w="529" w:type="pct"/>
            <w:tcBorders>
              <w:top w:val="nil"/>
              <w:left w:val="nil"/>
              <w:bottom w:val="nil"/>
              <w:right w:val="nil"/>
            </w:tcBorders>
            <w:shd w:val="clear" w:color="auto" w:fill="auto"/>
            <w:noWrap/>
            <w:vAlign w:val="bottom"/>
            <w:hideMark/>
          </w:tcPr>
          <w:p w14:paraId="05EC1F28"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0.48 (0.40-0.58)**</w:t>
            </w:r>
          </w:p>
        </w:tc>
      </w:tr>
      <w:tr w:rsidR="00436924" w:rsidRPr="00AD50C0" w14:paraId="030DB36B" w14:textId="77777777" w:rsidTr="000E494A">
        <w:trPr>
          <w:trHeight w:val="230"/>
        </w:trPr>
        <w:tc>
          <w:tcPr>
            <w:tcW w:w="857" w:type="pct"/>
            <w:tcBorders>
              <w:top w:val="nil"/>
              <w:left w:val="nil"/>
              <w:bottom w:val="nil"/>
              <w:right w:val="nil"/>
            </w:tcBorders>
            <w:shd w:val="clear" w:color="auto" w:fill="auto"/>
            <w:noWrap/>
            <w:vAlign w:val="bottom"/>
            <w:hideMark/>
          </w:tcPr>
          <w:p w14:paraId="510CA517"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Injecting status:</w:t>
            </w:r>
          </w:p>
        </w:tc>
        <w:tc>
          <w:tcPr>
            <w:tcW w:w="516" w:type="pct"/>
            <w:tcBorders>
              <w:top w:val="nil"/>
              <w:left w:val="nil"/>
              <w:bottom w:val="nil"/>
              <w:right w:val="nil"/>
            </w:tcBorders>
            <w:shd w:val="clear" w:color="auto" w:fill="auto"/>
            <w:noWrap/>
            <w:vAlign w:val="bottom"/>
            <w:hideMark/>
          </w:tcPr>
          <w:p w14:paraId="6D263241"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6D62CBB7"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022E1F19"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3E6BC00C"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46B36E85"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6CA3ACD8"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E2AD413"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2C16D59D"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27D1B7A5" w14:textId="77777777" w:rsidTr="000E494A">
        <w:trPr>
          <w:trHeight w:val="230"/>
        </w:trPr>
        <w:tc>
          <w:tcPr>
            <w:tcW w:w="857" w:type="pct"/>
            <w:tcBorders>
              <w:top w:val="nil"/>
              <w:left w:val="nil"/>
              <w:bottom w:val="nil"/>
              <w:right w:val="nil"/>
            </w:tcBorders>
            <w:shd w:val="clear" w:color="auto" w:fill="auto"/>
            <w:noWrap/>
            <w:vAlign w:val="bottom"/>
            <w:hideMark/>
          </w:tcPr>
          <w:p w14:paraId="3FA8B902"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Non-injector</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46CE50D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7400A4D7"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57C0D0A7"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1B117CF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08F3276F"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733C86C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740BFFCC"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0B611E3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2667FB5A" w14:textId="77777777" w:rsidTr="000E494A">
        <w:trPr>
          <w:trHeight w:val="230"/>
        </w:trPr>
        <w:tc>
          <w:tcPr>
            <w:tcW w:w="857" w:type="pct"/>
            <w:tcBorders>
              <w:top w:val="nil"/>
              <w:left w:val="nil"/>
              <w:bottom w:val="nil"/>
              <w:right w:val="nil"/>
            </w:tcBorders>
            <w:shd w:val="clear" w:color="auto" w:fill="auto"/>
            <w:noWrap/>
            <w:vAlign w:val="bottom"/>
            <w:hideMark/>
          </w:tcPr>
          <w:p w14:paraId="337EF23C"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Injector</w:t>
            </w:r>
          </w:p>
        </w:tc>
        <w:tc>
          <w:tcPr>
            <w:tcW w:w="516" w:type="pct"/>
            <w:tcBorders>
              <w:top w:val="nil"/>
              <w:left w:val="nil"/>
              <w:bottom w:val="nil"/>
              <w:right w:val="nil"/>
            </w:tcBorders>
            <w:shd w:val="clear" w:color="auto" w:fill="auto"/>
            <w:noWrap/>
            <w:vAlign w:val="bottom"/>
            <w:hideMark/>
          </w:tcPr>
          <w:p w14:paraId="281FB19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1.29 (0.68-2.47) </w:t>
            </w:r>
          </w:p>
        </w:tc>
        <w:tc>
          <w:tcPr>
            <w:tcW w:w="516" w:type="pct"/>
            <w:tcBorders>
              <w:top w:val="nil"/>
              <w:left w:val="nil"/>
              <w:bottom w:val="nil"/>
              <w:right w:val="nil"/>
            </w:tcBorders>
            <w:shd w:val="clear" w:color="auto" w:fill="auto"/>
            <w:noWrap/>
            <w:vAlign w:val="bottom"/>
            <w:hideMark/>
          </w:tcPr>
          <w:p w14:paraId="62ED379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1.06 (0.61-1.84) </w:t>
            </w:r>
          </w:p>
        </w:tc>
        <w:tc>
          <w:tcPr>
            <w:tcW w:w="516" w:type="pct"/>
            <w:tcBorders>
              <w:top w:val="nil"/>
              <w:left w:val="nil"/>
              <w:bottom w:val="nil"/>
              <w:right w:val="nil"/>
            </w:tcBorders>
            <w:shd w:val="clear" w:color="auto" w:fill="auto"/>
            <w:noWrap/>
            <w:vAlign w:val="bottom"/>
            <w:hideMark/>
          </w:tcPr>
          <w:p w14:paraId="41796841"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(0.68-1.47) </w:t>
            </w:r>
          </w:p>
        </w:tc>
        <w:tc>
          <w:tcPr>
            <w:tcW w:w="502" w:type="pct"/>
            <w:tcBorders>
              <w:top w:val="nil"/>
              <w:left w:val="nil"/>
              <w:bottom w:val="nil"/>
              <w:right w:val="nil"/>
            </w:tcBorders>
            <w:shd w:val="clear" w:color="auto" w:fill="auto"/>
            <w:noWrap/>
            <w:vAlign w:val="bottom"/>
            <w:hideMark/>
          </w:tcPr>
          <w:p w14:paraId="69A15064"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3.03 (1.55-5.94)**</w:t>
            </w:r>
          </w:p>
        </w:tc>
        <w:tc>
          <w:tcPr>
            <w:tcW w:w="516" w:type="pct"/>
            <w:tcBorders>
              <w:top w:val="nil"/>
              <w:left w:val="nil"/>
              <w:bottom w:val="nil"/>
              <w:right w:val="nil"/>
            </w:tcBorders>
            <w:shd w:val="clear" w:color="auto" w:fill="auto"/>
            <w:noWrap/>
            <w:vAlign w:val="bottom"/>
            <w:hideMark/>
          </w:tcPr>
          <w:p w14:paraId="6C95F0CE"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0.77 (0.52-1.15) </w:t>
            </w:r>
          </w:p>
        </w:tc>
        <w:tc>
          <w:tcPr>
            <w:tcW w:w="546" w:type="pct"/>
            <w:tcBorders>
              <w:top w:val="nil"/>
              <w:left w:val="nil"/>
              <w:bottom w:val="nil"/>
              <w:right w:val="nil"/>
            </w:tcBorders>
            <w:shd w:val="clear" w:color="auto" w:fill="auto"/>
            <w:noWrap/>
            <w:vAlign w:val="bottom"/>
            <w:hideMark/>
          </w:tcPr>
          <w:p w14:paraId="4F43FEEE"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0.76 (0.53-1.09) </w:t>
            </w:r>
          </w:p>
        </w:tc>
        <w:tc>
          <w:tcPr>
            <w:tcW w:w="502" w:type="pct"/>
            <w:tcBorders>
              <w:top w:val="nil"/>
              <w:left w:val="nil"/>
              <w:bottom w:val="nil"/>
              <w:right w:val="nil"/>
            </w:tcBorders>
            <w:shd w:val="clear" w:color="auto" w:fill="auto"/>
            <w:noWrap/>
            <w:vAlign w:val="bottom"/>
            <w:hideMark/>
          </w:tcPr>
          <w:p w14:paraId="7E97C01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0.76 (0.60-0.96)*</w:t>
            </w:r>
          </w:p>
        </w:tc>
        <w:tc>
          <w:tcPr>
            <w:tcW w:w="529" w:type="pct"/>
            <w:tcBorders>
              <w:top w:val="nil"/>
              <w:left w:val="nil"/>
              <w:bottom w:val="nil"/>
              <w:right w:val="nil"/>
            </w:tcBorders>
            <w:shd w:val="clear" w:color="auto" w:fill="auto"/>
            <w:noWrap/>
            <w:vAlign w:val="bottom"/>
            <w:hideMark/>
          </w:tcPr>
          <w:p w14:paraId="1EB1CF3C"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0.99 (0.87-1.13)</w:t>
            </w:r>
          </w:p>
        </w:tc>
      </w:tr>
      <w:tr w:rsidR="00436924" w:rsidRPr="00AD50C0" w14:paraId="49F5F7BB" w14:textId="77777777" w:rsidTr="000E494A">
        <w:trPr>
          <w:trHeight w:val="230"/>
        </w:trPr>
        <w:tc>
          <w:tcPr>
            <w:tcW w:w="857" w:type="pct"/>
            <w:tcBorders>
              <w:top w:val="nil"/>
              <w:left w:val="nil"/>
              <w:bottom w:val="nil"/>
              <w:right w:val="nil"/>
            </w:tcBorders>
            <w:shd w:val="clear" w:color="auto" w:fill="auto"/>
            <w:noWrap/>
            <w:vAlign w:val="bottom"/>
            <w:hideMark/>
          </w:tcPr>
          <w:p w14:paraId="7E227B44"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Co-morbidity:</w:t>
            </w:r>
          </w:p>
        </w:tc>
        <w:tc>
          <w:tcPr>
            <w:tcW w:w="516" w:type="pct"/>
            <w:tcBorders>
              <w:top w:val="nil"/>
              <w:left w:val="nil"/>
              <w:bottom w:val="nil"/>
              <w:right w:val="nil"/>
            </w:tcBorders>
            <w:shd w:val="clear" w:color="auto" w:fill="auto"/>
            <w:noWrap/>
            <w:vAlign w:val="bottom"/>
            <w:hideMark/>
          </w:tcPr>
          <w:p w14:paraId="0BDFDC2A"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260DDF7F" w14:textId="77777777" w:rsidR="00436924" w:rsidRPr="00AD50C0" w:rsidRDefault="00436924" w:rsidP="000E494A">
            <w:pPr>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7D43D35D"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2E109AE3"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4E12B2EE"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3E6744B4"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1AC38AFB"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5AB76DA3"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49FFC599" w14:textId="77777777" w:rsidTr="000E494A">
        <w:trPr>
          <w:trHeight w:val="230"/>
        </w:trPr>
        <w:tc>
          <w:tcPr>
            <w:tcW w:w="857" w:type="pct"/>
            <w:tcBorders>
              <w:top w:val="nil"/>
              <w:left w:val="nil"/>
              <w:bottom w:val="nil"/>
              <w:right w:val="nil"/>
            </w:tcBorders>
            <w:shd w:val="clear" w:color="auto" w:fill="auto"/>
            <w:noWrap/>
            <w:vAlign w:val="bottom"/>
            <w:hideMark/>
          </w:tcPr>
          <w:p w14:paraId="7C2DA1E3"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No mental health problem</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7DA8835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44C28C0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768294AC"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0A8E8A2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1957348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41867BD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5F493F9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181A74C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267E9869" w14:textId="77777777" w:rsidTr="000E494A">
        <w:trPr>
          <w:trHeight w:val="230"/>
        </w:trPr>
        <w:tc>
          <w:tcPr>
            <w:tcW w:w="857" w:type="pct"/>
            <w:tcBorders>
              <w:top w:val="nil"/>
              <w:left w:val="nil"/>
              <w:bottom w:val="nil"/>
              <w:right w:val="nil"/>
            </w:tcBorders>
            <w:shd w:val="clear" w:color="auto" w:fill="auto"/>
            <w:noWrap/>
            <w:vAlign w:val="bottom"/>
            <w:hideMark/>
          </w:tcPr>
          <w:p w14:paraId="744C5259"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Mental health problem</w:t>
            </w:r>
          </w:p>
        </w:tc>
        <w:tc>
          <w:tcPr>
            <w:tcW w:w="516" w:type="pct"/>
            <w:tcBorders>
              <w:top w:val="nil"/>
              <w:left w:val="nil"/>
              <w:bottom w:val="nil"/>
              <w:right w:val="nil"/>
            </w:tcBorders>
            <w:shd w:val="clear" w:color="auto" w:fill="auto"/>
            <w:noWrap/>
            <w:vAlign w:val="bottom"/>
            <w:hideMark/>
          </w:tcPr>
          <w:p w14:paraId="2F002362"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1.16 (1.02-1.32)* </w:t>
            </w:r>
          </w:p>
        </w:tc>
        <w:tc>
          <w:tcPr>
            <w:tcW w:w="516" w:type="pct"/>
            <w:tcBorders>
              <w:top w:val="nil"/>
              <w:left w:val="nil"/>
              <w:bottom w:val="nil"/>
              <w:right w:val="nil"/>
            </w:tcBorders>
            <w:shd w:val="clear" w:color="auto" w:fill="auto"/>
            <w:noWrap/>
            <w:vAlign w:val="bottom"/>
            <w:hideMark/>
          </w:tcPr>
          <w:p w14:paraId="335A349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1.01 (0.87-1.18) </w:t>
            </w:r>
          </w:p>
        </w:tc>
        <w:tc>
          <w:tcPr>
            <w:tcW w:w="516" w:type="pct"/>
            <w:tcBorders>
              <w:top w:val="nil"/>
              <w:left w:val="nil"/>
              <w:bottom w:val="nil"/>
              <w:right w:val="nil"/>
            </w:tcBorders>
            <w:shd w:val="clear" w:color="auto" w:fill="auto"/>
            <w:noWrap/>
            <w:vAlign w:val="bottom"/>
            <w:hideMark/>
          </w:tcPr>
          <w:p w14:paraId="26A0D528"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0.90 (0.80-1.01) </w:t>
            </w:r>
          </w:p>
        </w:tc>
        <w:tc>
          <w:tcPr>
            <w:tcW w:w="502" w:type="pct"/>
            <w:tcBorders>
              <w:top w:val="nil"/>
              <w:left w:val="nil"/>
              <w:bottom w:val="nil"/>
              <w:right w:val="nil"/>
            </w:tcBorders>
            <w:shd w:val="clear" w:color="auto" w:fill="auto"/>
            <w:noWrap/>
            <w:vAlign w:val="bottom"/>
            <w:hideMark/>
          </w:tcPr>
          <w:p w14:paraId="031E37E0"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0.85 (0.62-1.15)</w:t>
            </w:r>
          </w:p>
        </w:tc>
        <w:tc>
          <w:tcPr>
            <w:tcW w:w="516" w:type="pct"/>
            <w:tcBorders>
              <w:top w:val="nil"/>
              <w:left w:val="nil"/>
              <w:bottom w:val="nil"/>
              <w:right w:val="nil"/>
            </w:tcBorders>
            <w:shd w:val="clear" w:color="auto" w:fill="auto"/>
            <w:noWrap/>
            <w:vAlign w:val="bottom"/>
            <w:hideMark/>
          </w:tcPr>
          <w:p w14:paraId="395245C5"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1.03 (0.84-1.26) </w:t>
            </w:r>
          </w:p>
        </w:tc>
        <w:tc>
          <w:tcPr>
            <w:tcW w:w="546" w:type="pct"/>
            <w:tcBorders>
              <w:top w:val="nil"/>
              <w:left w:val="nil"/>
              <w:bottom w:val="nil"/>
              <w:right w:val="nil"/>
            </w:tcBorders>
            <w:shd w:val="clear" w:color="auto" w:fill="auto"/>
            <w:noWrap/>
            <w:vAlign w:val="bottom"/>
            <w:hideMark/>
          </w:tcPr>
          <w:p w14:paraId="244B75A8"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0.94 (0.79-1.12) </w:t>
            </w:r>
          </w:p>
        </w:tc>
        <w:tc>
          <w:tcPr>
            <w:tcW w:w="502" w:type="pct"/>
            <w:tcBorders>
              <w:top w:val="nil"/>
              <w:left w:val="nil"/>
              <w:bottom w:val="nil"/>
              <w:right w:val="nil"/>
            </w:tcBorders>
            <w:shd w:val="clear" w:color="auto" w:fill="auto"/>
            <w:noWrap/>
            <w:vAlign w:val="bottom"/>
            <w:hideMark/>
          </w:tcPr>
          <w:p w14:paraId="7DED6566"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0.76 (0.60-0.96)*</w:t>
            </w:r>
          </w:p>
        </w:tc>
        <w:tc>
          <w:tcPr>
            <w:tcW w:w="529" w:type="pct"/>
            <w:tcBorders>
              <w:top w:val="nil"/>
              <w:left w:val="nil"/>
              <w:bottom w:val="nil"/>
              <w:right w:val="nil"/>
            </w:tcBorders>
            <w:shd w:val="clear" w:color="auto" w:fill="auto"/>
            <w:noWrap/>
            <w:vAlign w:val="bottom"/>
            <w:hideMark/>
          </w:tcPr>
          <w:p w14:paraId="1758032D"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1.14 (1.02-1.26)*</w:t>
            </w:r>
          </w:p>
        </w:tc>
      </w:tr>
      <w:tr w:rsidR="00436924" w:rsidRPr="00AD50C0" w14:paraId="2E6A03A9" w14:textId="77777777" w:rsidTr="000E494A">
        <w:trPr>
          <w:trHeight w:val="230"/>
        </w:trPr>
        <w:tc>
          <w:tcPr>
            <w:tcW w:w="857" w:type="pct"/>
            <w:tcBorders>
              <w:top w:val="nil"/>
              <w:left w:val="nil"/>
              <w:bottom w:val="nil"/>
              <w:right w:val="nil"/>
            </w:tcBorders>
            <w:shd w:val="clear" w:color="auto" w:fill="auto"/>
            <w:noWrap/>
            <w:vAlign w:val="bottom"/>
            <w:hideMark/>
          </w:tcPr>
          <w:p w14:paraId="61A9BD6C" w14:textId="77777777" w:rsidR="00436924" w:rsidRPr="00AD50C0" w:rsidRDefault="00436924" w:rsidP="000E494A">
            <w:pPr>
              <w:rPr>
                <w:rFonts w:eastAsia="Times New Roman" w:cs="Arial"/>
                <w:i/>
                <w:iCs/>
                <w:color w:val="000000"/>
                <w:sz w:val="16"/>
                <w:szCs w:val="16"/>
                <w:lang w:eastAsia="en-GB"/>
              </w:rPr>
            </w:pPr>
            <w:r w:rsidRPr="00AD50C0">
              <w:rPr>
                <w:rFonts w:eastAsia="Times New Roman" w:cs="Arial"/>
                <w:i/>
                <w:iCs/>
                <w:color w:val="000000"/>
                <w:sz w:val="16"/>
                <w:szCs w:val="16"/>
                <w:lang w:eastAsia="en-GB"/>
              </w:rPr>
              <w:t>Treatment exposure</w:t>
            </w:r>
          </w:p>
        </w:tc>
        <w:tc>
          <w:tcPr>
            <w:tcW w:w="516" w:type="pct"/>
            <w:tcBorders>
              <w:top w:val="nil"/>
              <w:left w:val="nil"/>
              <w:bottom w:val="nil"/>
              <w:right w:val="nil"/>
            </w:tcBorders>
            <w:shd w:val="clear" w:color="auto" w:fill="auto"/>
            <w:noWrap/>
            <w:vAlign w:val="bottom"/>
            <w:hideMark/>
          </w:tcPr>
          <w:p w14:paraId="47D4CACD" w14:textId="77777777" w:rsidR="00436924" w:rsidRPr="00AD50C0" w:rsidRDefault="00436924" w:rsidP="000E494A">
            <w:pPr>
              <w:rPr>
                <w:rFonts w:eastAsia="Times New Roman" w:cs="Arial"/>
                <w:i/>
                <w:iCs/>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4974E9E5"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253DE4B6"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27BF0E2"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77D4F4FA"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3FC703B8"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50E68F12"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380B8E97"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5F2CDDC1" w14:textId="77777777" w:rsidTr="000E494A">
        <w:trPr>
          <w:trHeight w:val="230"/>
        </w:trPr>
        <w:tc>
          <w:tcPr>
            <w:tcW w:w="857" w:type="pct"/>
            <w:tcBorders>
              <w:top w:val="nil"/>
              <w:left w:val="nil"/>
              <w:bottom w:val="nil"/>
              <w:right w:val="nil"/>
            </w:tcBorders>
            <w:shd w:val="clear" w:color="auto" w:fill="auto"/>
            <w:noWrap/>
            <w:vAlign w:val="bottom"/>
            <w:hideMark/>
          </w:tcPr>
          <w:p w14:paraId="341B24D7"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 xml:space="preserve">Referral source: </w:t>
            </w:r>
          </w:p>
        </w:tc>
        <w:tc>
          <w:tcPr>
            <w:tcW w:w="516" w:type="pct"/>
            <w:tcBorders>
              <w:top w:val="nil"/>
              <w:left w:val="nil"/>
              <w:bottom w:val="nil"/>
              <w:right w:val="nil"/>
            </w:tcBorders>
            <w:shd w:val="clear" w:color="auto" w:fill="auto"/>
            <w:noWrap/>
            <w:vAlign w:val="bottom"/>
            <w:hideMark/>
          </w:tcPr>
          <w:p w14:paraId="106119A9"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78221BCB"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4F912BD0"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0F4AA827"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3E218EA0"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28695B48"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6CDF93BF"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5834083C"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7ADF255F" w14:textId="77777777" w:rsidTr="000E494A">
        <w:trPr>
          <w:trHeight w:val="230"/>
        </w:trPr>
        <w:tc>
          <w:tcPr>
            <w:tcW w:w="857" w:type="pct"/>
            <w:tcBorders>
              <w:top w:val="nil"/>
              <w:left w:val="nil"/>
              <w:bottom w:val="nil"/>
              <w:right w:val="nil"/>
            </w:tcBorders>
            <w:shd w:val="clear" w:color="auto" w:fill="auto"/>
            <w:noWrap/>
            <w:vAlign w:val="bottom"/>
            <w:hideMark/>
          </w:tcPr>
          <w:p w14:paraId="57442DE6"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Non-criminal justice referral</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6DA1A2E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6CF3434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4B698A42"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2AE9E31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69BAA0E8"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37BBC82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39FAAB9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6096239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78A1C6EB" w14:textId="77777777" w:rsidTr="000E494A">
        <w:trPr>
          <w:trHeight w:val="230"/>
        </w:trPr>
        <w:tc>
          <w:tcPr>
            <w:tcW w:w="857" w:type="pct"/>
            <w:tcBorders>
              <w:top w:val="nil"/>
              <w:left w:val="nil"/>
              <w:bottom w:val="nil"/>
              <w:right w:val="nil"/>
            </w:tcBorders>
            <w:shd w:val="clear" w:color="auto" w:fill="auto"/>
            <w:noWrap/>
            <w:vAlign w:val="bottom"/>
            <w:hideMark/>
          </w:tcPr>
          <w:p w14:paraId="5DA9BA73"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Criminal justice referral</w:t>
            </w:r>
          </w:p>
        </w:tc>
        <w:tc>
          <w:tcPr>
            <w:tcW w:w="516" w:type="pct"/>
            <w:tcBorders>
              <w:top w:val="nil"/>
              <w:left w:val="nil"/>
              <w:bottom w:val="nil"/>
              <w:right w:val="nil"/>
            </w:tcBorders>
            <w:shd w:val="clear" w:color="auto" w:fill="auto"/>
            <w:noWrap/>
            <w:vAlign w:val="bottom"/>
            <w:hideMark/>
          </w:tcPr>
          <w:p w14:paraId="5362C13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0.82 (0.57-1.19) </w:t>
            </w:r>
          </w:p>
        </w:tc>
        <w:tc>
          <w:tcPr>
            <w:tcW w:w="516" w:type="pct"/>
            <w:tcBorders>
              <w:top w:val="nil"/>
              <w:left w:val="nil"/>
              <w:bottom w:val="nil"/>
              <w:right w:val="nil"/>
            </w:tcBorders>
            <w:shd w:val="clear" w:color="auto" w:fill="auto"/>
            <w:noWrap/>
            <w:vAlign w:val="bottom"/>
            <w:hideMark/>
          </w:tcPr>
          <w:p w14:paraId="0E9C3DD8"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0.76 (0.51-1.14) </w:t>
            </w:r>
          </w:p>
        </w:tc>
        <w:tc>
          <w:tcPr>
            <w:tcW w:w="516" w:type="pct"/>
            <w:tcBorders>
              <w:top w:val="nil"/>
              <w:left w:val="nil"/>
              <w:bottom w:val="nil"/>
              <w:right w:val="nil"/>
            </w:tcBorders>
            <w:shd w:val="clear" w:color="auto" w:fill="auto"/>
            <w:noWrap/>
            <w:vAlign w:val="bottom"/>
            <w:hideMark/>
          </w:tcPr>
          <w:p w14:paraId="1AFD448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0.77 (0.58-1.03) </w:t>
            </w:r>
          </w:p>
        </w:tc>
        <w:tc>
          <w:tcPr>
            <w:tcW w:w="502" w:type="pct"/>
            <w:tcBorders>
              <w:top w:val="nil"/>
              <w:left w:val="nil"/>
              <w:bottom w:val="nil"/>
              <w:right w:val="nil"/>
            </w:tcBorders>
            <w:shd w:val="clear" w:color="auto" w:fill="auto"/>
            <w:noWrap/>
            <w:vAlign w:val="bottom"/>
            <w:hideMark/>
          </w:tcPr>
          <w:p w14:paraId="013B1709"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1.27 (0.74-2.18)</w:t>
            </w:r>
          </w:p>
        </w:tc>
        <w:tc>
          <w:tcPr>
            <w:tcW w:w="516" w:type="pct"/>
            <w:tcBorders>
              <w:top w:val="nil"/>
              <w:left w:val="nil"/>
              <w:bottom w:val="nil"/>
              <w:right w:val="nil"/>
            </w:tcBorders>
            <w:shd w:val="clear" w:color="auto" w:fill="auto"/>
            <w:noWrap/>
            <w:vAlign w:val="bottom"/>
            <w:hideMark/>
          </w:tcPr>
          <w:p w14:paraId="52EF70E3"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0.80 (0.58-1.12) </w:t>
            </w:r>
          </w:p>
        </w:tc>
        <w:tc>
          <w:tcPr>
            <w:tcW w:w="546" w:type="pct"/>
            <w:tcBorders>
              <w:top w:val="nil"/>
              <w:left w:val="nil"/>
              <w:bottom w:val="nil"/>
              <w:right w:val="nil"/>
            </w:tcBorders>
            <w:shd w:val="clear" w:color="auto" w:fill="auto"/>
            <w:noWrap/>
            <w:vAlign w:val="bottom"/>
            <w:hideMark/>
          </w:tcPr>
          <w:p w14:paraId="46CA8C48"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1.26 (1.03-1.54)* </w:t>
            </w:r>
          </w:p>
        </w:tc>
        <w:tc>
          <w:tcPr>
            <w:tcW w:w="502" w:type="pct"/>
            <w:tcBorders>
              <w:top w:val="nil"/>
              <w:left w:val="nil"/>
              <w:bottom w:val="nil"/>
              <w:right w:val="nil"/>
            </w:tcBorders>
            <w:shd w:val="clear" w:color="auto" w:fill="auto"/>
            <w:noWrap/>
            <w:vAlign w:val="bottom"/>
            <w:hideMark/>
          </w:tcPr>
          <w:p w14:paraId="637486F6"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0.85 (0.73-1.00)*</w:t>
            </w:r>
          </w:p>
        </w:tc>
        <w:tc>
          <w:tcPr>
            <w:tcW w:w="529" w:type="pct"/>
            <w:tcBorders>
              <w:top w:val="nil"/>
              <w:left w:val="nil"/>
              <w:bottom w:val="nil"/>
              <w:right w:val="nil"/>
            </w:tcBorders>
            <w:shd w:val="clear" w:color="auto" w:fill="auto"/>
            <w:noWrap/>
            <w:vAlign w:val="bottom"/>
            <w:hideMark/>
          </w:tcPr>
          <w:p w14:paraId="086A7F49"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1.19 (1.05-1.36)**</w:t>
            </w:r>
          </w:p>
        </w:tc>
      </w:tr>
      <w:tr w:rsidR="00436924" w:rsidRPr="00AD50C0" w14:paraId="590D4FBA" w14:textId="77777777" w:rsidTr="000E494A">
        <w:trPr>
          <w:trHeight w:val="230"/>
        </w:trPr>
        <w:tc>
          <w:tcPr>
            <w:tcW w:w="857" w:type="pct"/>
            <w:tcBorders>
              <w:top w:val="nil"/>
              <w:left w:val="nil"/>
              <w:bottom w:val="nil"/>
              <w:right w:val="nil"/>
            </w:tcBorders>
            <w:shd w:val="clear" w:color="auto" w:fill="auto"/>
            <w:noWrap/>
            <w:vAlign w:val="bottom"/>
            <w:hideMark/>
          </w:tcPr>
          <w:p w14:paraId="7159166F"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Days in treatment:</w:t>
            </w:r>
          </w:p>
        </w:tc>
        <w:tc>
          <w:tcPr>
            <w:tcW w:w="516" w:type="pct"/>
            <w:tcBorders>
              <w:top w:val="nil"/>
              <w:left w:val="nil"/>
              <w:bottom w:val="nil"/>
              <w:right w:val="nil"/>
            </w:tcBorders>
            <w:shd w:val="clear" w:color="auto" w:fill="auto"/>
            <w:noWrap/>
            <w:vAlign w:val="bottom"/>
            <w:hideMark/>
          </w:tcPr>
          <w:p w14:paraId="01BEA447"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09B0E654"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6280D046"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02C30143"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0E142ADB"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36BCB9ED"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01358395"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7D058D5E"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5FE188CE" w14:textId="77777777" w:rsidTr="000E494A">
        <w:trPr>
          <w:trHeight w:val="230"/>
        </w:trPr>
        <w:tc>
          <w:tcPr>
            <w:tcW w:w="857" w:type="pct"/>
            <w:tcBorders>
              <w:top w:val="nil"/>
              <w:left w:val="nil"/>
              <w:bottom w:val="nil"/>
              <w:right w:val="nil"/>
            </w:tcBorders>
            <w:shd w:val="clear" w:color="auto" w:fill="auto"/>
            <w:noWrap/>
            <w:vAlign w:val="bottom"/>
            <w:hideMark/>
          </w:tcPr>
          <w:p w14:paraId="6EB86C42"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&lt;3m</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341E0A1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7F755C88"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546BC13F"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44E160D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154CA82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38DB41F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4E7EBF9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6F886D9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6A2F31C3" w14:textId="77777777" w:rsidTr="000E494A">
        <w:trPr>
          <w:trHeight w:val="230"/>
        </w:trPr>
        <w:tc>
          <w:tcPr>
            <w:tcW w:w="857" w:type="pct"/>
            <w:tcBorders>
              <w:top w:val="nil"/>
              <w:left w:val="nil"/>
              <w:bottom w:val="nil"/>
              <w:right w:val="nil"/>
            </w:tcBorders>
            <w:shd w:val="clear" w:color="auto" w:fill="auto"/>
            <w:noWrap/>
            <w:vAlign w:val="bottom"/>
            <w:hideMark/>
          </w:tcPr>
          <w:p w14:paraId="6A4A3B59"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3-6m</w:t>
            </w:r>
          </w:p>
        </w:tc>
        <w:tc>
          <w:tcPr>
            <w:tcW w:w="516" w:type="pct"/>
            <w:tcBorders>
              <w:top w:val="nil"/>
              <w:left w:val="nil"/>
              <w:bottom w:val="nil"/>
              <w:right w:val="nil"/>
            </w:tcBorders>
            <w:shd w:val="clear" w:color="auto" w:fill="auto"/>
            <w:noWrap/>
            <w:vAlign w:val="bottom"/>
            <w:hideMark/>
          </w:tcPr>
          <w:p w14:paraId="3CD3B07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1.11 (0.91-1.35) </w:t>
            </w:r>
          </w:p>
        </w:tc>
        <w:tc>
          <w:tcPr>
            <w:tcW w:w="516" w:type="pct"/>
            <w:tcBorders>
              <w:top w:val="nil"/>
              <w:left w:val="nil"/>
              <w:bottom w:val="nil"/>
              <w:right w:val="nil"/>
            </w:tcBorders>
            <w:shd w:val="clear" w:color="auto" w:fill="auto"/>
            <w:noWrap/>
            <w:vAlign w:val="bottom"/>
            <w:hideMark/>
          </w:tcPr>
          <w:p w14:paraId="20262EC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1.07 (0.89-1.28) </w:t>
            </w:r>
          </w:p>
        </w:tc>
        <w:tc>
          <w:tcPr>
            <w:tcW w:w="516" w:type="pct"/>
            <w:tcBorders>
              <w:top w:val="nil"/>
              <w:left w:val="nil"/>
              <w:bottom w:val="nil"/>
              <w:right w:val="nil"/>
            </w:tcBorders>
            <w:shd w:val="clear" w:color="auto" w:fill="auto"/>
            <w:noWrap/>
            <w:vAlign w:val="bottom"/>
            <w:hideMark/>
          </w:tcPr>
          <w:p w14:paraId="73DD8F2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1.10 (0.95-1.27) </w:t>
            </w:r>
          </w:p>
        </w:tc>
        <w:tc>
          <w:tcPr>
            <w:tcW w:w="502" w:type="pct"/>
            <w:tcBorders>
              <w:top w:val="nil"/>
              <w:left w:val="nil"/>
              <w:bottom w:val="nil"/>
              <w:right w:val="nil"/>
            </w:tcBorders>
            <w:shd w:val="clear" w:color="auto" w:fill="auto"/>
            <w:noWrap/>
            <w:vAlign w:val="bottom"/>
            <w:hideMark/>
          </w:tcPr>
          <w:p w14:paraId="15CA164D"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1.24 (0.86-1.77)</w:t>
            </w:r>
          </w:p>
        </w:tc>
        <w:tc>
          <w:tcPr>
            <w:tcW w:w="516" w:type="pct"/>
            <w:tcBorders>
              <w:top w:val="nil"/>
              <w:left w:val="nil"/>
              <w:bottom w:val="nil"/>
              <w:right w:val="nil"/>
            </w:tcBorders>
            <w:shd w:val="clear" w:color="auto" w:fill="auto"/>
            <w:noWrap/>
            <w:vAlign w:val="bottom"/>
            <w:hideMark/>
          </w:tcPr>
          <w:p w14:paraId="04C64BF0"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1.29 (1.00-1.66) </w:t>
            </w:r>
          </w:p>
        </w:tc>
        <w:tc>
          <w:tcPr>
            <w:tcW w:w="546" w:type="pct"/>
            <w:tcBorders>
              <w:top w:val="nil"/>
              <w:left w:val="nil"/>
              <w:bottom w:val="nil"/>
              <w:right w:val="nil"/>
            </w:tcBorders>
            <w:shd w:val="clear" w:color="auto" w:fill="auto"/>
            <w:noWrap/>
            <w:vAlign w:val="bottom"/>
            <w:hideMark/>
          </w:tcPr>
          <w:p w14:paraId="465BDFFF"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0.93 (0.75-1.16) </w:t>
            </w:r>
          </w:p>
        </w:tc>
        <w:tc>
          <w:tcPr>
            <w:tcW w:w="502" w:type="pct"/>
            <w:tcBorders>
              <w:top w:val="nil"/>
              <w:left w:val="nil"/>
              <w:bottom w:val="nil"/>
              <w:right w:val="nil"/>
            </w:tcBorders>
            <w:shd w:val="clear" w:color="auto" w:fill="auto"/>
            <w:noWrap/>
            <w:vAlign w:val="bottom"/>
            <w:hideMark/>
          </w:tcPr>
          <w:p w14:paraId="4DAD211D"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1.16 (1.00-1.35)*</w:t>
            </w:r>
          </w:p>
        </w:tc>
        <w:tc>
          <w:tcPr>
            <w:tcW w:w="529" w:type="pct"/>
            <w:tcBorders>
              <w:top w:val="nil"/>
              <w:left w:val="nil"/>
              <w:bottom w:val="nil"/>
              <w:right w:val="nil"/>
            </w:tcBorders>
            <w:shd w:val="clear" w:color="auto" w:fill="auto"/>
            <w:noWrap/>
            <w:vAlign w:val="bottom"/>
            <w:hideMark/>
          </w:tcPr>
          <w:p w14:paraId="05DC2975"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0.93 (0.82-1.05)</w:t>
            </w:r>
          </w:p>
        </w:tc>
      </w:tr>
      <w:tr w:rsidR="00436924" w:rsidRPr="00AD50C0" w14:paraId="7E60E004" w14:textId="77777777" w:rsidTr="000E494A">
        <w:trPr>
          <w:trHeight w:val="230"/>
        </w:trPr>
        <w:tc>
          <w:tcPr>
            <w:tcW w:w="857" w:type="pct"/>
            <w:tcBorders>
              <w:top w:val="nil"/>
              <w:left w:val="nil"/>
              <w:bottom w:val="nil"/>
              <w:right w:val="nil"/>
            </w:tcBorders>
            <w:shd w:val="clear" w:color="auto" w:fill="auto"/>
            <w:noWrap/>
            <w:vAlign w:val="bottom"/>
            <w:hideMark/>
          </w:tcPr>
          <w:p w14:paraId="2F94F1E3"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6-12m</w:t>
            </w:r>
          </w:p>
        </w:tc>
        <w:tc>
          <w:tcPr>
            <w:tcW w:w="516" w:type="pct"/>
            <w:tcBorders>
              <w:top w:val="nil"/>
              <w:left w:val="nil"/>
              <w:bottom w:val="nil"/>
              <w:right w:val="nil"/>
            </w:tcBorders>
            <w:shd w:val="clear" w:color="auto" w:fill="auto"/>
            <w:noWrap/>
            <w:vAlign w:val="bottom"/>
            <w:hideMark/>
          </w:tcPr>
          <w:p w14:paraId="0010687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1.16 (0.93-1.45) </w:t>
            </w:r>
          </w:p>
        </w:tc>
        <w:tc>
          <w:tcPr>
            <w:tcW w:w="516" w:type="pct"/>
            <w:tcBorders>
              <w:top w:val="nil"/>
              <w:left w:val="nil"/>
              <w:bottom w:val="nil"/>
              <w:right w:val="nil"/>
            </w:tcBorders>
            <w:shd w:val="clear" w:color="auto" w:fill="auto"/>
            <w:noWrap/>
            <w:vAlign w:val="bottom"/>
            <w:hideMark/>
          </w:tcPr>
          <w:p w14:paraId="108425E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1.33 (1.09-1.62)** </w:t>
            </w:r>
          </w:p>
        </w:tc>
        <w:tc>
          <w:tcPr>
            <w:tcW w:w="516" w:type="pct"/>
            <w:tcBorders>
              <w:top w:val="nil"/>
              <w:left w:val="nil"/>
              <w:bottom w:val="nil"/>
              <w:right w:val="nil"/>
            </w:tcBorders>
            <w:shd w:val="clear" w:color="auto" w:fill="auto"/>
            <w:noWrap/>
            <w:vAlign w:val="bottom"/>
            <w:hideMark/>
          </w:tcPr>
          <w:p w14:paraId="38AFAB46"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1.49 (1.25-1.77)** </w:t>
            </w:r>
          </w:p>
        </w:tc>
        <w:tc>
          <w:tcPr>
            <w:tcW w:w="502" w:type="pct"/>
            <w:tcBorders>
              <w:top w:val="nil"/>
              <w:left w:val="nil"/>
              <w:bottom w:val="nil"/>
              <w:right w:val="nil"/>
            </w:tcBorders>
            <w:shd w:val="clear" w:color="auto" w:fill="auto"/>
            <w:noWrap/>
            <w:vAlign w:val="bottom"/>
            <w:hideMark/>
          </w:tcPr>
          <w:p w14:paraId="464A6A13"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1.19 (0.76-1.86)</w:t>
            </w:r>
          </w:p>
        </w:tc>
        <w:tc>
          <w:tcPr>
            <w:tcW w:w="516" w:type="pct"/>
            <w:tcBorders>
              <w:top w:val="nil"/>
              <w:left w:val="nil"/>
              <w:bottom w:val="nil"/>
              <w:right w:val="nil"/>
            </w:tcBorders>
            <w:shd w:val="clear" w:color="auto" w:fill="auto"/>
            <w:noWrap/>
            <w:vAlign w:val="bottom"/>
            <w:hideMark/>
          </w:tcPr>
          <w:p w14:paraId="2FD433C5"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1.18 (0.82-1.69) </w:t>
            </w:r>
          </w:p>
        </w:tc>
        <w:tc>
          <w:tcPr>
            <w:tcW w:w="546" w:type="pct"/>
            <w:tcBorders>
              <w:top w:val="nil"/>
              <w:left w:val="nil"/>
              <w:bottom w:val="nil"/>
              <w:right w:val="nil"/>
            </w:tcBorders>
            <w:shd w:val="clear" w:color="auto" w:fill="auto"/>
            <w:noWrap/>
            <w:vAlign w:val="bottom"/>
            <w:hideMark/>
          </w:tcPr>
          <w:p w14:paraId="7AD2D060"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1.13 (0.88-1.45) </w:t>
            </w:r>
          </w:p>
        </w:tc>
        <w:tc>
          <w:tcPr>
            <w:tcW w:w="502" w:type="pct"/>
            <w:tcBorders>
              <w:top w:val="nil"/>
              <w:left w:val="nil"/>
              <w:bottom w:val="nil"/>
              <w:right w:val="nil"/>
            </w:tcBorders>
            <w:shd w:val="clear" w:color="auto" w:fill="auto"/>
            <w:noWrap/>
            <w:vAlign w:val="bottom"/>
            <w:hideMark/>
          </w:tcPr>
          <w:p w14:paraId="0490DB7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1.41 (1.21-1.65)**</w:t>
            </w:r>
          </w:p>
        </w:tc>
        <w:tc>
          <w:tcPr>
            <w:tcW w:w="529" w:type="pct"/>
            <w:tcBorders>
              <w:top w:val="nil"/>
              <w:left w:val="nil"/>
              <w:bottom w:val="nil"/>
              <w:right w:val="nil"/>
            </w:tcBorders>
            <w:shd w:val="clear" w:color="auto" w:fill="auto"/>
            <w:noWrap/>
            <w:vAlign w:val="bottom"/>
            <w:hideMark/>
          </w:tcPr>
          <w:p w14:paraId="4440A0AD"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1.03 (0.89-1.19)</w:t>
            </w:r>
          </w:p>
        </w:tc>
      </w:tr>
      <w:tr w:rsidR="00436924" w:rsidRPr="00AD50C0" w14:paraId="6D5DED46" w14:textId="77777777" w:rsidTr="000E494A">
        <w:trPr>
          <w:trHeight w:val="230"/>
        </w:trPr>
        <w:tc>
          <w:tcPr>
            <w:tcW w:w="857" w:type="pct"/>
            <w:tcBorders>
              <w:top w:val="nil"/>
              <w:left w:val="nil"/>
              <w:bottom w:val="nil"/>
              <w:right w:val="nil"/>
            </w:tcBorders>
            <w:shd w:val="clear" w:color="auto" w:fill="auto"/>
            <w:noWrap/>
            <w:vAlign w:val="bottom"/>
            <w:hideMark/>
          </w:tcPr>
          <w:p w14:paraId="657EEB1E"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12m+</w:t>
            </w:r>
          </w:p>
        </w:tc>
        <w:tc>
          <w:tcPr>
            <w:tcW w:w="516" w:type="pct"/>
            <w:tcBorders>
              <w:top w:val="nil"/>
              <w:left w:val="nil"/>
              <w:bottom w:val="nil"/>
              <w:right w:val="nil"/>
            </w:tcBorders>
            <w:shd w:val="clear" w:color="auto" w:fill="auto"/>
            <w:noWrap/>
            <w:vAlign w:val="bottom"/>
            <w:hideMark/>
          </w:tcPr>
          <w:p w14:paraId="510ECCD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1.15 (0.88-1.50) </w:t>
            </w:r>
          </w:p>
        </w:tc>
        <w:tc>
          <w:tcPr>
            <w:tcW w:w="516" w:type="pct"/>
            <w:tcBorders>
              <w:top w:val="nil"/>
              <w:left w:val="nil"/>
              <w:bottom w:val="nil"/>
              <w:right w:val="nil"/>
            </w:tcBorders>
            <w:shd w:val="clear" w:color="auto" w:fill="auto"/>
            <w:noWrap/>
            <w:vAlign w:val="bottom"/>
            <w:hideMark/>
          </w:tcPr>
          <w:p w14:paraId="3FD63AD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1.46 (1.12-1.90)** </w:t>
            </w:r>
          </w:p>
        </w:tc>
        <w:tc>
          <w:tcPr>
            <w:tcW w:w="516" w:type="pct"/>
            <w:tcBorders>
              <w:top w:val="nil"/>
              <w:left w:val="nil"/>
              <w:bottom w:val="nil"/>
              <w:right w:val="nil"/>
            </w:tcBorders>
            <w:shd w:val="clear" w:color="auto" w:fill="auto"/>
            <w:noWrap/>
            <w:vAlign w:val="bottom"/>
            <w:hideMark/>
          </w:tcPr>
          <w:p w14:paraId="189CFE7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1.43 (1.19-1.73)** </w:t>
            </w:r>
          </w:p>
        </w:tc>
        <w:tc>
          <w:tcPr>
            <w:tcW w:w="502" w:type="pct"/>
            <w:tcBorders>
              <w:top w:val="nil"/>
              <w:left w:val="nil"/>
              <w:bottom w:val="nil"/>
              <w:right w:val="nil"/>
            </w:tcBorders>
            <w:shd w:val="clear" w:color="auto" w:fill="auto"/>
            <w:noWrap/>
            <w:vAlign w:val="bottom"/>
            <w:hideMark/>
          </w:tcPr>
          <w:p w14:paraId="59D9D378"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0.74 (0.44-1.24)</w:t>
            </w:r>
          </w:p>
        </w:tc>
        <w:tc>
          <w:tcPr>
            <w:tcW w:w="516" w:type="pct"/>
            <w:tcBorders>
              <w:top w:val="nil"/>
              <w:left w:val="nil"/>
              <w:bottom w:val="nil"/>
              <w:right w:val="nil"/>
            </w:tcBorders>
            <w:shd w:val="clear" w:color="auto" w:fill="auto"/>
            <w:noWrap/>
            <w:vAlign w:val="bottom"/>
            <w:hideMark/>
          </w:tcPr>
          <w:p w14:paraId="1492990F"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1.76 (1.25-2.49)** </w:t>
            </w:r>
          </w:p>
        </w:tc>
        <w:tc>
          <w:tcPr>
            <w:tcW w:w="546" w:type="pct"/>
            <w:tcBorders>
              <w:top w:val="nil"/>
              <w:left w:val="nil"/>
              <w:bottom w:val="nil"/>
              <w:right w:val="nil"/>
            </w:tcBorders>
            <w:shd w:val="clear" w:color="auto" w:fill="auto"/>
            <w:noWrap/>
            <w:vAlign w:val="bottom"/>
            <w:hideMark/>
          </w:tcPr>
          <w:p w14:paraId="57068E98"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1.04 (0.80-1.37) </w:t>
            </w:r>
          </w:p>
        </w:tc>
        <w:tc>
          <w:tcPr>
            <w:tcW w:w="502" w:type="pct"/>
            <w:tcBorders>
              <w:top w:val="nil"/>
              <w:left w:val="nil"/>
              <w:bottom w:val="nil"/>
              <w:right w:val="nil"/>
            </w:tcBorders>
            <w:shd w:val="clear" w:color="auto" w:fill="auto"/>
            <w:noWrap/>
            <w:vAlign w:val="bottom"/>
            <w:hideMark/>
          </w:tcPr>
          <w:p w14:paraId="31993543"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1.34 (1.11-1.63)**</w:t>
            </w:r>
          </w:p>
        </w:tc>
        <w:tc>
          <w:tcPr>
            <w:tcW w:w="529" w:type="pct"/>
            <w:tcBorders>
              <w:top w:val="nil"/>
              <w:left w:val="nil"/>
              <w:bottom w:val="nil"/>
              <w:right w:val="nil"/>
            </w:tcBorders>
            <w:shd w:val="clear" w:color="auto" w:fill="auto"/>
            <w:noWrap/>
            <w:vAlign w:val="bottom"/>
            <w:hideMark/>
          </w:tcPr>
          <w:p w14:paraId="5D9D0F39"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0.94 (0.81-1.11)</w:t>
            </w:r>
          </w:p>
        </w:tc>
      </w:tr>
      <w:tr w:rsidR="00436924" w:rsidRPr="00AD50C0" w14:paraId="392EEB80" w14:textId="77777777" w:rsidTr="000E494A">
        <w:trPr>
          <w:trHeight w:val="230"/>
        </w:trPr>
        <w:tc>
          <w:tcPr>
            <w:tcW w:w="857" w:type="pct"/>
            <w:tcBorders>
              <w:top w:val="nil"/>
              <w:left w:val="nil"/>
              <w:bottom w:val="nil"/>
              <w:right w:val="nil"/>
            </w:tcBorders>
            <w:shd w:val="clear" w:color="auto" w:fill="auto"/>
            <w:noWrap/>
            <w:vAlign w:val="bottom"/>
            <w:hideMark/>
          </w:tcPr>
          <w:p w14:paraId="47648207"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Previous treatment:</w:t>
            </w:r>
          </w:p>
        </w:tc>
        <w:tc>
          <w:tcPr>
            <w:tcW w:w="516" w:type="pct"/>
            <w:tcBorders>
              <w:top w:val="nil"/>
              <w:left w:val="nil"/>
              <w:bottom w:val="nil"/>
              <w:right w:val="nil"/>
            </w:tcBorders>
            <w:shd w:val="clear" w:color="auto" w:fill="auto"/>
            <w:noWrap/>
            <w:vAlign w:val="bottom"/>
            <w:hideMark/>
          </w:tcPr>
          <w:p w14:paraId="75DD1A16"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3E3EAC23"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055E9528"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188CDC3A"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6EE9557D"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08819400"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6E177394"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14B9DBB8"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5F648949" w14:textId="77777777" w:rsidTr="000E494A">
        <w:trPr>
          <w:trHeight w:val="230"/>
        </w:trPr>
        <w:tc>
          <w:tcPr>
            <w:tcW w:w="857" w:type="pct"/>
            <w:tcBorders>
              <w:top w:val="nil"/>
              <w:left w:val="nil"/>
              <w:bottom w:val="nil"/>
              <w:right w:val="nil"/>
            </w:tcBorders>
            <w:shd w:val="clear" w:color="auto" w:fill="auto"/>
            <w:noWrap/>
            <w:vAlign w:val="bottom"/>
            <w:hideMark/>
          </w:tcPr>
          <w:p w14:paraId="580D562E"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0</w:t>
            </w:r>
            <w:r w:rsidRPr="00AD50C0">
              <w:rPr>
                <w:sz w:val="16"/>
                <w:szCs w:val="16"/>
                <w:vertAlign w:val="superscript"/>
              </w:rPr>
              <w:t>¥</w:t>
            </w:r>
          </w:p>
        </w:tc>
        <w:tc>
          <w:tcPr>
            <w:tcW w:w="516" w:type="pct"/>
            <w:tcBorders>
              <w:top w:val="nil"/>
              <w:left w:val="nil"/>
              <w:bottom w:val="nil"/>
              <w:right w:val="nil"/>
            </w:tcBorders>
            <w:shd w:val="clear" w:color="auto" w:fill="auto"/>
            <w:noWrap/>
            <w:vAlign w:val="bottom"/>
            <w:hideMark/>
          </w:tcPr>
          <w:p w14:paraId="12B003E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0592323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549D79DD"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3859063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16" w:type="pct"/>
            <w:tcBorders>
              <w:top w:val="nil"/>
              <w:left w:val="nil"/>
              <w:bottom w:val="nil"/>
              <w:right w:val="nil"/>
            </w:tcBorders>
            <w:shd w:val="clear" w:color="auto" w:fill="auto"/>
            <w:noWrap/>
            <w:vAlign w:val="bottom"/>
            <w:hideMark/>
          </w:tcPr>
          <w:p w14:paraId="4A50AAF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46" w:type="pct"/>
            <w:tcBorders>
              <w:top w:val="nil"/>
              <w:left w:val="nil"/>
              <w:bottom w:val="nil"/>
              <w:right w:val="nil"/>
            </w:tcBorders>
            <w:shd w:val="clear" w:color="auto" w:fill="auto"/>
            <w:noWrap/>
            <w:vAlign w:val="bottom"/>
            <w:hideMark/>
          </w:tcPr>
          <w:p w14:paraId="13BBEC6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02" w:type="pct"/>
            <w:tcBorders>
              <w:top w:val="nil"/>
              <w:left w:val="nil"/>
              <w:bottom w:val="nil"/>
              <w:right w:val="nil"/>
            </w:tcBorders>
            <w:shd w:val="clear" w:color="auto" w:fill="auto"/>
            <w:noWrap/>
            <w:vAlign w:val="bottom"/>
            <w:hideMark/>
          </w:tcPr>
          <w:p w14:paraId="2B67D127"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c>
          <w:tcPr>
            <w:tcW w:w="529" w:type="pct"/>
            <w:tcBorders>
              <w:top w:val="nil"/>
              <w:left w:val="nil"/>
              <w:bottom w:val="nil"/>
              <w:right w:val="nil"/>
            </w:tcBorders>
            <w:shd w:val="clear" w:color="auto" w:fill="auto"/>
            <w:noWrap/>
            <w:vAlign w:val="bottom"/>
            <w:hideMark/>
          </w:tcPr>
          <w:p w14:paraId="48CF9A7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1.00 </w:t>
            </w:r>
          </w:p>
        </w:tc>
      </w:tr>
      <w:tr w:rsidR="00436924" w:rsidRPr="00AD50C0" w14:paraId="2EF2344A" w14:textId="77777777" w:rsidTr="000E494A">
        <w:trPr>
          <w:trHeight w:val="230"/>
        </w:trPr>
        <w:tc>
          <w:tcPr>
            <w:tcW w:w="857" w:type="pct"/>
            <w:tcBorders>
              <w:top w:val="nil"/>
              <w:left w:val="nil"/>
              <w:bottom w:val="nil"/>
              <w:right w:val="nil"/>
            </w:tcBorders>
            <w:shd w:val="clear" w:color="auto" w:fill="auto"/>
            <w:noWrap/>
            <w:vAlign w:val="bottom"/>
            <w:hideMark/>
          </w:tcPr>
          <w:p w14:paraId="2EF3A41D"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1</w:t>
            </w:r>
          </w:p>
        </w:tc>
        <w:tc>
          <w:tcPr>
            <w:tcW w:w="516" w:type="pct"/>
            <w:tcBorders>
              <w:top w:val="nil"/>
              <w:left w:val="nil"/>
              <w:bottom w:val="nil"/>
              <w:right w:val="nil"/>
            </w:tcBorders>
            <w:shd w:val="clear" w:color="auto" w:fill="auto"/>
            <w:noWrap/>
            <w:vAlign w:val="bottom"/>
            <w:hideMark/>
          </w:tcPr>
          <w:p w14:paraId="53EBCA4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1.28 (1.03-1.58)* </w:t>
            </w:r>
          </w:p>
        </w:tc>
        <w:tc>
          <w:tcPr>
            <w:tcW w:w="516" w:type="pct"/>
            <w:tcBorders>
              <w:top w:val="nil"/>
              <w:left w:val="nil"/>
              <w:bottom w:val="nil"/>
              <w:right w:val="nil"/>
            </w:tcBorders>
            <w:shd w:val="clear" w:color="auto" w:fill="auto"/>
            <w:noWrap/>
            <w:vAlign w:val="bottom"/>
            <w:hideMark/>
          </w:tcPr>
          <w:p w14:paraId="17BB9BD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1.67 (1.38-2.03)** </w:t>
            </w:r>
          </w:p>
        </w:tc>
        <w:tc>
          <w:tcPr>
            <w:tcW w:w="516" w:type="pct"/>
            <w:tcBorders>
              <w:top w:val="nil"/>
              <w:left w:val="nil"/>
              <w:bottom w:val="nil"/>
              <w:right w:val="nil"/>
            </w:tcBorders>
            <w:shd w:val="clear" w:color="auto" w:fill="auto"/>
            <w:noWrap/>
            <w:vAlign w:val="bottom"/>
            <w:hideMark/>
          </w:tcPr>
          <w:p w14:paraId="1355B091"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1.24 (1.07-1.44)** </w:t>
            </w:r>
          </w:p>
        </w:tc>
        <w:tc>
          <w:tcPr>
            <w:tcW w:w="502" w:type="pct"/>
            <w:tcBorders>
              <w:top w:val="nil"/>
              <w:left w:val="nil"/>
              <w:bottom w:val="nil"/>
              <w:right w:val="nil"/>
            </w:tcBorders>
            <w:shd w:val="clear" w:color="auto" w:fill="auto"/>
            <w:noWrap/>
            <w:vAlign w:val="bottom"/>
            <w:hideMark/>
          </w:tcPr>
          <w:p w14:paraId="59636605"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1.37 (0.86-2.17)</w:t>
            </w:r>
          </w:p>
        </w:tc>
        <w:tc>
          <w:tcPr>
            <w:tcW w:w="516" w:type="pct"/>
            <w:tcBorders>
              <w:top w:val="nil"/>
              <w:left w:val="nil"/>
              <w:bottom w:val="nil"/>
              <w:right w:val="nil"/>
            </w:tcBorders>
            <w:shd w:val="clear" w:color="auto" w:fill="auto"/>
            <w:noWrap/>
            <w:vAlign w:val="bottom"/>
            <w:hideMark/>
          </w:tcPr>
          <w:p w14:paraId="554DA242"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0.99 (0.76-1.27) </w:t>
            </w:r>
          </w:p>
        </w:tc>
        <w:tc>
          <w:tcPr>
            <w:tcW w:w="546" w:type="pct"/>
            <w:tcBorders>
              <w:top w:val="nil"/>
              <w:left w:val="nil"/>
              <w:bottom w:val="nil"/>
              <w:right w:val="nil"/>
            </w:tcBorders>
            <w:shd w:val="clear" w:color="auto" w:fill="auto"/>
            <w:noWrap/>
            <w:vAlign w:val="bottom"/>
            <w:hideMark/>
          </w:tcPr>
          <w:p w14:paraId="1E56B304"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1.17 (0.97-1.41) </w:t>
            </w:r>
          </w:p>
        </w:tc>
        <w:tc>
          <w:tcPr>
            <w:tcW w:w="502" w:type="pct"/>
            <w:tcBorders>
              <w:top w:val="nil"/>
              <w:left w:val="nil"/>
              <w:bottom w:val="nil"/>
              <w:right w:val="nil"/>
            </w:tcBorders>
            <w:shd w:val="clear" w:color="auto" w:fill="auto"/>
            <w:noWrap/>
            <w:vAlign w:val="bottom"/>
            <w:hideMark/>
          </w:tcPr>
          <w:p w14:paraId="7F1E6FA6"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1.02 (0.89-1.17)</w:t>
            </w:r>
          </w:p>
        </w:tc>
        <w:tc>
          <w:tcPr>
            <w:tcW w:w="529" w:type="pct"/>
            <w:tcBorders>
              <w:top w:val="nil"/>
              <w:left w:val="nil"/>
              <w:bottom w:val="nil"/>
              <w:right w:val="nil"/>
            </w:tcBorders>
            <w:shd w:val="clear" w:color="auto" w:fill="auto"/>
            <w:noWrap/>
            <w:vAlign w:val="bottom"/>
            <w:hideMark/>
          </w:tcPr>
          <w:p w14:paraId="4DAE3348"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1.08 (0.94-1.24)</w:t>
            </w:r>
          </w:p>
        </w:tc>
      </w:tr>
      <w:tr w:rsidR="00436924" w:rsidRPr="00AD50C0" w14:paraId="12745A2C" w14:textId="77777777" w:rsidTr="000E494A">
        <w:trPr>
          <w:trHeight w:val="230"/>
        </w:trPr>
        <w:tc>
          <w:tcPr>
            <w:tcW w:w="857" w:type="pct"/>
            <w:tcBorders>
              <w:top w:val="nil"/>
              <w:left w:val="nil"/>
              <w:bottom w:val="nil"/>
              <w:right w:val="nil"/>
            </w:tcBorders>
            <w:shd w:val="clear" w:color="auto" w:fill="auto"/>
            <w:noWrap/>
            <w:vAlign w:val="bottom"/>
            <w:hideMark/>
          </w:tcPr>
          <w:p w14:paraId="1CCCBA46"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2+</w:t>
            </w:r>
          </w:p>
        </w:tc>
        <w:tc>
          <w:tcPr>
            <w:tcW w:w="516" w:type="pct"/>
            <w:tcBorders>
              <w:top w:val="nil"/>
              <w:left w:val="nil"/>
              <w:bottom w:val="nil"/>
              <w:right w:val="nil"/>
            </w:tcBorders>
            <w:shd w:val="clear" w:color="auto" w:fill="auto"/>
            <w:noWrap/>
            <w:vAlign w:val="bottom"/>
            <w:hideMark/>
          </w:tcPr>
          <w:p w14:paraId="7512DC87"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1.55 (1.05-2.28)* </w:t>
            </w:r>
          </w:p>
        </w:tc>
        <w:tc>
          <w:tcPr>
            <w:tcW w:w="516" w:type="pct"/>
            <w:tcBorders>
              <w:top w:val="nil"/>
              <w:left w:val="nil"/>
              <w:bottom w:val="nil"/>
              <w:right w:val="nil"/>
            </w:tcBorders>
            <w:shd w:val="clear" w:color="auto" w:fill="auto"/>
            <w:noWrap/>
            <w:vAlign w:val="bottom"/>
            <w:hideMark/>
          </w:tcPr>
          <w:p w14:paraId="6FA323B9"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1.74 (1.14-2.67)* </w:t>
            </w:r>
          </w:p>
        </w:tc>
        <w:tc>
          <w:tcPr>
            <w:tcW w:w="516" w:type="pct"/>
            <w:tcBorders>
              <w:top w:val="nil"/>
              <w:left w:val="nil"/>
              <w:bottom w:val="nil"/>
              <w:right w:val="nil"/>
            </w:tcBorders>
            <w:shd w:val="clear" w:color="auto" w:fill="auto"/>
            <w:noWrap/>
            <w:vAlign w:val="bottom"/>
            <w:hideMark/>
          </w:tcPr>
          <w:p w14:paraId="609E53A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1.62 (1.16-2.26)** </w:t>
            </w:r>
          </w:p>
        </w:tc>
        <w:tc>
          <w:tcPr>
            <w:tcW w:w="502" w:type="pct"/>
            <w:tcBorders>
              <w:top w:val="nil"/>
              <w:left w:val="nil"/>
              <w:bottom w:val="nil"/>
              <w:right w:val="nil"/>
            </w:tcBorders>
            <w:shd w:val="clear" w:color="auto" w:fill="auto"/>
            <w:noWrap/>
            <w:vAlign w:val="bottom"/>
            <w:hideMark/>
          </w:tcPr>
          <w:p w14:paraId="34FB6F8E"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2.09 (1.11-3.95)*</w:t>
            </w:r>
          </w:p>
        </w:tc>
        <w:tc>
          <w:tcPr>
            <w:tcW w:w="516" w:type="pct"/>
            <w:tcBorders>
              <w:top w:val="nil"/>
              <w:left w:val="nil"/>
              <w:bottom w:val="nil"/>
              <w:right w:val="nil"/>
            </w:tcBorders>
            <w:shd w:val="clear" w:color="auto" w:fill="auto"/>
            <w:noWrap/>
            <w:vAlign w:val="bottom"/>
            <w:hideMark/>
          </w:tcPr>
          <w:p w14:paraId="2CF35E2C"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1.13 (0.76-1.67) </w:t>
            </w:r>
          </w:p>
        </w:tc>
        <w:tc>
          <w:tcPr>
            <w:tcW w:w="546" w:type="pct"/>
            <w:tcBorders>
              <w:top w:val="nil"/>
              <w:left w:val="nil"/>
              <w:bottom w:val="nil"/>
              <w:right w:val="nil"/>
            </w:tcBorders>
            <w:shd w:val="clear" w:color="auto" w:fill="auto"/>
            <w:noWrap/>
            <w:vAlign w:val="bottom"/>
            <w:hideMark/>
          </w:tcPr>
          <w:p w14:paraId="0F7091AF"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1.05 (0.74-1.49) </w:t>
            </w:r>
          </w:p>
        </w:tc>
        <w:tc>
          <w:tcPr>
            <w:tcW w:w="502" w:type="pct"/>
            <w:tcBorders>
              <w:top w:val="nil"/>
              <w:left w:val="nil"/>
              <w:bottom w:val="nil"/>
              <w:right w:val="nil"/>
            </w:tcBorders>
            <w:shd w:val="clear" w:color="auto" w:fill="auto"/>
            <w:noWrap/>
            <w:vAlign w:val="bottom"/>
            <w:hideMark/>
          </w:tcPr>
          <w:p w14:paraId="6C9195ED"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0.71 (0.53-0.93)*</w:t>
            </w:r>
          </w:p>
        </w:tc>
        <w:tc>
          <w:tcPr>
            <w:tcW w:w="529" w:type="pct"/>
            <w:tcBorders>
              <w:top w:val="nil"/>
              <w:left w:val="nil"/>
              <w:bottom w:val="nil"/>
              <w:right w:val="nil"/>
            </w:tcBorders>
            <w:shd w:val="clear" w:color="auto" w:fill="auto"/>
            <w:noWrap/>
            <w:vAlign w:val="bottom"/>
            <w:hideMark/>
          </w:tcPr>
          <w:p w14:paraId="28319D82"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1.10 (0.88-1.37)</w:t>
            </w:r>
          </w:p>
        </w:tc>
      </w:tr>
      <w:tr w:rsidR="00436924" w:rsidRPr="00AD50C0" w14:paraId="5FE4A895" w14:textId="77777777" w:rsidTr="000E494A">
        <w:trPr>
          <w:trHeight w:val="230"/>
        </w:trPr>
        <w:tc>
          <w:tcPr>
            <w:tcW w:w="857" w:type="pct"/>
            <w:tcBorders>
              <w:top w:val="nil"/>
              <w:left w:val="nil"/>
              <w:bottom w:val="nil"/>
              <w:right w:val="nil"/>
            </w:tcBorders>
            <w:shd w:val="clear" w:color="auto" w:fill="auto"/>
            <w:noWrap/>
            <w:vAlign w:val="bottom"/>
            <w:hideMark/>
          </w:tcPr>
          <w:p w14:paraId="14B40A93" w14:textId="77777777" w:rsidR="00436924" w:rsidRPr="00AD50C0" w:rsidRDefault="00436924" w:rsidP="000E494A">
            <w:pPr>
              <w:rPr>
                <w:rFonts w:eastAsia="Times New Roman" w:cs="Arial"/>
                <w:i/>
                <w:iCs/>
                <w:color w:val="000000"/>
                <w:sz w:val="16"/>
                <w:szCs w:val="16"/>
                <w:lang w:eastAsia="en-GB"/>
              </w:rPr>
            </w:pPr>
            <w:r w:rsidRPr="00AD50C0">
              <w:rPr>
                <w:rFonts w:eastAsia="Times New Roman" w:cs="Arial"/>
                <w:i/>
                <w:iCs/>
                <w:color w:val="000000"/>
                <w:sz w:val="16"/>
                <w:szCs w:val="16"/>
                <w:lang w:eastAsia="en-GB"/>
              </w:rPr>
              <w:t>Interventions</w:t>
            </w:r>
          </w:p>
        </w:tc>
        <w:tc>
          <w:tcPr>
            <w:tcW w:w="516" w:type="pct"/>
            <w:tcBorders>
              <w:top w:val="nil"/>
              <w:left w:val="nil"/>
              <w:bottom w:val="nil"/>
              <w:right w:val="nil"/>
            </w:tcBorders>
            <w:shd w:val="clear" w:color="auto" w:fill="auto"/>
            <w:noWrap/>
            <w:vAlign w:val="bottom"/>
            <w:hideMark/>
          </w:tcPr>
          <w:p w14:paraId="5A0672E8" w14:textId="77777777" w:rsidR="00436924" w:rsidRPr="00AD50C0" w:rsidRDefault="00436924" w:rsidP="000E494A">
            <w:pPr>
              <w:rPr>
                <w:rFonts w:eastAsia="Times New Roman" w:cs="Arial"/>
                <w:i/>
                <w:iCs/>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44730F63"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0D223264"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73F3EF9B"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703BFFDF"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48D403E0"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08A57794"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4EE91C04"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6303EE5C" w14:textId="77777777" w:rsidTr="000E494A">
        <w:trPr>
          <w:trHeight w:val="230"/>
        </w:trPr>
        <w:tc>
          <w:tcPr>
            <w:tcW w:w="857" w:type="pct"/>
            <w:tcBorders>
              <w:top w:val="nil"/>
              <w:left w:val="nil"/>
              <w:bottom w:val="nil"/>
              <w:right w:val="nil"/>
            </w:tcBorders>
            <w:shd w:val="clear" w:color="auto" w:fill="auto"/>
            <w:noWrap/>
            <w:vAlign w:val="bottom"/>
            <w:hideMark/>
          </w:tcPr>
          <w:p w14:paraId="622441E1"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Outpatient pharmacological</w:t>
            </w:r>
          </w:p>
        </w:tc>
        <w:tc>
          <w:tcPr>
            <w:tcW w:w="516" w:type="pct"/>
            <w:tcBorders>
              <w:top w:val="nil"/>
              <w:left w:val="nil"/>
              <w:bottom w:val="nil"/>
              <w:right w:val="nil"/>
            </w:tcBorders>
            <w:shd w:val="clear" w:color="auto" w:fill="auto"/>
            <w:noWrap/>
            <w:vAlign w:val="bottom"/>
            <w:hideMark/>
          </w:tcPr>
          <w:p w14:paraId="2400483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0.75 (0.61-0.93)** </w:t>
            </w:r>
          </w:p>
        </w:tc>
        <w:tc>
          <w:tcPr>
            <w:tcW w:w="516" w:type="pct"/>
            <w:tcBorders>
              <w:top w:val="nil"/>
              <w:left w:val="nil"/>
              <w:bottom w:val="nil"/>
              <w:right w:val="nil"/>
            </w:tcBorders>
            <w:shd w:val="clear" w:color="auto" w:fill="auto"/>
            <w:noWrap/>
            <w:vAlign w:val="bottom"/>
            <w:hideMark/>
          </w:tcPr>
          <w:p w14:paraId="39DEC93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0.52 (0.41-0.67)** </w:t>
            </w:r>
          </w:p>
        </w:tc>
        <w:tc>
          <w:tcPr>
            <w:tcW w:w="516" w:type="pct"/>
            <w:tcBorders>
              <w:top w:val="nil"/>
              <w:left w:val="nil"/>
              <w:bottom w:val="nil"/>
              <w:right w:val="nil"/>
            </w:tcBorders>
            <w:shd w:val="clear" w:color="auto" w:fill="auto"/>
            <w:noWrap/>
            <w:vAlign w:val="bottom"/>
            <w:hideMark/>
          </w:tcPr>
          <w:p w14:paraId="32D9D9AF"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0.59 (0.47-0.73)** </w:t>
            </w:r>
          </w:p>
        </w:tc>
        <w:tc>
          <w:tcPr>
            <w:tcW w:w="502" w:type="pct"/>
            <w:tcBorders>
              <w:top w:val="nil"/>
              <w:left w:val="nil"/>
              <w:bottom w:val="nil"/>
              <w:right w:val="nil"/>
            </w:tcBorders>
            <w:shd w:val="clear" w:color="auto" w:fill="auto"/>
            <w:noWrap/>
            <w:vAlign w:val="bottom"/>
            <w:hideMark/>
          </w:tcPr>
          <w:p w14:paraId="6A80E9D6"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0.69 (0.45-1.05)</w:t>
            </w:r>
          </w:p>
        </w:tc>
        <w:tc>
          <w:tcPr>
            <w:tcW w:w="516" w:type="pct"/>
            <w:tcBorders>
              <w:top w:val="nil"/>
              <w:left w:val="nil"/>
              <w:bottom w:val="nil"/>
              <w:right w:val="nil"/>
            </w:tcBorders>
            <w:shd w:val="clear" w:color="auto" w:fill="auto"/>
            <w:noWrap/>
            <w:vAlign w:val="bottom"/>
            <w:hideMark/>
          </w:tcPr>
          <w:p w14:paraId="6E9799B8"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0.53 (0.36-0.79)** </w:t>
            </w:r>
          </w:p>
        </w:tc>
        <w:tc>
          <w:tcPr>
            <w:tcW w:w="546" w:type="pct"/>
            <w:tcBorders>
              <w:top w:val="nil"/>
              <w:left w:val="nil"/>
              <w:bottom w:val="nil"/>
              <w:right w:val="nil"/>
            </w:tcBorders>
            <w:shd w:val="clear" w:color="auto" w:fill="auto"/>
            <w:noWrap/>
            <w:vAlign w:val="bottom"/>
            <w:hideMark/>
          </w:tcPr>
          <w:p w14:paraId="48F12606"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0.90 (0.68-1.20) </w:t>
            </w:r>
          </w:p>
        </w:tc>
        <w:tc>
          <w:tcPr>
            <w:tcW w:w="502" w:type="pct"/>
            <w:tcBorders>
              <w:top w:val="nil"/>
              <w:left w:val="nil"/>
              <w:bottom w:val="nil"/>
              <w:right w:val="nil"/>
            </w:tcBorders>
            <w:shd w:val="clear" w:color="auto" w:fill="auto"/>
            <w:noWrap/>
            <w:vAlign w:val="bottom"/>
            <w:hideMark/>
          </w:tcPr>
          <w:p w14:paraId="664C8985"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0.68 (0.58-0.81)**</w:t>
            </w:r>
          </w:p>
        </w:tc>
        <w:tc>
          <w:tcPr>
            <w:tcW w:w="529" w:type="pct"/>
            <w:tcBorders>
              <w:top w:val="nil"/>
              <w:left w:val="nil"/>
              <w:bottom w:val="nil"/>
              <w:right w:val="nil"/>
            </w:tcBorders>
            <w:shd w:val="clear" w:color="auto" w:fill="auto"/>
            <w:noWrap/>
            <w:vAlign w:val="bottom"/>
            <w:hideMark/>
          </w:tcPr>
          <w:p w14:paraId="2144AF40"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0.86 (0.72-1.02)</w:t>
            </w:r>
          </w:p>
        </w:tc>
      </w:tr>
      <w:tr w:rsidR="00436924" w:rsidRPr="00AD50C0" w14:paraId="3FA7F97D" w14:textId="77777777" w:rsidTr="000E494A">
        <w:trPr>
          <w:trHeight w:val="230"/>
        </w:trPr>
        <w:tc>
          <w:tcPr>
            <w:tcW w:w="857" w:type="pct"/>
            <w:tcBorders>
              <w:top w:val="nil"/>
              <w:left w:val="nil"/>
              <w:bottom w:val="nil"/>
              <w:right w:val="nil"/>
            </w:tcBorders>
            <w:shd w:val="clear" w:color="auto" w:fill="auto"/>
            <w:noWrap/>
            <w:vAlign w:val="bottom"/>
            <w:hideMark/>
          </w:tcPr>
          <w:p w14:paraId="28DC1D89"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Outpatient psychosocial</w:t>
            </w:r>
          </w:p>
        </w:tc>
        <w:tc>
          <w:tcPr>
            <w:tcW w:w="516" w:type="pct"/>
            <w:tcBorders>
              <w:top w:val="nil"/>
              <w:left w:val="nil"/>
              <w:bottom w:val="nil"/>
              <w:right w:val="nil"/>
            </w:tcBorders>
            <w:shd w:val="clear" w:color="auto" w:fill="auto"/>
            <w:noWrap/>
            <w:vAlign w:val="bottom"/>
            <w:hideMark/>
          </w:tcPr>
          <w:p w14:paraId="1F65C9A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1.36 (0.72-2.58) </w:t>
            </w:r>
          </w:p>
        </w:tc>
        <w:tc>
          <w:tcPr>
            <w:tcW w:w="516" w:type="pct"/>
            <w:tcBorders>
              <w:top w:val="nil"/>
              <w:left w:val="nil"/>
              <w:bottom w:val="nil"/>
              <w:right w:val="nil"/>
            </w:tcBorders>
            <w:shd w:val="clear" w:color="auto" w:fill="auto"/>
            <w:noWrap/>
            <w:vAlign w:val="bottom"/>
            <w:hideMark/>
          </w:tcPr>
          <w:p w14:paraId="1EF56D40"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1.98 (0.91-4.31) </w:t>
            </w:r>
          </w:p>
        </w:tc>
        <w:tc>
          <w:tcPr>
            <w:tcW w:w="516" w:type="pct"/>
            <w:tcBorders>
              <w:top w:val="nil"/>
              <w:left w:val="nil"/>
              <w:bottom w:val="nil"/>
              <w:right w:val="nil"/>
            </w:tcBorders>
            <w:shd w:val="clear" w:color="auto" w:fill="auto"/>
            <w:noWrap/>
            <w:vAlign w:val="bottom"/>
            <w:hideMark/>
          </w:tcPr>
          <w:p w14:paraId="486CED77"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1.16 (0.75-1.78) </w:t>
            </w:r>
          </w:p>
        </w:tc>
        <w:tc>
          <w:tcPr>
            <w:tcW w:w="502" w:type="pct"/>
            <w:tcBorders>
              <w:top w:val="nil"/>
              <w:left w:val="nil"/>
              <w:bottom w:val="nil"/>
              <w:right w:val="nil"/>
            </w:tcBorders>
            <w:shd w:val="clear" w:color="auto" w:fill="auto"/>
            <w:noWrap/>
            <w:vAlign w:val="bottom"/>
            <w:hideMark/>
          </w:tcPr>
          <w:p w14:paraId="15DED76F"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0.54 (0.31-0.95)*</w:t>
            </w:r>
          </w:p>
        </w:tc>
        <w:tc>
          <w:tcPr>
            <w:tcW w:w="516" w:type="pct"/>
            <w:tcBorders>
              <w:top w:val="nil"/>
              <w:left w:val="nil"/>
              <w:bottom w:val="nil"/>
              <w:right w:val="nil"/>
            </w:tcBorders>
            <w:shd w:val="clear" w:color="auto" w:fill="auto"/>
            <w:noWrap/>
            <w:vAlign w:val="bottom"/>
            <w:hideMark/>
          </w:tcPr>
          <w:p w14:paraId="20FB71B4"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1.44 (0.62-3.34) </w:t>
            </w:r>
          </w:p>
        </w:tc>
        <w:tc>
          <w:tcPr>
            <w:tcW w:w="546" w:type="pct"/>
            <w:tcBorders>
              <w:top w:val="nil"/>
              <w:left w:val="nil"/>
              <w:bottom w:val="nil"/>
              <w:right w:val="nil"/>
            </w:tcBorders>
            <w:shd w:val="clear" w:color="auto" w:fill="auto"/>
            <w:noWrap/>
            <w:vAlign w:val="bottom"/>
            <w:hideMark/>
          </w:tcPr>
          <w:p w14:paraId="6945B897"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4.06 (1.44-11.43)** </w:t>
            </w:r>
          </w:p>
        </w:tc>
        <w:tc>
          <w:tcPr>
            <w:tcW w:w="502" w:type="pct"/>
            <w:tcBorders>
              <w:top w:val="nil"/>
              <w:left w:val="nil"/>
              <w:bottom w:val="nil"/>
              <w:right w:val="nil"/>
            </w:tcBorders>
            <w:shd w:val="clear" w:color="auto" w:fill="auto"/>
            <w:noWrap/>
            <w:vAlign w:val="bottom"/>
            <w:hideMark/>
          </w:tcPr>
          <w:p w14:paraId="32C76D85"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1.15 (0.82-1.61)</w:t>
            </w:r>
          </w:p>
        </w:tc>
        <w:tc>
          <w:tcPr>
            <w:tcW w:w="529" w:type="pct"/>
            <w:tcBorders>
              <w:top w:val="nil"/>
              <w:left w:val="nil"/>
              <w:bottom w:val="nil"/>
              <w:right w:val="nil"/>
            </w:tcBorders>
            <w:shd w:val="clear" w:color="auto" w:fill="auto"/>
            <w:noWrap/>
            <w:vAlign w:val="bottom"/>
            <w:hideMark/>
          </w:tcPr>
          <w:p w14:paraId="27C15A0A"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1.50 (1.05-2.14)*</w:t>
            </w:r>
          </w:p>
        </w:tc>
      </w:tr>
      <w:tr w:rsidR="00436924" w:rsidRPr="00AD50C0" w14:paraId="6CF30121" w14:textId="77777777" w:rsidTr="000E494A">
        <w:trPr>
          <w:trHeight w:val="230"/>
        </w:trPr>
        <w:tc>
          <w:tcPr>
            <w:tcW w:w="857" w:type="pct"/>
            <w:tcBorders>
              <w:top w:val="nil"/>
              <w:left w:val="nil"/>
              <w:bottom w:val="nil"/>
              <w:right w:val="nil"/>
            </w:tcBorders>
            <w:shd w:val="clear" w:color="auto" w:fill="auto"/>
            <w:noWrap/>
            <w:vAlign w:val="bottom"/>
            <w:hideMark/>
          </w:tcPr>
          <w:p w14:paraId="2A1B11AB"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Inpatient detoxification</w:t>
            </w:r>
          </w:p>
        </w:tc>
        <w:tc>
          <w:tcPr>
            <w:tcW w:w="516" w:type="pct"/>
            <w:tcBorders>
              <w:top w:val="nil"/>
              <w:left w:val="nil"/>
              <w:bottom w:val="nil"/>
              <w:right w:val="nil"/>
            </w:tcBorders>
            <w:shd w:val="clear" w:color="auto" w:fill="auto"/>
            <w:noWrap/>
            <w:vAlign w:val="bottom"/>
            <w:hideMark/>
          </w:tcPr>
          <w:p w14:paraId="6B819E1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0.76 (0.42-1.37) </w:t>
            </w:r>
          </w:p>
        </w:tc>
        <w:tc>
          <w:tcPr>
            <w:tcW w:w="516" w:type="pct"/>
            <w:tcBorders>
              <w:top w:val="nil"/>
              <w:left w:val="nil"/>
              <w:bottom w:val="nil"/>
              <w:right w:val="nil"/>
            </w:tcBorders>
            <w:shd w:val="clear" w:color="auto" w:fill="auto"/>
            <w:noWrap/>
            <w:vAlign w:val="bottom"/>
            <w:hideMark/>
          </w:tcPr>
          <w:p w14:paraId="669BCC4C"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0.51 (0.34-0.76)** </w:t>
            </w:r>
          </w:p>
        </w:tc>
        <w:tc>
          <w:tcPr>
            <w:tcW w:w="516" w:type="pct"/>
            <w:tcBorders>
              <w:top w:val="nil"/>
              <w:left w:val="nil"/>
              <w:bottom w:val="nil"/>
              <w:right w:val="nil"/>
            </w:tcBorders>
            <w:shd w:val="clear" w:color="auto" w:fill="auto"/>
            <w:noWrap/>
            <w:vAlign w:val="bottom"/>
            <w:hideMark/>
          </w:tcPr>
          <w:p w14:paraId="01F972E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0.47 (0.33-0.68)** </w:t>
            </w:r>
          </w:p>
        </w:tc>
        <w:tc>
          <w:tcPr>
            <w:tcW w:w="502" w:type="pct"/>
            <w:tcBorders>
              <w:top w:val="nil"/>
              <w:left w:val="nil"/>
              <w:bottom w:val="nil"/>
              <w:right w:val="nil"/>
            </w:tcBorders>
            <w:shd w:val="clear" w:color="auto" w:fill="auto"/>
            <w:noWrap/>
            <w:vAlign w:val="bottom"/>
            <w:hideMark/>
          </w:tcPr>
          <w:p w14:paraId="59BAB67A"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0.42 (0.13-1.34)</w:t>
            </w:r>
          </w:p>
        </w:tc>
        <w:tc>
          <w:tcPr>
            <w:tcW w:w="516" w:type="pct"/>
            <w:tcBorders>
              <w:top w:val="nil"/>
              <w:left w:val="nil"/>
              <w:bottom w:val="nil"/>
              <w:right w:val="nil"/>
            </w:tcBorders>
            <w:shd w:val="clear" w:color="auto" w:fill="auto"/>
            <w:noWrap/>
            <w:vAlign w:val="bottom"/>
            <w:hideMark/>
          </w:tcPr>
          <w:p w14:paraId="6AF751FE"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0.72 (0.39-1.35) </w:t>
            </w:r>
          </w:p>
        </w:tc>
        <w:tc>
          <w:tcPr>
            <w:tcW w:w="546" w:type="pct"/>
            <w:tcBorders>
              <w:top w:val="nil"/>
              <w:left w:val="nil"/>
              <w:bottom w:val="nil"/>
              <w:right w:val="nil"/>
            </w:tcBorders>
            <w:shd w:val="clear" w:color="auto" w:fill="auto"/>
            <w:noWrap/>
            <w:vAlign w:val="bottom"/>
            <w:hideMark/>
          </w:tcPr>
          <w:p w14:paraId="2D116ECB"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0.61 (0.29-1.27) </w:t>
            </w:r>
          </w:p>
        </w:tc>
        <w:tc>
          <w:tcPr>
            <w:tcW w:w="502" w:type="pct"/>
            <w:tcBorders>
              <w:top w:val="nil"/>
              <w:left w:val="nil"/>
              <w:bottom w:val="nil"/>
              <w:right w:val="nil"/>
            </w:tcBorders>
            <w:shd w:val="clear" w:color="auto" w:fill="auto"/>
            <w:noWrap/>
            <w:vAlign w:val="bottom"/>
            <w:hideMark/>
          </w:tcPr>
          <w:p w14:paraId="10D41C6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0.86 (0.64-1.15)</w:t>
            </w:r>
          </w:p>
        </w:tc>
        <w:tc>
          <w:tcPr>
            <w:tcW w:w="529" w:type="pct"/>
            <w:tcBorders>
              <w:top w:val="nil"/>
              <w:left w:val="nil"/>
              <w:bottom w:val="nil"/>
              <w:right w:val="nil"/>
            </w:tcBorders>
            <w:shd w:val="clear" w:color="auto" w:fill="auto"/>
            <w:noWrap/>
            <w:vAlign w:val="bottom"/>
            <w:hideMark/>
          </w:tcPr>
          <w:p w14:paraId="3452F0F7"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1.02 (0.77-1.35)</w:t>
            </w:r>
          </w:p>
        </w:tc>
      </w:tr>
      <w:tr w:rsidR="00436924" w:rsidRPr="00AD50C0" w14:paraId="4399BAB3" w14:textId="77777777" w:rsidTr="000E494A">
        <w:trPr>
          <w:trHeight w:val="230"/>
        </w:trPr>
        <w:tc>
          <w:tcPr>
            <w:tcW w:w="857" w:type="pct"/>
            <w:tcBorders>
              <w:top w:val="nil"/>
              <w:left w:val="nil"/>
              <w:bottom w:val="nil"/>
              <w:right w:val="nil"/>
            </w:tcBorders>
            <w:shd w:val="clear" w:color="auto" w:fill="auto"/>
            <w:noWrap/>
            <w:vAlign w:val="bottom"/>
            <w:hideMark/>
          </w:tcPr>
          <w:p w14:paraId="417F412E"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Inpatient rehabilitation</w:t>
            </w:r>
          </w:p>
        </w:tc>
        <w:tc>
          <w:tcPr>
            <w:tcW w:w="516" w:type="pct"/>
            <w:tcBorders>
              <w:top w:val="nil"/>
              <w:left w:val="nil"/>
              <w:bottom w:val="nil"/>
              <w:right w:val="nil"/>
            </w:tcBorders>
            <w:shd w:val="clear" w:color="auto" w:fill="auto"/>
            <w:noWrap/>
            <w:vAlign w:val="bottom"/>
            <w:hideMark/>
          </w:tcPr>
          <w:p w14:paraId="49F454A8"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0.60 (0.28-1.26) </w:t>
            </w:r>
          </w:p>
        </w:tc>
        <w:tc>
          <w:tcPr>
            <w:tcW w:w="516" w:type="pct"/>
            <w:tcBorders>
              <w:top w:val="nil"/>
              <w:left w:val="nil"/>
              <w:bottom w:val="nil"/>
              <w:right w:val="nil"/>
            </w:tcBorders>
            <w:shd w:val="clear" w:color="auto" w:fill="auto"/>
            <w:noWrap/>
            <w:vAlign w:val="bottom"/>
            <w:hideMark/>
          </w:tcPr>
          <w:p w14:paraId="3D608DC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0.68 (0.35-1.30) </w:t>
            </w:r>
          </w:p>
        </w:tc>
        <w:tc>
          <w:tcPr>
            <w:tcW w:w="516" w:type="pct"/>
            <w:tcBorders>
              <w:top w:val="nil"/>
              <w:left w:val="nil"/>
              <w:bottom w:val="nil"/>
              <w:right w:val="nil"/>
            </w:tcBorders>
            <w:shd w:val="clear" w:color="auto" w:fill="auto"/>
            <w:noWrap/>
            <w:vAlign w:val="bottom"/>
            <w:hideMark/>
          </w:tcPr>
          <w:p w14:paraId="3C2C79A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0.55 (0.36-0.85)** </w:t>
            </w:r>
          </w:p>
        </w:tc>
        <w:tc>
          <w:tcPr>
            <w:tcW w:w="502" w:type="pct"/>
            <w:tcBorders>
              <w:top w:val="nil"/>
              <w:left w:val="nil"/>
              <w:bottom w:val="nil"/>
              <w:right w:val="nil"/>
            </w:tcBorders>
            <w:shd w:val="clear" w:color="auto" w:fill="auto"/>
            <w:noWrap/>
            <w:vAlign w:val="bottom"/>
            <w:hideMark/>
          </w:tcPr>
          <w:p w14:paraId="11435AB4"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2.06 (1.21-3.49)**</w:t>
            </w:r>
          </w:p>
        </w:tc>
        <w:tc>
          <w:tcPr>
            <w:tcW w:w="516" w:type="pct"/>
            <w:tcBorders>
              <w:top w:val="nil"/>
              <w:left w:val="nil"/>
              <w:bottom w:val="nil"/>
              <w:right w:val="nil"/>
            </w:tcBorders>
            <w:shd w:val="clear" w:color="auto" w:fill="auto"/>
            <w:noWrap/>
            <w:vAlign w:val="bottom"/>
            <w:hideMark/>
          </w:tcPr>
          <w:p w14:paraId="5FFB61DD"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1.46 (0.83-2.58) </w:t>
            </w:r>
          </w:p>
        </w:tc>
        <w:tc>
          <w:tcPr>
            <w:tcW w:w="546" w:type="pct"/>
            <w:tcBorders>
              <w:top w:val="nil"/>
              <w:left w:val="nil"/>
              <w:bottom w:val="nil"/>
              <w:right w:val="nil"/>
            </w:tcBorders>
            <w:shd w:val="clear" w:color="auto" w:fill="auto"/>
            <w:noWrap/>
            <w:vAlign w:val="bottom"/>
            <w:hideMark/>
          </w:tcPr>
          <w:p w14:paraId="49E63726"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1.10 (0.60-2.02) </w:t>
            </w:r>
          </w:p>
        </w:tc>
        <w:tc>
          <w:tcPr>
            <w:tcW w:w="502" w:type="pct"/>
            <w:tcBorders>
              <w:top w:val="nil"/>
              <w:left w:val="nil"/>
              <w:bottom w:val="nil"/>
              <w:right w:val="nil"/>
            </w:tcBorders>
            <w:shd w:val="clear" w:color="auto" w:fill="auto"/>
            <w:noWrap/>
            <w:vAlign w:val="bottom"/>
            <w:hideMark/>
          </w:tcPr>
          <w:p w14:paraId="1FDE7ACF"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0.79 (0.51-1.21)</w:t>
            </w:r>
          </w:p>
        </w:tc>
        <w:tc>
          <w:tcPr>
            <w:tcW w:w="529" w:type="pct"/>
            <w:tcBorders>
              <w:top w:val="nil"/>
              <w:left w:val="nil"/>
              <w:bottom w:val="nil"/>
              <w:right w:val="nil"/>
            </w:tcBorders>
            <w:shd w:val="clear" w:color="auto" w:fill="auto"/>
            <w:noWrap/>
            <w:vAlign w:val="bottom"/>
            <w:hideMark/>
          </w:tcPr>
          <w:p w14:paraId="351A0E0C"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0.75 (0.53-1.06)</w:t>
            </w:r>
          </w:p>
        </w:tc>
      </w:tr>
      <w:tr w:rsidR="00436924" w:rsidRPr="00AD50C0" w14:paraId="571F9DEE" w14:textId="77777777" w:rsidTr="000E494A">
        <w:trPr>
          <w:trHeight w:val="230"/>
        </w:trPr>
        <w:tc>
          <w:tcPr>
            <w:tcW w:w="857" w:type="pct"/>
            <w:tcBorders>
              <w:top w:val="nil"/>
              <w:left w:val="nil"/>
              <w:bottom w:val="nil"/>
              <w:right w:val="nil"/>
            </w:tcBorders>
            <w:shd w:val="clear" w:color="auto" w:fill="auto"/>
            <w:noWrap/>
            <w:vAlign w:val="bottom"/>
            <w:hideMark/>
          </w:tcPr>
          <w:p w14:paraId="7B9C44C8"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Recovery support:</w:t>
            </w:r>
          </w:p>
        </w:tc>
        <w:tc>
          <w:tcPr>
            <w:tcW w:w="516" w:type="pct"/>
            <w:tcBorders>
              <w:top w:val="nil"/>
              <w:left w:val="nil"/>
              <w:bottom w:val="nil"/>
              <w:right w:val="nil"/>
            </w:tcBorders>
            <w:shd w:val="clear" w:color="auto" w:fill="auto"/>
            <w:noWrap/>
            <w:vAlign w:val="bottom"/>
            <w:hideMark/>
          </w:tcPr>
          <w:p w14:paraId="3507B21B" w14:textId="77777777" w:rsidR="00436924" w:rsidRPr="00AD50C0" w:rsidRDefault="00436924" w:rsidP="000E494A">
            <w:pPr>
              <w:rPr>
                <w:rFonts w:eastAsia="Times New Roman" w:cs="Arial"/>
                <w:color w:val="000000"/>
                <w:sz w:val="16"/>
                <w:szCs w:val="16"/>
                <w:lang w:eastAsia="en-GB"/>
              </w:rPr>
            </w:pPr>
          </w:p>
        </w:tc>
        <w:tc>
          <w:tcPr>
            <w:tcW w:w="516" w:type="pct"/>
            <w:tcBorders>
              <w:top w:val="nil"/>
              <w:left w:val="nil"/>
              <w:bottom w:val="nil"/>
              <w:right w:val="nil"/>
            </w:tcBorders>
            <w:shd w:val="clear" w:color="auto" w:fill="auto"/>
            <w:noWrap/>
            <w:vAlign w:val="bottom"/>
            <w:hideMark/>
          </w:tcPr>
          <w:p w14:paraId="03487C9F"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0EE185D4"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7CD7D3FB"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16" w:type="pct"/>
            <w:tcBorders>
              <w:top w:val="nil"/>
              <w:left w:val="nil"/>
              <w:bottom w:val="nil"/>
              <w:right w:val="nil"/>
            </w:tcBorders>
            <w:shd w:val="clear" w:color="auto" w:fill="auto"/>
            <w:noWrap/>
            <w:vAlign w:val="bottom"/>
            <w:hideMark/>
          </w:tcPr>
          <w:p w14:paraId="7EEC3D57" w14:textId="77777777" w:rsidR="00436924" w:rsidRPr="00AD50C0" w:rsidRDefault="00436924" w:rsidP="000E494A">
            <w:pPr>
              <w:jc w:val="right"/>
              <w:rPr>
                <w:rFonts w:ascii="Times New Roman" w:eastAsia="Times New Roman" w:hAnsi="Times New Roman" w:cs="Times New Roman"/>
                <w:sz w:val="16"/>
                <w:szCs w:val="16"/>
                <w:lang w:eastAsia="en-GB"/>
              </w:rPr>
            </w:pPr>
          </w:p>
        </w:tc>
        <w:tc>
          <w:tcPr>
            <w:tcW w:w="546" w:type="pct"/>
            <w:tcBorders>
              <w:top w:val="nil"/>
              <w:left w:val="nil"/>
              <w:bottom w:val="nil"/>
              <w:right w:val="nil"/>
            </w:tcBorders>
            <w:shd w:val="clear" w:color="auto" w:fill="auto"/>
            <w:noWrap/>
            <w:vAlign w:val="bottom"/>
            <w:hideMark/>
          </w:tcPr>
          <w:p w14:paraId="47FA27DE" w14:textId="77777777" w:rsidR="00436924" w:rsidRPr="00AD50C0" w:rsidRDefault="00436924" w:rsidP="000E494A">
            <w:pPr>
              <w:rPr>
                <w:rFonts w:ascii="Times New Roman" w:eastAsia="Times New Roman" w:hAnsi="Times New Roman" w:cs="Times New Roman"/>
                <w:sz w:val="16"/>
                <w:szCs w:val="16"/>
                <w:lang w:eastAsia="en-GB"/>
              </w:rPr>
            </w:pPr>
          </w:p>
        </w:tc>
        <w:tc>
          <w:tcPr>
            <w:tcW w:w="502" w:type="pct"/>
            <w:tcBorders>
              <w:top w:val="nil"/>
              <w:left w:val="nil"/>
              <w:bottom w:val="nil"/>
              <w:right w:val="nil"/>
            </w:tcBorders>
            <w:shd w:val="clear" w:color="auto" w:fill="auto"/>
            <w:noWrap/>
            <w:vAlign w:val="bottom"/>
            <w:hideMark/>
          </w:tcPr>
          <w:p w14:paraId="62D853D3" w14:textId="77777777" w:rsidR="00436924" w:rsidRPr="00AD50C0" w:rsidRDefault="00436924" w:rsidP="000E494A">
            <w:pPr>
              <w:rPr>
                <w:rFonts w:ascii="Times New Roman" w:eastAsia="Times New Roman" w:hAnsi="Times New Roman" w:cs="Times New Roman"/>
                <w:sz w:val="16"/>
                <w:szCs w:val="16"/>
                <w:lang w:eastAsia="en-GB"/>
              </w:rPr>
            </w:pPr>
          </w:p>
        </w:tc>
        <w:tc>
          <w:tcPr>
            <w:tcW w:w="529" w:type="pct"/>
            <w:tcBorders>
              <w:top w:val="nil"/>
              <w:left w:val="nil"/>
              <w:bottom w:val="nil"/>
              <w:right w:val="nil"/>
            </w:tcBorders>
            <w:shd w:val="clear" w:color="auto" w:fill="auto"/>
            <w:noWrap/>
            <w:vAlign w:val="bottom"/>
            <w:hideMark/>
          </w:tcPr>
          <w:p w14:paraId="2014C03D" w14:textId="77777777" w:rsidR="00436924" w:rsidRPr="00AD50C0" w:rsidRDefault="00436924" w:rsidP="000E494A">
            <w:pPr>
              <w:jc w:val="right"/>
              <w:rPr>
                <w:rFonts w:ascii="Times New Roman" w:eastAsia="Times New Roman" w:hAnsi="Times New Roman" w:cs="Times New Roman"/>
                <w:sz w:val="16"/>
                <w:szCs w:val="16"/>
                <w:lang w:eastAsia="en-GB"/>
              </w:rPr>
            </w:pPr>
          </w:p>
        </w:tc>
      </w:tr>
      <w:tr w:rsidR="00436924" w:rsidRPr="00AD50C0" w14:paraId="397F8106" w14:textId="77777777" w:rsidTr="000E494A">
        <w:trPr>
          <w:trHeight w:val="230"/>
        </w:trPr>
        <w:tc>
          <w:tcPr>
            <w:tcW w:w="857" w:type="pct"/>
            <w:tcBorders>
              <w:top w:val="nil"/>
              <w:left w:val="nil"/>
              <w:bottom w:val="nil"/>
              <w:right w:val="nil"/>
            </w:tcBorders>
            <w:shd w:val="clear" w:color="auto" w:fill="auto"/>
            <w:noWrap/>
            <w:vAlign w:val="bottom"/>
            <w:hideMark/>
          </w:tcPr>
          <w:p w14:paraId="72FA8F05" w14:textId="34B42380" w:rsidR="00436924" w:rsidRPr="00AD50C0" w:rsidRDefault="00AB7760" w:rsidP="000E494A">
            <w:pPr>
              <w:ind w:firstLineChars="200" w:firstLine="320"/>
              <w:rPr>
                <w:rFonts w:eastAsia="Times New Roman" w:cs="Arial"/>
                <w:color w:val="000000"/>
                <w:sz w:val="16"/>
                <w:szCs w:val="16"/>
                <w:lang w:eastAsia="en-GB"/>
              </w:rPr>
            </w:pPr>
            <w:r>
              <w:rPr>
                <w:rFonts w:eastAsia="Times New Roman" w:cs="Arial"/>
                <w:color w:val="000000"/>
                <w:sz w:val="16"/>
                <w:szCs w:val="16"/>
                <w:lang w:eastAsia="en-GB"/>
              </w:rPr>
              <w:t>Parenting and/or family</w:t>
            </w:r>
          </w:p>
        </w:tc>
        <w:tc>
          <w:tcPr>
            <w:tcW w:w="516" w:type="pct"/>
            <w:tcBorders>
              <w:top w:val="nil"/>
              <w:left w:val="nil"/>
              <w:bottom w:val="nil"/>
              <w:right w:val="nil"/>
            </w:tcBorders>
            <w:shd w:val="clear" w:color="auto" w:fill="auto"/>
            <w:noWrap/>
            <w:vAlign w:val="bottom"/>
            <w:hideMark/>
          </w:tcPr>
          <w:p w14:paraId="114DB1AC"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1.82 (1.41-2.35)** </w:t>
            </w:r>
          </w:p>
        </w:tc>
        <w:tc>
          <w:tcPr>
            <w:tcW w:w="516" w:type="pct"/>
            <w:tcBorders>
              <w:top w:val="nil"/>
              <w:left w:val="nil"/>
              <w:bottom w:val="nil"/>
              <w:right w:val="nil"/>
            </w:tcBorders>
            <w:shd w:val="clear" w:color="auto" w:fill="auto"/>
            <w:noWrap/>
            <w:vAlign w:val="bottom"/>
            <w:hideMark/>
          </w:tcPr>
          <w:p w14:paraId="6CA5DAE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2.48 (1.94-3.17)** </w:t>
            </w:r>
          </w:p>
        </w:tc>
        <w:tc>
          <w:tcPr>
            <w:tcW w:w="516" w:type="pct"/>
            <w:tcBorders>
              <w:top w:val="nil"/>
              <w:left w:val="nil"/>
              <w:bottom w:val="nil"/>
              <w:right w:val="nil"/>
            </w:tcBorders>
            <w:shd w:val="clear" w:color="auto" w:fill="auto"/>
            <w:noWrap/>
            <w:vAlign w:val="bottom"/>
            <w:hideMark/>
          </w:tcPr>
          <w:p w14:paraId="31CB3AA4"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0.00 (0.00-0.00)** </w:t>
            </w:r>
          </w:p>
        </w:tc>
        <w:tc>
          <w:tcPr>
            <w:tcW w:w="502" w:type="pct"/>
            <w:tcBorders>
              <w:top w:val="nil"/>
              <w:left w:val="nil"/>
              <w:bottom w:val="nil"/>
              <w:right w:val="nil"/>
            </w:tcBorders>
            <w:shd w:val="clear" w:color="auto" w:fill="auto"/>
            <w:noWrap/>
            <w:vAlign w:val="bottom"/>
            <w:hideMark/>
          </w:tcPr>
          <w:p w14:paraId="5C9568F0"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1.59 (0.98-2.58)</w:t>
            </w:r>
          </w:p>
        </w:tc>
        <w:tc>
          <w:tcPr>
            <w:tcW w:w="516" w:type="pct"/>
            <w:tcBorders>
              <w:top w:val="nil"/>
              <w:left w:val="nil"/>
              <w:bottom w:val="nil"/>
              <w:right w:val="nil"/>
            </w:tcBorders>
            <w:shd w:val="clear" w:color="auto" w:fill="auto"/>
            <w:noWrap/>
            <w:vAlign w:val="bottom"/>
            <w:hideMark/>
          </w:tcPr>
          <w:p w14:paraId="6AE7A457"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2.14 (1.56-2.93)** </w:t>
            </w:r>
          </w:p>
        </w:tc>
        <w:tc>
          <w:tcPr>
            <w:tcW w:w="546" w:type="pct"/>
            <w:tcBorders>
              <w:top w:val="nil"/>
              <w:left w:val="nil"/>
              <w:bottom w:val="nil"/>
              <w:right w:val="nil"/>
            </w:tcBorders>
            <w:shd w:val="clear" w:color="auto" w:fill="auto"/>
            <w:noWrap/>
            <w:vAlign w:val="bottom"/>
            <w:hideMark/>
          </w:tcPr>
          <w:p w14:paraId="53987FB0"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2.64 (1.87-3.74)** </w:t>
            </w:r>
          </w:p>
        </w:tc>
        <w:tc>
          <w:tcPr>
            <w:tcW w:w="502" w:type="pct"/>
            <w:tcBorders>
              <w:top w:val="nil"/>
              <w:left w:val="nil"/>
              <w:bottom w:val="nil"/>
              <w:right w:val="nil"/>
            </w:tcBorders>
            <w:shd w:val="clear" w:color="auto" w:fill="auto"/>
            <w:noWrap/>
            <w:vAlign w:val="bottom"/>
            <w:hideMark/>
          </w:tcPr>
          <w:p w14:paraId="1C6753F0"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2.13 (1.68-2.71)**</w:t>
            </w:r>
          </w:p>
        </w:tc>
        <w:tc>
          <w:tcPr>
            <w:tcW w:w="529" w:type="pct"/>
            <w:tcBorders>
              <w:top w:val="nil"/>
              <w:left w:val="nil"/>
              <w:bottom w:val="nil"/>
              <w:right w:val="nil"/>
            </w:tcBorders>
            <w:shd w:val="clear" w:color="auto" w:fill="auto"/>
            <w:noWrap/>
            <w:vAlign w:val="bottom"/>
            <w:hideMark/>
          </w:tcPr>
          <w:p w14:paraId="430BDF3A"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1.45 (1.17-1.79)**</w:t>
            </w:r>
          </w:p>
        </w:tc>
      </w:tr>
      <w:tr w:rsidR="00436924" w:rsidRPr="00AD50C0" w14:paraId="46A54A6D" w14:textId="77777777" w:rsidTr="000E494A">
        <w:trPr>
          <w:trHeight w:val="230"/>
        </w:trPr>
        <w:tc>
          <w:tcPr>
            <w:tcW w:w="857" w:type="pct"/>
            <w:tcBorders>
              <w:top w:val="nil"/>
              <w:left w:val="nil"/>
              <w:bottom w:val="nil"/>
              <w:right w:val="nil"/>
            </w:tcBorders>
            <w:shd w:val="clear" w:color="auto" w:fill="auto"/>
            <w:noWrap/>
            <w:vAlign w:val="bottom"/>
            <w:hideMark/>
          </w:tcPr>
          <w:p w14:paraId="6B858B8F"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Housing/ employment</w:t>
            </w:r>
          </w:p>
        </w:tc>
        <w:tc>
          <w:tcPr>
            <w:tcW w:w="516" w:type="pct"/>
            <w:tcBorders>
              <w:top w:val="nil"/>
              <w:left w:val="nil"/>
              <w:bottom w:val="nil"/>
              <w:right w:val="nil"/>
            </w:tcBorders>
            <w:shd w:val="clear" w:color="auto" w:fill="auto"/>
            <w:noWrap/>
            <w:vAlign w:val="bottom"/>
            <w:hideMark/>
          </w:tcPr>
          <w:p w14:paraId="7D47D89E"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0.88 (0.64-1.21) </w:t>
            </w:r>
          </w:p>
        </w:tc>
        <w:tc>
          <w:tcPr>
            <w:tcW w:w="516" w:type="pct"/>
            <w:tcBorders>
              <w:top w:val="nil"/>
              <w:left w:val="nil"/>
              <w:bottom w:val="nil"/>
              <w:right w:val="nil"/>
            </w:tcBorders>
            <w:shd w:val="clear" w:color="auto" w:fill="auto"/>
            <w:noWrap/>
            <w:vAlign w:val="bottom"/>
            <w:hideMark/>
          </w:tcPr>
          <w:p w14:paraId="484E265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0.64 (0.48-0.86)** </w:t>
            </w:r>
          </w:p>
        </w:tc>
        <w:tc>
          <w:tcPr>
            <w:tcW w:w="516" w:type="pct"/>
            <w:tcBorders>
              <w:top w:val="nil"/>
              <w:left w:val="nil"/>
              <w:bottom w:val="nil"/>
              <w:right w:val="nil"/>
            </w:tcBorders>
            <w:shd w:val="clear" w:color="auto" w:fill="auto"/>
            <w:noWrap/>
            <w:vAlign w:val="bottom"/>
            <w:hideMark/>
          </w:tcPr>
          <w:p w14:paraId="79221565"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0.93 (0.73-1.18) </w:t>
            </w:r>
          </w:p>
        </w:tc>
        <w:tc>
          <w:tcPr>
            <w:tcW w:w="502" w:type="pct"/>
            <w:tcBorders>
              <w:top w:val="nil"/>
              <w:left w:val="nil"/>
              <w:bottom w:val="nil"/>
              <w:right w:val="nil"/>
            </w:tcBorders>
            <w:shd w:val="clear" w:color="auto" w:fill="auto"/>
            <w:noWrap/>
            <w:vAlign w:val="bottom"/>
            <w:hideMark/>
          </w:tcPr>
          <w:p w14:paraId="2B9BC791"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0.58 (0.28-1.21)</w:t>
            </w:r>
          </w:p>
        </w:tc>
        <w:tc>
          <w:tcPr>
            <w:tcW w:w="516" w:type="pct"/>
            <w:tcBorders>
              <w:top w:val="nil"/>
              <w:left w:val="nil"/>
              <w:bottom w:val="nil"/>
              <w:right w:val="nil"/>
            </w:tcBorders>
            <w:shd w:val="clear" w:color="auto" w:fill="auto"/>
            <w:noWrap/>
            <w:vAlign w:val="bottom"/>
            <w:hideMark/>
          </w:tcPr>
          <w:p w14:paraId="1243D388"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0.98 (0.71-1.36) </w:t>
            </w:r>
          </w:p>
        </w:tc>
        <w:tc>
          <w:tcPr>
            <w:tcW w:w="546" w:type="pct"/>
            <w:tcBorders>
              <w:top w:val="nil"/>
              <w:left w:val="nil"/>
              <w:bottom w:val="nil"/>
              <w:right w:val="nil"/>
            </w:tcBorders>
            <w:shd w:val="clear" w:color="auto" w:fill="auto"/>
            <w:noWrap/>
            <w:vAlign w:val="bottom"/>
            <w:hideMark/>
          </w:tcPr>
          <w:p w14:paraId="4F16B151"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0.74 (0.52-1.06) </w:t>
            </w:r>
          </w:p>
        </w:tc>
        <w:tc>
          <w:tcPr>
            <w:tcW w:w="502" w:type="pct"/>
            <w:tcBorders>
              <w:top w:val="nil"/>
              <w:left w:val="nil"/>
              <w:bottom w:val="nil"/>
              <w:right w:val="nil"/>
            </w:tcBorders>
            <w:shd w:val="clear" w:color="auto" w:fill="auto"/>
            <w:noWrap/>
            <w:vAlign w:val="bottom"/>
            <w:hideMark/>
          </w:tcPr>
          <w:p w14:paraId="349D5102"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0.60 (0.46-0.78)**</w:t>
            </w:r>
          </w:p>
        </w:tc>
        <w:tc>
          <w:tcPr>
            <w:tcW w:w="529" w:type="pct"/>
            <w:tcBorders>
              <w:top w:val="nil"/>
              <w:left w:val="nil"/>
              <w:bottom w:val="nil"/>
              <w:right w:val="nil"/>
            </w:tcBorders>
            <w:shd w:val="clear" w:color="auto" w:fill="auto"/>
            <w:noWrap/>
            <w:vAlign w:val="bottom"/>
            <w:hideMark/>
          </w:tcPr>
          <w:p w14:paraId="123998BD"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0.94 (0.78-1.14)</w:t>
            </w:r>
          </w:p>
        </w:tc>
      </w:tr>
      <w:tr w:rsidR="00436924" w:rsidRPr="00AD50C0" w14:paraId="37120533" w14:textId="77777777" w:rsidTr="000E494A">
        <w:trPr>
          <w:trHeight w:val="230"/>
        </w:trPr>
        <w:tc>
          <w:tcPr>
            <w:tcW w:w="857" w:type="pct"/>
            <w:tcBorders>
              <w:top w:val="nil"/>
              <w:left w:val="nil"/>
              <w:bottom w:val="nil"/>
              <w:right w:val="nil"/>
            </w:tcBorders>
            <w:shd w:val="clear" w:color="auto" w:fill="auto"/>
            <w:noWrap/>
            <w:vAlign w:val="bottom"/>
            <w:hideMark/>
          </w:tcPr>
          <w:p w14:paraId="4E25012D" w14:textId="77777777" w:rsidR="00436924" w:rsidRPr="00AD50C0" w:rsidRDefault="00436924" w:rsidP="000E494A">
            <w:pPr>
              <w:ind w:firstLineChars="200" w:firstLine="320"/>
              <w:rPr>
                <w:rFonts w:eastAsia="Times New Roman" w:cs="Arial"/>
                <w:color w:val="000000"/>
                <w:sz w:val="16"/>
                <w:szCs w:val="16"/>
                <w:lang w:eastAsia="en-GB"/>
              </w:rPr>
            </w:pPr>
            <w:r w:rsidRPr="00AD50C0">
              <w:rPr>
                <w:rFonts w:eastAsia="Times New Roman" w:cs="Arial"/>
                <w:color w:val="000000"/>
                <w:sz w:val="16"/>
                <w:szCs w:val="16"/>
                <w:lang w:eastAsia="en-GB"/>
              </w:rPr>
              <w:t>Domestic abuse</w:t>
            </w:r>
          </w:p>
        </w:tc>
        <w:tc>
          <w:tcPr>
            <w:tcW w:w="516" w:type="pct"/>
            <w:tcBorders>
              <w:top w:val="nil"/>
              <w:left w:val="nil"/>
              <w:bottom w:val="nil"/>
              <w:right w:val="nil"/>
            </w:tcBorders>
            <w:shd w:val="clear" w:color="auto" w:fill="auto"/>
            <w:noWrap/>
            <w:vAlign w:val="bottom"/>
            <w:hideMark/>
          </w:tcPr>
          <w:p w14:paraId="7CAB036B"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0.66 (0.31-1.37) </w:t>
            </w:r>
          </w:p>
        </w:tc>
        <w:tc>
          <w:tcPr>
            <w:tcW w:w="516" w:type="pct"/>
            <w:tcBorders>
              <w:top w:val="nil"/>
              <w:left w:val="nil"/>
              <w:bottom w:val="nil"/>
              <w:right w:val="nil"/>
            </w:tcBorders>
            <w:shd w:val="clear" w:color="auto" w:fill="auto"/>
            <w:noWrap/>
            <w:vAlign w:val="bottom"/>
            <w:hideMark/>
          </w:tcPr>
          <w:p w14:paraId="47AF2B8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1.28 (0.72-2.29) </w:t>
            </w:r>
          </w:p>
        </w:tc>
        <w:tc>
          <w:tcPr>
            <w:tcW w:w="516" w:type="pct"/>
            <w:tcBorders>
              <w:top w:val="nil"/>
              <w:left w:val="nil"/>
              <w:bottom w:val="nil"/>
              <w:right w:val="nil"/>
            </w:tcBorders>
            <w:shd w:val="clear" w:color="auto" w:fill="auto"/>
            <w:noWrap/>
            <w:vAlign w:val="bottom"/>
            <w:hideMark/>
          </w:tcPr>
          <w:p w14:paraId="262616CA"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xml:space="preserve"> 1.34 (0.81-2.23) </w:t>
            </w:r>
          </w:p>
        </w:tc>
        <w:tc>
          <w:tcPr>
            <w:tcW w:w="502" w:type="pct"/>
            <w:tcBorders>
              <w:top w:val="nil"/>
              <w:left w:val="nil"/>
              <w:bottom w:val="nil"/>
              <w:right w:val="nil"/>
            </w:tcBorders>
            <w:shd w:val="clear" w:color="auto" w:fill="auto"/>
            <w:noWrap/>
            <w:vAlign w:val="bottom"/>
            <w:hideMark/>
          </w:tcPr>
          <w:p w14:paraId="1E450C11"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2.54 (1.07-6.03)*</w:t>
            </w:r>
          </w:p>
        </w:tc>
        <w:tc>
          <w:tcPr>
            <w:tcW w:w="516" w:type="pct"/>
            <w:tcBorders>
              <w:top w:val="nil"/>
              <w:left w:val="nil"/>
              <w:bottom w:val="nil"/>
              <w:right w:val="nil"/>
            </w:tcBorders>
            <w:shd w:val="clear" w:color="auto" w:fill="auto"/>
            <w:noWrap/>
            <w:vAlign w:val="bottom"/>
            <w:hideMark/>
          </w:tcPr>
          <w:p w14:paraId="59ECA2FE"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0.33 (0.10-1.12) </w:t>
            </w:r>
          </w:p>
        </w:tc>
        <w:tc>
          <w:tcPr>
            <w:tcW w:w="546" w:type="pct"/>
            <w:tcBorders>
              <w:top w:val="nil"/>
              <w:left w:val="nil"/>
              <w:bottom w:val="nil"/>
              <w:right w:val="nil"/>
            </w:tcBorders>
            <w:shd w:val="clear" w:color="auto" w:fill="auto"/>
            <w:noWrap/>
            <w:vAlign w:val="bottom"/>
            <w:hideMark/>
          </w:tcPr>
          <w:p w14:paraId="6635DAAA" w14:textId="77777777" w:rsidR="00436924" w:rsidRPr="00AD50C0" w:rsidRDefault="00436924" w:rsidP="000E494A">
            <w:pPr>
              <w:rPr>
                <w:rFonts w:eastAsia="Times New Roman" w:cs="Arial"/>
                <w:sz w:val="16"/>
                <w:szCs w:val="16"/>
                <w:lang w:eastAsia="en-GB"/>
              </w:rPr>
            </w:pPr>
            <w:r w:rsidRPr="00AD50C0">
              <w:rPr>
                <w:rFonts w:eastAsia="Times New Roman" w:cs="Arial"/>
                <w:sz w:val="16"/>
                <w:szCs w:val="16"/>
                <w:lang w:eastAsia="en-GB"/>
              </w:rPr>
              <w:t xml:space="preserve"> 0.89 (0.45-1.77) </w:t>
            </w:r>
          </w:p>
        </w:tc>
        <w:tc>
          <w:tcPr>
            <w:tcW w:w="502" w:type="pct"/>
            <w:tcBorders>
              <w:top w:val="nil"/>
              <w:left w:val="nil"/>
              <w:bottom w:val="nil"/>
              <w:right w:val="nil"/>
            </w:tcBorders>
            <w:shd w:val="clear" w:color="auto" w:fill="auto"/>
            <w:noWrap/>
            <w:vAlign w:val="bottom"/>
            <w:hideMark/>
          </w:tcPr>
          <w:p w14:paraId="3B129748"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1.01 (0.65-1.57)</w:t>
            </w:r>
          </w:p>
        </w:tc>
        <w:tc>
          <w:tcPr>
            <w:tcW w:w="529" w:type="pct"/>
            <w:tcBorders>
              <w:top w:val="nil"/>
              <w:left w:val="nil"/>
              <w:bottom w:val="nil"/>
              <w:right w:val="nil"/>
            </w:tcBorders>
            <w:shd w:val="clear" w:color="auto" w:fill="auto"/>
            <w:noWrap/>
            <w:vAlign w:val="bottom"/>
            <w:hideMark/>
          </w:tcPr>
          <w:p w14:paraId="534271B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1.17 (0.84-1.62)</w:t>
            </w:r>
          </w:p>
        </w:tc>
      </w:tr>
      <w:tr w:rsidR="00436924" w:rsidRPr="00AD50C0" w14:paraId="01B0B20E" w14:textId="77777777" w:rsidTr="000E494A">
        <w:trPr>
          <w:trHeight w:val="230"/>
        </w:trPr>
        <w:tc>
          <w:tcPr>
            <w:tcW w:w="857" w:type="pct"/>
            <w:tcBorders>
              <w:top w:val="nil"/>
              <w:left w:val="nil"/>
              <w:bottom w:val="single" w:sz="4" w:space="0" w:color="auto"/>
              <w:right w:val="nil"/>
            </w:tcBorders>
            <w:shd w:val="clear" w:color="auto" w:fill="auto"/>
            <w:noWrap/>
            <w:vAlign w:val="bottom"/>
            <w:hideMark/>
          </w:tcPr>
          <w:p w14:paraId="495E4F71" w14:textId="77777777" w:rsidR="00436924" w:rsidRPr="00AD50C0" w:rsidRDefault="00436924" w:rsidP="000E494A">
            <w:pPr>
              <w:ind w:firstLineChars="300" w:firstLine="480"/>
              <w:rPr>
                <w:rFonts w:eastAsia="Times New Roman" w:cs="Arial"/>
                <w:color w:val="000000"/>
                <w:sz w:val="16"/>
                <w:szCs w:val="16"/>
                <w:lang w:eastAsia="en-GB"/>
              </w:rPr>
            </w:pPr>
            <w:r w:rsidRPr="00AD50C0">
              <w:rPr>
                <w:rFonts w:eastAsia="Times New Roman" w:cs="Arial"/>
                <w:color w:val="000000"/>
                <w:sz w:val="16"/>
                <w:szCs w:val="16"/>
                <w:lang w:eastAsia="en-GB"/>
              </w:rPr>
              <w:t> </w:t>
            </w:r>
          </w:p>
        </w:tc>
        <w:tc>
          <w:tcPr>
            <w:tcW w:w="516" w:type="pct"/>
            <w:tcBorders>
              <w:top w:val="nil"/>
              <w:left w:val="nil"/>
              <w:bottom w:val="single" w:sz="4" w:space="0" w:color="auto"/>
              <w:right w:val="nil"/>
            </w:tcBorders>
            <w:shd w:val="clear" w:color="auto" w:fill="auto"/>
            <w:noWrap/>
            <w:vAlign w:val="bottom"/>
            <w:hideMark/>
          </w:tcPr>
          <w:p w14:paraId="421A7AB1"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w:t>
            </w:r>
          </w:p>
        </w:tc>
        <w:tc>
          <w:tcPr>
            <w:tcW w:w="516" w:type="pct"/>
            <w:tcBorders>
              <w:top w:val="nil"/>
              <w:left w:val="nil"/>
              <w:bottom w:val="single" w:sz="4" w:space="0" w:color="auto"/>
              <w:right w:val="nil"/>
            </w:tcBorders>
            <w:shd w:val="clear" w:color="auto" w:fill="auto"/>
            <w:noWrap/>
            <w:vAlign w:val="bottom"/>
            <w:hideMark/>
          </w:tcPr>
          <w:p w14:paraId="0CE1AD93" w14:textId="77777777" w:rsidR="00436924" w:rsidRPr="00AD50C0" w:rsidRDefault="00436924" w:rsidP="000E494A">
            <w:pPr>
              <w:jc w:val="right"/>
              <w:rPr>
                <w:rFonts w:eastAsia="Times New Roman" w:cs="Arial"/>
                <w:sz w:val="16"/>
                <w:szCs w:val="16"/>
                <w:lang w:eastAsia="en-GB"/>
              </w:rPr>
            </w:pPr>
            <w:r w:rsidRPr="00AD50C0">
              <w:rPr>
                <w:rFonts w:eastAsia="Times New Roman" w:cs="Arial"/>
                <w:sz w:val="16"/>
                <w:szCs w:val="16"/>
                <w:lang w:eastAsia="en-GB"/>
              </w:rPr>
              <w:t> </w:t>
            </w:r>
          </w:p>
        </w:tc>
        <w:tc>
          <w:tcPr>
            <w:tcW w:w="516" w:type="pct"/>
            <w:tcBorders>
              <w:top w:val="nil"/>
              <w:left w:val="nil"/>
              <w:bottom w:val="single" w:sz="4" w:space="0" w:color="auto"/>
              <w:right w:val="nil"/>
            </w:tcBorders>
            <w:shd w:val="clear" w:color="auto" w:fill="auto"/>
            <w:noWrap/>
            <w:vAlign w:val="bottom"/>
            <w:hideMark/>
          </w:tcPr>
          <w:p w14:paraId="48CC88A3"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 </w:t>
            </w:r>
          </w:p>
        </w:tc>
        <w:tc>
          <w:tcPr>
            <w:tcW w:w="502" w:type="pct"/>
            <w:tcBorders>
              <w:top w:val="nil"/>
              <w:left w:val="nil"/>
              <w:bottom w:val="single" w:sz="4" w:space="0" w:color="auto"/>
              <w:right w:val="nil"/>
            </w:tcBorders>
            <w:shd w:val="clear" w:color="auto" w:fill="auto"/>
            <w:noWrap/>
            <w:vAlign w:val="bottom"/>
            <w:hideMark/>
          </w:tcPr>
          <w:p w14:paraId="69A2C3CF"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 </w:t>
            </w:r>
          </w:p>
        </w:tc>
        <w:tc>
          <w:tcPr>
            <w:tcW w:w="516" w:type="pct"/>
            <w:tcBorders>
              <w:top w:val="nil"/>
              <w:left w:val="nil"/>
              <w:bottom w:val="single" w:sz="4" w:space="0" w:color="auto"/>
              <w:right w:val="nil"/>
            </w:tcBorders>
            <w:shd w:val="clear" w:color="auto" w:fill="auto"/>
            <w:noWrap/>
            <w:vAlign w:val="bottom"/>
            <w:hideMark/>
          </w:tcPr>
          <w:p w14:paraId="243EB9F0"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 </w:t>
            </w:r>
          </w:p>
        </w:tc>
        <w:tc>
          <w:tcPr>
            <w:tcW w:w="546" w:type="pct"/>
            <w:tcBorders>
              <w:top w:val="nil"/>
              <w:left w:val="nil"/>
              <w:bottom w:val="single" w:sz="4" w:space="0" w:color="auto"/>
              <w:right w:val="nil"/>
            </w:tcBorders>
            <w:shd w:val="clear" w:color="auto" w:fill="auto"/>
            <w:noWrap/>
            <w:vAlign w:val="bottom"/>
            <w:hideMark/>
          </w:tcPr>
          <w:p w14:paraId="156FE895" w14:textId="77777777" w:rsidR="00436924" w:rsidRPr="00AD50C0" w:rsidRDefault="00436924" w:rsidP="000E494A">
            <w:pPr>
              <w:rPr>
                <w:rFonts w:eastAsia="Times New Roman" w:cs="Arial"/>
                <w:color w:val="000000"/>
                <w:sz w:val="16"/>
                <w:szCs w:val="16"/>
                <w:lang w:eastAsia="en-GB"/>
              </w:rPr>
            </w:pPr>
            <w:r w:rsidRPr="00AD50C0">
              <w:rPr>
                <w:rFonts w:eastAsia="Times New Roman" w:cs="Arial"/>
                <w:color w:val="000000"/>
                <w:sz w:val="16"/>
                <w:szCs w:val="16"/>
                <w:lang w:eastAsia="en-GB"/>
              </w:rPr>
              <w:t> </w:t>
            </w:r>
          </w:p>
        </w:tc>
        <w:tc>
          <w:tcPr>
            <w:tcW w:w="502" w:type="pct"/>
            <w:tcBorders>
              <w:top w:val="nil"/>
              <w:left w:val="nil"/>
              <w:bottom w:val="single" w:sz="4" w:space="0" w:color="auto"/>
              <w:right w:val="nil"/>
            </w:tcBorders>
            <w:shd w:val="clear" w:color="auto" w:fill="auto"/>
            <w:noWrap/>
            <w:vAlign w:val="bottom"/>
            <w:hideMark/>
          </w:tcPr>
          <w:p w14:paraId="013A5F0B"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 </w:t>
            </w:r>
          </w:p>
        </w:tc>
        <w:tc>
          <w:tcPr>
            <w:tcW w:w="529" w:type="pct"/>
            <w:tcBorders>
              <w:top w:val="nil"/>
              <w:left w:val="nil"/>
              <w:bottom w:val="single" w:sz="4" w:space="0" w:color="auto"/>
              <w:right w:val="nil"/>
            </w:tcBorders>
            <w:shd w:val="clear" w:color="auto" w:fill="auto"/>
            <w:noWrap/>
            <w:vAlign w:val="bottom"/>
            <w:hideMark/>
          </w:tcPr>
          <w:p w14:paraId="375CE457" w14:textId="77777777" w:rsidR="00436924" w:rsidRPr="00AD50C0" w:rsidRDefault="00436924" w:rsidP="000E494A">
            <w:pPr>
              <w:jc w:val="right"/>
              <w:rPr>
                <w:rFonts w:eastAsia="Times New Roman" w:cs="Arial"/>
                <w:color w:val="000000"/>
                <w:sz w:val="16"/>
                <w:szCs w:val="16"/>
                <w:lang w:eastAsia="en-GB"/>
              </w:rPr>
            </w:pPr>
            <w:r w:rsidRPr="00AD50C0">
              <w:rPr>
                <w:rFonts w:eastAsia="Times New Roman" w:cs="Arial"/>
                <w:color w:val="000000"/>
                <w:sz w:val="16"/>
                <w:szCs w:val="16"/>
                <w:lang w:eastAsia="en-GB"/>
              </w:rPr>
              <w:t> </w:t>
            </w:r>
          </w:p>
        </w:tc>
      </w:tr>
    </w:tbl>
    <w:p w14:paraId="45C65C6E" w14:textId="77777777" w:rsidR="00436924" w:rsidRDefault="00436924" w:rsidP="00D15731">
      <w:pPr>
        <w:pStyle w:val="paragraph"/>
        <w:spacing w:before="0" w:beforeAutospacing="0" w:after="0" w:afterAutospacing="0" w:line="360" w:lineRule="auto"/>
        <w:textAlignment w:val="baseline"/>
        <w:rPr>
          <w:rFonts w:ascii="Arial" w:eastAsiaTheme="minorHAnsi" w:hAnsi="Arial" w:cs="Arial"/>
          <w:szCs w:val="22"/>
          <w:lang w:eastAsia="en-US"/>
        </w:rPr>
        <w:sectPr w:rsidR="00436924" w:rsidSect="00073A08">
          <w:pgSz w:w="16838" w:h="11906" w:orient="landscape"/>
          <w:pgMar w:top="1440" w:right="1440" w:bottom="1440" w:left="1440" w:header="709" w:footer="709" w:gutter="0"/>
          <w:cols w:space="708"/>
          <w:docGrid w:linePitch="360"/>
        </w:sectPr>
      </w:pPr>
    </w:p>
    <w:p w14:paraId="293A86E5" w14:textId="3A4B975D" w:rsidR="007C6C0A" w:rsidRDefault="008C2FE1" w:rsidP="007C6C0A">
      <w:pPr>
        <w:pStyle w:val="paragraph"/>
        <w:spacing w:before="0" w:beforeAutospacing="0" w:after="0" w:afterAutospacing="0" w:line="360" w:lineRule="auto"/>
        <w:textAlignment w:val="baseline"/>
        <w:rPr>
          <w:rFonts w:ascii="Arial" w:hAnsi="Arial" w:cs="Arial"/>
        </w:rPr>
      </w:pPr>
      <w:bookmarkStart w:id="87" w:name="_Ref173680669"/>
      <w:bookmarkStart w:id="88" w:name="_Ref173680670"/>
      <w:bookmarkStart w:id="89" w:name="_Ref173681394"/>
      <w:bookmarkStart w:id="90" w:name="_Ref173744041"/>
      <w:r w:rsidRPr="00146F9C">
        <w:rPr>
          <w:rFonts w:ascii="Arial" w:hAnsi="Arial" w:cs="Arial"/>
        </w:rPr>
        <w:lastRenderedPageBreak/>
        <w:t xml:space="preserve">As can be seen in </w:t>
      </w:r>
      <w:r w:rsidR="00146F9C" w:rsidRPr="00146F9C">
        <w:rPr>
          <w:rFonts w:ascii="Arial" w:hAnsi="Arial" w:cs="Arial"/>
        </w:rPr>
        <w:fldChar w:fldCharType="begin"/>
      </w:r>
      <w:r w:rsidR="00146F9C" w:rsidRPr="00146F9C">
        <w:rPr>
          <w:rFonts w:ascii="Arial" w:hAnsi="Arial" w:cs="Arial"/>
        </w:rPr>
        <w:instrText xml:space="preserve"> REF _Ref176790517 \h  \* MERGEFORMAT </w:instrText>
      </w:r>
      <w:r w:rsidR="00146F9C" w:rsidRPr="00146F9C">
        <w:rPr>
          <w:rFonts w:ascii="Arial" w:hAnsi="Arial" w:cs="Arial"/>
        </w:rPr>
      </w:r>
      <w:r w:rsidR="00146F9C" w:rsidRPr="00146F9C">
        <w:rPr>
          <w:rFonts w:ascii="Arial" w:hAnsi="Arial" w:cs="Arial"/>
        </w:rPr>
        <w:fldChar w:fldCharType="separate"/>
      </w:r>
      <w:r w:rsidR="00146F9C" w:rsidRPr="00146F9C">
        <w:rPr>
          <w:rFonts w:ascii="Arial" w:hAnsi="Arial" w:cs="Arial"/>
        </w:rPr>
        <w:t xml:space="preserve">Table </w:t>
      </w:r>
      <w:r w:rsidR="00146F9C" w:rsidRPr="00146F9C">
        <w:rPr>
          <w:rFonts w:ascii="Arial" w:hAnsi="Arial" w:cs="Arial"/>
          <w:noProof/>
        </w:rPr>
        <w:t>3.7</w:t>
      </w:r>
      <w:r w:rsidR="00146F9C" w:rsidRPr="00146F9C">
        <w:rPr>
          <w:rFonts w:ascii="Arial" w:hAnsi="Arial" w:cs="Arial"/>
        </w:rPr>
        <w:noBreakHyphen/>
      </w:r>
      <w:r w:rsidR="00146F9C" w:rsidRPr="00146F9C">
        <w:rPr>
          <w:rFonts w:ascii="Arial" w:hAnsi="Arial" w:cs="Arial"/>
          <w:noProof/>
        </w:rPr>
        <w:t>3</w:t>
      </w:r>
      <w:r w:rsidR="00146F9C" w:rsidRPr="00146F9C">
        <w:rPr>
          <w:rFonts w:ascii="Arial" w:hAnsi="Arial" w:cs="Arial"/>
        </w:rPr>
        <w:fldChar w:fldCharType="end"/>
      </w:r>
      <w:r w:rsidR="00146F9C" w:rsidRPr="00146F9C">
        <w:rPr>
          <w:rFonts w:ascii="Arial" w:hAnsi="Arial" w:cs="Arial"/>
        </w:rPr>
        <w:t xml:space="preserve"> </w:t>
      </w:r>
      <w:r w:rsidR="00D93FA3" w:rsidRPr="00146F9C">
        <w:rPr>
          <w:rFonts w:ascii="Arial" w:hAnsi="Arial" w:cs="Arial"/>
        </w:rPr>
        <w:t>the relationship between age and</w:t>
      </w:r>
      <w:r w:rsidR="004C290A">
        <w:rPr>
          <w:rFonts w:ascii="Arial" w:hAnsi="Arial" w:cs="Arial"/>
        </w:rPr>
        <w:t xml:space="preserve"> successful</w:t>
      </w:r>
      <w:r w:rsidR="00D93FA3" w:rsidRPr="00146F9C">
        <w:rPr>
          <w:rFonts w:ascii="Arial" w:hAnsi="Arial" w:cs="Arial"/>
        </w:rPr>
        <w:t xml:space="preserve"> completion </w:t>
      </w:r>
      <w:r w:rsidR="004C290A">
        <w:rPr>
          <w:rFonts w:ascii="Arial" w:hAnsi="Arial" w:cs="Arial"/>
        </w:rPr>
        <w:t xml:space="preserve">of treatment </w:t>
      </w:r>
      <w:r w:rsidR="00D93FA3" w:rsidRPr="00146F9C">
        <w:rPr>
          <w:rFonts w:ascii="Arial" w:hAnsi="Arial" w:cs="Arial"/>
        </w:rPr>
        <w:t>was</w:t>
      </w:r>
      <w:r w:rsidR="00D93FA3">
        <w:rPr>
          <w:rFonts w:ascii="Arial" w:hAnsi="Arial" w:cs="Arial"/>
        </w:rPr>
        <w:t xml:space="preserve"> mostly nonsignificant, apart from parents not living with children aged 45+ were more likely to complete treatment than their 18-24-year old counterparts (</w:t>
      </w:r>
      <w:r w:rsidR="00D93FA3" w:rsidRPr="006F6AA9">
        <w:rPr>
          <w:rFonts w:ascii="Arial" w:hAnsi="Arial" w:cs="Arial"/>
        </w:rPr>
        <w:t>aOR=</w:t>
      </w:r>
      <w:r w:rsidR="00D93FA3">
        <w:rPr>
          <w:rFonts w:ascii="Arial" w:hAnsi="Arial" w:cs="Arial"/>
        </w:rPr>
        <w:t>1</w:t>
      </w:r>
      <w:r w:rsidR="00D93FA3" w:rsidRPr="006F6AA9">
        <w:rPr>
          <w:rFonts w:ascii="Arial" w:hAnsi="Arial" w:cs="Arial"/>
        </w:rPr>
        <w:t>.</w:t>
      </w:r>
      <w:r w:rsidR="00D93FA3">
        <w:rPr>
          <w:rFonts w:ascii="Arial" w:hAnsi="Arial" w:cs="Arial"/>
        </w:rPr>
        <w:t>33</w:t>
      </w:r>
      <w:r w:rsidR="00D93FA3" w:rsidRPr="006F6AA9">
        <w:rPr>
          <w:rFonts w:ascii="Arial" w:hAnsi="Arial" w:cs="Arial"/>
        </w:rPr>
        <w:t xml:space="preserve">, 95% CI: </w:t>
      </w:r>
      <w:r w:rsidR="00D93FA3">
        <w:rPr>
          <w:rFonts w:ascii="Arial" w:hAnsi="Arial" w:cs="Arial"/>
        </w:rPr>
        <w:t>1</w:t>
      </w:r>
      <w:r w:rsidR="00D93FA3" w:rsidRPr="006F6AA9">
        <w:rPr>
          <w:rFonts w:ascii="Arial" w:hAnsi="Arial" w:cs="Arial"/>
        </w:rPr>
        <w:t>.</w:t>
      </w:r>
      <w:r w:rsidR="00D93FA3">
        <w:rPr>
          <w:rFonts w:ascii="Arial" w:hAnsi="Arial" w:cs="Arial"/>
        </w:rPr>
        <w:t>17</w:t>
      </w:r>
      <w:r w:rsidR="00D93FA3" w:rsidRPr="006F6AA9">
        <w:rPr>
          <w:rFonts w:ascii="Arial" w:hAnsi="Arial" w:cs="Arial"/>
        </w:rPr>
        <w:t>-1.</w:t>
      </w:r>
      <w:r w:rsidR="00D93FA3">
        <w:rPr>
          <w:rFonts w:ascii="Arial" w:hAnsi="Arial" w:cs="Arial"/>
        </w:rPr>
        <w:t>52</w:t>
      </w:r>
      <w:r w:rsidR="00D93FA3" w:rsidRPr="006F6AA9">
        <w:rPr>
          <w:rFonts w:ascii="Arial" w:hAnsi="Arial" w:cs="Arial"/>
        </w:rPr>
        <w:t xml:space="preserve">, </w:t>
      </w:r>
      <w:r w:rsidR="00D93FA3">
        <w:rPr>
          <w:rFonts w:ascii="Arial" w:hAnsi="Arial" w:cs="Arial"/>
        </w:rPr>
        <w:t>p&lt;0.0</w:t>
      </w:r>
      <w:r w:rsidR="00D93611">
        <w:rPr>
          <w:rFonts w:ascii="Arial" w:hAnsi="Arial" w:cs="Arial"/>
        </w:rPr>
        <w:t xml:space="preserve">, </w:t>
      </w:r>
      <w:r w:rsidR="00D93611" w:rsidRPr="00956D66">
        <w:rPr>
          <w:rFonts w:ascii="Arial" w:hAnsi="Arial" w:cs="Arial"/>
        </w:rPr>
        <w:t xml:space="preserve">E= </w:t>
      </w:r>
      <w:r w:rsidR="00D93611" w:rsidRPr="00D072ED">
        <w:rPr>
          <w:rFonts w:ascii="Arial" w:hAnsi="Arial" w:cs="Arial"/>
        </w:rPr>
        <w:t>1.</w:t>
      </w:r>
      <w:r w:rsidR="00D072ED" w:rsidRPr="00D072ED">
        <w:rPr>
          <w:rFonts w:ascii="Arial" w:hAnsi="Arial" w:cs="Arial"/>
        </w:rPr>
        <w:t>57</w:t>
      </w:r>
      <w:r w:rsidR="00D93611" w:rsidRPr="00956D66">
        <w:rPr>
          <w:rFonts w:ascii="Arial" w:hAnsi="Arial" w:cs="Arial"/>
        </w:rPr>
        <w:t xml:space="preserve"> [uncertainty estimate =</w:t>
      </w:r>
      <w:r w:rsidR="00D93611" w:rsidRPr="00D072ED">
        <w:rPr>
          <w:rFonts w:ascii="Arial" w:hAnsi="Arial" w:cs="Arial"/>
        </w:rPr>
        <w:t>1.</w:t>
      </w:r>
      <w:r w:rsidR="00D072ED" w:rsidRPr="00D072ED">
        <w:rPr>
          <w:rFonts w:ascii="Arial" w:hAnsi="Arial" w:cs="Arial"/>
        </w:rPr>
        <w:t>37</w:t>
      </w:r>
      <w:r w:rsidR="00D93611" w:rsidRPr="00956D66">
        <w:rPr>
          <w:rFonts w:ascii="Arial" w:hAnsi="Arial" w:cs="Arial"/>
        </w:rPr>
        <w:t>]</w:t>
      </w:r>
      <w:r w:rsidR="00D93FA3">
        <w:rPr>
          <w:rFonts w:ascii="Arial" w:hAnsi="Arial" w:cs="Arial"/>
        </w:rPr>
        <w:t xml:space="preserve">). </w:t>
      </w:r>
      <w:r w:rsidR="00146F9C">
        <w:rPr>
          <w:rFonts w:ascii="Arial" w:hAnsi="Arial" w:cs="Arial"/>
        </w:rPr>
        <w:t>Mothers</w:t>
      </w:r>
      <w:r w:rsidR="00D93FA3" w:rsidRPr="007728E3">
        <w:rPr>
          <w:rFonts w:ascii="Arial" w:hAnsi="Arial" w:cs="Arial"/>
        </w:rPr>
        <w:t xml:space="preserve"> were significantly more likely to complete treatment than </w:t>
      </w:r>
      <w:r w:rsidR="00D072ED">
        <w:rPr>
          <w:rFonts w:ascii="Arial" w:hAnsi="Arial" w:cs="Arial"/>
        </w:rPr>
        <w:t>fathers</w:t>
      </w:r>
      <w:r w:rsidR="00D93FA3" w:rsidRPr="007728E3">
        <w:rPr>
          <w:rFonts w:ascii="Arial" w:hAnsi="Arial" w:cs="Arial"/>
        </w:rPr>
        <w:t xml:space="preserve"> (</w:t>
      </w:r>
      <w:r w:rsidR="00D93FA3">
        <w:rPr>
          <w:rFonts w:ascii="Arial" w:hAnsi="Arial" w:cs="Arial"/>
        </w:rPr>
        <w:t>aOR=1.11, 95% CI: 1.06-1.16, p&lt;0.01</w:t>
      </w:r>
      <w:r w:rsidR="00247D9A">
        <w:rPr>
          <w:rFonts w:ascii="Arial" w:hAnsi="Arial" w:cs="Arial"/>
        </w:rPr>
        <w:t xml:space="preserve">, </w:t>
      </w:r>
      <w:r w:rsidR="00247D9A" w:rsidRPr="00956D66">
        <w:rPr>
          <w:rFonts w:ascii="Arial" w:hAnsi="Arial" w:cs="Arial"/>
        </w:rPr>
        <w:t xml:space="preserve">E= </w:t>
      </w:r>
      <w:r w:rsidR="00247D9A" w:rsidRPr="00D072ED">
        <w:rPr>
          <w:rFonts w:ascii="Arial" w:hAnsi="Arial" w:cs="Arial"/>
        </w:rPr>
        <w:t>1.</w:t>
      </w:r>
      <w:r w:rsidR="00247D9A">
        <w:rPr>
          <w:rFonts w:ascii="Arial" w:hAnsi="Arial" w:cs="Arial"/>
        </w:rPr>
        <w:t>29</w:t>
      </w:r>
      <w:r w:rsidR="00247D9A" w:rsidRPr="00956D66">
        <w:rPr>
          <w:rFonts w:ascii="Arial" w:hAnsi="Arial" w:cs="Arial"/>
        </w:rPr>
        <w:t xml:space="preserve"> [uncertainty estimate =</w:t>
      </w:r>
      <w:r w:rsidR="00247D9A" w:rsidRPr="00D072ED">
        <w:rPr>
          <w:rFonts w:ascii="Arial" w:hAnsi="Arial" w:cs="Arial"/>
        </w:rPr>
        <w:t>1.</w:t>
      </w:r>
      <w:r w:rsidR="00247D9A">
        <w:rPr>
          <w:rFonts w:ascii="Arial" w:hAnsi="Arial" w:cs="Arial"/>
        </w:rPr>
        <w:t>20</w:t>
      </w:r>
      <w:r w:rsidR="00247D9A" w:rsidRPr="00956D66">
        <w:rPr>
          <w:rFonts w:ascii="Arial" w:hAnsi="Arial" w:cs="Arial"/>
        </w:rPr>
        <w:t>]</w:t>
      </w:r>
      <w:r w:rsidR="00D93FA3" w:rsidRPr="007728E3">
        <w:rPr>
          <w:rFonts w:ascii="Arial" w:hAnsi="Arial" w:cs="Arial"/>
        </w:rPr>
        <w:t>).</w:t>
      </w:r>
      <w:r w:rsidR="00D93FA3">
        <w:rPr>
          <w:rFonts w:ascii="Arial" w:hAnsi="Arial" w:cs="Arial"/>
        </w:rPr>
        <w:t xml:space="preserve"> M</w:t>
      </w:r>
      <w:r w:rsidR="007C6C0A">
        <w:rPr>
          <w:rFonts w:ascii="Arial" w:hAnsi="Arial" w:cs="Arial"/>
        </w:rPr>
        <w:t>others</w:t>
      </w:r>
      <w:r w:rsidR="007C6C0A" w:rsidRPr="007526B4">
        <w:rPr>
          <w:rFonts w:ascii="Arial" w:hAnsi="Arial" w:cs="Arial"/>
        </w:rPr>
        <w:t xml:space="preserve"> not living with children </w:t>
      </w:r>
      <w:r w:rsidR="007C6C0A" w:rsidRPr="00DF7723">
        <w:rPr>
          <w:rFonts w:ascii="Arial" w:hAnsi="Arial" w:cs="Arial"/>
          <w:i/>
          <w:iCs/>
        </w:rPr>
        <w:t>and</w:t>
      </w:r>
      <w:r w:rsidR="007C6C0A" w:rsidRPr="007526B4">
        <w:rPr>
          <w:rFonts w:ascii="Arial" w:hAnsi="Arial" w:cs="Arial"/>
        </w:rPr>
        <w:t xml:space="preserve"> pregnant were more likely to complete treatment than those who were not pregnant</w:t>
      </w:r>
      <w:r w:rsidR="007C6C0A">
        <w:rPr>
          <w:rFonts w:ascii="Arial" w:hAnsi="Arial" w:cs="Arial"/>
        </w:rPr>
        <w:t xml:space="preserve"> </w:t>
      </w:r>
      <w:r w:rsidR="007C6C0A" w:rsidRPr="007526B4">
        <w:rPr>
          <w:rFonts w:ascii="Arial" w:hAnsi="Arial" w:cs="Arial"/>
        </w:rPr>
        <w:t>(aOR=1.4</w:t>
      </w:r>
      <w:r w:rsidR="007C6C0A">
        <w:rPr>
          <w:rFonts w:ascii="Arial" w:hAnsi="Arial" w:cs="Arial"/>
        </w:rPr>
        <w:t>2</w:t>
      </w:r>
      <w:r w:rsidR="007C6C0A" w:rsidRPr="007526B4">
        <w:rPr>
          <w:rFonts w:ascii="Arial" w:hAnsi="Arial" w:cs="Arial"/>
        </w:rPr>
        <w:t>, 95% CI: 1.1</w:t>
      </w:r>
      <w:r w:rsidR="007C6C0A">
        <w:rPr>
          <w:rFonts w:ascii="Arial" w:hAnsi="Arial" w:cs="Arial"/>
        </w:rPr>
        <w:t>4</w:t>
      </w:r>
      <w:r w:rsidR="007C6C0A" w:rsidRPr="007526B4">
        <w:rPr>
          <w:rFonts w:ascii="Arial" w:hAnsi="Arial" w:cs="Arial"/>
        </w:rPr>
        <w:t>-1.</w:t>
      </w:r>
      <w:r w:rsidR="007C6C0A">
        <w:rPr>
          <w:rFonts w:ascii="Arial" w:hAnsi="Arial" w:cs="Arial"/>
        </w:rPr>
        <w:t>78</w:t>
      </w:r>
      <w:r w:rsidR="007C6C0A" w:rsidRPr="007526B4">
        <w:rPr>
          <w:rFonts w:ascii="Arial" w:hAnsi="Arial" w:cs="Arial"/>
        </w:rPr>
        <w:t>, p&lt;0.01</w:t>
      </w:r>
      <w:r w:rsidR="00B158FF">
        <w:rPr>
          <w:rFonts w:ascii="Arial" w:hAnsi="Arial" w:cs="Arial"/>
        </w:rPr>
        <w:t xml:space="preserve">, </w:t>
      </w:r>
      <w:r w:rsidR="00B158FF" w:rsidRPr="00956D66">
        <w:rPr>
          <w:rFonts w:ascii="Arial" w:hAnsi="Arial" w:cs="Arial"/>
        </w:rPr>
        <w:t xml:space="preserve">E= </w:t>
      </w:r>
      <w:r w:rsidR="00B158FF" w:rsidRPr="00D072ED">
        <w:rPr>
          <w:rFonts w:ascii="Arial" w:hAnsi="Arial" w:cs="Arial"/>
        </w:rPr>
        <w:t>1.</w:t>
      </w:r>
      <w:r w:rsidR="00B158FF">
        <w:rPr>
          <w:rFonts w:ascii="Arial" w:hAnsi="Arial" w:cs="Arial"/>
        </w:rPr>
        <w:t>67</w:t>
      </w:r>
      <w:r w:rsidR="00B158FF" w:rsidRPr="00956D66">
        <w:rPr>
          <w:rFonts w:ascii="Arial" w:hAnsi="Arial" w:cs="Arial"/>
        </w:rPr>
        <w:t xml:space="preserve"> [uncertainty estimate =</w:t>
      </w:r>
      <w:r w:rsidR="00B158FF" w:rsidRPr="00D072ED">
        <w:rPr>
          <w:rFonts w:ascii="Arial" w:hAnsi="Arial" w:cs="Arial"/>
        </w:rPr>
        <w:t>1.</w:t>
      </w:r>
      <w:r w:rsidR="00B158FF">
        <w:rPr>
          <w:rFonts w:ascii="Arial" w:hAnsi="Arial" w:cs="Arial"/>
        </w:rPr>
        <w:t>34</w:t>
      </w:r>
      <w:r w:rsidR="00B158FF" w:rsidRPr="00956D66">
        <w:rPr>
          <w:rFonts w:ascii="Arial" w:hAnsi="Arial" w:cs="Arial"/>
        </w:rPr>
        <w:t>]</w:t>
      </w:r>
      <w:r w:rsidR="007C6C0A" w:rsidRPr="007526B4">
        <w:rPr>
          <w:rFonts w:ascii="Arial" w:hAnsi="Arial" w:cs="Arial"/>
        </w:rPr>
        <w:t>).</w:t>
      </w:r>
    </w:p>
    <w:p w14:paraId="72488454" w14:textId="77777777" w:rsidR="0063544A" w:rsidRDefault="0063544A" w:rsidP="0063544A">
      <w:pPr>
        <w:pStyle w:val="paragraph"/>
        <w:spacing w:line="360" w:lineRule="auto"/>
        <w:textAlignment w:val="baseline"/>
        <w:rPr>
          <w:rFonts w:ascii="Arial" w:hAnsi="Arial" w:cs="Arial"/>
        </w:rPr>
      </w:pPr>
    </w:p>
    <w:p w14:paraId="09BF1AFD" w14:textId="431E84FD" w:rsidR="006A6FE8" w:rsidRPr="0063544A" w:rsidRDefault="001D508D" w:rsidP="0063544A">
      <w:pPr>
        <w:pStyle w:val="paragraph"/>
        <w:spacing w:line="360" w:lineRule="auto"/>
        <w:textAlignment w:val="baseline"/>
        <w:rPr>
          <w:rFonts w:ascii="Arial" w:hAnsi="Arial" w:cs="Arial"/>
        </w:rPr>
      </w:pPr>
      <w:r>
        <w:rPr>
          <w:rFonts w:ascii="Arial" w:hAnsi="Arial" w:cs="Arial"/>
        </w:rPr>
        <w:t xml:space="preserve">Just 2.3% of parents received </w:t>
      </w:r>
      <w:r w:rsidRPr="0063544A">
        <w:rPr>
          <w:rFonts w:ascii="Arial" w:hAnsi="Arial" w:cs="Arial"/>
        </w:rPr>
        <w:t>residential rehabilitation</w:t>
      </w:r>
      <w:r>
        <w:rPr>
          <w:rFonts w:ascii="Arial" w:hAnsi="Arial" w:cs="Arial"/>
        </w:rPr>
        <w:t>, but a</w:t>
      </w:r>
      <w:r w:rsidRPr="0063544A">
        <w:rPr>
          <w:rFonts w:ascii="Arial" w:hAnsi="Arial" w:cs="Arial"/>
        </w:rPr>
        <w:t xml:space="preserve">ll </w:t>
      </w:r>
      <w:r w:rsidR="007C6C0A" w:rsidRPr="0063544A">
        <w:rPr>
          <w:rFonts w:ascii="Arial" w:hAnsi="Arial" w:cs="Arial"/>
        </w:rPr>
        <w:t>parents who received residential rehabilitation were more likely to complete than not (aOR=2.95, 95% CI 2.57-3.39, p&lt;0.01</w:t>
      </w:r>
      <w:r w:rsidR="00CE040A" w:rsidRPr="0063544A">
        <w:rPr>
          <w:rFonts w:ascii="Arial" w:hAnsi="Arial" w:cs="Arial"/>
        </w:rPr>
        <w:t>, E= 2.83 [uncertainty estimate =2.59]</w:t>
      </w:r>
      <w:r w:rsidR="007C6C0A" w:rsidRPr="0063544A">
        <w:rPr>
          <w:rFonts w:ascii="Arial" w:hAnsi="Arial" w:cs="Arial"/>
        </w:rPr>
        <w:t>), with likelihood notably greater for parents not living with children (L</w:t>
      </w:r>
      <w:r w:rsidR="005B74CC" w:rsidRPr="0063544A">
        <w:rPr>
          <w:rFonts w:ascii="Arial" w:hAnsi="Arial" w:cs="Arial"/>
        </w:rPr>
        <w:t>W</w:t>
      </w:r>
      <w:r w:rsidR="007C6C0A" w:rsidRPr="0063544A">
        <w:rPr>
          <w:rFonts w:ascii="Arial" w:hAnsi="Arial" w:cs="Arial"/>
        </w:rPr>
        <w:t xml:space="preserve">C aOR=2.05, 95% CI: 1.59-2.65, p&lt;0.01; </w:t>
      </w:r>
      <w:r w:rsidR="00AF2EC0" w:rsidRPr="0063544A">
        <w:rPr>
          <w:rFonts w:ascii="Arial" w:hAnsi="Arial" w:cs="Arial"/>
        </w:rPr>
        <w:t>E= 2.22 [uncertainty estimate =1.83]</w:t>
      </w:r>
      <w:r w:rsidR="00365D36" w:rsidRPr="0063544A">
        <w:rPr>
          <w:rFonts w:ascii="Arial" w:hAnsi="Arial" w:cs="Arial"/>
        </w:rPr>
        <w:t>;</w:t>
      </w:r>
      <w:r w:rsidR="00AF2EC0" w:rsidRPr="0063544A">
        <w:rPr>
          <w:rFonts w:ascii="Arial" w:hAnsi="Arial" w:cs="Arial"/>
        </w:rPr>
        <w:t xml:space="preserve"> </w:t>
      </w:r>
      <w:r w:rsidR="007C6C0A" w:rsidRPr="0063544A">
        <w:rPr>
          <w:rFonts w:ascii="Arial" w:hAnsi="Arial" w:cs="Arial"/>
        </w:rPr>
        <w:t>N</w:t>
      </w:r>
      <w:r w:rsidR="005B74CC" w:rsidRPr="0063544A">
        <w:rPr>
          <w:rFonts w:ascii="Arial" w:hAnsi="Arial" w:cs="Arial"/>
        </w:rPr>
        <w:t>W</w:t>
      </w:r>
      <w:r w:rsidR="007C6C0A" w:rsidRPr="0063544A">
        <w:rPr>
          <w:rFonts w:ascii="Arial" w:hAnsi="Arial" w:cs="Arial"/>
        </w:rPr>
        <w:t>C aOR=3.46, 95% CI: 2.94-4.09, p&lt;0.01</w:t>
      </w:r>
      <w:r w:rsidR="00FB3225" w:rsidRPr="0063544A">
        <w:rPr>
          <w:rFonts w:ascii="Arial" w:hAnsi="Arial" w:cs="Arial"/>
        </w:rPr>
        <w:t>, E= 3.12 [uncertainty estimate =</w:t>
      </w:r>
      <w:r w:rsidR="00A221EB" w:rsidRPr="0063544A">
        <w:rPr>
          <w:rFonts w:ascii="Arial" w:hAnsi="Arial" w:cs="Arial"/>
        </w:rPr>
        <w:t>2</w:t>
      </w:r>
      <w:r w:rsidR="00FB3225" w:rsidRPr="0063544A">
        <w:rPr>
          <w:rFonts w:ascii="Arial" w:hAnsi="Arial" w:cs="Arial"/>
        </w:rPr>
        <w:t>.</w:t>
      </w:r>
      <w:r w:rsidR="00A221EB" w:rsidRPr="0063544A">
        <w:rPr>
          <w:rFonts w:ascii="Arial" w:hAnsi="Arial" w:cs="Arial"/>
        </w:rPr>
        <w:t>82</w:t>
      </w:r>
      <w:r w:rsidR="00FB3225" w:rsidRPr="0063544A">
        <w:rPr>
          <w:rFonts w:ascii="Arial" w:hAnsi="Arial" w:cs="Arial"/>
        </w:rPr>
        <w:t>]</w:t>
      </w:r>
      <w:r w:rsidR="007C6C0A" w:rsidRPr="0063544A">
        <w:rPr>
          <w:rFonts w:ascii="Arial" w:hAnsi="Arial" w:cs="Arial"/>
        </w:rPr>
        <w:t xml:space="preserve">). </w:t>
      </w:r>
      <w:r w:rsidR="0063544A" w:rsidRPr="0063544A">
        <w:rPr>
          <w:rFonts w:ascii="Arial" w:hAnsi="Arial" w:cs="Arial"/>
        </w:rPr>
        <w:t>This association was larger than the association for outpatient treatment, or for inpatient detoxification.</w:t>
      </w:r>
    </w:p>
    <w:p w14:paraId="05212B5F" w14:textId="25B41CBC" w:rsidR="007C6C0A" w:rsidRDefault="00AB7760" w:rsidP="007C6C0A">
      <w:pPr>
        <w:pStyle w:val="NoSpacing"/>
        <w:spacing w:line="360" w:lineRule="auto"/>
      </w:pPr>
      <w:r>
        <w:t>Parenting and/or family</w:t>
      </w:r>
      <w:r w:rsidR="007C6C0A">
        <w:t xml:space="preserve"> and housing/employment recovery support delivered alongside treatment were associated with greater likelihood of completion (aOR=1.54, 95% CI: 1.41-1.67, p&lt;0.01, </w:t>
      </w:r>
      <w:r w:rsidR="00365D36" w:rsidRPr="00956D66">
        <w:t xml:space="preserve">E= </w:t>
      </w:r>
      <w:r w:rsidR="00365D36">
        <w:t>1.</w:t>
      </w:r>
      <w:r w:rsidR="00F838A9">
        <w:t>79</w:t>
      </w:r>
      <w:r w:rsidR="00365D36" w:rsidRPr="00956D66">
        <w:t xml:space="preserve"> [uncertainty estimate =</w:t>
      </w:r>
      <w:r w:rsidR="00F838A9">
        <w:t xml:space="preserve">1.66]; aOR=1.37, </w:t>
      </w:r>
      <w:r w:rsidR="007C6C0A">
        <w:t>95% CI: 1.26-1.49, p&lt;0.01</w:t>
      </w:r>
      <w:r w:rsidR="00266990">
        <w:t xml:space="preserve">, </w:t>
      </w:r>
      <w:r w:rsidR="00F838A9" w:rsidRPr="00956D66">
        <w:t xml:space="preserve">E= </w:t>
      </w:r>
      <w:r w:rsidR="00F838A9">
        <w:t>1.</w:t>
      </w:r>
      <w:r w:rsidR="00266990">
        <w:t>61</w:t>
      </w:r>
      <w:r w:rsidR="00F838A9" w:rsidRPr="00956D66">
        <w:t xml:space="preserve"> [uncertainty estimate =</w:t>
      </w:r>
      <w:r w:rsidR="00F838A9">
        <w:t>1.</w:t>
      </w:r>
      <w:r w:rsidR="00266990">
        <w:t>49</w:t>
      </w:r>
      <w:r w:rsidR="00F838A9">
        <w:t>]</w:t>
      </w:r>
      <w:r w:rsidR="007C6C0A">
        <w:t xml:space="preserve">); domestic abuse interventions were not a predictor of treatment completion. </w:t>
      </w:r>
    </w:p>
    <w:p w14:paraId="06D91ED6" w14:textId="77777777" w:rsidR="00E36669" w:rsidRPr="0058348B" w:rsidRDefault="00E36669" w:rsidP="00E36669">
      <w:pPr>
        <w:pStyle w:val="paragraph"/>
        <w:spacing w:before="0" w:beforeAutospacing="0" w:after="0" w:afterAutospacing="0" w:line="360" w:lineRule="auto"/>
        <w:textAlignment w:val="baseline"/>
        <w:rPr>
          <w:rFonts w:ascii="Arial" w:hAnsi="Arial" w:cs="Arial"/>
        </w:rPr>
      </w:pPr>
    </w:p>
    <w:p w14:paraId="5280AD8A" w14:textId="794772A4" w:rsidR="00E36669" w:rsidRPr="00AD2691" w:rsidRDefault="00E36669" w:rsidP="00E36669">
      <w:pPr>
        <w:pStyle w:val="paragraph"/>
        <w:spacing w:before="0" w:beforeAutospacing="0" w:after="0" w:afterAutospacing="0" w:line="360" w:lineRule="auto"/>
        <w:textAlignment w:val="baseline"/>
        <w:rPr>
          <w:rFonts w:ascii="Arial" w:hAnsi="Arial" w:cs="Arial"/>
        </w:rPr>
      </w:pPr>
      <w:r>
        <w:rPr>
          <w:rFonts w:ascii="Arial" w:hAnsi="Arial" w:cs="Arial"/>
        </w:rPr>
        <w:t>Those who were employed or in education/ training were more likely to complete treatment than those who were not (</w:t>
      </w:r>
      <w:r w:rsidRPr="006F6AA9">
        <w:rPr>
          <w:rFonts w:ascii="Arial" w:hAnsi="Arial" w:cs="Arial"/>
        </w:rPr>
        <w:t>aOR=</w:t>
      </w:r>
      <w:r>
        <w:rPr>
          <w:rFonts w:ascii="Arial" w:hAnsi="Arial" w:cs="Arial"/>
        </w:rPr>
        <w:t>1</w:t>
      </w:r>
      <w:r w:rsidRPr="006F6AA9">
        <w:rPr>
          <w:rFonts w:ascii="Arial" w:hAnsi="Arial" w:cs="Arial"/>
        </w:rPr>
        <w:t>.</w:t>
      </w:r>
      <w:r>
        <w:rPr>
          <w:rFonts w:ascii="Arial" w:hAnsi="Arial" w:cs="Arial"/>
        </w:rPr>
        <w:t>33</w:t>
      </w:r>
      <w:r w:rsidRPr="006F6AA9">
        <w:rPr>
          <w:rFonts w:ascii="Arial" w:hAnsi="Arial" w:cs="Arial"/>
        </w:rPr>
        <w:t xml:space="preserve">, 95% CI: </w:t>
      </w:r>
      <w:r>
        <w:rPr>
          <w:rFonts w:ascii="Arial" w:hAnsi="Arial" w:cs="Arial"/>
        </w:rPr>
        <w:t>1</w:t>
      </w:r>
      <w:r w:rsidRPr="006F6AA9">
        <w:rPr>
          <w:rFonts w:ascii="Arial" w:hAnsi="Arial" w:cs="Arial"/>
        </w:rPr>
        <w:t>.</w:t>
      </w:r>
      <w:r>
        <w:rPr>
          <w:rFonts w:ascii="Arial" w:hAnsi="Arial" w:cs="Arial"/>
        </w:rPr>
        <w:t>27</w:t>
      </w:r>
      <w:r w:rsidRPr="006F6AA9">
        <w:rPr>
          <w:rFonts w:ascii="Arial" w:hAnsi="Arial" w:cs="Arial"/>
        </w:rPr>
        <w:t>-</w:t>
      </w:r>
      <w:r>
        <w:rPr>
          <w:rFonts w:ascii="Arial" w:hAnsi="Arial" w:cs="Arial"/>
        </w:rPr>
        <w:t>1</w:t>
      </w:r>
      <w:r w:rsidRPr="006F6AA9">
        <w:rPr>
          <w:rFonts w:ascii="Arial" w:hAnsi="Arial" w:cs="Arial"/>
        </w:rPr>
        <w:t>.</w:t>
      </w:r>
      <w:r>
        <w:rPr>
          <w:rFonts w:ascii="Arial" w:hAnsi="Arial" w:cs="Arial"/>
        </w:rPr>
        <w:t>40</w:t>
      </w:r>
      <w:r w:rsidRPr="006F6AA9">
        <w:rPr>
          <w:rFonts w:ascii="Arial" w:hAnsi="Arial" w:cs="Arial"/>
        </w:rPr>
        <w:t>, p&lt;0.01</w:t>
      </w:r>
      <w:r w:rsidR="003643BD">
        <w:rPr>
          <w:rFonts w:ascii="Arial" w:hAnsi="Arial" w:cs="Arial"/>
        </w:rPr>
        <w:t>, E</w:t>
      </w:r>
      <w:r w:rsidR="003643BD" w:rsidRPr="00865DF3">
        <w:rPr>
          <w:rFonts w:ascii="Arial" w:hAnsi="Arial" w:cs="Arial"/>
        </w:rPr>
        <w:t>=1.</w:t>
      </w:r>
      <w:r w:rsidR="003643BD">
        <w:rPr>
          <w:rFonts w:ascii="Arial" w:hAnsi="Arial" w:cs="Arial"/>
        </w:rPr>
        <w:t>57</w:t>
      </w:r>
      <w:r w:rsidR="003643BD" w:rsidRPr="00865DF3">
        <w:rPr>
          <w:rFonts w:ascii="Arial" w:hAnsi="Arial" w:cs="Arial"/>
        </w:rPr>
        <w:t xml:space="preserve"> </w:t>
      </w:r>
      <w:r w:rsidR="003643BD">
        <w:rPr>
          <w:rFonts w:ascii="Arial" w:hAnsi="Arial" w:cs="Arial"/>
        </w:rPr>
        <w:t>[</w:t>
      </w:r>
      <w:r w:rsidR="003643BD" w:rsidRPr="00865DF3">
        <w:rPr>
          <w:rFonts w:ascii="Arial" w:hAnsi="Arial" w:cs="Arial"/>
        </w:rPr>
        <w:t>uncertainty estimate = 1.</w:t>
      </w:r>
      <w:r w:rsidR="003643BD">
        <w:rPr>
          <w:rFonts w:ascii="Arial" w:hAnsi="Arial" w:cs="Arial"/>
        </w:rPr>
        <w:t>51]</w:t>
      </w:r>
      <w:r w:rsidRPr="006F6AA9">
        <w:rPr>
          <w:rFonts w:ascii="Arial" w:hAnsi="Arial" w:cs="Arial"/>
        </w:rPr>
        <w:t>)</w:t>
      </w:r>
      <w:r>
        <w:rPr>
          <w:rFonts w:ascii="Arial" w:hAnsi="Arial" w:cs="Arial"/>
        </w:rPr>
        <w:t>. No previous treatment journeys within the study timeframe was associated with completion, with the higher the number of journeys associated with less chance of success (once before</w:t>
      </w:r>
      <w:r w:rsidRPr="006F6AA9">
        <w:rPr>
          <w:rFonts w:ascii="Arial" w:hAnsi="Arial" w:cs="Arial"/>
        </w:rPr>
        <w:t xml:space="preserve"> aOR=</w:t>
      </w:r>
      <w:r>
        <w:rPr>
          <w:rFonts w:ascii="Arial" w:hAnsi="Arial" w:cs="Arial"/>
        </w:rPr>
        <w:t>0.47</w:t>
      </w:r>
      <w:r w:rsidRPr="006F6AA9">
        <w:rPr>
          <w:rFonts w:ascii="Arial" w:hAnsi="Arial" w:cs="Arial"/>
        </w:rPr>
        <w:t xml:space="preserve">, 95% CI: </w:t>
      </w:r>
      <w:r>
        <w:rPr>
          <w:rFonts w:ascii="Arial" w:hAnsi="Arial" w:cs="Arial"/>
        </w:rPr>
        <w:t>0.44</w:t>
      </w:r>
      <w:r w:rsidRPr="006F6AA9">
        <w:rPr>
          <w:rFonts w:ascii="Arial" w:hAnsi="Arial" w:cs="Arial"/>
        </w:rPr>
        <w:t>-</w:t>
      </w:r>
      <w:r>
        <w:rPr>
          <w:rFonts w:ascii="Arial" w:hAnsi="Arial" w:cs="Arial"/>
        </w:rPr>
        <w:t>0.49</w:t>
      </w:r>
      <w:r w:rsidRPr="006F6AA9">
        <w:rPr>
          <w:rFonts w:ascii="Arial" w:hAnsi="Arial" w:cs="Arial"/>
        </w:rPr>
        <w:t>, p&lt;0.01</w:t>
      </w:r>
      <w:r w:rsidR="004458A2">
        <w:rPr>
          <w:rFonts w:ascii="Arial" w:hAnsi="Arial" w:cs="Arial"/>
        </w:rPr>
        <w:t>, E</w:t>
      </w:r>
      <w:r w:rsidR="004458A2" w:rsidRPr="00865DF3">
        <w:rPr>
          <w:rFonts w:ascii="Arial" w:hAnsi="Arial" w:cs="Arial"/>
        </w:rPr>
        <w:t>=</w:t>
      </w:r>
      <w:r w:rsidR="00F04B96">
        <w:rPr>
          <w:rFonts w:ascii="Arial" w:hAnsi="Arial" w:cs="Arial"/>
        </w:rPr>
        <w:t>2</w:t>
      </w:r>
      <w:r w:rsidR="004458A2" w:rsidRPr="00865DF3">
        <w:rPr>
          <w:rFonts w:ascii="Arial" w:hAnsi="Arial" w:cs="Arial"/>
        </w:rPr>
        <w:t>.</w:t>
      </w:r>
      <w:r w:rsidR="00F04B96">
        <w:rPr>
          <w:rFonts w:ascii="Arial" w:hAnsi="Arial" w:cs="Arial"/>
        </w:rPr>
        <w:t>28</w:t>
      </w:r>
      <w:r w:rsidR="004458A2" w:rsidRPr="00865DF3">
        <w:rPr>
          <w:rFonts w:ascii="Arial" w:hAnsi="Arial" w:cs="Arial"/>
        </w:rPr>
        <w:t xml:space="preserve"> </w:t>
      </w:r>
      <w:r w:rsidR="004458A2">
        <w:rPr>
          <w:rFonts w:ascii="Arial" w:hAnsi="Arial" w:cs="Arial"/>
        </w:rPr>
        <w:t>[</w:t>
      </w:r>
      <w:r w:rsidR="004458A2" w:rsidRPr="00865DF3">
        <w:rPr>
          <w:rFonts w:ascii="Arial" w:hAnsi="Arial" w:cs="Arial"/>
        </w:rPr>
        <w:t xml:space="preserve">uncertainty estimate = </w:t>
      </w:r>
      <w:r w:rsidR="00F04B96">
        <w:rPr>
          <w:rFonts w:ascii="Arial" w:hAnsi="Arial" w:cs="Arial"/>
        </w:rPr>
        <w:t>2</w:t>
      </w:r>
      <w:r w:rsidR="004458A2" w:rsidRPr="00865DF3">
        <w:rPr>
          <w:rFonts w:ascii="Arial" w:hAnsi="Arial" w:cs="Arial"/>
        </w:rPr>
        <w:t>.</w:t>
      </w:r>
      <w:r w:rsidR="00F04B96">
        <w:rPr>
          <w:rFonts w:ascii="Arial" w:hAnsi="Arial" w:cs="Arial"/>
        </w:rPr>
        <w:t>21</w:t>
      </w:r>
      <w:r w:rsidR="004458A2">
        <w:rPr>
          <w:rFonts w:ascii="Arial" w:hAnsi="Arial" w:cs="Arial"/>
        </w:rPr>
        <w:t>]</w:t>
      </w:r>
      <w:r w:rsidRPr="006F6AA9">
        <w:rPr>
          <w:rFonts w:ascii="Arial" w:hAnsi="Arial" w:cs="Arial"/>
        </w:rPr>
        <w:t xml:space="preserve">; </w:t>
      </w:r>
      <w:r>
        <w:rPr>
          <w:rFonts w:ascii="Arial" w:hAnsi="Arial" w:cs="Arial"/>
        </w:rPr>
        <w:t>2+ aOR=0.25</w:t>
      </w:r>
      <w:r w:rsidRPr="006F6AA9">
        <w:rPr>
          <w:rFonts w:ascii="Arial" w:hAnsi="Arial" w:cs="Arial"/>
        </w:rPr>
        <w:t xml:space="preserve">, 95% CI: </w:t>
      </w:r>
      <w:r>
        <w:rPr>
          <w:rFonts w:ascii="Arial" w:hAnsi="Arial" w:cs="Arial"/>
        </w:rPr>
        <w:t>0.22</w:t>
      </w:r>
      <w:r w:rsidRPr="006F6AA9">
        <w:rPr>
          <w:rFonts w:ascii="Arial" w:hAnsi="Arial" w:cs="Arial"/>
        </w:rPr>
        <w:t>-</w:t>
      </w:r>
      <w:r>
        <w:rPr>
          <w:rFonts w:ascii="Arial" w:hAnsi="Arial" w:cs="Arial"/>
        </w:rPr>
        <w:t>0.28</w:t>
      </w:r>
      <w:r w:rsidRPr="006F6AA9">
        <w:rPr>
          <w:rFonts w:ascii="Arial" w:hAnsi="Arial" w:cs="Arial"/>
        </w:rPr>
        <w:t xml:space="preserve">, </w:t>
      </w:r>
      <w:r>
        <w:rPr>
          <w:rFonts w:ascii="Arial" w:hAnsi="Arial" w:cs="Arial"/>
        </w:rPr>
        <w:t>p&lt;0.01</w:t>
      </w:r>
      <w:r w:rsidR="004458A2">
        <w:rPr>
          <w:rFonts w:ascii="Arial" w:hAnsi="Arial" w:cs="Arial"/>
        </w:rPr>
        <w:t>, E</w:t>
      </w:r>
      <w:r w:rsidR="004458A2" w:rsidRPr="00865DF3">
        <w:rPr>
          <w:rFonts w:ascii="Arial" w:hAnsi="Arial" w:cs="Arial"/>
        </w:rPr>
        <w:t>=</w:t>
      </w:r>
      <w:r w:rsidR="009510BB">
        <w:rPr>
          <w:rFonts w:ascii="Arial" w:hAnsi="Arial" w:cs="Arial"/>
        </w:rPr>
        <w:t>3.41</w:t>
      </w:r>
      <w:r w:rsidR="004458A2" w:rsidRPr="00865DF3">
        <w:rPr>
          <w:rFonts w:ascii="Arial" w:hAnsi="Arial" w:cs="Arial"/>
        </w:rPr>
        <w:t xml:space="preserve"> </w:t>
      </w:r>
      <w:r w:rsidR="004458A2">
        <w:rPr>
          <w:rFonts w:ascii="Arial" w:hAnsi="Arial" w:cs="Arial"/>
        </w:rPr>
        <w:t>[</w:t>
      </w:r>
      <w:r w:rsidR="004458A2" w:rsidRPr="00865DF3">
        <w:rPr>
          <w:rFonts w:ascii="Arial" w:hAnsi="Arial" w:cs="Arial"/>
        </w:rPr>
        <w:t xml:space="preserve">uncertainty estimate = </w:t>
      </w:r>
      <w:r w:rsidR="009510BB">
        <w:rPr>
          <w:rFonts w:ascii="Arial" w:hAnsi="Arial" w:cs="Arial"/>
        </w:rPr>
        <w:t>3.19</w:t>
      </w:r>
      <w:r w:rsidR="004458A2">
        <w:rPr>
          <w:rFonts w:ascii="Arial" w:hAnsi="Arial" w:cs="Arial"/>
        </w:rPr>
        <w:t>]</w:t>
      </w:r>
      <w:r w:rsidRPr="006F6AA9">
        <w:rPr>
          <w:rFonts w:ascii="Arial" w:hAnsi="Arial" w:cs="Arial"/>
        </w:rPr>
        <w:t>)</w:t>
      </w:r>
      <w:r>
        <w:rPr>
          <w:rFonts w:ascii="Arial" w:hAnsi="Arial" w:cs="Arial"/>
        </w:rPr>
        <w:t xml:space="preserve">. </w:t>
      </w:r>
    </w:p>
    <w:p w14:paraId="5153E14F" w14:textId="12363167" w:rsidR="009510BB" w:rsidRDefault="009510BB" w:rsidP="007C6C0A">
      <w:pPr>
        <w:pStyle w:val="NoSpacing"/>
        <w:spacing w:line="360" w:lineRule="auto"/>
        <w:sectPr w:rsidR="009510BB" w:rsidSect="00297D7F">
          <w:pgSz w:w="11906" w:h="16838"/>
          <w:pgMar w:top="1440" w:right="1440" w:bottom="1440" w:left="1440" w:header="709" w:footer="709" w:gutter="0"/>
          <w:cols w:space="708"/>
          <w:docGrid w:linePitch="360"/>
        </w:sectPr>
      </w:pPr>
    </w:p>
    <w:p w14:paraId="19F76FB7" w14:textId="2F72BBBC" w:rsidR="008C2FE1" w:rsidRDefault="00367870" w:rsidP="00367870">
      <w:pPr>
        <w:pStyle w:val="Caption"/>
        <w:ind w:left="1440" w:hanging="1440"/>
        <w:rPr>
          <w:rFonts w:cs="Arial"/>
          <w:b w:val="0"/>
          <w:bCs w:val="0"/>
          <w:i/>
          <w:iCs/>
          <w:color w:val="auto"/>
          <w:sz w:val="24"/>
          <w:szCs w:val="24"/>
        </w:rPr>
      </w:pPr>
      <w:bookmarkStart w:id="91" w:name="_Toc185844995"/>
      <w:r w:rsidRPr="00367870">
        <w:rPr>
          <w:rFonts w:cs="Arial"/>
          <w:b w:val="0"/>
          <w:bCs w:val="0"/>
          <w:i/>
          <w:iCs/>
          <w:color w:val="auto"/>
          <w:sz w:val="24"/>
          <w:szCs w:val="24"/>
        </w:rPr>
        <w:lastRenderedPageBreak/>
        <w:t xml:space="preserve">Table </w:t>
      </w:r>
      <w:r w:rsidRPr="00367870">
        <w:rPr>
          <w:rFonts w:cs="Arial"/>
          <w:b w:val="0"/>
          <w:bCs w:val="0"/>
          <w:i/>
          <w:iCs/>
          <w:color w:val="auto"/>
          <w:sz w:val="24"/>
          <w:szCs w:val="24"/>
        </w:rPr>
        <w:fldChar w:fldCharType="begin"/>
      </w:r>
      <w:r w:rsidRPr="00367870">
        <w:rPr>
          <w:rFonts w:cs="Arial"/>
          <w:b w:val="0"/>
          <w:bCs w:val="0"/>
          <w:i/>
          <w:iCs/>
          <w:color w:val="auto"/>
          <w:sz w:val="24"/>
          <w:szCs w:val="24"/>
        </w:rPr>
        <w:instrText xml:space="preserve"> STYLEREF 2 \s </w:instrText>
      </w:r>
      <w:r w:rsidRPr="00367870">
        <w:rPr>
          <w:rFonts w:cs="Arial"/>
          <w:b w:val="0"/>
          <w:bCs w:val="0"/>
          <w:i/>
          <w:iCs/>
          <w:color w:val="auto"/>
          <w:sz w:val="24"/>
          <w:szCs w:val="24"/>
        </w:rPr>
        <w:fldChar w:fldCharType="separate"/>
      </w:r>
      <w:r w:rsidRPr="00367870">
        <w:rPr>
          <w:rFonts w:cs="Arial"/>
          <w:b w:val="0"/>
          <w:bCs w:val="0"/>
          <w:i/>
          <w:iCs/>
          <w:color w:val="auto"/>
          <w:sz w:val="24"/>
          <w:szCs w:val="24"/>
        </w:rPr>
        <w:t>3.7</w:t>
      </w:r>
      <w:r w:rsidRPr="00367870">
        <w:rPr>
          <w:rFonts w:cs="Arial"/>
          <w:b w:val="0"/>
          <w:bCs w:val="0"/>
          <w:i/>
          <w:iCs/>
          <w:color w:val="auto"/>
          <w:sz w:val="24"/>
          <w:szCs w:val="24"/>
        </w:rPr>
        <w:fldChar w:fldCharType="end"/>
      </w:r>
      <w:r w:rsidRPr="00367870">
        <w:rPr>
          <w:rFonts w:cs="Arial"/>
          <w:b w:val="0"/>
          <w:bCs w:val="0"/>
          <w:i/>
          <w:iCs/>
          <w:color w:val="auto"/>
          <w:sz w:val="24"/>
          <w:szCs w:val="24"/>
        </w:rPr>
        <w:noBreakHyphen/>
      </w:r>
      <w:r w:rsidRPr="00367870">
        <w:rPr>
          <w:rFonts w:cs="Arial"/>
          <w:b w:val="0"/>
          <w:bCs w:val="0"/>
          <w:i/>
          <w:iCs/>
          <w:color w:val="auto"/>
          <w:sz w:val="24"/>
          <w:szCs w:val="24"/>
        </w:rPr>
        <w:fldChar w:fldCharType="begin"/>
      </w:r>
      <w:r w:rsidRPr="00367870">
        <w:rPr>
          <w:rFonts w:cs="Arial"/>
          <w:b w:val="0"/>
          <w:bCs w:val="0"/>
          <w:i/>
          <w:iCs/>
          <w:color w:val="auto"/>
          <w:sz w:val="24"/>
          <w:szCs w:val="24"/>
        </w:rPr>
        <w:instrText xml:space="preserve"> SEQ Table \* ARABIC \s 2 </w:instrText>
      </w:r>
      <w:r w:rsidRPr="00367870">
        <w:rPr>
          <w:rFonts w:cs="Arial"/>
          <w:b w:val="0"/>
          <w:bCs w:val="0"/>
          <w:i/>
          <w:iCs/>
          <w:color w:val="auto"/>
          <w:sz w:val="24"/>
          <w:szCs w:val="24"/>
        </w:rPr>
        <w:fldChar w:fldCharType="separate"/>
      </w:r>
      <w:r w:rsidRPr="00367870">
        <w:rPr>
          <w:rFonts w:cs="Arial"/>
          <w:b w:val="0"/>
          <w:bCs w:val="0"/>
          <w:i/>
          <w:iCs/>
          <w:color w:val="auto"/>
          <w:sz w:val="24"/>
          <w:szCs w:val="24"/>
        </w:rPr>
        <w:t>3</w:t>
      </w:r>
      <w:r w:rsidRPr="00367870">
        <w:rPr>
          <w:rFonts w:cs="Arial"/>
          <w:b w:val="0"/>
          <w:bCs w:val="0"/>
          <w:i/>
          <w:iCs/>
          <w:color w:val="auto"/>
          <w:sz w:val="24"/>
          <w:szCs w:val="24"/>
        </w:rPr>
        <w:fldChar w:fldCharType="end"/>
      </w:r>
      <w:r w:rsidR="00D3119E">
        <w:rPr>
          <w:b w:val="0"/>
          <w:bCs w:val="0"/>
          <w:i/>
          <w:iCs/>
          <w:color w:val="auto"/>
          <w:sz w:val="24"/>
          <w:szCs w:val="24"/>
        </w:rPr>
        <w:tab/>
      </w:r>
      <w:r w:rsidR="008C2FE1" w:rsidRPr="00D3119E">
        <w:rPr>
          <w:rFonts w:cs="Arial"/>
          <w:b w:val="0"/>
          <w:bCs w:val="0"/>
          <w:i/>
          <w:iCs/>
          <w:color w:val="auto"/>
          <w:sz w:val="24"/>
          <w:szCs w:val="24"/>
        </w:rPr>
        <w:t>Predictors of completion of treatment. Treatment completion (reference case) for all parents, parents living with children and parents not living with children</w:t>
      </w:r>
      <w:bookmarkEnd w:id="91"/>
    </w:p>
    <w:p w14:paraId="301B58D5" w14:textId="77777777" w:rsidR="00626D91" w:rsidRDefault="00626D91" w:rsidP="00626D91">
      <w:pPr>
        <w:pStyle w:val="NoSpacing"/>
      </w:pPr>
    </w:p>
    <w:tbl>
      <w:tblPr>
        <w:tblW w:w="0" w:type="auto"/>
        <w:tblLook w:val="04A0" w:firstRow="1" w:lastRow="0" w:firstColumn="1" w:lastColumn="0" w:noHBand="0" w:noVBand="1"/>
      </w:tblPr>
      <w:tblGrid>
        <w:gridCol w:w="3896"/>
        <w:gridCol w:w="2190"/>
        <w:gridCol w:w="1906"/>
        <w:gridCol w:w="3824"/>
      </w:tblGrid>
      <w:tr w:rsidR="00626D91" w:rsidRPr="00626D91" w14:paraId="34E67766" w14:textId="77777777" w:rsidTr="00626D91">
        <w:trPr>
          <w:trHeight w:val="765"/>
        </w:trPr>
        <w:tc>
          <w:tcPr>
            <w:tcW w:w="0" w:type="auto"/>
            <w:vMerge w:val="restart"/>
            <w:tcBorders>
              <w:top w:val="single" w:sz="8" w:space="0" w:color="auto"/>
              <w:left w:val="nil"/>
              <w:bottom w:val="single" w:sz="8" w:space="0" w:color="000000"/>
              <w:right w:val="nil"/>
            </w:tcBorders>
            <w:shd w:val="clear" w:color="auto" w:fill="auto"/>
            <w:vAlign w:val="center"/>
            <w:hideMark/>
          </w:tcPr>
          <w:p w14:paraId="312F5872"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Baseline characteristics and interventions</w:t>
            </w:r>
          </w:p>
        </w:tc>
        <w:tc>
          <w:tcPr>
            <w:tcW w:w="0" w:type="auto"/>
            <w:vMerge w:val="restart"/>
            <w:tcBorders>
              <w:top w:val="single" w:sz="8" w:space="0" w:color="auto"/>
              <w:left w:val="nil"/>
              <w:bottom w:val="nil"/>
              <w:right w:val="nil"/>
            </w:tcBorders>
            <w:shd w:val="clear" w:color="auto" w:fill="auto"/>
            <w:vAlign w:val="center"/>
            <w:hideMark/>
          </w:tcPr>
          <w:p w14:paraId="0060D008"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All parents (n=57,529)</w:t>
            </w:r>
          </w:p>
        </w:tc>
        <w:tc>
          <w:tcPr>
            <w:tcW w:w="0" w:type="auto"/>
            <w:tcBorders>
              <w:top w:val="single" w:sz="8" w:space="0" w:color="auto"/>
              <w:left w:val="nil"/>
              <w:bottom w:val="nil"/>
              <w:right w:val="nil"/>
            </w:tcBorders>
            <w:shd w:val="clear" w:color="auto" w:fill="auto"/>
            <w:vAlign w:val="center"/>
            <w:hideMark/>
          </w:tcPr>
          <w:p w14:paraId="1D196261"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Living with children</w:t>
            </w:r>
          </w:p>
        </w:tc>
        <w:tc>
          <w:tcPr>
            <w:tcW w:w="0" w:type="auto"/>
            <w:vMerge w:val="restart"/>
            <w:tcBorders>
              <w:top w:val="single" w:sz="8" w:space="0" w:color="auto"/>
              <w:left w:val="nil"/>
              <w:bottom w:val="nil"/>
              <w:right w:val="nil"/>
            </w:tcBorders>
            <w:shd w:val="clear" w:color="auto" w:fill="auto"/>
            <w:vAlign w:val="center"/>
            <w:hideMark/>
          </w:tcPr>
          <w:p w14:paraId="71DFE1CD"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Not living with children (NWC, n=39,368)</w:t>
            </w:r>
          </w:p>
        </w:tc>
      </w:tr>
      <w:tr w:rsidR="00626D91" w:rsidRPr="00626D91" w14:paraId="0C29A3C1" w14:textId="77777777" w:rsidTr="00626D91">
        <w:trPr>
          <w:trHeight w:val="765"/>
        </w:trPr>
        <w:tc>
          <w:tcPr>
            <w:tcW w:w="0" w:type="auto"/>
            <w:vMerge/>
            <w:tcBorders>
              <w:top w:val="single" w:sz="8" w:space="0" w:color="auto"/>
              <w:left w:val="nil"/>
              <w:bottom w:val="single" w:sz="8" w:space="0" w:color="000000"/>
              <w:right w:val="nil"/>
            </w:tcBorders>
            <w:vAlign w:val="center"/>
            <w:hideMark/>
          </w:tcPr>
          <w:p w14:paraId="087F5CB3" w14:textId="77777777" w:rsidR="00626D91" w:rsidRPr="00626D91" w:rsidRDefault="00626D91" w:rsidP="00626D91">
            <w:pPr>
              <w:contextualSpacing w:val="0"/>
              <w:rPr>
                <w:rFonts w:eastAsia="Times New Roman" w:cs="Arial"/>
                <w:color w:val="000000"/>
                <w:sz w:val="20"/>
                <w:szCs w:val="20"/>
                <w:lang w:eastAsia="en-GB"/>
              </w:rPr>
            </w:pPr>
          </w:p>
        </w:tc>
        <w:tc>
          <w:tcPr>
            <w:tcW w:w="0" w:type="auto"/>
            <w:vMerge/>
            <w:tcBorders>
              <w:top w:val="single" w:sz="8" w:space="0" w:color="auto"/>
              <w:left w:val="nil"/>
              <w:bottom w:val="nil"/>
              <w:right w:val="nil"/>
            </w:tcBorders>
            <w:vAlign w:val="center"/>
            <w:hideMark/>
          </w:tcPr>
          <w:p w14:paraId="1913EDEF"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vAlign w:val="center"/>
            <w:hideMark/>
          </w:tcPr>
          <w:p w14:paraId="2C9BB86D"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(LWC, n=18,161)</w:t>
            </w:r>
          </w:p>
        </w:tc>
        <w:tc>
          <w:tcPr>
            <w:tcW w:w="0" w:type="auto"/>
            <w:vMerge/>
            <w:tcBorders>
              <w:top w:val="single" w:sz="8" w:space="0" w:color="auto"/>
              <w:left w:val="nil"/>
              <w:bottom w:val="nil"/>
              <w:right w:val="nil"/>
            </w:tcBorders>
            <w:vAlign w:val="center"/>
            <w:hideMark/>
          </w:tcPr>
          <w:p w14:paraId="6CFEF5D3" w14:textId="77777777" w:rsidR="00626D91" w:rsidRPr="00626D91" w:rsidRDefault="00626D91" w:rsidP="00626D91">
            <w:pPr>
              <w:contextualSpacing w:val="0"/>
              <w:rPr>
                <w:rFonts w:eastAsia="Times New Roman" w:cs="Arial"/>
                <w:color w:val="000000"/>
                <w:sz w:val="20"/>
                <w:szCs w:val="20"/>
                <w:lang w:eastAsia="en-GB"/>
              </w:rPr>
            </w:pPr>
          </w:p>
        </w:tc>
      </w:tr>
      <w:tr w:rsidR="00626D91" w:rsidRPr="00626D91" w14:paraId="2E8A3542" w14:textId="77777777" w:rsidTr="00626D91">
        <w:trPr>
          <w:trHeight w:val="315"/>
        </w:trPr>
        <w:tc>
          <w:tcPr>
            <w:tcW w:w="0" w:type="auto"/>
            <w:vMerge/>
            <w:tcBorders>
              <w:top w:val="single" w:sz="8" w:space="0" w:color="auto"/>
              <w:left w:val="nil"/>
              <w:bottom w:val="single" w:sz="8" w:space="0" w:color="000000"/>
              <w:right w:val="nil"/>
            </w:tcBorders>
            <w:vAlign w:val="center"/>
            <w:hideMark/>
          </w:tcPr>
          <w:p w14:paraId="347BDF95"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single" w:sz="8" w:space="0" w:color="auto"/>
              <w:right w:val="nil"/>
            </w:tcBorders>
            <w:shd w:val="clear" w:color="auto" w:fill="auto"/>
            <w:noWrap/>
            <w:vAlign w:val="center"/>
            <w:hideMark/>
          </w:tcPr>
          <w:p w14:paraId="0F3D2103"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aOR (95% CI)</w:t>
            </w:r>
          </w:p>
        </w:tc>
        <w:tc>
          <w:tcPr>
            <w:tcW w:w="0" w:type="auto"/>
            <w:tcBorders>
              <w:top w:val="nil"/>
              <w:left w:val="nil"/>
              <w:bottom w:val="single" w:sz="8" w:space="0" w:color="auto"/>
              <w:right w:val="nil"/>
            </w:tcBorders>
            <w:shd w:val="clear" w:color="auto" w:fill="auto"/>
            <w:noWrap/>
            <w:vAlign w:val="center"/>
            <w:hideMark/>
          </w:tcPr>
          <w:p w14:paraId="37282750"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aOR (95% CI)</w:t>
            </w:r>
          </w:p>
        </w:tc>
        <w:tc>
          <w:tcPr>
            <w:tcW w:w="0" w:type="auto"/>
            <w:tcBorders>
              <w:top w:val="nil"/>
              <w:left w:val="nil"/>
              <w:bottom w:val="single" w:sz="8" w:space="0" w:color="auto"/>
              <w:right w:val="nil"/>
            </w:tcBorders>
            <w:shd w:val="clear" w:color="auto" w:fill="auto"/>
            <w:noWrap/>
            <w:vAlign w:val="center"/>
            <w:hideMark/>
          </w:tcPr>
          <w:p w14:paraId="1A78FCE2"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aOR (95% CI)</w:t>
            </w:r>
          </w:p>
        </w:tc>
      </w:tr>
      <w:tr w:rsidR="00626D91" w:rsidRPr="00626D91" w14:paraId="6DC49D74" w14:textId="77777777" w:rsidTr="00626D91">
        <w:trPr>
          <w:trHeight w:val="300"/>
        </w:trPr>
        <w:tc>
          <w:tcPr>
            <w:tcW w:w="0" w:type="auto"/>
            <w:tcBorders>
              <w:top w:val="nil"/>
              <w:left w:val="nil"/>
              <w:bottom w:val="nil"/>
              <w:right w:val="nil"/>
            </w:tcBorders>
            <w:shd w:val="clear" w:color="auto" w:fill="auto"/>
            <w:vAlign w:val="center"/>
            <w:hideMark/>
          </w:tcPr>
          <w:p w14:paraId="0729DF93"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vAlign w:val="center"/>
            <w:hideMark/>
          </w:tcPr>
          <w:p w14:paraId="6C72BF86"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92A6F92"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C06D921"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03117611"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2AD95C82" w14:textId="77777777" w:rsidR="00626D91" w:rsidRPr="00626D91" w:rsidRDefault="00626D91" w:rsidP="00626D91">
            <w:pPr>
              <w:contextualSpacing w:val="0"/>
              <w:rPr>
                <w:rFonts w:eastAsia="Times New Roman" w:cs="Arial"/>
                <w:i/>
                <w:iCs/>
                <w:color w:val="000000"/>
                <w:sz w:val="20"/>
                <w:szCs w:val="20"/>
                <w:lang w:eastAsia="en-GB"/>
              </w:rPr>
            </w:pPr>
            <w:r w:rsidRPr="00626D91">
              <w:rPr>
                <w:rFonts w:eastAsia="Times New Roman" w:cs="Arial"/>
                <w:i/>
                <w:iCs/>
                <w:color w:val="000000"/>
                <w:sz w:val="20"/>
                <w:szCs w:val="20"/>
                <w:lang w:eastAsia="en-GB"/>
              </w:rPr>
              <w:t>Socio-demographic</w:t>
            </w:r>
          </w:p>
        </w:tc>
        <w:tc>
          <w:tcPr>
            <w:tcW w:w="0" w:type="auto"/>
            <w:tcBorders>
              <w:top w:val="nil"/>
              <w:left w:val="nil"/>
              <w:bottom w:val="nil"/>
              <w:right w:val="nil"/>
            </w:tcBorders>
            <w:shd w:val="clear" w:color="auto" w:fill="auto"/>
            <w:noWrap/>
            <w:vAlign w:val="bottom"/>
            <w:hideMark/>
          </w:tcPr>
          <w:p w14:paraId="6FBEBA52" w14:textId="77777777" w:rsidR="00626D91" w:rsidRPr="00626D91" w:rsidRDefault="00626D91" w:rsidP="00626D91">
            <w:pPr>
              <w:contextualSpacing w:val="0"/>
              <w:rPr>
                <w:rFonts w:eastAsia="Times New Roman"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2FEC67E"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5E6730D8"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4FEB16AF"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Parental status:</w:t>
            </w:r>
          </w:p>
        </w:tc>
        <w:tc>
          <w:tcPr>
            <w:tcW w:w="0" w:type="auto"/>
            <w:tcBorders>
              <w:top w:val="nil"/>
              <w:left w:val="nil"/>
              <w:bottom w:val="nil"/>
              <w:right w:val="nil"/>
            </w:tcBorders>
            <w:shd w:val="clear" w:color="auto" w:fill="auto"/>
            <w:noWrap/>
            <w:vAlign w:val="bottom"/>
            <w:hideMark/>
          </w:tcPr>
          <w:p w14:paraId="08D2245E"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0C9F275"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08E046D6" w14:textId="77777777" w:rsidTr="00626D91">
        <w:trPr>
          <w:trHeight w:val="300"/>
        </w:trPr>
        <w:tc>
          <w:tcPr>
            <w:tcW w:w="0" w:type="auto"/>
            <w:tcBorders>
              <w:top w:val="nil"/>
              <w:left w:val="nil"/>
              <w:bottom w:val="nil"/>
              <w:right w:val="nil"/>
            </w:tcBorders>
            <w:shd w:val="clear" w:color="auto" w:fill="auto"/>
            <w:noWrap/>
            <w:vAlign w:val="center"/>
            <w:hideMark/>
          </w:tcPr>
          <w:p w14:paraId="37C9AD1B" w14:textId="0A52A7C4"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LWC</w:t>
            </w:r>
          </w:p>
        </w:tc>
        <w:tc>
          <w:tcPr>
            <w:tcW w:w="0" w:type="auto"/>
            <w:tcBorders>
              <w:top w:val="nil"/>
              <w:left w:val="nil"/>
              <w:bottom w:val="nil"/>
              <w:right w:val="nil"/>
            </w:tcBorders>
            <w:shd w:val="clear" w:color="auto" w:fill="auto"/>
            <w:noWrap/>
            <w:vAlign w:val="center"/>
            <w:hideMark/>
          </w:tcPr>
          <w:p w14:paraId="4F02B38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35AF4B1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 xml:space="preserve"> n/a </w:t>
            </w:r>
          </w:p>
        </w:tc>
        <w:tc>
          <w:tcPr>
            <w:tcW w:w="0" w:type="auto"/>
            <w:tcBorders>
              <w:top w:val="nil"/>
              <w:left w:val="nil"/>
              <w:bottom w:val="nil"/>
              <w:right w:val="nil"/>
            </w:tcBorders>
            <w:shd w:val="clear" w:color="auto" w:fill="auto"/>
            <w:noWrap/>
            <w:vAlign w:val="center"/>
            <w:hideMark/>
          </w:tcPr>
          <w:p w14:paraId="20E1936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 xml:space="preserve"> n/a </w:t>
            </w:r>
          </w:p>
        </w:tc>
      </w:tr>
      <w:tr w:rsidR="00626D91" w:rsidRPr="00626D91" w14:paraId="3BA1E0BF" w14:textId="77777777" w:rsidTr="00626D91">
        <w:trPr>
          <w:trHeight w:val="300"/>
        </w:trPr>
        <w:tc>
          <w:tcPr>
            <w:tcW w:w="0" w:type="auto"/>
            <w:tcBorders>
              <w:top w:val="nil"/>
              <w:left w:val="nil"/>
              <w:bottom w:val="nil"/>
              <w:right w:val="nil"/>
            </w:tcBorders>
            <w:shd w:val="clear" w:color="auto" w:fill="auto"/>
            <w:noWrap/>
            <w:vAlign w:val="center"/>
            <w:hideMark/>
          </w:tcPr>
          <w:p w14:paraId="1F0A3B9D" w14:textId="40F8D480"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NWC</w:t>
            </w:r>
          </w:p>
        </w:tc>
        <w:tc>
          <w:tcPr>
            <w:tcW w:w="0" w:type="auto"/>
            <w:tcBorders>
              <w:top w:val="nil"/>
              <w:left w:val="nil"/>
              <w:bottom w:val="nil"/>
              <w:right w:val="nil"/>
            </w:tcBorders>
            <w:shd w:val="clear" w:color="auto" w:fill="auto"/>
            <w:noWrap/>
            <w:vAlign w:val="center"/>
            <w:hideMark/>
          </w:tcPr>
          <w:p w14:paraId="669DAE8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0.76 (0.70-0.82)**</w:t>
            </w:r>
          </w:p>
        </w:tc>
        <w:tc>
          <w:tcPr>
            <w:tcW w:w="0" w:type="auto"/>
            <w:tcBorders>
              <w:top w:val="nil"/>
              <w:left w:val="nil"/>
              <w:bottom w:val="nil"/>
              <w:right w:val="nil"/>
            </w:tcBorders>
            <w:shd w:val="clear" w:color="auto" w:fill="auto"/>
            <w:noWrap/>
            <w:vAlign w:val="center"/>
            <w:hideMark/>
          </w:tcPr>
          <w:p w14:paraId="4A3D6F9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 xml:space="preserve"> n/a </w:t>
            </w:r>
          </w:p>
        </w:tc>
        <w:tc>
          <w:tcPr>
            <w:tcW w:w="0" w:type="auto"/>
            <w:tcBorders>
              <w:top w:val="nil"/>
              <w:left w:val="nil"/>
              <w:bottom w:val="nil"/>
              <w:right w:val="nil"/>
            </w:tcBorders>
            <w:shd w:val="clear" w:color="auto" w:fill="auto"/>
            <w:noWrap/>
            <w:vAlign w:val="center"/>
            <w:hideMark/>
          </w:tcPr>
          <w:p w14:paraId="31EF1268"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 xml:space="preserve"> n/a </w:t>
            </w:r>
          </w:p>
        </w:tc>
      </w:tr>
      <w:tr w:rsidR="00626D91" w:rsidRPr="00626D91" w14:paraId="76705062" w14:textId="77777777" w:rsidTr="00626D91">
        <w:trPr>
          <w:trHeight w:val="300"/>
        </w:trPr>
        <w:tc>
          <w:tcPr>
            <w:tcW w:w="0" w:type="auto"/>
            <w:gridSpan w:val="3"/>
            <w:tcBorders>
              <w:top w:val="nil"/>
              <w:left w:val="nil"/>
              <w:bottom w:val="nil"/>
              <w:right w:val="nil"/>
            </w:tcBorders>
            <w:shd w:val="clear" w:color="auto" w:fill="auto"/>
            <w:noWrap/>
            <w:vAlign w:val="center"/>
            <w:hideMark/>
          </w:tcPr>
          <w:p w14:paraId="4C37C55F"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No. of children living with parent:</w:t>
            </w:r>
          </w:p>
        </w:tc>
        <w:tc>
          <w:tcPr>
            <w:tcW w:w="0" w:type="auto"/>
            <w:tcBorders>
              <w:top w:val="nil"/>
              <w:left w:val="nil"/>
              <w:bottom w:val="nil"/>
              <w:right w:val="nil"/>
            </w:tcBorders>
            <w:shd w:val="clear" w:color="auto" w:fill="auto"/>
            <w:noWrap/>
            <w:vAlign w:val="bottom"/>
            <w:hideMark/>
          </w:tcPr>
          <w:p w14:paraId="129B9A04" w14:textId="77777777" w:rsidR="00626D91" w:rsidRPr="00626D91" w:rsidRDefault="00626D91" w:rsidP="00626D91">
            <w:pPr>
              <w:contextualSpacing w:val="0"/>
              <w:rPr>
                <w:rFonts w:eastAsia="Times New Roman" w:cs="Arial"/>
                <w:color w:val="000000"/>
                <w:sz w:val="20"/>
                <w:szCs w:val="20"/>
                <w:lang w:eastAsia="en-GB"/>
              </w:rPr>
            </w:pPr>
          </w:p>
        </w:tc>
      </w:tr>
      <w:tr w:rsidR="00626D91" w:rsidRPr="00626D91" w14:paraId="0DA034BF" w14:textId="77777777" w:rsidTr="00626D91">
        <w:trPr>
          <w:trHeight w:val="300"/>
        </w:trPr>
        <w:tc>
          <w:tcPr>
            <w:tcW w:w="0" w:type="auto"/>
            <w:tcBorders>
              <w:top w:val="nil"/>
              <w:left w:val="nil"/>
              <w:bottom w:val="nil"/>
              <w:right w:val="nil"/>
            </w:tcBorders>
            <w:shd w:val="clear" w:color="auto" w:fill="auto"/>
            <w:noWrap/>
            <w:vAlign w:val="center"/>
            <w:hideMark/>
          </w:tcPr>
          <w:p w14:paraId="4DC8C400" w14:textId="0A96A909"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2A140C58"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5E2A455D"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16B3DFD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 xml:space="preserve"> n/a </w:t>
            </w:r>
          </w:p>
        </w:tc>
      </w:tr>
      <w:tr w:rsidR="00626D91" w:rsidRPr="00626D91" w14:paraId="41D1ECAF" w14:textId="77777777" w:rsidTr="00626D91">
        <w:trPr>
          <w:trHeight w:val="300"/>
        </w:trPr>
        <w:tc>
          <w:tcPr>
            <w:tcW w:w="0" w:type="auto"/>
            <w:tcBorders>
              <w:top w:val="nil"/>
              <w:left w:val="nil"/>
              <w:bottom w:val="nil"/>
              <w:right w:val="nil"/>
            </w:tcBorders>
            <w:shd w:val="clear" w:color="auto" w:fill="auto"/>
            <w:noWrap/>
            <w:vAlign w:val="center"/>
            <w:hideMark/>
          </w:tcPr>
          <w:p w14:paraId="561448D8" w14:textId="4390EE01"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2</w:t>
            </w:r>
          </w:p>
        </w:tc>
        <w:tc>
          <w:tcPr>
            <w:tcW w:w="0" w:type="auto"/>
            <w:tcBorders>
              <w:top w:val="nil"/>
              <w:left w:val="nil"/>
              <w:bottom w:val="nil"/>
              <w:right w:val="nil"/>
            </w:tcBorders>
            <w:shd w:val="clear" w:color="auto" w:fill="auto"/>
            <w:noWrap/>
            <w:vAlign w:val="center"/>
            <w:hideMark/>
          </w:tcPr>
          <w:p w14:paraId="633B6EEB"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1.04 (0.95-1.13)</w:t>
            </w:r>
          </w:p>
        </w:tc>
        <w:tc>
          <w:tcPr>
            <w:tcW w:w="0" w:type="auto"/>
            <w:tcBorders>
              <w:top w:val="nil"/>
              <w:left w:val="nil"/>
              <w:bottom w:val="nil"/>
              <w:right w:val="nil"/>
            </w:tcBorders>
            <w:shd w:val="clear" w:color="auto" w:fill="auto"/>
            <w:noWrap/>
            <w:vAlign w:val="center"/>
            <w:hideMark/>
          </w:tcPr>
          <w:p w14:paraId="7A1B0F26"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1.05 (0.97-1.13)</w:t>
            </w:r>
          </w:p>
        </w:tc>
        <w:tc>
          <w:tcPr>
            <w:tcW w:w="0" w:type="auto"/>
            <w:tcBorders>
              <w:top w:val="nil"/>
              <w:left w:val="nil"/>
              <w:bottom w:val="nil"/>
              <w:right w:val="nil"/>
            </w:tcBorders>
            <w:shd w:val="clear" w:color="auto" w:fill="auto"/>
            <w:noWrap/>
            <w:vAlign w:val="center"/>
            <w:hideMark/>
          </w:tcPr>
          <w:p w14:paraId="7B212694"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 xml:space="preserve"> n/a </w:t>
            </w:r>
          </w:p>
        </w:tc>
      </w:tr>
      <w:tr w:rsidR="00626D91" w:rsidRPr="00626D91" w14:paraId="117FEB85" w14:textId="77777777" w:rsidTr="00626D91">
        <w:trPr>
          <w:trHeight w:val="300"/>
        </w:trPr>
        <w:tc>
          <w:tcPr>
            <w:tcW w:w="0" w:type="auto"/>
            <w:tcBorders>
              <w:top w:val="nil"/>
              <w:left w:val="nil"/>
              <w:bottom w:val="nil"/>
              <w:right w:val="nil"/>
            </w:tcBorders>
            <w:shd w:val="clear" w:color="auto" w:fill="auto"/>
            <w:noWrap/>
            <w:vAlign w:val="center"/>
            <w:hideMark/>
          </w:tcPr>
          <w:p w14:paraId="2D71C539" w14:textId="3BDB7E85"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3+</w:t>
            </w:r>
          </w:p>
        </w:tc>
        <w:tc>
          <w:tcPr>
            <w:tcW w:w="0" w:type="auto"/>
            <w:tcBorders>
              <w:top w:val="nil"/>
              <w:left w:val="nil"/>
              <w:bottom w:val="nil"/>
              <w:right w:val="nil"/>
            </w:tcBorders>
            <w:shd w:val="clear" w:color="auto" w:fill="auto"/>
            <w:noWrap/>
            <w:vAlign w:val="center"/>
            <w:hideMark/>
          </w:tcPr>
          <w:p w14:paraId="00A7F8C6"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1.09 (1.00-1.20)</w:t>
            </w:r>
          </w:p>
        </w:tc>
        <w:tc>
          <w:tcPr>
            <w:tcW w:w="0" w:type="auto"/>
            <w:tcBorders>
              <w:top w:val="nil"/>
              <w:left w:val="nil"/>
              <w:bottom w:val="nil"/>
              <w:right w:val="nil"/>
            </w:tcBorders>
            <w:shd w:val="clear" w:color="auto" w:fill="auto"/>
            <w:noWrap/>
            <w:vAlign w:val="center"/>
            <w:hideMark/>
          </w:tcPr>
          <w:p w14:paraId="46FF67F8"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0.95 (0.87-1.04)</w:t>
            </w:r>
          </w:p>
        </w:tc>
        <w:tc>
          <w:tcPr>
            <w:tcW w:w="0" w:type="auto"/>
            <w:tcBorders>
              <w:top w:val="nil"/>
              <w:left w:val="nil"/>
              <w:bottom w:val="nil"/>
              <w:right w:val="nil"/>
            </w:tcBorders>
            <w:shd w:val="clear" w:color="auto" w:fill="auto"/>
            <w:noWrap/>
            <w:vAlign w:val="center"/>
            <w:hideMark/>
          </w:tcPr>
          <w:p w14:paraId="4F447D18"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 xml:space="preserve"> n/a </w:t>
            </w:r>
          </w:p>
        </w:tc>
      </w:tr>
      <w:tr w:rsidR="00626D91" w:rsidRPr="00626D91" w14:paraId="004608C9"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737B1312"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Pregnancy status:</w:t>
            </w:r>
          </w:p>
        </w:tc>
        <w:tc>
          <w:tcPr>
            <w:tcW w:w="0" w:type="auto"/>
            <w:tcBorders>
              <w:top w:val="nil"/>
              <w:left w:val="nil"/>
              <w:bottom w:val="nil"/>
              <w:right w:val="nil"/>
            </w:tcBorders>
            <w:shd w:val="clear" w:color="auto" w:fill="auto"/>
            <w:noWrap/>
            <w:vAlign w:val="bottom"/>
            <w:hideMark/>
          </w:tcPr>
          <w:p w14:paraId="53979DDD"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A8FF8BB"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07D94A51" w14:textId="77777777" w:rsidTr="00626D91">
        <w:trPr>
          <w:trHeight w:val="300"/>
        </w:trPr>
        <w:tc>
          <w:tcPr>
            <w:tcW w:w="0" w:type="auto"/>
            <w:tcBorders>
              <w:top w:val="nil"/>
              <w:left w:val="nil"/>
              <w:bottom w:val="nil"/>
              <w:right w:val="nil"/>
            </w:tcBorders>
            <w:shd w:val="clear" w:color="auto" w:fill="auto"/>
            <w:noWrap/>
            <w:vAlign w:val="center"/>
            <w:hideMark/>
          </w:tcPr>
          <w:p w14:paraId="19CBBB66" w14:textId="7C3EF12C"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Not pregnant</w:t>
            </w:r>
          </w:p>
        </w:tc>
        <w:tc>
          <w:tcPr>
            <w:tcW w:w="0" w:type="auto"/>
            <w:tcBorders>
              <w:top w:val="nil"/>
              <w:left w:val="nil"/>
              <w:bottom w:val="nil"/>
              <w:right w:val="nil"/>
            </w:tcBorders>
            <w:shd w:val="clear" w:color="auto" w:fill="auto"/>
            <w:noWrap/>
            <w:vAlign w:val="center"/>
            <w:hideMark/>
          </w:tcPr>
          <w:p w14:paraId="37E0EA4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4A87C2A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554309BC"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2</w:t>
            </w:r>
          </w:p>
        </w:tc>
      </w:tr>
      <w:tr w:rsidR="00626D91" w:rsidRPr="00626D91" w14:paraId="0D1C384F" w14:textId="77777777" w:rsidTr="00626D91">
        <w:trPr>
          <w:trHeight w:val="300"/>
        </w:trPr>
        <w:tc>
          <w:tcPr>
            <w:tcW w:w="0" w:type="auto"/>
            <w:tcBorders>
              <w:top w:val="nil"/>
              <w:left w:val="nil"/>
              <w:bottom w:val="nil"/>
              <w:right w:val="nil"/>
            </w:tcBorders>
            <w:shd w:val="clear" w:color="auto" w:fill="auto"/>
            <w:noWrap/>
            <w:vAlign w:val="center"/>
            <w:hideMark/>
          </w:tcPr>
          <w:p w14:paraId="3604B0CF" w14:textId="537364CB"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Pregnant</w:t>
            </w:r>
          </w:p>
        </w:tc>
        <w:tc>
          <w:tcPr>
            <w:tcW w:w="0" w:type="auto"/>
            <w:tcBorders>
              <w:top w:val="nil"/>
              <w:left w:val="nil"/>
              <w:bottom w:val="nil"/>
              <w:right w:val="nil"/>
            </w:tcBorders>
            <w:shd w:val="clear" w:color="auto" w:fill="auto"/>
            <w:noWrap/>
            <w:vAlign w:val="center"/>
            <w:hideMark/>
          </w:tcPr>
          <w:p w14:paraId="6CFFD58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1.21 (1.02-1.44)*</w:t>
            </w:r>
          </w:p>
        </w:tc>
        <w:tc>
          <w:tcPr>
            <w:tcW w:w="0" w:type="auto"/>
            <w:tcBorders>
              <w:top w:val="nil"/>
              <w:left w:val="nil"/>
              <w:bottom w:val="nil"/>
              <w:right w:val="nil"/>
            </w:tcBorders>
            <w:shd w:val="clear" w:color="auto" w:fill="auto"/>
            <w:noWrap/>
            <w:vAlign w:val="center"/>
            <w:hideMark/>
          </w:tcPr>
          <w:p w14:paraId="2DB0990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0.96 (0.73-1.26)</w:t>
            </w:r>
          </w:p>
        </w:tc>
        <w:tc>
          <w:tcPr>
            <w:tcW w:w="0" w:type="auto"/>
            <w:tcBorders>
              <w:top w:val="nil"/>
              <w:left w:val="nil"/>
              <w:bottom w:val="nil"/>
              <w:right w:val="nil"/>
            </w:tcBorders>
            <w:shd w:val="clear" w:color="auto" w:fill="auto"/>
            <w:noWrap/>
            <w:vAlign w:val="center"/>
            <w:hideMark/>
          </w:tcPr>
          <w:p w14:paraId="6AEC7A4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1.42 (1.14-1.78)**</w:t>
            </w:r>
          </w:p>
        </w:tc>
      </w:tr>
      <w:tr w:rsidR="00626D91" w:rsidRPr="00626D91" w14:paraId="44BD5946" w14:textId="77777777" w:rsidTr="00626D91">
        <w:trPr>
          <w:trHeight w:val="300"/>
        </w:trPr>
        <w:tc>
          <w:tcPr>
            <w:tcW w:w="0" w:type="auto"/>
            <w:tcBorders>
              <w:top w:val="nil"/>
              <w:left w:val="nil"/>
              <w:bottom w:val="nil"/>
              <w:right w:val="nil"/>
            </w:tcBorders>
            <w:shd w:val="clear" w:color="auto" w:fill="auto"/>
            <w:noWrap/>
            <w:vAlign w:val="center"/>
            <w:hideMark/>
          </w:tcPr>
          <w:p w14:paraId="0EA8F6DC"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Age:</w:t>
            </w:r>
          </w:p>
        </w:tc>
        <w:tc>
          <w:tcPr>
            <w:tcW w:w="0" w:type="auto"/>
            <w:tcBorders>
              <w:top w:val="nil"/>
              <w:left w:val="nil"/>
              <w:bottom w:val="nil"/>
              <w:right w:val="nil"/>
            </w:tcBorders>
            <w:shd w:val="clear" w:color="auto" w:fill="auto"/>
            <w:noWrap/>
            <w:vAlign w:val="bottom"/>
            <w:hideMark/>
          </w:tcPr>
          <w:p w14:paraId="03130654"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BE68508"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58A4672"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6D4A5698" w14:textId="77777777" w:rsidTr="00626D91">
        <w:trPr>
          <w:trHeight w:val="300"/>
        </w:trPr>
        <w:tc>
          <w:tcPr>
            <w:tcW w:w="0" w:type="auto"/>
            <w:tcBorders>
              <w:top w:val="nil"/>
              <w:left w:val="nil"/>
              <w:bottom w:val="nil"/>
              <w:right w:val="nil"/>
            </w:tcBorders>
            <w:shd w:val="clear" w:color="auto" w:fill="auto"/>
            <w:noWrap/>
            <w:vAlign w:val="center"/>
            <w:hideMark/>
          </w:tcPr>
          <w:p w14:paraId="2F16A32B" w14:textId="2F6BC80E"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18-24</w:t>
            </w:r>
          </w:p>
        </w:tc>
        <w:tc>
          <w:tcPr>
            <w:tcW w:w="0" w:type="auto"/>
            <w:tcBorders>
              <w:top w:val="nil"/>
              <w:left w:val="nil"/>
              <w:bottom w:val="nil"/>
              <w:right w:val="nil"/>
            </w:tcBorders>
            <w:shd w:val="clear" w:color="auto" w:fill="auto"/>
            <w:noWrap/>
            <w:vAlign w:val="center"/>
            <w:hideMark/>
          </w:tcPr>
          <w:p w14:paraId="127E646B"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15DF0E6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29383B5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4FC90C1C" w14:textId="77777777" w:rsidTr="00626D91">
        <w:trPr>
          <w:trHeight w:val="300"/>
        </w:trPr>
        <w:tc>
          <w:tcPr>
            <w:tcW w:w="0" w:type="auto"/>
            <w:tcBorders>
              <w:top w:val="nil"/>
              <w:left w:val="nil"/>
              <w:bottom w:val="nil"/>
              <w:right w:val="nil"/>
            </w:tcBorders>
            <w:shd w:val="clear" w:color="auto" w:fill="auto"/>
            <w:noWrap/>
            <w:vAlign w:val="center"/>
            <w:hideMark/>
          </w:tcPr>
          <w:p w14:paraId="57E8F011" w14:textId="50348CEE"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25-34</w:t>
            </w:r>
          </w:p>
        </w:tc>
        <w:tc>
          <w:tcPr>
            <w:tcW w:w="0" w:type="auto"/>
            <w:tcBorders>
              <w:top w:val="nil"/>
              <w:left w:val="nil"/>
              <w:bottom w:val="nil"/>
              <w:right w:val="nil"/>
            </w:tcBorders>
            <w:shd w:val="clear" w:color="auto" w:fill="auto"/>
            <w:noWrap/>
            <w:vAlign w:val="center"/>
            <w:hideMark/>
          </w:tcPr>
          <w:p w14:paraId="1E4E96EB"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0.93 (0.84-1.03)</w:t>
            </w:r>
          </w:p>
        </w:tc>
        <w:tc>
          <w:tcPr>
            <w:tcW w:w="0" w:type="auto"/>
            <w:tcBorders>
              <w:top w:val="nil"/>
              <w:left w:val="nil"/>
              <w:bottom w:val="nil"/>
              <w:right w:val="nil"/>
            </w:tcBorders>
            <w:shd w:val="clear" w:color="auto" w:fill="auto"/>
            <w:noWrap/>
            <w:vAlign w:val="center"/>
            <w:hideMark/>
          </w:tcPr>
          <w:p w14:paraId="48006793"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0.90 (0.76-1.07)</w:t>
            </w:r>
          </w:p>
        </w:tc>
        <w:tc>
          <w:tcPr>
            <w:tcW w:w="0" w:type="auto"/>
            <w:tcBorders>
              <w:top w:val="nil"/>
              <w:left w:val="nil"/>
              <w:bottom w:val="nil"/>
              <w:right w:val="nil"/>
            </w:tcBorders>
            <w:shd w:val="clear" w:color="auto" w:fill="auto"/>
            <w:noWrap/>
            <w:vAlign w:val="center"/>
            <w:hideMark/>
          </w:tcPr>
          <w:p w14:paraId="529240B4"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0.95 (0.84-1.08)</w:t>
            </w:r>
          </w:p>
        </w:tc>
      </w:tr>
      <w:tr w:rsidR="00626D91" w:rsidRPr="00626D91" w14:paraId="70562D4C" w14:textId="77777777" w:rsidTr="00626D91">
        <w:trPr>
          <w:trHeight w:val="300"/>
        </w:trPr>
        <w:tc>
          <w:tcPr>
            <w:tcW w:w="0" w:type="auto"/>
            <w:tcBorders>
              <w:top w:val="nil"/>
              <w:left w:val="nil"/>
              <w:bottom w:val="nil"/>
              <w:right w:val="nil"/>
            </w:tcBorders>
            <w:shd w:val="clear" w:color="auto" w:fill="auto"/>
            <w:noWrap/>
            <w:vAlign w:val="center"/>
            <w:hideMark/>
          </w:tcPr>
          <w:p w14:paraId="6EE27C64" w14:textId="58DA2C35"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35-44</w:t>
            </w:r>
          </w:p>
        </w:tc>
        <w:tc>
          <w:tcPr>
            <w:tcW w:w="0" w:type="auto"/>
            <w:tcBorders>
              <w:top w:val="nil"/>
              <w:left w:val="nil"/>
              <w:bottom w:val="nil"/>
              <w:right w:val="nil"/>
            </w:tcBorders>
            <w:shd w:val="clear" w:color="auto" w:fill="auto"/>
            <w:noWrap/>
            <w:vAlign w:val="center"/>
            <w:hideMark/>
          </w:tcPr>
          <w:p w14:paraId="01CAE99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0.98 (0.88-1.08)</w:t>
            </w:r>
          </w:p>
        </w:tc>
        <w:tc>
          <w:tcPr>
            <w:tcW w:w="0" w:type="auto"/>
            <w:tcBorders>
              <w:top w:val="nil"/>
              <w:left w:val="nil"/>
              <w:bottom w:val="nil"/>
              <w:right w:val="nil"/>
            </w:tcBorders>
            <w:shd w:val="clear" w:color="auto" w:fill="auto"/>
            <w:noWrap/>
            <w:vAlign w:val="center"/>
            <w:hideMark/>
          </w:tcPr>
          <w:p w14:paraId="606FF0A3"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0.94 (0.79-1.12)</w:t>
            </w:r>
          </w:p>
        </w:tc>
        <w:tc>
          <w:tcPr>
            <w:tcW w:w="0" w:type="auto"/>
            <w:tcBorders>
              <w:top w:val="nil"/>
              <w:left w:val="nil"/>
              <w:bottom w:val="nil"/>
              <w:right w:val="nil"/>
            </w:tcBorders>
            <w:shd w:val="clear" w:color="auto" w:fill="auto"/>
            <w:noWrap/>
            <w:vAlign w:val="center"/>
            <w:hideMark/>
          </w:tcPr>
          <w:p w14:paraId="416F928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1.01 (0.89-1.15)</w:t>
            </w:r>
          </w:p>
        </w:tc>
      </w:tr>
      <w:tr w:rsidR="00626D91" w:rsidRPr="00626D91" w14:paraId="6B6ACD85" w14:textId="77777777" w:rsidTr="00626D91">
        <w:trPr>
          <w:trHeight w:val="300"/>
        </w:trPr>
        <w:tc>
          <w:tcPr>
            <w:tcW w:w="0" w:type="auto"/>
            <w:tcBorders>
              <w:top w:val="nil"/>
              <w:left w:val="nil"/>
              <w:bottom w:val="nil"/>
              <w:right w:val="nil"/>
            </w:tcBorders>
            <w:shd w:val="clear" w:color="auto" w:fill="auto"/>
            <w:noWrap/>
            <w:vAlign w:val="center"/>
            <w:hideMark/>
          </w:tcPr>
          <w:p w14:paraId="3514A30A" w14:textId="3D054B0D"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45+</w:t>
            </w:r>
          </w:p>
        </w:tc>
        <w:tc>
          <w:tcPr>
            <w:tcW w:w="0" w:type="auto"/>
            <w:tcBorders>
              <w:top w:val="nil"/>
              <w:left w:val="nil"/>
              <w:bottom w:val="nil"/>
              <w:right w:val="nil"/>
            </w:tcBorders>
            <w:shd w:val="clear" w:color="auto" w:fill="auto"/>
            <w:noWrap/>
            <w:vAlign w:val="center"/>
            <w:hideMark/>
          </w:tcPr>
          <w:p w14:paraId="73BF75CB"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1.20 (1.08-1.33)**</w:t>
            </w:r>
          </w:p>
        </w:tc>
        <w:tc>
          <w:tcPr>
            <w:tcW w:w="0" w:type="auto"/>
            <w:tcBorders>
              <w:top w:val="nil"/>
              <w:left w:val="nil"/>
              <w:bottom w:val="nil"/>
              <w:right w:val="nil"/>
            </w:tcBorders>
            <w:shd w:val="clear" w:color="auto" w:fill="auto"/>
            <w:noWrap/>
            <w:vAlign w:val="center"/>
            <w:hideMark/>
          </w:tcPr>
          <w:p w14:paraId="1316F1AC"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0.98 (0.81-1.18)</w:t>
            </w:r>
          </w:p>
        </w:tc>
        <w:tc>
          <w:tcPr>
            <w:tcW w:w="0" w:type="auto"/>
            <w:tcBorders>
              <w:top w:val="nil"/>
              <w:left w:val="nil"/>
              <w:bottom w:val="nil"/>
              <w:right w:val="nil"/>
            </w:tcBorders>
            <w:shd w:val="clear" w:color="auto" w:fill="auto"/>
            <w:noWrap/>
            <w:vAlign w:val="center"/>
            <w:hideMark/>
          </w:tcPr>
          <w:p w14:paraId="72420FF3"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1.33 (1.17-1.52)**</w:t>
            </w:r>
          </w:p>
        </w:tc>
      </w:tr>
      <w:tr w:rsidR="00626D91" w:rsidRPr="00626D91" w14:paraId="504CF181" w14:textId="77777777" w:rsidTr="00626D91">
        <w:trPr>
          <w:trHeight w:val="300"/>
        </w:trPr>
        <w:tc>
          <w:tcPr>
            <w:tcW w:w="0" w:type="auto"/>
            <w:tcBorders>
              <w:top w:val="nil"/>
              <w:left w:val="nil"/>
              <w:bottom w:val="nil"/>
              <w:right w:val="nil"/>
            </w:tcBorders>
            <w:shd w:val="clear" w:color="auto" w:fill="auto"/>
            <w:noWrap/>
            <w:vAlign w:val="center"/>
            <w:hideMark/>
          </w:tcPr>
          <w:p w14:paraId="7B5B450C"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Sex:</w:t>
            </w:r>
          </w:p>
        </w:tc>
        <w:tc>
          <w:tcPr>
            <w:tcW w:w="0" w:type="auto"/>
            <w:tcBorders>
              <w:top w:val="nil"/>
              <w:left w:val="nil"/>
              <w:bottom w:val="nil"/>
              <w:right w:val="nil"/>
            </w:tcBorders>
            <w:shd w:val="clear" w:color="auto" w:fill="auto"/>
            <w:noWrap/>
            <w:vAlign w:val="bottom"/>
            <w:hideMark/>
          </w:tcPr>
          <w:p w14:paraId="7774E68D"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ABD9F8A"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79E55C3"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523BC0CE" w14:textId="77777777" w:rsidTr="00626D91">
        <w:trPr>
          <w:trHeight w:val="300"/>
        </w:trPr>
        <w:tc>
          <w:tcPr>
            <w:tcW w:w="0" w:type="auto"/>
            <w:tcBorders>
              <w:top w:val="nil"/>
              <w:left w:val="nil"/>
              <w:bottom w:val="nil"/>
              <w:right w:val="nil"/>
            </w:tcBorders>
            <w:shd w:val="clear" w:color="auto" w:fill="auto"/>
            <w:noWrap/>
            <w:vAlign w:val="center"/>
            <w:hideMark/>
          </w:tcPr>
          <w:p w14:paraId="32D9CFA2" w14:textId="67D8AA6A"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Pr="00626D91">
              <w:rPr>
                <w:rFonts w:eastAsia="Times New Roman" w:cs="Arial"/>
                <w:color w:val="000000"/>
                <w:sz w:val="20"/>
                <w:szCs w:val="20"/>
                <w:lang w:eastAsia="en-GB"/>
              </w:rPr>
              <w:t>Male</w:t>
            </w:r>
          </w:p>
        </w:tc>
        <w:tc>
          <w:tcPr>
            <w:tcW w:w="0" w:type="auto"/>
            <w:tcBorders>
              <w:top w:val="nil"/>
              <w:left w:val="nil"/>
              <w:bottom w:val="nil"/>
              <w:right w:val="nil"/>
            </w:tcBorders>
            <w:shd w:val="clear" w:color="auto" w:fill="auto"/>
            <w:noWrap/>
            <w:vAlign w:val="center"/>
            <w:hideMark/>
          </w:tcPr>
          <w:p w14:paraId="68FF57A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26D2D81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01B9DC0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6C848046" w14:textId="77777777" w:rsidTr="00626D91">
        <w:trPr>
          <w:trHeight w:val="300"/>
        </w:trPr>
        <w:tc>
          <w:tcPr>
            <w:tcW w:w="0" w:type="auto"/>
            <w:tcBorders>
              <w:top w:val="nil"/>
              <w:left w:val="nil"/>
              <w:bottom w:val="nil"/>
              <w:right w:val="nil"/>
            </w:tcBorders>
            <w:shd w:val="clear" w:color="auto" w:fill="auto"/>
            <w:noWrap/>
            <w:vAlign w:val="center"/>
            <w:hideMark/>
          </w:tcPr>
          <w:p w14:paraId="59606FC2" w14:textId="0FF1CCE6" w:rsidR="00626D91" w:rsidRPr="00626D91" w:rsidRDefault="00626D91"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lastRenderedPageBreak/>
              <w:t xml:space="preserve">  </w:t>
            </w:r>
            <w:r w:rsidRPr="00626D91">
              <w:rPr>
                <w:rFonts w:eastAsia="Times New Roman" w:cs="Arial"/>
                <w:color w:val="000000"/>
                <w:sz w:val="20"/>
                <w:szCs w:val="20"/>
                <w:lang w:eastAsia="en-GB"/>
              </w:rPr>
              <w:t>Female</w:t>
            </w:r>
          </w:p>
        </w:tc>
        <w:tc>
          <w:tcPr>
            <w:tcW w:w="0" w:type="auto"/>
            <w:tcBorders>
              <w:top w:val="nil"/>
              <w:left w:val="nil"/>
              <w:bottom w:val="nil"/>
              <w:right w:val="nil"/>
            </w:tcBorders>
            <w:shd w:val="clear" w:color="auto" w:fill="auto"/>
            <w:noWrap/>
            <w:vAlign w:val="center"/>
            <w:hideMark/>
          </w:tcPr>
          <w:p w14:paraId="63AC5CE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1.11 (1.06-1.16)**</w:t>
            </w:r>
          </w:p>
        </w:tc>
        <w:tc>
          <w:tcPr>
            <w:tcW w:w="0" w:type="auto"/>
            <w:tcBorders>
              <w:top w:val="nil"/>
              <w:left w:val="nil"/>
              <w:bottom w:val="nil"/>
              <w:right w:val="nil"/>
            </w:tcBorders>
            <w:shd w:val="clear" w:color="auto" w:fill="auto"/>
            <w:noWrap/>
            <w:vAlign w:val="center"/>
            <w:hideMark/>
          </w:tcPr>
          <w:p w14:paraId="66754503"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1.17 (1.09-1.26)**</w:t>
            </w:r>
          </w:p>
        </w:tc>
        <w:tc>
          <w:tcPr>
            <w:tcW w:w="0" w:type="auto"/>
            <w:tcBorders>
              <w:top w:val="nil"/>
              <w:left w:val="nil"/>
              <w:bottom w:val="nil"/>
              <w:right w:val="nil"/>
            </w:tcBorders>
            <w:shd w:val="clear" w:color="auto" w:fill="auto"/>
            <w:noWrap/>
            <w:vAlign w:val="center"/>
            <w:hideMark/>
          </w:tcPr>
          <w:p w14:paraId="3BE5734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1.06 (1.00-1.13)*</w:t>
            </w:r>
          </w:p>
        </w:tc>
      </w:tr>
      <w:tr w:rsidR="00626D91" w:rsidRPr="00626D91" w14:paraId="62E8E0A7" w14:textId="77777777" w:rsidTr="00626D91">
        <w:trPr>
          <w:trHeight w:val="300"/>
        </w:trPr>
        <w:tc>
          <w:tcPr>
            <w:tcW w:w="0" w:type="auto"/>
            <w:tcBorders>
              <w:top w:val="nil"/>
              <w:left w:val="nil"/>
              <w:bottom w:val="nil"/>
              <w:right w:val="nil"/>
            </w:tcBorders>
            <w:shd w:val="clear" w:color="auto" w:fill="auto"/>
            <w:noWrap/>
            <w:vAlign w:val="center"/>
            <w:hideMark/>
          </w:tcPr>
          <w:p w14:paraId="3239E595"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Ethnicity:</w:t>
            </w:r>
          </w:p>
        </w:tc>
        <w:tc>
          <w:tcPr>
            <w:tcW w:w="0" w:type="auto"/>
            <w:tcBorders>
              <w:top w:val="nil"/>
              <w:left w:val="nil"/>
              <w:bottom w:val="nil"/>
              <w:right w:val="nil"/>
            </w:tcBorders>
            <w:shd w:val="clear" w:color="auto" w:fill="auto"/>
            <w:noWrap/>
            <w:vAlign w:val="bottom"/>
            <w:hideMark/>
          </w:tcPr>
          <w:p w14:paraId="72294B2F"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53643E9"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DD8029B"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1206F2D1" w14:textId="77777777" w:rsidTr="00626D91">
        <w:trPr>
          <w:trHeight w:val="300"/>
        </w:trPr>
        <w:tc>
          <w:tcPr>
            <w:tcW w:w="0" w:type="auto"/>
            <w:tcBorders>
              <w:top w:val="nil"/>
              <w:left w:val="nil"/>
              <w:bottom w:val="nil"/>
              <w:right w:val="nil"/>
            </w:tcBorders>
            <w:shd w:val="clear" w:color="auto" w:fill="auto"/>
            <w:noWrap/>
            <w:vAlign w:val="center"/>
            <w:hideMark/>
          </w:tcPr>
          <w:p w14:paraId="1AFF59AF" w14:textId="1A23189F"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White</w:t>
            </w:r>
          </w:p>
        </w:tc>
        <w:tc>
          <w:tcPr>
            <w:tcW w:w="0" w:type="auto"/>
            <w:tcBorders>
              <w:top w:val="nil"/>
              <w:left w:val="nil"/>
              <w:bottom w:val="nil"/>
              <w:right w:val="nil"/>
            </w:tcBorders>
            <w:shd w:val="clear" w:color="auto" w:fill="auto"/>
            <w:noWrap/>
            <w:vAlign w:val="center"/>
            <w:hideMark/>
          </w:tcPr>
          <w:p w14:paraId="5120617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6247283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5EDE5244"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14A063F8" w14:textId="77777777" w:rsidTr="00626D91">
        <w:trPr>
          <w:trHeight w:val="300"/>
        </w:trPr>
        <w:tc>
          <w:tcPr>
            <w:tcW w:w="0" w:type="auto"/>
            <w:tcBorders>
              <w:top w:val="nil"/>
              <w:left w:val="nil"/>
              <w:bottom w:val="nil"/>
              <w:right w:val="nil"/>
            </w:tcBorders>
            <w:shd w:val="clear" w:color="auto" w:fill="auto"/>
            <w:noWrap/>
            <w:vAlign w:val="center"/>
            <w:hideMark/>
          </w:tcPr>
          <w:p w14:paraId="2F9DF5EC" w14:textId="60A32999"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BAME</w:t>
            </w:r>
          </w:p>
        </w:tc>
        <w:tc>
          <w:tcPr>
            <w:tcW w:w="0" w:type="auto"/>
            <w:tcBorders>
              <w:top w:val="nil"/>
              <w:left w:val="nil"/>
              <w:bottom w:val="nil"/>
              <w:right w:val="nil"/>
            </w:tcBorders>
            <w:shd w:val="clear" w:color="auto" w:fill="auto"/>
            <w:noWrap/>
            <w:vAlign w:val="center"/>
            <w:hideMark/>
          </w:tcPr>
          <w:p w14:paraId="59F028D6"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0.98 (0.91-1.05)</w:t>
            </w:r>
          </w:p>
        </w:tc>
        <w:tc>
          <w:tcPr>
            <w:tcW w:w="0" w:type="auto"/>
            <w:tcBorders>
              <w:top w:val="nil"/>
              <w:left w:val="nil"/>
              <w:bottom w:val="nil"/>
              <w:right w:val="nil"/>
            </w:tcBorders>
            <w:shd w:val="clear" w:color="auto" w:fill="auto"/>
            <w:noWrap/>
            <w:vAlign w:val="center"/>
            <w:hideMark/>
          </w:tcPr>
          <w:p w14:paraId="6D5B8C3B"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1.06 (0.94-1.20)</w:t>
            </w:r>
          </w:p>
        </w:tc>
        <w:tc>
          <w:tcPr>
            <w:tcW w:w="0" w:type="auto"/>
            <w:tcBorders>
              <w:top w:val="nil"/>
              <w:left w:val="nil"/>
              <w:bottom w:val="nil"/>
              <w:right w:val="nil"/>
            </w:tcBorders>
            <w:shd w:val="clear" w:color="auto" w:fill="auto"/>
            <w:noWrap/>
            <w:vAlign w:val="center"/>
            <w:hideMark/>
          </w:tcPr>
          <w:p w14:paraId="6C1FA240"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0.94 (0.85-1.03)</w:t>
            </w:r>
          </w:p>
        </w:tc>
      </w:tr>
      <w:tr w:rsidR="00626D91" w:rsidRPr="00626D91" w14:paraId="27AB7C30"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6827D82A"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Employment status:</w:t>
            </w:r>
          </w:p>
        </w:tc>
        <w:tc>
          <w:tcPr>
            <w:tcW w:w="0" w:type="auto"/>
            <w:tcBorders>
              <w:top w:val="nil"/>
              <w:left w:val="nil"/>
              <w:bottom w:val="nil"/>
              <w:right w:val="nil"/>
            </w:tcBorders>
            <w:shd w:val="clear" w:color="auto" w:fill="auto"/>
            <w:noWrap/>
            <w:vAlign w:val="bottom"/>
            <w:hideMark/>
          </w:tcPr>
          <w:p w14:paraId="5B9CB080"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52C1843"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0D2C8E53" w14:textId="77777777" w:rsidTr="00626D91">
        <w:trPr>
          <w:trHeight w:val="300"/>
        </w:trPr>
        <w:tc>
          <w:tcPr>
            <w:tcW w:w="0" w:type="auto"/>
            <w:tcBorders>
              <w:top w:val="nil"/>
              <w:left w:val="nil"/>
              <w:bottom w:val="nil"/>
              <w:right w:val="nil"/>
            </w:tcBorders>
            <w:shd w:val="clear" w:color="auto" w:fill="auto"/>
            <w:noWrap/>
            <w:vAlign w:val="center"/>
            <w:hideMark/>
          </w:tcPr>
          <w:p w14:paraId="78C7F99A" w14:textId="34486E6C"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NEET</w:t>
            </w:r>
          </w:p>
        </w:tc>
        <w:tc>
          <w:tcPr>
            <w:tcW w:w="0" w:type="auto"/>
            <w:tcBorders>
              <w:top w:val="nil"/>
              <w:left w:val="nil"/>
              <w:bottom w:val="nil"/>
              <w:right w:val="nil"/>
            </w:tcBorders>
            <w:shd w:val="clear" w:color="auto" w:fill="auto"/>
            <w:noWrap/>
            <w:vAlign w:val="center"/>
            <w:hideMark/>
          </w:tcPr>
          <w:p w14:paraId="2ABF83A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102B721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6DC3D76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60688B82" w14:textId="77777777" w:rsidTr="00626D91">
        <w:trPr>
          <w:trHeight w:val="300"/>
        </w:trPr>
        <w:tc>
          <w:tcPr>
            <w:tcW w:w="0" w:type="auto"/>
            <w:tcBorders>
              <w:top w:val="nil"/>
              <w:left w:val="nil"/>
              <w:bottom w:val="nil"/>
              <w:right w:val="nil"/>
            </w:tcBorders>
            <w:shd w:val="clear" w:color="auto" w:fill="auto"/>
            <w:noWrap/>
            <w:vAlign w:val="center"/>
            <w:hideMark/>
          </w:tcPr>
          <w:p w14:paraId="015CC745" w14:textId="5BCCD029"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Disabled</w:t>
            </w:r>
          </w:p>
        </w:tc>
        <w:tc>
          <w:tcPr>
            <w:tcW w:w="0" w:type="auto"/>
            <w:tcBorders>
              <w:top w:val="nil"/>
              <w:left w:val="nil"/>
              <w:bottom w:val="nil"/>
              <w:right w:val="nil"/>
            </w:tcBorders>
            <w:shd w:val="clear" w:color="auto" w:fill="auto"/>
            <w:noWrap/>
            <w:vAlign w:val="center"/>
            <w:hideMark/>
          </w:tcPr>
          <w:p w14:paraId="5F554F9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0.92 (0.87-0.97)**</w:t>
            </w:r>
          </w:p>
        </w:tc>
        <w:tc>
          <w:tcPr>
            <w:tcW w:w="0" w:type="auto"/>
            <w:tcBorders>
              <w:top w:val="nil"/>
              <w:left w:val="nil"/>
              <w:bottom w:val="nil"/>
              <w:right w:val="nil"/>
            </w:tcBorders>
            <w:shd w:val="clear" w:color="auto" w:fill="auto"/>
            <w:noWrap/>
            <w:vAlign w:val="center"/>
            <w:hideMark/>
          </w:tcPr>
          <w:p w14:paraId="66DC716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0.92 (0.83-1.01)</w:t>
            </w:r>
          </w:p>
        </w:tc>
        <w:tc>
          <w:tcPr>
            <w:tcW w:w="0" w:type="auto"/>
            <w:tcBorders>
              <w:top w:val="nil"/>
              <w:left w:val="nil"/>
              <w:bottom w:val="nil"/>
              <w:right w:val="nil"/>
            </w:tcBorders>
            <w:shd w:val="clear" w:color="auto" w:fill="auto"/>
            <w:noWrap/>
            <w:vAlign w:val="center"/>
            <w:hideMark/>
          </w:tcPr>
          <w:p w14:paraId="31F6B41D"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0.92 (0.87-0.98)**</w:t>
            </w:r>
          </w:p>
        </w:tc>
      </w:tr>
      <w:tr w:rsidR="00626D91" w:rsidRPr="00626D91" w14:paraId="7FF1C671" w14:textId="77777777" w:rsidTr="00626D91">
        <w:trPr>
          <w:trHeight w:val="300"/>
        </w:trPr>
        <w:tc>
          <w:tcPr>
            <w:tcW w:w="0" w:type="auto"/>
            <w:tcBorders>
              <w:top w:val="nil"/>
              <w:left w:val="nil"/>
              <w:bottom w:val="nil"/>
              <w:right w:val="nil"/>
            </w:tcBorders>
            <w:shd w:val="clear" w:color="auto" w:fill="auto"/>
            <w:noWrap/>
            <w:vAlign w:val="center"/>
            <w:hideMark/>
          </w:tcPr>
          <w:p w14:paraId="25BCE54D" w14:textId="3CEBCAEB"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EET</w:t>
            </w:r>
          </w:p>
        </w:tc>
        <w:tc>
          <w:tcPr>
            <w:tcW w:w="0" w:type="auto"/>
            <w:tcBorders>
              <w:top w:val="nil"/>
              <w:left w:val="nil"/>
              <w:bottom w:val="nil"/>
              <w:right w:val="nil"/>
            </w:tcBorders>
            <w:shd w:val="clear" w:color="auto" w:fill="auto"/>
            <w:noWrap/>
            <w:vAlign w:val="center"/>
            <w:hideMark/>
          </w:tcPr>
          <w:p w14:paraId="5AB5841A"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1.33 (1.27-1.40)**</w:t>
            </w:r>
          </w:p>
        </w:tc>
        <w:tc>
          <w:tcPr>
            <w:tcW w:w="0" w:type="auto"/>
            <w:tcBorders>
              <w:top w:val="nil"/>
              <w:left w:val="nil"/>
              <w:bottom w:val="nil"/>
              <w:right w:val="nil"/>
            </w:tcBorders>
            <w:shd w:val="clear" w:color="auto" w:fill="auto"/>
            <w:noWrap/>
            <w:vAlign w:val="center"/>
            <w:hideMark/>
          </w:tcPr>
          <w:p w14:paraId="0099BE14"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1.27 (1.17-1.37)**</w:t>
            </w:r>
          </w:p>
        </w:tc>
        <w:tc>
          <w:tcPr>
            <w:tcW w:w="0" w:type="auto"/>
            <w:tcBorders>
              <w:top w:val="nil"/>
              <w:left w:val="nil"/>
              <w:bottom w:val="nil"/>
              <w:right w:val="nil"/>
            </w:tcBorders>
            <w:shd w:val="clear" w:color="auto" w:fill="auto"/>
            <w:noWrap/>
            <w:vAlign w:val="center"/>
            <w:hideMark/>
          </w:tcPr>
          <w:p w14:paraId="251DB69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1.39 (1.30-1.49)**</w:t>
            </w:r>
          </w:p>
        </w:tc>
      </w:tr>
      <w:tr w:rsidR="00626D91" w:rsidRPr="00626D91" w14:paraId="1A821C8F"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7956ECB9"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Housing status:</w:t>
            </w:r>
          </w:p>
        </w:tc>
        <w:tc>
          <w:tcPr>
            <w:tcW w:w="0" w:type="auto"/>
            <w:tcBorders>
              <w:top w:val="nil"/>
              <w:left w:val="nil"/>
              <w:bottom w:val="nil"/>
              <w:right w:val="nil"/>
            </w:tcBorders>
            <w:shd w:val="clear" w:color="auto" w:fill="auto"/>
            <w:noWrap/>
            <w:vAlign w:val="bottom"/>
            <w:hideMark/>
          </w:tcPr>
          <w:p w14:paraId="16C46D9F"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8AE1C58"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5A7FB62B" w14:textId="77777777" w:rsidTr="00626D91">
        <w:trPr>
          <w:trHeight w:val="300"/>
        </w:trPr>
        <w:tc>
          <w:tcPr>
            <w:tcW w:w="0" w:type="auto"/>
            <w:tcBorders>
              <w:top w:val="nil"/>
              <w:left w:val="nil"/>
              <w:bottom w:val="nil"/>
              <w:right w:val="nil"/>
            </w:tcBorders>
            <w:shd w:val="clear" w:color="auto" w:fill="auto"/>
            <w:noWrap/>
            <w:vAlign w:val="center"/>
            <w:hideMark/>
          </w:tcPr>
          <w:p w14:paraId="0C8E6375" w14:textId="3A46D377"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No housing problem</w:t>
            </w:r>
          </w:p>
        </w:tc>
        <w:tc>
          <w:tcPr>
            <w:tcW w:w="0" w:type="auto"/>
            <w:tcBorders>
              <w:top w:val="nil"/>
              <w:left w:val="nil"/>
              <w:bottom w:val="nil"/>
              <w:right w:val="nil"/>
            </w:tcBorders>
            <w:shd w:val="clear" w:color="auto" w:fill="auto"/>
            <w:noWrap/>
            <w:vAlign w:val="center"/>
            <w:hideMark/>
          </w:tcPr>
          <w:p w14:paraId="4D8A3A3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4AE96C4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77ED025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2D1265E9" w14:textId="77777777" w:rsidTr="00626D91">
        <w:trPr>
          <w:trHeight w:val="300"/>
        </w:trPr>
        <w:tc>
          <w:tcPr>
            <w:tcW w:w="0" w:type="auto"/>
            <w:tcBorders>
              <w:top w:val="nil"/>
              <w:left w:val="nil"/>
              <w:bottom w:val="nil"/>
              <w:right w:val="nil"/>
            </w:tcBorders>
            <w:shd w:val="clear" w:color="auto" w:fill="auto"/>
            <w:noWrap/>
            <w:vAlign w:val="center"/>
            <w:hideMark/>
          </w:tcPr>
          <w:p w14:paraId="707C857B" w14:textId="7CC27480"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NFA</w:t>
            </w:r>
          </w:p>
        </w:tc>
        <w:tc>
          <w:tcPr>
            <w:tcW w:w="0" w:type="auto"/>
            <w:tcBorders>
              <w:top w:val="nil"/>
              <w:left w:val="nil"/>
              <w:bottom w:val="nil"/>
              <w:right w:val="nil"/>
            </w:tcBorders>
            <w:shd w:val="clear" w:color="auto" w:fill="auto"/>
            <w:noWrap/>
            <w:vAlign w:val="center"/>
            <w:hideMark/>
          </w:tcPr>
          <w:p w14:paraId="7419B52B"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0.65 (0.59-0.71)**</w:t>
            </w:r>
          </w:p>
        </w:tc>
        <w:tc>
          <w:tcPr>
            <w:tcW w:w="0" w:type="auto"/>
            <w:tcBorders>
              <w:top w:val="nil"/>
              <w:left w:val="nil"/>
              <w:bottom w:val="nil"/>
              <w:right w:val="nil"/>
            </w:tcBorders>
            <w:shd w:val="clear" w:color="auto" w:fill="auto"/>
            <w:noWrap/>
            <w:vAlign w:val="center"/>
            <w:hideMark/>
          </w:tcPr>
          <w:p w14:paraId="19482BA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0.73 (0.52-1.01)</w:t>
            </w:r>
          </w:p>
        </w:tc>
        <w:tc>
          <w:tcPr>
            <w:tcW w:w="0" w:type="auto"/>
            <w:tcBorders>
              <w:top w:val="nil"/>
              <w:left w:val="nil"/>
              <w:bottom w:val="nil"/>
              <w:right w:val="nil"/>
            </w:tcBorders>
            <w:shd w:val="clear" w:color="auto" w:fill="auto"/>
            <w:noWrap/>
            <w:vAlign w:val="center"/>
            <w:hideMark/>
          </w:tcPr>
          <w:p w14:paraId="00BEA6D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0.65 (0.59-0.72)**</w:t>
            </w:r>
          </w:p>
        </w:tc>
      </w:tr>
      <w:tr w:rsidR="00626D91" w:rsidRPr="00626D91" w14:paraId="415E3F6E" w14:textId="77777777" w:rsidTr="00626D91">
        <w:trPr>
          <w:trHeight w:val="300"/>
        </w:trPr>
        <w:tc>
          <w:tcPr>
            <w:tcW w:w="0" w:type="auto"/>
            <w:tcBorders>
              <w:top w:val="nil"/>
              <w:left w:val="nil"/>
              <w:bottom w:val="nil"/>
              <w:right w:val="nil"/>
            </w:tcBorders>
            <w:shd w:val="clear" w:color="auto" w:fill="auto"/>
            <w:noWrap/>
            <w:vAlign w:val="center"/>
            <w:hideMark/>
          </w:tcPr>
          <w:p w14:paraId="35DC6826"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Housing problem</w:t>
            </w:r>
          </w:p>
        </w:tc>
        <w:tc>
          <w:tcPr>
            <w:tcW w:w="0" w:type="auto"/>
            <w:tcBorders>
              <w:top w:val="nil"/>
              <w:left w:val="nil"/>
              <w:bottom w:val="nil"/>
              <w:right w:val="nil"/>
            </w:tcBorders>
            <w:shd w:val="clear" w:color="auto" w:fill="auto"/>
            <w:noWrap/>
            <w:vAlign w:val="center"/>
            <w:hideMark/>
          </w:tcPr>
          <w:p w14:paraId="63944A3D"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0.80 (0.75-0.85)**</w:t>
            </w:r>
          </w:p>
        </w:tc>
        <w:tc>
          <w:tcPr>
            <w:tcW w:w="0" w:type="auto"/>
            <w:tcBorders>
              <w:top w:val="nil"/>
              <w:left w:val="nil"/>
              <w:bottom w:val="nil"/>
              <w:right w:val="nil"/>
            </w:tcBorders>
            <w:shd w:val="clear" w:color="auto" w:fill="auto"/>
            <w:noWrap/>
            <w:vAlign w:val="center"/>
            <w:hideMark/>
          </w:tcPr>
          <w:p w14:paraId="4AF0F2C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0.84 (0.73-0.96)*</w:t>
            </w:r>
          </w:p>
        </w:tc>
        <w:tc>
          <w:tcPr>
            <w:tcW w:w="0" w:type="auto"/>
            <w:tcBorders>
              <w:top w:val="nil"/>
              <w:left w:val="nil"/>
              <w:bottom w:val="nil"/>
              <w:right w:val="nil"/>
            </w:tcBorders>
            <w:shd w:val="clear" w:color="auto" w:fill="auto"/>
            <w:noWrap/>
            <w:vAlign w:val="center"/>
            <w:hideMark/>
          </w:tcPr>
          <w:p w14:paraId="189FB13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0.80 (0.74-0.86)**</w:t>
            </w:r>
          </w:p>
        </w:tc>
      </w:tr>
      <w:tr w:rsidR="00626D91" w:rsidRPr="00626D91" w14:paraId="6D31191A" w14:textId="77777777" w:rsidTr="00626D91">
        <w:trPr>
          <w:trHeight w:val="300"/>
        </w:trPr>
        <w:tc>
          <w:tcPr>
            <w:tcW w:w="0" w:type="auto"/>
            <w:tcBorders>
              <w:top w:val="nil"/>
              <w:left w:val="nil"/>
              <w:bottom w:val="nil"/>
              <w:right w:val="nil"/>
            </w:tcBorders>
            <w:shd w:val="clear" w:color="auto" w:fill="auto"/>
            <w:noWrap/>
            <w:vAlign w:val="center"/>
            <w:hideMark/>
          </w:tcPr>
          <w:p w14:paraId="4AB32F85" w14:textId="77777777" w:rsidR="00930712" w:rsidRDefault="00930712" w:rsidP="00626D91">
            <w:pPr>
              <w:contextualSpacing w:val="0"/>
              <w:rPr>
                <w:rFonts w:eastAsia="Times New Roman" w:cs="Arial"/>
                <w:i/>
                <w:iCs/>
                <w:color w:val="000000"/>
                <w:sz w:val="20"/>
                <w:szCs w:val="20"/>
                <w:lang w:eastAsia="en-GB"/>
              </w:rPr>
            </w:pPr>
          </w:p>
          <w:p w14:paraId="57B43E7E" w14:textId="4AFC436B" w:rsidR="00626D91" w:rsidRPr="00626D91" w:rsidRDefault="00626D91" w:rsidP="00626D91">
            <w:pPr>
              <w:contextualSpacing w:val="0"/>
              <w:rPr>
                <w:rFonts w:eastAsia="Times New Roman" w:cs="Arial"/>
                <w:i/>
                <w:iCs/>
                <w:color w:val="000000"/>
                <w:sz w:val="20"/>
                <w:szCs w:val="20"/>
                <w:lang w:eastAsia="en-GB"/>
              </w:rPr>
            </w:pPr>
            <w:r w:rsidRPr="00626D91">
              <w:rPr>
                <w:rFonts w:eastAsia="Times New Roman" w:cs="Arial"/>
                <w:i/>
                <w:iCs/>
                <w:color w:val="000000"/>
                <w:sz w:val="20"/>
                <w:szCs w:val="20"/>
                <w:lang w:eastAsia="en-GB"/>
              </w:rPr>
              <w:t>Clinical</w:t>
            </w:r>
          </w:p>
        </w:tc>
        <w:tc>
          <w:tcPr>
            <w:tcW w:w="0" w:type="auto"/>
            <w:tcBorders>
              <w:top w:val="nil"/>
              <w:left w:val="nil"/>
              <w:bottom w:val="nil"/>
              <w:right w:val="nil"/>
            </w:tcBorders>
            <w:shd w:val="clear" w:color="auto" w:fill="auto"/>
            <w:noWrap/>
            <w:vAlign w:val="bottom"/>
            <w:hideMark/>
          </w:tcPr>
          <w:p w14:paraId="38CE5851" w14:textId="77777777" w:rsidR="00626D91" w:rsidRPr="00626D91" w:rsidRDefault="00626D91" w:rsidP="00626D91">
            <w:pPr>
              <w:contextualSpacing w:val="0"/>
              <w:rPr>
                <w:rFonts w:eastAsia="Times New Roman"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F1EEE85"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0B14F04"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50B581C4"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0F9CF3AF"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Substance:</w:t>
            </w:r>
          </w:p>
        </w:tc>
        <w:tc>
          <w:tcPr>
            <w:tcW w:w="0" w:type="auto"/>
            <w:tcBorders>
              <w:top w:val="nil"/>
              <w:left w:val="nil"/>
              <w:bottom w:val="nil"/>
              <w:right w:val="nil"/>
            </w:tcBorders>
            <w:shd w:val="clear" w:color="auto" w:fill="auto"/>
            <w:noWrap/>
            <w:vAlign w:val="bottom"/>
            <w:hideMark/>
          </w:tcPr>
          <w:p w14:paraId="133D3028"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D6D2F1F"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2D565579" w14:textId="77777777" w:rsidTr="00626D91">
        <w:trPr>
          <w:trHeight w:val="300"/>
        </w:trPr>
        <w:tc>
          <w:tcPr>
            <w:tcW w:w="0" w:type="auto"/>
            <w:tcBorders>
              <w:top w:val="nil"/>
              <w:left w:val="nil"/>
              <w:bottom w:val="nil"/>
              <w:right w:val="nil"/>
            </w:tcBorders>
            <w:shd w:val="clear" w:color="auto" w:fill="auto"/>
            <w:noWrap/>
            <w:vAlign w:val="center"/>
            <w:hideMark/>
          </w:tcPr>
          <w:p w14:paraId="5E401D4F" w14:textId="5589F9A4"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Non-opiate user (OU) only</w:t>
            </w:r>
          </w:p>
        </w:tc>
        <w:tc>
          <w:tcPr>
            <w:tcW w:w="0" w:type="auto"/>
            <w:tcBorders>
              <w:top w:val="nil"/>
              <w:left w:val="nil"/>
              <w:bottom w:val="nil"/>
              <w:right w:val="nil"/>
            </w:tcBorders>
            <w:shd w:val="clear" w:color="auto" w:fill="auto"/>
            <w:noWrap/>
            <w:vAlign w:val="center"/>
            <w:hideMark/>
          </w:tcPr>
          <w:p w14:paraId="5CB1491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184F19E8"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2DA1A57C"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44811A29" w14:textId="77777777" w:rsidTr="00626D91">
        <w:trPr>
          <w:trHeight w:val="300"/>
        </w:trPr>
        <w:tc>
          <w:tcPr>
            <w:tcW w:w="0" w:type="auto"/>
            <w:tcBorders>
              <w:top w:val="nil"/>
              <w:left w:val="nil"/>
              <w:bottom w:val="nil"/>
              <w:right w:val="nil"/>
            </w:tcBorders>
            <w:shd w:val="clear" w:color="auto" w:fill="auto"/>
            <w:noWrap/>
            <w:vAlign w:val="center"/>
            <w:hideMark/>
          </w:tcPr>
          <w:p w14:paraId="6419CB1C" w14:textId="552C3C19"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Alcohol and non-OU</w:t>
            </w:r>
          </w:p>
        </w:tc>
        <w:tc>
          <w:tcPr>
            <w:tcW w:w="0" w:type="auto"/>
            <w:tcBorders>
              <w:top w:val="nil"/>
              <w:left w:val="nil"/>
              <w:bottom w:val="nil"/>
              <w:right w:val="nil"/>
            </w:tcBorders>
            <w:shd w:val="clear" w:color="auto" w:fill="auto"/>
            <w:noWrap/>
            <w:vAlign w:val="center"/>
            <w:hideMark/>
          </w:tcPr>
          <w:p w14:paraId="4C91EE4D"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0.84 (0.79-0.90)**</w:t>
            </w:r>
          </w:p>
        </w:tc>
        <w:tc>
          <w:tcPr>
            <w:tcW w:w="0" w:type="auto"/>
            <w:tcBorders>
              <w:top w:val="nil"/>
              <w:left w:val="nil"/>
              <w:bottom w:val="nil"/>
              <w:right w:val="nil"/>
            </w:tcBorders>
            <w:shd w:val="clear" w:color="auto" w:fill="auto"/>
            <w:noWrap/>
            <w:vAlign w:val="center"/>
            <w:hideMark/>
          </w:tcPr>
          <w:p w14:paraId="156FE6DA"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0.95 (0.85-1.07)</w:t>
            </w:r>
          </w:p>
        </w:tc>
        <w:tc>
          <w:tcPr>
            <w:tcW w:w="0" w:type="auto"/>
            <w:tcBorders>
              <w:top w:val="nil"/>
              <w:left w:val="nil"/>
              <w:bottom w:val="nil"/>
              <w:right w:val="nil"/>
            </w:tcBorders>
            <w:shd w:val="clear" w:color="auto" w:fill="auto"/>
            <w:noWrap/>
            <w:vAlign w:val="center"/>
            <w:hideMark/>
          </w:tcPr>
          <w:p w14:paraId="00F7FBBC"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0.78 (0.71-0.85)**</w:t>
            </w:r>
          </w:p>
        </w:tc>
      </w:tr>
      <w:tr w:rsidR="00626D91" w:rsidRPr="00626D91" w14:paraId="5597B31C" w14:textId="77777777" w:rsidTr="00626D91">
        <w:trPr>
          <w:trHeight w:val="300"/>
        </w:trPr>
        <w:tc>
          <w:tcPr>
            <w:tcW w:w="0" w:type="auto"/>
            <w:tcBorders>
              <w:top w:val="nil"/>
              <w:left w:val="nil"/>
              <w:bottom w:val="nil"/>
              <w:right w:val="nil"/>
            </w:tcBorders>
            <w:shd w:val="clear" w:color="auto" w:fill="auto"/>
            <w:noWrap/>
            <w:vAlign w:val="center"/>
            <w:hideMark/>
          </w:tcPr>
          <w:p w14:paraId="27D57FF2" w14:textId="36BF7604"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OU</w:t>
            </w:r>
          </w:p>
        </w:tc>
        <w:tc>
          <w:tcPr>
            <w:tcW w:w="0" w:type="auto"/>
            <w:tcBorders>
              <w:top w:val="nil"/>
              <w:left w:val="nil"/>
              <w:bottom w:val="nil"/>
              <w:right w:val="nil"/>
            </w:tcBorders>
            <w:shd w:val="clear" w:color="auto" w:fill="auto"/>
            <w:noWrap/>
            <w:vAlign w:val="center"/>
            <w:hideMark/>
          </w:tcPr>
          <w:p w14:paraId="449A3F2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0.24 (0.22-0.26)**</w:t>
            </w:r>
          </w:p>
        </w:tc>
        <w:tc>
          <w:tcPr>
            <w:tcW w:w="0" w:type="auto"/>
            <w:tcBorders>
              <w:top w:val="nil"/>
              <w:left w:val="nil"/>
              <w:bottom w:val="nil"/>
              <w:right w:val="nil"/>
            </w:tcBorders>
            <w:shd w:val="clear" w:color="auto" w:fill="auto"/>
            <w:noWrap/>
            <w:vAlign w:val="center"/>
            <w:hideMark/>
          </w:tcPr>
          <w:p w14:paraId="6C76A080"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0.29 (0.25-0.34)**</w:t>
            </w:r>
          </w:p>
        </w:tc>
        <w:tc>
          <w:tcPr>
            <w:tcW w:w="0" w:type="auto"/>
            <w:tcBorders>
              <w:top w:val="nil"/>
              <w:left w:val="nil"/>
              <w:bottom w:val="nil"/>
              <w:right w:val="nil"/>
            </w:tcBorders>
            <w:shd w:val="clear" w:color="auto" w:fill="auto"/>
            <w:noWrap/>
            <w:vAlign w:val="center"/>
            <w:hideMark/>
          </w:tcPr>
          <w:p w14:paraId="1DF831B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0.21 (0.19-0.24)**</w:t>
            </w:r>
          </w:p>
        </w:tc>
      </w:tr>
      <w:tr w:rsidR="00626D91" w:rsidRPr="00626D91" w14:paraId="1C2A7C0D" w14:textId="77777777" w:rsidTr="00626D91">
        <w:trPr>
          <w:trHeight w:val="300"/>
        </w:trPr>
        <w:tc>
          <w:tcPr>
            <w:tcW w:w="0" w:type="auto"/>
            <w:tcBorders>
              <w:top w:val="nil"/>
              <w:left w:val="nil"/>
              <w:bottom w:val="nil"/>
              <w:right w:val="nil"/>
            </w:tcBorders>
            <w:shd w:val="clear" w:color="auto" w:fill="auto"/>
            <w:noWrap/>
            <w:vAlign w:val="center"/>
            <w:hideMark/>
          </w:tcPr>
          <w:p w14:paraId="37BF2884" w14:textId="4A5F8B61"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Alcohol only</w:t>
            </w:r>
          </w:p>
        </w:tc>
        <w:tc>
          <w:tcPr>
            <w:tcW w:w="0" w:type="auto"/>
            <w:tcBorders>
              <w:top w:val="nil"/>
              <w:left w:val="nil"/>
              <w:bottom w:val="nil"/>
              <w:right w:val="nil"/>
            </w:tcBorders>
            <w:shd w:val="clear" w:color="auto" w:fill="auto"/>
            <w:noWrap/>
            <w:vAlign w:val="center"/>
            <w:hideMark/>
          </w:tcPr>
          <w:p w14:paraId="3B8226A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1.04 (0.98-1.11)</w:t>
            </w:r>
          </w:p>
        </w:tc>
        <w:tc>
          <w:tcPr>
            <w:tcW w:w="0" w:type="auto"/>
            <w:tcBorders>
              <w:top w:val="nil"/>
              <w:left w:val="nil"/>
              <w:bottom w:val="nil"/>
              <w:right w:val="nil"/>
            </w:tcBorders>
            <w:shd w:val="clear" w:color="auto" w:fill="auto"/>
            <w:noWrap/>
            <w:vAlign w:val="center"/>
            <w:hideMark/>
          </w:tcPr>
          <w:p w14:paraId="0B1167DA"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1.14 (1.04-1.26)**</w:t>
            </w:r>
          </w:p>
        </w:tc>
        <w:tc>
          <w:tcPr>
            <w:tcW w:w="0" w:type="auto"/>
            <w:tcBorders>
              <w:top w:val="nil"/>
              <w:left w:val="nil"/>
              <w:bottom w:val="nil"/>
              <w:right w:val="nil"/>
            </w:tcBorders>
            <w:shd w:val="clear" w:color="auto" w:fill="auto"/>
            <w:noWrap/>
            <w:vAlign w:val="center"/>
            <w:hideMark/>
          </w:tcPr>
          <w:p w14:paraId="35C9DCDB"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0.98 (0.90-1.06)</w:t>
            </w:r>
          </w:p>
        </w:tc>
      </w:tr>
      <w:tr w:rsidR="00626D91" w:rsidRPr="00626D91" w14:paraId="7E70E149"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24E5C4EF"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Injecting status:</w:t>
            </w:r>
          </w:p>
        </w:tc>
        <w:tc>
          <w:tcPr>
            <w:tcW w:w="0" w:type="auto"/>
            <w:tcBorders>
              <w:top w:val="nil"/>
              <w:left w:val="nil"/>
              <w:bottom w:val="nil"/>
              <w:right w:val="nil"/>
            </w:tcBorders>
            <w:shd w:val="clear" w:color="auto" w:fill="auto"/>
            <w:noWrap/>
            <w:vAlign w:val="bottom"/>
            <w:hideMark/>
          </w:tcPr>
          <w:p w14:paraId="1DC0BFDF"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68D8696"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5F9A9828" w14:textId="77777777" w:rsidTr="00626D91">
        <w:trPr>
          <w:trHeight w:val="300"/>
        </w:trPr>
        <w:tc>
          <w:tcPr>
            <w:tcW w:w="0" w:type="auto"/>
            <w:tcBorders>
              <w:top w:val="nil"/>
              <w:left w:val="nil"/>
              <w:bottom w:val="nil"/>
              <w:right w:val="nil"/>
            </w:tcBorders>
            <w:shd w:val="clear" w:color="auto" w:fill="auto"/>
            <w:noWrap/>
            <w:vAlign w:val="center"/>
            <w:hideMark/>
          </w:tcPr>
          <w:p w14:paraId="4B7FA195" w14:textId="2AB66FA7"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Non-injector</w:t>
            </w:r>
          </w:p>
        </w:tc>
        <w:tc>
          <w:tcPr>
            <w:tcW w:w="0" w:type="auto"/>
            <w:tcBorders>
              <w:top w:val="nil"/>
              <w:left w:val="nil"/>
              <w:bottom w:val="nil"/>
              <w:right w:val="nil"/>
            </w:tcBorders>
            <w:shd w:val="clear" w:color="auto" w:fill="auto"/>
            <w:noWrap/>
            <w:vAlign w:val="center"/>
            <w:hideMark/>
          </w:tcPr>
          <w:p w14:paraId="7A66B8E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51D065B6"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42DAD14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349480CA" w14:textId="77777777" w:rsidTr="00626D91">
        <w:trPr>
          <w:trHeight w:val="300"/>
        </w:trPr>
        <w:tc>
          <w:tcPr>
            <w:tcW w:w="0" w:type="auto"/>
            <w:tcBorders>
              <w:top w:val="nil"/>
              <w:left w:val="nil"/>
              <w:bottom w:val="nil"/>
              <w:right w:val="nil"/>
            </w:tcBorders>
            <w:shd w:val="clear" w:color="auto" w:fill="auto"/>
            <w:noWrap/>
            <w:vAlign w:val="center"/>
            <w:hideMark/>
          </w:tcPr>
          <w:p w14:paraId="48CC25CD" w14:textId="459F16C7"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Injector</w:t>
            </w:r>
          </w:p>
        </w:tc>
        <w:tc>
          <w:tcPr>
            <w:tcW w:w="0" w:type="auto"/>
            <w:tcBorders>
              <w:top w:val="nil"/>
              <w:left w:val="nil"/>
              <w:bottom w:val="nil"/>
              <w:right w:val="nil"/>
            </w:tcBorders>
            <w:shd w:val="clear" w:color="auto" w:fill="auto"/>
            <w:noWrap/>
            <w:vAlign w:val="center"/>
            <w:hideMark/>
          </w:tcPr>
          <w:p w14:paraId="5AD2F93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0.59 (0.52-0.66)**</w:t>
            </w:r>
          </w:p>
        </w:tc>
        <w:tc>
          <w:tcPr>
            <w:tcW w:w="0" w:type="auto"/>
            <w:tcBorders>
              <w:top w:val="nil"/>
              <w:left w:val="nil"/>
              <w:bottom w:val="nil"/>
              <w:right w:val="nil"/>
            </w:tcBorders>
            <w:shd w:val="clear" w:color="auto" w:fill="auto"/>
            <w:noWrap/>
            <w:vAlign w:val="center"/>
            <w:hideMark/>
          </w:tcPr>
          <w:p w14:paraId="6AAED731"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0.56 (0.41-0.76)**</w:t>
            </w:r>
          </w:p>
        </w:tc>
        <w:tc>
          <w:tcPr>
            <w:tcW w:w="0" w:type="auto"/>
            <w:tcBorders>
              <w:top w:val="nil"/>
              <w:left w:val="nil"/>
              <w:bottom w:val="nil"/>
              <w:right w:val="nil"/>
            </w:tcBorders>
            <w:shd w:val="clear" w:color="auto" w:fill="auto"/>
            <w:noWrap/>
            <w:vAlign w:val="center"/>
            <w:hideMark/>
          </w:tcPr>
          <w:p w14:paraId="50825F7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0.62 (0.54-0.70)**</w:t>
            </w:r>
          </w:p>
        </w:tc>
      </w:tr>
      <w:tr w:rsidR="00626D91" w:rsidRPr="00626D91" w14:paraId="4E00F259"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401DA032"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Co-morbidity:</w:t>
            </w:r>
          </w:p>
        </w:tc>
        <w:tc>
          <w:tcPr>
            <w:tcW w:w="0" w:type="auto"/>
            <w:tcBorders>
              <w:top w:val="nil"/>
              <w:left w:val="nil"/>
              <w:bottom w:val="nil"/>
              <w:right w:val="nil"/>
            </w:tcBorders>
            <w:shd w:val="clear" w:color="auto" w:fill="auto"/>
            <w:noWrap/>
            <w:vAlign w:val="bottom"/>
            <w:hideMark/>
          </w:tcPr>
          <w:p w14:paraId="4B977DB2"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DBE0636"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3D8CAAA5" w14:textId="77777777" w:rsidTr="00626D91">
        <w:trPr>
          <w:trHeight w:val="300"/>
        </w:trPr>
        <w:tc>
          <w:tcPr>
            <w:tcW w:w="0" w:type="auto"/>
            <w:tcBorders>
              <w:top w:val="nil"/>
              <w:left w:val="nil"/>
              <w:bottom w:val="nil"/>
              <w:right w:val="nil"/>
            </w:tcBorders>
            <w:shd w:val="clear" w:color="auto" w:fill="auto"/>
            <w:noWrap/>
            <w:vAlign w:val="center"/>
            <w:hideMark/>
          </w:tcPr>
          <w:p w14:paraId="155E2B08" w14:textId="590C6BD2"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No mental health problem</w:t>
            </w:r>
          </w:p>
        </w:tc>
        <w:tc>
          <w:tcPr>
            <w:tcW w:w="0" w:type="auto"/>
            <w:tcBorders>
              <w:top w:val="nil"/>
              <w:left w:val="nil"/>
              <w:bottom w:val="nil"/>
              <w:right w:val="nil"/>
            </w:tcBorders>
            <w:shd w:val="clear" w:color="auto" w:fill="auto"/>
            <w:noWrap/>
            <w:vAlign w:val="center"/>
            <w:hideMark/>
          </w:tcPr>
          <w:p w14:paraId="58A59E8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64C0A6D1"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4DCC9C1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0DADF322" w14:textId="77777777" w:rsidTr="00626D91">
        <w:trPr>
          <w:trHeight w:val="300"/>
        </w:trPr>
        <w:tc>
          <w:tcPr>
            <w:tcW w:w="0" w:type="auto"/>
            <w:tcBorders>
              <w:top w:val="nil"/>
              <w:left w:val="nil"/>
              <w:bottom w:val="nil"/>
              <w:right w:val="nil"/>
            </w:tcBorders>
            <w:shd w:val="clear" w:color="auto" w:fill="auto"/>
            <w:noWrap/>
            <w:vAlign w:val="center"/>
            <w:hideMark/>
          </w:tcPr>
          <w:p w14:paraId="587B4DB0" w14:textId="7A7837C1"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Mental health problem</w:t>
            </w:r>
          </w:p>
        </w:tc>
        <w:tc>
          <w:tcPr>
            <w:tcW w:w="0" w:type="auto"/>
            <w:tcBorders>
              <w:top w:val="nil"/>
              <w:left w:val="nil"/>
              <w:bottom w:val="nil"/>
              <w:right w:val="nil"/>
            </w:tcBorders>
            <w:shd w:val="clear" w:color="auto" w:fill="auto"/>
            <w:noWrap/>
            <w:vAlign w:val="center"/>
            <w:hideMark/>
          </w:tcPr>
          <w:p w14:paraId="0D60394C"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0.92 (0.88-0.97)**</w:t>
            </w:r>
          </w:p>
        </w:tc>
        <w:tc>
          <w:tcPr>
            <w:tcW w:w="0" w:type="auto"/>
            <w:tcBorders>
              <w:top w:val="nil"/>
              <w:left w:val="nil"/>
              <w:bottom w:val="nil"/>
              <w:right w:val="nil"/>
            </w:tcBorders>
            <w:shd w:val="clear" w:color="auto" w:fill="auto"/>
            <w:noWrap/>
            <w:vAlign w:val="center"/>
            <w:hideMark/>
          </w:tcPr>
          <w:p w14:paraId="3F82E2B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0.93 (0.87-1.00)*</w:t>
            </w:r>
          </w:p>
        </w:tc>
        <w:tc>
          <w:tcPr>
            <w:tcW w:w="0" w:type="auto"/>
            <w:tcBorders>
              <w:top w:val="nil"/>
              <w:left w:val="nil"/>
              <w:bottom w:val="nil"/>
              <w:right w:val="nil"/>
            </w:tcBorders>
            <w:shd w:val="clear" w:color="auto" w:fill="auto"/>
            <w:noWrap/>
            <w:vAlign w:val="center"/>
            <w:hideMark/>
          </w:tcPr>
          <w:p w14:paraId="1B40529C"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0.93 (0.88-0.98)**</w:t>
            </w:r>
          </w:p>
        </w:tc>
      </w:tr>
      <w:tr w:rsidR="00626D91" w:rsidRPr="00626D91" w14:paraId="0A23B411" w14:textId="77777777" w:rsidTr="00626D91">
        <w:trPr>
          <w:trHeight w:val="300"/>
        </w:trPr>
        <w:tc>
          <w:tcPr>
            <w:tcW w:w="0" w:type="auto"/>
            <w:tcBorders>
              <w:top w:val="nil"/>
              <w:left w:val="nil"/>
              <w:bottom w:val="nil"/>
              <w:right w:val="nil"/>
            </w:tcBorders>
            <w:shd w:val="clear" w:color="auto" w:fill="auto"/>
            <w:noWrap/>
            <w:vAlign w:val="center"/>
            <w:hideMark/>
          </w:tcPr>
          <w:p w14:paraId="65550543" w14:textId="77777777" w:rsidR="00626D91" w:rsidRPr="00626D91" w:rsidRDefault="00626D91" w:rsidP="00626D91">
            <w:pPr>
              <w:contextualSpacing w:val="0"/>
              <w:jc w:val="right"/>
              <w:rPr>
                <w:rFonts w:eastAsia="Times New Roman" w:cs="Arial"/>
                <w:color w:val="000000"/>
                <w:sz w:val="20"/>
                <w:szCs w:val="20"/>
                <w:lang w:eastAsia="en-GB"/>
              </w:rPr>
            </w:pPr>
          </w:p>
        </w:tc>
        <w:tc>
          <w:tcPr>
            <w:tcW w:w="0" w:type="auto"/>
            <w:vMerge w:val="restart"/>
            <w:tcBorders>
              <w:top w:val="nil"/>
              <w:left w:val="nil"/>
              <w:bottom w:val="nil"/>
              <w:right w:val="nil"/>
            </w:tcBorders>
            <w:shd w:val="clear" w:color="auto" w:fill="auto"/>
            <w:noWrap/>
            <w:vAlign w:val="bottom"/>
            <w:hideMark/>
          </w:tcPr>
          <w:p w14:paraId="09B7D819"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c>
          <w:tcPr>
            <w:tcW w:w="0" w:type="auto"/>
            <w:vMerge w:val="restart"/>
            <w:tcBorders>
              <w:top w:val="nil"/>
              <w:left w:val="nil"/>
              <w:bottom w:val="nil"/>
              <w:right w:val="nil"/>
            </w:tcBorders>
            <w:shd w:val="clear" w:color="auto" w:fill="auto"/>
            <w:noWrap/>
            <w:vAlign w:val="bottom"/>
            <w:hideMark/>
          </w:tcPr>
          <w:p w14:paraId="6CE9FB1D"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c>
          <w:tcPr>
            <w:tcW w:w="0" w:type="auto"/>
            <w:vMerge w:val="restart"/>
            <w:tcBorders>
              <w:top w:val="nil"/>
              <w:left w:val="nil"/>
              <w:bottom w:val="nil"/>
              <w:right w:val="nil"/>
            </w:tcBorders>
            <w:shd w:val="clear" w:color="auto" w:fill="auto"/>
            <w:noWrap/>
            <w:vAlign w:val="bottom"/>
            <w:hideMark/>
          </w:tcPr>
          <w:p w14:paraId="6753850A"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3BF1170D" w14:textId="77777777" w:rsidTr="00626D91">
        <w:trPr>
          <w:trHeight w:val="300"/>
        </w:trPr>
        <w:tc>
          <w:tcPr>
            <w:tcW w:w="0" w:type="auto"/>
            <w:tcBorders>
              <w:top w:val="nil"/>
              <w:left w:val="nil"/>
              <w:bottom w:val="nil"/>
              <w:right w:val="nil"/>
            </w:tcBorders>
            <w:shd w:val="clear" w:color="auto" w:fill="auto"/>
            <w:noWrap/>
            <w:vAlign w:val="center"/>
            <w:hideMark/>
          </w:tcPr>
          <w:p w14:paraId="16BFA514" w14:textId="77777777" w:rsidR="00626D91" w:rsidRPr="00626D91" w:rsidRDefault="00626D91" w:rsidP="00626D91">
            <w:pPr>
              <w:contextualSpacing w:val="0"/>
              <w:rPr>
                <w:rFonts w:eastAsia="Times New Roman" w:cs="Arial"/>
                <w:i/>
                <w:iCs/>
                <w:color w:val="000000"/>
                <w:sz w:val="20"/>
                <w:szCs w:val="20"/>
                <w:lang w:eastAsia="en-GB"/>
              </w:rPr>
            </w:pPr>
            <w:r w:rsidRPr="00626D91">
              <w:rPr>
                <w:rFonts w:eastAsia="Times New Roman" w:cs="Arial"/>
                <w:i/>
                <w:iCs/>
                <w:color w:val="000000"/>
                <w:sz w:val="20"/>
                <w:szCs w:val="20"/>
                <w:lang w:eastAsia="en-GB"/>
              </w:rPr>
              <w:t>Treatment exposure</w:t>
            </w:r>
          </w:p>
        </w:tc>
        <w:tc>
          <w:tcPr>
            <w:tcW w:w="0" w:type="auto"/>
            <w:vMerge/>
            <w:tcBorders>
              <w:top w:val="nil"/>
              <w:left w:val="nil"/>
              <w:bottom w:val="nil"/>
              <w:right w:val="nil"/>
            </w:tcBorders>
            <w:vAlign w:val="center"/>
            <w:hideMark/>
          </w:tcPr>
          <w:p w14:paraId="512CACE2"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c>
          <w:tcPr>
            <w:tcW w:w="0" w:type="auto"/>
            <w:vMerge/>
            <w:tcBorders>
              <w:top w:val="nil"/>
              <w:left w:val="nil"/>
              <w:bottom w:val="nil"/>
              <w:right w:val="nil"/>
            </w:tcBorders>
            <w:vAlign w:val="center"/>
            <w:hideMark/>
          </w:tcPr>
          <w:p w14:paraId="39F131EB"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c>
          <w:tcPr>
            <w:tcW w:w="0" w:type="auto"/>
            <w:vMerge/>
            <w:tcBorders>
              <w:top w:val="nil"/>
              <w:left w:val="nil"/>
              <w:bottom w:val="nil"/>
              <w:right w:val="nil"/>
            </w:tcBorders>
            <w:vAlign w:val="center"/>
            <w:hideMark/>
          </w:tcPr>
          <w:p w14:paraId="7514D9B6"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62324704"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2B0E11FC"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 xml:space="preserve">Referral source: </w:t>
            </w:r>
          </w:p>
        </w:tc>
        <w:tc>
          <w:tcPr>
            <w:tcW w:w="0" w:type="auto"/>
            <w:tcBorders>
              <w:top w:val="nil"/>
              <w:left w:val="nil"/>
              <w:bottom w:val="nil"/>
              <w:right w:val="nil"/>
            </w:tcBorders>
            <w:shd w:val="clear" w:color="auto" w:fill="auto"/>
            <w:noWrap/>
            <w:vAlign w:val="bottom"/>
            <w:hideMark/>
          </w:tcPr>
          <w:p w14:paraId="55D4B63B"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C5FCC6D"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3BE0A036" w14:textId="77777777" w:rsidTr="00626D91">
        <w:trPr>
          <w:trHeight w:val="300"/>
        </w:trPr>
        <w:tc>
          <w:tcPr>
            <w:tcW w:w="0" w:type="auto"/>
            <w:tcBorders>
              <w:top w:val="nil"/>
              <w:left w:val="nil"/>
              <w:bottom w:val="nil"/>
              <w:right w:val="nil"/>
            </w:tcBorders>
            <w:shd w:val="clear" w:color="auto" w:fill="auto"/>
            <w:noWrap/>
            <w:vAlign w:val="center"/>
            <w:hideMark/>
          </w:tcPr>
          <w:p w14:paraId="3DDB40FD" w14:textId="4F966217"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Non-criminal justice referral</w:t>
            </w:r>
          </w:p>
        </w:tc>
        <w:tc>
          <w:tcPr>
            <w:tcW w:w="0" w:type="auto"/>
            <w:tcBorders>
              <w:top w:val="nil"/>
              <w:left w:val="nil"/>
              <w:bottom w:val="nil"/>
              <w:right w:val="nil"/>
            </w:tcBorders>
            <w:shd w:val="clear" w:color="auto" w:fill="auto"/>
            <w:noWrap/>
            <w:vAlign w:val="center"/>
            <w:hideMark/>
          </w:tcPr>
          <w:p w14:paraId="1F591044"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36D1B8D3"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26AC525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328A086A" w14:textId="77777777" w:rsidTr="00626D91">
        <w:trPr>
          <w:trHeight w:val="300"/>
        </w:trPr>
        <w:tc>
          <w:tcPr>
            <w:tcW w:w="0" w:type="auto"/>
            <w:tcBorders>
              <w:top w:val="nil"/>
              <w:left w:val="nil"/>
              <w:bottom w:val="nil"/>
              <w:right w:val="nil"/>
            </w:tcBorders>
            <w:shd w:val="clear" w:color="auto" w:fill="auto"/>
            <w:noWrap/>
            <w:vAlign w:val="center"/>
            <w:hideMark/>
          </w:tcPr>
          <w:p w14:paraId="336F1D12" w14:textId="7DDFD062"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Criminal justice referral</w:t>
            </w:r>
          </w:p>
        </w:tc>
        <w:tc>
          <w:tcPr>
            <w:tcW w:w="0" w:type="auto"/>
            <w:tcBorders>
              <w:top w:val="nil"/>
              <w:left w:val="nil"/>
              <w:bottom w:val="nil"/>
              <w:right w:val="nil"/>
            </w:tcBorders>
            <w:shd w:val="clear" w:color="auto" w:fill="auto"/>
            <w:noWrap/>
            <w:vAlign w:val="center"/>
            <w:hideMark/>
          </w:tcPr>
          <w:p w14:paraId="48BB1321"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0.81 (0.76-0.87)**</w:t>
            </w:r>
          </w:p>
        </w:tc>
        <w:tc>
          <w:tcPr>
            <w:tcW w:w="0" w:type="auto"/>
            <w:tcBorders>
              <w:top w:val="nil"/>
              <w:left w:val="nil"/>
              <w:bottom w:val="nil"/>
              <w:right w:val="nil"/>
            </w:tcBorders>
            <w:shd w:val="clear" w:color="auto" w:fill="auto"/>
            <w:noWrap/>
            <w:vAlign w:val="center"/>
            <w:hideMark/>
          </w:tcPr>
          <w:p w14:paraId="4BD9BFCA"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0.88 (0.75-1.02)</w:t>
            </w:r>
          </w:p>
        </w:tc>
        <w:tc>
          <w:tcPr>
            <w:tcW w:w="0" w:type="auto"/>
            <w:tcBorders>
              <w:top w:val="nil"/>
              <w:left w:val="nil"/>
              <w:bottom w:val="nil"/>
              <w:right w:val="nil"/>
            </w:tcBorders>
            <w:shd w:val="clear" w:color="auto" w:fill="auto"/>
            <w:noWrap/>
            <w:vAlign w:val="center"/>
            <w:hideMark/>
          </w:tcPr>
          <w:p w14:paraId="7B9F8A50"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0.81 (0.76-0.88)**</w:t>
            </w:r>
          </w:p>
        </w:tc>
      </w:tr>
      <w:tr w:rsidR="00626D91" w:rsidRPr="00626D91" w14:paraId="0129F9D2"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74718CF7"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lastRenderedPageBreak/>
              <w:t>Days in treatment:</w:t>
            </w:r>
          </w:p>
        </w:tc>
        <w:tc>
          <w:tcPr>
            <w:tcW w:w="0" w:type="auto"/>
            <w:tcBorders>
              <w:top w:val="nil"/>
              <w:left w:val="nil"/>
              <w:bottom w:val="nil"/>
              <w:right w:val="nil"/>
            </w:tcBorders>
            <w:shd w:val="clear" w:color="auto" w:fill="auto"/>
            <w:noWrap/>
            <w:vAlign w:val="bottom"/>
            <w:hideMark/>
          </w:tcPr>
          <w:p w14:paraId="4339E45B"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EFA3E05"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2325F10F" w14:textId="77777777" w:rsidTr="00626D91">
        <w:trPr>
          <w:trHeight w:val="300"/>
        </w:trPr>
        <w:tc>
          <w:tcPr>
            <w:tcW w:w="0" w:type="auto"/>
            <w:tcBorders>
              <w:top w:val="nil"/>
              <w:left w:val="nil"/>
              <w:bottom w:val="nil"/>
              <w:right w:val="nil"/>
            </w:tcBorders>
            <w:shd w:val="clear" w:color="auto" w:fill="auto"/>
            <w:noWrap/>
            <w:vAlign w:val="center"/>
            <w:hideMark/>
          </w:tcPr>
          <w:p w14:paraId="4261A303" w14:textId="50705FBD"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&lt;3m</w:t>
            </w:r>
          </w:p>
        </w:tc>
        <w:tc>
          <w:tcPr>
            <w:tcW w:w="0" w:type="auto"/>
            <w:tcBorders>
              <w:top w:val="nil"/>
              <w:left w:val="nil"/>
              <w:bottom w:val="nil"/>
              <w:right w:val="nil"/>
            </w:tcBorders>
            <w:shd w:val="clear" w:color="auto" w:fill="auto"/>
            <w:noWrap/>
            <w:vAlign w:val="center"/>
            <w:hideMark/>
          </w:tcPr>
          <w:p w14:paraId="36B78CF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3AA8EEF3"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7DE3B1B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4DC56EC3" w14:textId="77777777" w:rsidTr="00626D91">
        <w:trPr>
          <w:trHeight w:val="300"/>
        </w:trPr>
        <w:tc>
          <w:tcPr>
            <w:tcW w:w="0" w:type="auto"/>
            <w:tcBorders>
              <w:top w:val="nil"/>
              <w:left w:val="nil"/>
              <w:bottom w:val="nil"/>
              <w:right w:val="nil"/>
            </w:tcBorders>
            <w:shd w:val="clear" w:color="auto" w:fill="auto"/>
            <w:noWrap/>
            <w:vAlign w:val="center"/>
            <w:hideMark/>
          </w:tcPr>
          <w:p w14:paraId="019D80D4" w14:textId="16846175"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3-6m</w:t>
            </w:r>
          </w:p>
        </w:tc>
        <w:tc>
          <w:tcPr>
            <w:tcW w:w="0" w:type="auto"/>
            <w:tcBorders>
              <w:top w:val="nil"/>
              <w:left w:val="nil"/>
              <w:bottom w:val="nil"/>
              <w:right w:val="nil"/>
            </w:tcBorders>
            <w:shd w:val="clear" w:color="auto" w:fill="auto"/>
            <w:noWrap/>
            <w:vAlign w:val="center"/>
            <w:hideMark/>
          </w:tcPr>
          <w:p w14:paraId="1263F738"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1.42 (1.35-1.49)**</w:t>
            </w:r>
          </w:p>
        </w:tc>
        <w:tc>
          <w:tcPr>
            <w:tcW w:w="0" w:type="auto"/>
            <w:tcBorders>
              <w:top w:val="nil"/>
              <w:left w:val="nil"/>
              <w:bottom w:val="nil"/>
              <w:right w:val="nil"/>
            </w:tcBorders>
            <w:shd w:val="clear" w:color="auto" w:fill="auto"/>
            <w:noWrap/>
            <w:vAlign w:val="center"/>
            <w:hideMark/>
          </w:tcPr>
          <w:p w14:paraId="200FEDA6"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1.35 (1.24-1.46)**</w:t>
            </w:r>
          </w:p>
        </w:tc>
        <w:tc>
          <w:tcPr>
            <w:tcW w:w="0" w:type="auto"/>
            <w:tcBorders>
              <w:top w:val="nil"/>
              <w:left w:val="nil"/>
              <w:bottom w:val="nil"/>
              <w:right w:val="nil"/>
            </w:tcBorders>
            <w:shd w:val="clear" w:color="auto" w:fill="auto"/>
            <w:noWrap/>
            <w:vAlign w:val="center"/>
            <w:hideMark/>
          </w:tcPr>
          <w:p w14:paraId="1E1CB12B"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1.47 (1.38-1.56)**</w:t>
            </w:r>
          </w:p>
        </w:tc>
      </w:tr>
      <w:tr w:rsidR="00626D91" w:rsidRPr="00626D91" w14:paraId="6B8228B6" w14:textId="77777777" w:rsidTr="00626D91">
        <w:trPr>
          <w:trHeight w:val="300"/>
        </w:trPr>
        <w:tc>
          <w:tcPr>
            <w:tcW w:w="0" w:type="auto"/>
            <w:tcBorders>
              <w:top w:val="nil"/>
              <w:left w:val="nil"/>
              <w:bottom w:val="nil"/>
              <w:right w:val="nil"/>
            </w:tcBorders>
            <w:shd w:val="clear" w:color="auto" w:fill="auto"/>
            <w:noWrap/>
            <w:vAlign w:val="center"/>
            <w:hideMark/>
          </w:tcPr>
          <w:p w14:paraId="2A371083" w14:textId="3C0CABE2"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6-12m</w:t>
            </w:r>
          </w:p>
        </w:tc>
        <w:tc>
          <w:tcPr>
            <w:tcW w:w="0" w:type="auto"/>
            <w:tcBorders>
              <w:top w:val="nil"/>
              <w:left w:val="nil"/>
              <w:bottom w:val="nil"/>
              <w:right w:val="nil"/>
            </w:tcBorders>
            <w:shd w:val="clear" w:color="auto" w:fill="auto"/>
            <w:noWrap/>
            <w:vAlign w:val="center"/>
            <w:hideMark/>
          </w:tcPr>
          <w:p w14:paraId="1D812F5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1.45 (1.37-1.53)**</w:t>
            </w:r>
          </w:p>
        </w:tc>
        <w:tc>
          <w:tcPr>
            <w:tcW w:w="0" w:type="auto"/>
            <w:tcBorders>
              <w:top w:val="nil"/>
              <w:left w:val="nil"/>
              <w:bottom w:val="nil"/>
              <w:right w:val="nil"/>
            </w:tcBorders>
            <w:shd w:val="clear" w:color="auto" w:fill="auto"/>
            <w:noWrap/>
            <w:vAlign w:val="center"/>
            <w:hideMark/>
          </w:tcPr>
          <w:p w14:paraId="00019D2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1.30 (1.18-1.42)**</w:t>
            </w:r>
          </w:p>
        </w:tc>
        <w:tc>
          <w:tcPr>
            <w:tcW w:w="0" w:type="auto"/>
            <w:tcBorders>
              <w:top w:val="nil"/>
              <w:left w:val="nil"/>
              <w:bottom w:val="nil"/>
              <w:right w:val="nil"/>
            </w:tcBorders>
            <w:shd w:val="clear" w:color="auto" w:fill="auto"/>
            <w:noWrap/>
            <w:vAlign w:val="center"/>
            <w:hideMark/>
          </w:tcPr>
          <w:p w14:paraId="58F5DF3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1.54 (1.43-1.65)**</w:t>
            </w:r>
          </w:p>
        </w:tc>
      </w:tr>
      <w:tr w:rsidR="00626D91" w:rsidRPr="00626D91" w14:paraId="2AF7C3C7" w14:textId="77777777" w:rsidTr="00626D91">
        <w:trPr>
          <w:trHeight w:val="300"/>
        </w:trPr>
        <w:tc>
          <w:tcPr>
            <w:tcW w:w="0" w:type="auto"/>
            <w:tcBorders>
              <w:top w:val="nil"/>
              <w:left w:val="nil"/>
              <w:bottom w:val="nil"/>
              <w:right w:val="nil"/>
            </w:tcBorders>
            <w:shd w:val="clear" w:color="auto" w:fill="auto"/>
            <w:noWrap/>
            <w:vAlign w:val="center"/>
            <w:hideMark/>
          </w:tcPr>
          <w:p w14:paraId="7B60B7FD" w14:textId="7E7C391E"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12m+</w:t>
            </w:r>
          </w:p>
        </w:tc>
        <w:tc>
          <w:tcPr>
            <w:tcW w:w="0" w:type="auto"/>
            <w:tcBorders>
              <w:top w:val="nil"/>
              <w:left w:val="nil"/>
              <w:bottom w:val="nil"/>
              <w:right w:val="nil"/>
            </w:tcBorders>
            <w:shd w:val="clear" w:color="auto" w:fill="auto"/>
            <w:noWrap/>
            <w:vAlign w:val="center"/>
            <w:hideMark/>
          </w:tcPr>
          <w:p w14:paraId="487F5813"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0.66 (0.62-0.71)**</w:t>
            </w:r>
          </w:p>
        </w:tc>
        <w:tc>
          <w:tcPr>
            <w:tcW w:w="0" w:type="auto"/>
            <w:tcBorders>
              <w:top w:val="nil"/>
              <w:left w:val="nil"/>
              <w:bottom w:val="nil"/>
              <w:right w:val="nil"/>
            </w:tcBorders>
            <w:shd w:val="clear" w:color="auto" w:fill="auto"/>
            <w:noWrap/>
            <w:vAlign w:val="center"/>
            <w:hideMark/>
          </w:tcPr>
          <w:p w14:paraId="5862B1C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0.57 (0.51-0.64)**</w:t>
            </w:r>
          </w:p>
        </w:tc>
        <w:tc>
          <w:tcPr>
            <w:tcW w:w="0" w:type="auto"/>
            <w:tcBorders>
              <w:top w:val="nil"/>
              <w:left w:val="nil"/>
              <w:bottom w:val="nil"/>
              <w:right w:val="nil"/>
            </w:tcBorders>
            <w:shd w:val="clear" w:color="auto" w:fill="auto"/>
            <w:noWrap/>
            <w:vAlign w:val="center"/>
            <w:hideMark/>
          </w:tcPr>
          <w:p w14:paraId="5D4B408A"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0.71 (0.65-0.77)**</w:t>
            </w:r>
          </w:p>
        </w:tc>
      </w:tr>
      <w:tr w:rsidR="00626D91" w:rsidRPr="00626D91" w14:paraId="46878344"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7E1E745E"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Previous treatment:</w:t>
            </w:r>
          </w:p>
        </w:tc>
        <w:tc>
          <w:tcPr>
            <w:tcW w:w="0" w:type="auto"/>
            <w:tcBorders>
              <w:top w:val="nil"/>
              <w:left w:val="nil"/>
              <w:bottom w:val="nil"/>
              <w:right w:val="nil"/>
            </w:tcBorders>
            <w:shd w:val="clear" w:color="auto" w:fill="auto"/>
            <w:noWrap/>
            <w:vAlign w:val="bottom"/>
            <w:hideMark/>
          </w:tcPr>
          <w:p w14:paraId="71633A7F"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6C82030"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36B019B2" w14:textId="77777777" w:rsidTr="00626D91">
        <w:trPr>
          <w:trHeight w:val="300"/>
        </w:trPr>
        <w:tc>
          <w:tcPr>
            <w:tcW w:w="0" w:type="auto"/>
            <w:tcBorders>
              <w:top w:val="nil"/>
              <w:left w:val="nil"/>
              <w:bottom w:val="nil"/>
              <w:right w:val="nil"/>
            </w:tcBorders>
            <w:shd w:val="clear" w:color="auto" w:fill="auto"/>
            <w:noWrap/>
            <w:vAlign w:val="center"/>
            <w:hideMark/>
          </w:tcPr>
          <w:p w14:paraId="57C39986" w14:textId="1525E3BB" w:rsidR="00626D91" w:rsidRPr="00626D91" w:rsidRDefault="00930712" w:rsidP="00930712">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05E5910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52F8BFB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2BDF759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w:t>
            </w:r>
          </w:p>
        </w:tc>
      </w:tr>
      <w:tr w:rsidR="00626D91" w:rsidRPr="00626D91" w14:paraId="3FEC268D" w14:textId="77777777" w:rsidTr="00626D91">
        <w:trPr>
          <w:trHeight w:val="300"/>
        </w:trPr>
        <w:tc>
          <w:tcPr>
            <w:tcW w:w="0" w:type="auto"/>
            <w:tcBorders>
              <w:top w:val="nil"/>
              <w:left w:val="nil"/>
              <w:bottom w:val="nil"/>
              <w:right w:val="nil"/>
            </w:tcBorders>
            <w:shd w:val="clear" w:color="auto" w:fill="auto"/>
            <w:noWrap/>
            <w:vAlign w:val="center"/>
            <w:hideMark/>
          </w:tcPr>
          <w:p w14:paraId="1CD69FB4" w14:textId="76352C7C" w:rsidR="00626D91" w:rsidRPr="00626D91" w:rsidRDefault="00930712" w:rsidP="00930712">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70B96E4A"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0.47 (0.44-0.49)**</w:t>
            </w:r>
          </w:p>
        </w:tc>
        <w:tc>
          <w:tcPr>
            <w:tcW w:w="0" w:type="auto"/>
            <w:tcBorders>
              <w:top w:val="nil"/>
              <w:left w:val="nil"/>
              <w:bottom w:val="nil"/>
              <w:right w:val="nil"/>
            </w:tcBorders>
            <w:shd w:val="clear" w:color="auto" w:fill="auto"/>
            <w:noWrap/>
            <w:vAlign w:val="center"/>
            <w:hideMark/>
          </w:tcPr>
          <w:p w14:paraId="14C90C0A"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0.48 (0.43-0.52)**</w:t>
            </w:r>
          </w:p>
        </w:tc>
        <w:tc>
          <w:tcPr>
            <w:tcW w:w="0" w:type="auto"/>
            <w:tcBorders>
              <w:top w:val="nil"/>
              <w:left w:val="nil"/>
              <w:bottom w:val="nil"/>
              <w:right w:val="nil"/>
            </w:tcBorders>
            <w:shd w:val="clear" w:color="auto" w:fill="auto"/>
            <w:noWrap/>
            <w:vAlign w:val="center"/>
            <w:hideMark/>
          </w:tcPr>
          <w:p w14:paraId="7FDF988C"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0.46 (0.43-0.49)**</w:t>
            </w:r>
          </w:p>
        </w:tc>
      </w:tr>
      <w:tr w:rsidR="00626D91" w:rsidRPr="00626D91" w14:paraId="0AB15572" w14:textId="77777777" w:rsidTr="00626D91">
        <w:trPr>
          <w:trHeight w:val="300"/>
        </w:trPr>
        <w:tc>
          <w:tcPr>
            <w:tcW w:w="0" w:type="auto"/>
            <w:tcBorders>
              <w:top w:val="nil"/>
              <w:left w:val="nil"/>
              <w:bottom w:val="nil"/>
              <w:right w:val="nil"/>
            </w:tcBorders>
            <w:shd w:val="clear" w:color="auto" w:fill="auto"/>
            <w:noWrap/>
            <w:vAlign w:val="center"/>
            <w:hideMark/>
          </w:tcPr>
          <w:p w14:paraId="618FB414" w14:textId="089330E6"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2+</w:t>
            </w:r>
          </w:p>
        </w:tc>
        <w:tc>
          <w:tcPr>
            <w:tcW w:w="0" w:type="auto"/>
            <w:tcBorders>
              <w:top w:val="nil"/>
              <w:left w:val="nil"/>
              <w:bottom w:val="nil"/>
              <w:right w:val="nil"/>
            </w:tcBorders>
            <w:shd w:val="clear" w:color="auto" w:fill="auto"/>
            <w:noWrap/>
            <w:vAlign w:val="center"/>
            <w:hideMark/>
          </w:tcPr>
          <w:p w14:paraId="60FC60B2"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0.25 (0.22-0.28)**</w:t>
            </w:r>
          </w:p>
        </w:tc>
        <w:tc>
          <w:tcPr>
            <w:tcW w:w="0" w:type="auto"/>
            <w:tcBorders>
              <w:top w:val="nil"/>
              <w:left w:val="nil"/>
              <w:bottom w:val="nil"/>
              <w:right w:val="nil"/>
            </w:tcBorders>
            <w:shd w:val="clear" w:color="auto" w:fill="auto"/>
            <w:noWrap/>
            <w:vAlign w:val="center"/>
            <w:hideMark/>
          </w:tcPr>
          <w:p w14:paraId="4D16690D"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0.26 (0.20-0.33)**</w:t>
            </w:r>
          </w:p>
        </w:tc>
        <w:tc>
          <w:tcPr>
            <w:tcW w:w="0" w:type="auto"/>
            <w:tcBorders>
              <w:top w:val="nil"/>
              <w:left w:val="nil"/>
              <w:bottom w:val="nil"/>
              <w:right w:val="nil"/>
            </w:tcBorders>
            <w:shd w:val="clear" w:color="auto" w:fill="auto"/>
            <w:noWrap/>
            <w:vAlign w:val="center"/>
            <w:hideMark/>
          </w:tcPr>
          <w:p w14:paraId="6FC8F023"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0.24 (0.21-0.28)**</w:t>
            </w:r>
          </w:p>
        </w:tc>
      </w:tr>
      <w:tr w:rsidR="00626D91" w:rsidRPr="00626D91" w14:paraId="4F5EB04C"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5027AB17" w14:textId="77777777" w:rsidR="00626D91" w:rsidRPr="00626D91" w:rsidRDefault="00626D91" w:rsidP="00626D91">
            <w:pPr>
              <w:contextualSpacing w:val="0"/>
              <w:rPr>
                <w:rFonts w:eastAsia="Times New Roman" w:cs="Arial"/>
                <w:i/>
                <w:iCs/>
                <w:color w:val="000000"/>
                <w:sz w:val="20"/>
                <w:szCs w:val="20"/>
                <w:lang w:eastAsia="en-GB"/>
              </w:rPr>
            </w:pPr>
            <w:r w:rsidRPr="00626D91">
              <w:rPr>
                <w:rFonts w:eastAsia="Times New Roman" w:cs="Arial"/>
                <w:i/>
                <w:iCs/>
                <w:color w:val="000000"/>
                <w:sz w:val="20"/>
                <w:szCs w:val="20"/>
                <w:lang w:eastAsia="en-GB"/>
              </w:rPr>
              <w:t>Interventions</w:t>
            </w:r>
          </w:p>
        </w:tc>
        <w:tc>
          <w:tcPr>
            <w:tcW w:w="0" w:type="auto"/>
            <w:tcBorders>
              <w:top w:val="nil"/>
              <w:left w:val="nil"/>
              <w:bottom w:val="nil"/>
              <w:right w:val="nil"/>
            </w:tcBorders>
            <w:shd w:val="clear" w:color="auto" w:fill="auto"/>
            <w:noWrap/>
            <w:vAlign w:val="bottom"/>
            <w:hideMark/>
          </w:tcPr>
          <w:p w14:paraId="1CDB5F6F" w14:textId="77777777" w:rsidR="00626D91" w:rsidRPr="00626D91" w:rsidRDefault="00626D91" w:rsidP="00626D91">
            <w:pPr>
              <w:contextualSpacing w:val="0"/>
              <w:rPr>
                <w:rFonts w:eastAsia="Times New Roman"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6E8E324"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5CF42D5C" w14:textId="77777777" w:rsidTr="00626D91">
        <w:trPr>
          <w:trHeight w:val="300"/>
        </w:trPr>
        <w:tc>
          <w:tcPr>
            <w:tcW w:w="0" w:type="auto"/>
            <w:tcBorders>
              <w:top w:val="nil"/>
              <w:left w:val="nil"/>
              <w:bottom w:val="nil"/>
              <w:right w:val="nil"/>
            </w:tcBorders>
            <w:shd w:val="clear" w:color="auto" w:fill="auto"/>
            <w:noWrap/>
            <w:vAlign w:val="center"/>
            <w:hideMark/>
          </w:tcPr>
          <w:p w14:paraId="7E9E33BD" w14:textId="348A3170"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Outpatient pharmacological</w:t>
            </w:r>
          </w:p>
        </w:tc>
        <w:tc>
          <w:tcPr>
            <w:tcW w:w="0" w:type="auto"/>
            <w:tcBorders>
              <w:top w:val="nil"/>
              <w:left w:val="nil"/>
              <w:bottom w:val="nil"/>
              <w:right w:val="nil"/>
            </w:tcBorders>
            <w:shd w:val="clear" w:color="auto" w:fill="auto"/>
            <w:noWrap/>
            <w:vAlign w:val="center"/>
            <w:hideMark/>
          </w:tcPr>
          <w:p w14:paraId="1633DB9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0.77 (0.72-0.82)**</w:t>
            </w:r>
          </w:p>
        </w:tc>
        <w:tc>
          <w:tcPr>
            <w:tcW w:w="0" w:type="auto"/>
            <w:tcBorders>
              <w:top w:val="nil"/>
              <w:left w:val="nil"/>
              <w:bottom w:val="nil"/>
              <w:right w:val="nil"/>
            </w:tcBorders>
            <w:shd w:val="clear" w:color="auto" w:fill="auto"/>
            <w:noWrap/>
            <w:vAlign w:val="center"/>
            <w:hideMark/>
          </w:tcPr>
          <w:p w14:paraId="5E7BE221"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0.80 (0.72-0.89)**</w:t>
            </w:r>
          </w:p>
        </w:tc>
        <w:tc>
          <w:tcPr>
            <w:tcW w:w="0" w:type="auto"/>
            <w:tcBorders>
              <w:top w:val="nil"/>
              <w:left w:val="nil"/>
              <w:bottom w:val="nil"/>
              <w:right w:val="nil"/>
            </w:tcBorders>
            <w:shd w:val="clear" w:color="auto" w:fill="auto"/>
            <w:noWrap/>
            <w:vAlign w:val="center"/>
            <w:hideMark/>
          </w:tcPr>
          <w:p w14:paraId="519F079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0.76 (0.70-0.82)**</w:t>
            </w:r>
          </w:p>
        </w:tc>
      </w:tr>
      <w:tr w:rsidR="00626D91" w:rsidRPr="00626D91" w14:paraId="6BC63F9B" w14:textId="77777777" w:rsidTr="00626D91">
        <w:trPr>
          <w:trHeight w:val="300"/>
        </w:trPr>
        <w:tc>
          <w:tcPr>
            <w:tcW w:w="0" w:type="auto"/>
            <w:tcBorders>
              <w:top w:val="nil"/>
              <w:left w:val="nil"/>
              <w:bottom w:val="nil"/>
              <w:right w:val="nil"/>
            </w:tcBorders>
            <w:shd w:val="clear" w:color="auto" w:fill="auto"/>
            <w:noWrap/>
            <w:vAlign w:val="center"/>
            <w:hideMark/>
          </w:tcPr>
          <w:p w14:paraId="1E7D1105" w14:textId="2E7C384A"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Outpatient psychosocial</w:t>
            </w:r>
          </w:p>
        </w:tc>
        <w:tc>
          <w:tcPr>
            <w:tcW w:w="0" w:type="auto"/>
            <w:tcBorders>
              <w:top w:val="nil"/>
              <w:left w:val="nil"/>
              <w:bottom w:val="nil"/>
              <w:right w:val="nil"/>
            </w:tcBorders>
            <w:shd w:val="clear" w:color="auto" w:fill="auto"/>
            <w:noWrap/>
            <w:vAlign w:val="center"/>
            <w:hideMark/>
          </w:tcPr>
          <w:p w14:paraId="3F02A430"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1.23 (1.08-1.41)**</w:t>
            </w:r>
          </w:p>
        </w:tc>
        <w:tc>
          <w:tcPr>
            <w:tcW w:w="0" w:type="auto"/>
            <w:tcBorders>
              <w:top w:val="nil"/>
              <w:left w:val="nil"/>
              <w:bottom w:val="nil"/>
              <w:right w:val="nil"/>
            </w:tcBorders>
            <w:shd w:val="clear" w:color="auto" w:fill="auto"/>
            <w:noWrap/>
            <w:vAlign w:val="center"/>
            <w:hideMark/>
          </w:tcPr>
          <w:p w14:paraId="6361A831"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1.12 (0.89-1.41)</w:t>
            </w:r>
          </w:p>
        </w:tc>
        <w:tc>
          <w:tcPr>
            <w:tcW w:w="0" w:type="auto"/>
            <w:tcBorders>
              <w:top w:val="nil"/>
              <w:left w:val="nil"/>
              <w:bottom w:val="nil"/>
              <w:right w:val="nil"/>
            </w:tcBorders>
            <w:shd w:val="clear" w:color="auto" w:fill="auto"/>
            <w:noWrap/>
            <w:vAlign w:val="center"/>
            <w:hideMark/>
          </w:tcPr>
          <w:p w14:paraId="347E4913"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1.30 (1.11-1.52)**</w:t>
            </w:r>
          </w:p>
        </w:tc>
      </w:tr>
      <w:tr w:rsidR="00626D91" w:rsidRPr="00626D91" w14:paraId="0B2ED949" w14:textId="77777777" w:rsidTr="00626D91">
        <w:trPr>
          <w:trHeight w:val="300"/>
        </w:trPr>
        <w:tc>
          <w:tcPr>
            <w:tcW w:w="0" w:type="auto"/>
            <w:tcBorders>
              <w:top w:val="nil"/>
              <w:left w:val="nil"/>
              <w:bottom w:val="nil"/>
              <w:right w:val="nil"/>
            </w:tcBorders>
            <w:shd w:val="clear" w:color="auto" w:fill="auto"/>
            <w:noWrap/>
            <w:vAlign w:val="center"/>
            <w:hideMark/>
          </w:tcPr>
          <w:p w14:paraId="2F83181E" w14:textId="1C577095"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Inpatient detoxification</w:t>
            </w:r>
          </w:p>
        </w:tc>
        <w:tc>
          <w:tcPr>
            <w:tcW w:w="0" w:type="auto"/>
            <w:tcBorders>
              <w:top w:val="nil"/>
              <w:left w:val="nil"/>
              <w:bottom w:val="nil"/>
              <w:right w:val="nil"/>
            </w:tcBorders>
            <w:shd w:val="clear" w:color="auto" w:fill="auto"/>
            <w:noWrap/>
            <w:vAlign w:val="center"/>
            <w:hideMark/>
          </w:tcPr>
          <w:p w14:paraId="534105A6"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1.13 (1.01-1.26)*</w:t>
            </w:r>
          </w:p>
        </w:tc>
        <w:tc>
          <w:tcPr>
            <w:tcW w:w="0" w:type="auto"/>
            <w:tcBorders>
              <w:top w:val="nil"/>
              <w:left w:val="nil"/>
              <w:bottom w:val="nil"/>
              <w:right w:val="nil"/>
            </w:tcBorders>
            <w:shd w:val="clear" w:color="auto" w:fill="auto"/>
            <w:noWrap/>
            <w:vAlign w:val="center"/>
            <w:hideMark/>
          </w:tcPr>
          <w:p w14:paraId="0082877A"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1.14 (0.93-1.40)</w:t>
            </w:r>
          </w:p>
        </w:tc>
        <w:tc>
          <w:tcPr>
            <w:tcW w:w="0" w:type="auto"/>
            <w:tcBorders>
              <w:top w:val="nil"/>
              <w:left w:val="nil"/>
              <w:bottom w:val="nil"/>
              <w:right w:val="nil"/>
            </w:tcBorders>
            <w:shd w:val="clear" w:color="auto" w:fill="auto"/>
            <w:noWrap/>
            <w:vAlign w:val="center"/>
            <w:hideMark/>
          </w:tcPr>
          <w:p w14:paraId="2A940274"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1.13 (0.99-1.29)</w:t>
            </w:r>
          </w:p>
        </w:tc>
      </w:tr>
      <w:tr w:rsidR="00626D91" w:rsidRPr="00626D91" w14:paraId="48887C49" w14:textId="77777777" w:rsidTr="00626D91">
        <w:trPr>
          <w:trHeight w:val="300"/>
        </w:trPr>
        <w:tc>
          <w:tcPr>
            <w:tcW w:w="0" w:type="auto"/>
            <w:tcBorders>
              <w:top w:val="nil"/>
              <w:left w:val="nil"/>
              <w:bottom w:val="nil"/>
              <w:right w:val="nil"/>
            </w:tcBorders>
            <w:shd w:val="clear" w:color="auto" w:fill="auto"/>
            <w:noWrap/>
            <w:vAlign w:val="center"/>
            <w:hideMark/>
          </w:tcPr>
          <w:p w14:paraId="1F528CE4" w14:textId="07868F43"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Residential rehabilitation</w:t>
            </w:r>
          </w:p>
        </w:tc>
        <w:tc>
          <w:tcPr>
            <w:tcW w:w="0" w:type="auto"/>
            <w:tcBorders>
              <w:top w:val="nil"/>
              <w:left w:val="nil"/>
              <w:bottom w:val="nil"/>
              <w:right w:val="nil"/>
            </w:tcBorders>
            <w:shd w:val="clear" w:color="auto" w:fill="auto"/>
            <w:noWrap/>
            <w:vAlign w:val="center"/>
            <w:hideMark/>
          </w:tcPr>
          <w:p w14:paraId="3CF3CDF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2.95 (2.57-3.39)**</w:t>
            </w:r>
          </w:p>
        </w:tc>
        <w:tc>
          <w:tcPr>
            <w:tcW w:w="0" w:type="auto"/>
            <w:tcBorders>
              <w:top w:val="nil"/>
              <w:left w:val="nil"/>
              <w:bottom w:val="nil"/>
              <w:right w:val="nil"/>
            </w:tcBorders>
            <w:shd w:val="clear" w:color="auto" w:fill="auto"/>
            <w:noWrap/>
            <w:vAlign w:val="center"/>
            <w:hideMark/>
          </w:tcPr>
          <w:p w14:paraId="7031A20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2.05 (1.59-2.65)**</w:t>
            </w:r>
          </w:p>
        </w:tc>
        <w:tc>
          <w:tcPr>
            <w:tcW w:w="0" w:type="auto"/>
            <w:tcBorders>
              <w:top w:val="nil"/>
              <w:left w:val="nil"/>
              <w:bottom w:val="nil"/>
              <w:right w:val="nil"/>
            </w:tcBorders>
            <w:shd w:val="clear" w:color="auto" w:fill="auto"/>
            <w:noWrap/>
            <w:vAlign w:val="center"/>
            <w:hideMark/>
          </w:tcPr>
          <w:p w14:paraId="3B22FE74"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3.46 (2.94-4.09)**</w:t>
            </w:r>
          </w:p>
        </w:tc>
      </w:tr>
      <w:tr w:rsidR="00626D91" w:rsidRPr="00626D91" w14:paraId="11327993"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3714D5AF" w14:textId="42ECDCA7"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Recovery support:</w:t>
            </w:r>
          </w:p>
        </w:tc>
        <w:tc>
          <w:tcPr>
            <w:tcW w:w="0" w:type="auto"/>
            <w:tcBorders>
              <w:top w:val="nil"/>
              <w:left w:val="nil"/>
              <w:bottom w:val="nil"/>
              <w:right w:val="nil"/>
            </w:tcBorders>
            <w:shd w:val="clear" w:color="auto" w:fill="auto"/>
            <w:noWrap/>
            <w:vAlign w:val="bottom"/>
            <w:hideMark/>
          </w:tcPr>
          <w:p w14:paraId="35567A42"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19D0E17"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75BB201A" w14:textId="77777777" w:rsidTr="00626D91">
        <w:trPr>
          <w:trHeight w:val="300"/>
        </w:trPr>
        <w:tc>
          <w:tcPr>
            <w:tcW w:w="0" w:type="auto"/>
            <w:tcBorders>
              <w:top w:val="nil"/>
              <w:left w:val="nil"/>
              <w:bottom w:val="nil"/>
              <w:right w:val="nil"/>
            </w:tcBorders>
            <w:shd w:val="clear" w:color="auto" w:fill="auto"/>
            <w:noWrap/>
            <w:vAlign w:val="center"/>
            <w:hideMark/>
          </w:tcPr>
          <w:p w14:paraId="586EC17C" w14:textId="22B3097E"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 xml:space="preserve">  </w:t>
            </w:r>
            <w:r w:rsidR="00930712">
              <w:rPr>
                <w:rFonts w:eastAsia="Times New Roman" w:cs="Arial"/>
                <w:color w:val="000000"/>
                <w:sz w:val="20"/>
                <w:szCs w:val="20"/>
                <w:lang w:eastAsia="en-GB"/>
              </w:rPr>
              <w:t xml:space="preserve">  </w:t>
            </w:r>
            <w:r w:rsidRPr="00626D91">
              <w:rPr>
                <w:rFonts w:eastAsia="Times New Roman" w:cs="Arial"/>
                <w:color w:val="000000"/>
                <w:sz w:val="20"/>
                <w:szCs w:val="20"/>
                <w:lang w:eastAsia="en-GB"/>
              </w:rPr>
              <w:t>Parenting/ family support</w:t>
            </w:r>
          </w:p>
        </w:tc>
        <w:tc>
          <w:tcPr>
            <w:tcW w:w="0" w:type="auto"/>
            <w:tcBorders>
              <w:top w:val="nil"/>
              <w:left w:val="nil"/>
              <w:bottom w:val="nil"/>
              <w:right w:val="nil"/>
            </w:tcBorders>
            <w:shd w:val="clear" w:color="auto" w:fill="auto"/>
            <w:noWrap/>
            <w:vAlign w:val="center"/>
            <w:hideMark/>
          </w:tcPr>
          <w:p w14:paraId="2C019E0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1.54 (1.41-1.67)**</w:t>
            </w:r>
          </w:p>
        </w:tc>
        <w:tc>
          <w:tcPr>
            <w:tcW w:w="0" w:type="auto"/>
            <w:tcBorders>
              <w:top w:val="nil"/>
              <w:left w:val="nil"/>
              <w:bottom w:val="nil"/>
              <w:right w:val="nil"/>
            </w:tcBorders>
            <w:shd w:val="clear" w:color="auto" w:fill="auto"/>
            <w:noWrap/>
            <w:vAlign w:val="center"/>
            <w:hideMark/>
          </w:tcPr>
          <w:p w14:paraId="5517F5D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1.58 (1.39-1.79)**</w:t>
            </w:r>
          </w:p>
        </w:tc>
        <w:tc>
          <w:tcPr>
            <w:tcW w:w="0" w:type="auto"/>
            <w:tcBorders>
              <w:top w:val="nil"/>
              <w:left w:val="nil"/>
              <w:bottom w:val="nil"/>
              <w:right w:val="nil"/>
            </w:tcBorders>
            <w:shd w:val="clear" w:color="auto" w:fill="auto"/>
            <w:noWrap/>
            <w:vAlign w:val="center"/>
            <w:hideMark/>
          </w:tcPr>
          <w:p w14:paraId="133F12A6"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1.48 (1.33-1.66)**</w:t>
            </w:r>
          </w:p>
        </w:tc>
      </w:tr>
      <w:tr w:rsidR="00626D91" w:rsidRPr="00626D91" w14:paraId="1313D177" w14:textId="77777777" w:rsidTr="00626D91">
        <w:trPr>
          <w:trHeight w:val="300"/>
        </w:trPr>
        <w:tc>
          <w:tcPr>
            <w:tcW w:w="0" w:type="auto"/>
            <w:tcBorders>
              <w:top w:val="nil"/>
              <w:left w:val="nil"/>
              <w:bottom w:val="nil"/>
              <w:right w:val="nil"/>
            </w:tcBorders>
            <w:shd w:val="clear" w:color="auto" w:fill="auto"/>
            <w:noWrap/>
            <w:vAlign w:val="center"/>
            <w:hideMark/>
          </w:tcPr>
          <w:p w14:paraId="26CB6F52" w14:textId="493AD70B"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 xml:space="preserve">  </w:t>
            </w:r>
            <w:r w:rsidR="00930712">
              <w:rPr>
                <w:rFonts w:eastAsia="Times New Roman" w:cs="Arial"/>
                <w:color w:val="000000"/>
                <w:sz w:val="20"/>
                <w:szCs w:val="20"/>
                <w:lang w:eastAsia="en-GB"/>
              </w:rPr>
              <w:t xml:space="preserve">  </w:t>
            </w:r>
            <w:r w:rsidRPr="00626D91">
              <w:rPr>
                <w:rFonts w:eastAsia="Times New Roman" w:cs="Arial"/>
                <w:color w:val="000000"/>
                <w:sz w:val="20"/>
                <w:szCs w:val="20"/>
                <w:lang w:eastAsia="en-GB"/>
              </w:rPr>
              <w:t>Housing/ employment</w:t>
            </w:r>
          </w:p>
        </w:tc>
        <w:tc>
          <w:tcPr>
            <w:tcW w:w="0" w:type="auto"/>
            <w:tcBorders>
              <w:top w:val="nil"/>
              <w:left w:val="nil"/>
              <w:bottom w:val="nil"/>
              <w:right w:val="nil"/>
            </w:tcBorders>
            <w:shd w:val="clear" w:color="auto" w:fill="auto"/>
            <w:noWrap/>
            <w:vAlign w:val="center"/>
            <w:hideMark/>
          </w:tcPr>
          <w:p w14:paraId="657A699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1.37 (1.26-1.49)**</w:t>
            </w:r>
          </w:p>
        </w:tc>
        <w:tc>
          <w:tcPr>
            <w:tcW w:w="0" w:type="auto"/>
            <w:tcBorders>
              <w:top w:val="nil"/>
              <w:left w:val="nil"/>
              <w:bottom w:val="nil"/>
              <w:right w:val="nil"/>
            </w:tcBorders>
            <w:shd w:val="clear" w:color="auto" w:fill="auto"/>
            <w:noWrap/>
            <w:vAlign w:val="center"/>
            <w:hideMark/>
          </w:tcPr>
          <w:p w14:paraId="2431A6AA"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1.44 (1.22-1.70)**</w:t>
            </w:r>
          </w:p>
        </w:tc>
        <w:tc>
          <w:tcPr>
            <w:tcW w:w="0" w:type="auto"/>
            <w:tcBorders>
              <w:top w:val="nil"/>
              <w:left w:val="nil"/>
              <w:bottom w:val="nil"/>
              <w:right w:val="nil"/>
            </w:tcBorders>
            <w:shd w:val="clear" w:color="auto" w:fill="auto"/>
            <w:noWrap/>
            <w:vAlign w:val="center"/>
            <w:hideMark/>
          </w:tcPr>
          <w:p w14:paraId="1FD39550"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1.36 (1.23-1.50)**</w:t>
            </w:r>
          </w:p>
        </w:tc>
      </w:tr>
      <w:tr w:rsidR="00626D91" w:rsidRPr="00626D91" w14:paraId="41FC06DB" w14:textId="77777777" w:rsidTr="00626D91">
        <w:trPr>
          <w:trHeight w:val="300"/>
        </w:trPr>
        <w:tc>
          <w:tcPr>
            <w:tcW w:w="0" w:type="auto"/>
            <w:tcBorders>
              <w:top w:val="nil"/>
              <w:left w:val="nil"/>
              <w:bottom w:val="nil"/>
              <w:right w:val="nil"/>
            </w:tcBorders>
            <w:shd w:val="clear" w:color="auto" w:fill="auto"/>
            <w:noWrap/>
            <w:vAlign w:val="center"/>
            <w:hideMark/>
          </w:tcPr>
          <w:p w14:paraId="7A578CEE" w14:textId="6DDFE4EE"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 xml:space="preserve">  </w:t>
            </w:r>
            <w:r w:rsidR="00930712">
              <w:rPr>
                <w:rFonts w:eastAsia="Times New Roman" w:cs="Arial"/>
                <w:color w:val="000000"/>
                <w:sz w:val="20"/>
                <w:szCs w:val="20"/>
                <w:lang w:eastAsia="en-GB"/>
              </w:rPr>
              <w:t xml:space="preserve">  </w:t>
            </w:r>
            <w:r w:rsidRPr="00626D91">
              <w:rPr>
                <w:rFonts w:eastAsia="Times New Roman" w:cs="Arial"/>
                <w:color w:val="000000"/>
                <w:sz w:val="20"/>
                <w:szCs w:val="20"/>
                <w:lang w:eastAsia="en-GB"/>
              </w:rPr>
              <w:t>Domestic abuse</w:t>
            </w:r>
          </w:p>
        </w:tc>
        <w:tc>
          <w:tcPr>
            <w:tcW w:w="0" w:type="auto"/>
            <w:tcBorders>
              <w:top w:val="nil"/>
              <w:left w:val="nil"/>
              <w:bottom w:val="nil"/>
              <w:right w:val="nil"/>
            </w:tcBorders>
            <w:shd w:val="clear" w:color="auto" w:fill="auto"/>
            <w:noWrap/>
            <w:vAlign w:val="center"/>
            <w:hideMark/>
          </w:tcPr>
          <w:p w14:paraId="0BC68A5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0.98 (0.81-1.19)</w:t>
            </w:r>
          </w:p>
        </w:tc>
        <w:tc>
          <w:tcPr>
            <w:tcW w:w="0" w:type="auto"/>
            <w:tcBorders>
              <w:top w:val="nil"/>
              <w:left w:val="nil"/>
              <w:bottom w:val="nil"/>
              <w:right w:val="nil"/>
            </w:tcBorders>
            <w:shd w:val="clear" w:color="auto" w:fill="auto"/>
            <w:noWrap/>
            <w:vAlign w:val="center"/>
            <w:hideMark/>
          </w:tcPr>
          <w:p w14:paraId="5AB5D317"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1.06 (0.76-1.46)</w:t>
            </w:r>
          </w:p>
        </w:tc>
        <w:tc>
          <w:tcPr>
            <w:tcW w:w="0" w:type="auto"/>
            <w:tcBorders>
              <w:top w:val="nil"/>
              <w:left w:val="nil"/>
              <w:bottom w:val="nil"/>
              <w:right w:val="nil"/>
            </w:tcBorders>
            <w:shd w:val="clear" w:color="auto" w:fill="auto"/>
            <w:noWrap/>
            <w:vAlign w:val="center"/>
            <w:hideMark/>
          </w:tcPr>
          <w:p w14:paraId="0C700EFF"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0.96 (0.75-1.21)</w:t>
            </w:r>
          </w:p>
        </w:tc>
      </w:tr>
      <w:tr w:rsidR="00626D91" w:rsidRPr="00626D91" w14:paraId="1CEB167E" w14:textId="77777777" w:rsidTr="00626D91">
        <w:trPr>
          <w:trHeight w:val="300"/>
        </w:trPr>
        <w:tc>
          <w:tcPr>
            <w:tcW w:w="0" w:type="auto"/>
            <w:gridSpan w:val="3"/>
            <w:tcBorders>
              <w:top w:val="nil"/>
              <w:left w:val="nil"/>
              <w:bottom w:val="nil"/>
              <w:right w:val="nil"/>
            </w:tcBorders>
            <w:shd w:val="clear" w:color="auto" w:fill="auto"/>
            <w:noWrap/>
            <w:vAlign w:val="center"/>
            <w:hideMark/>
          </w:tcPr>
          <w:p w14:paraId="7C9FDE90" w14:textId="767C22A4" w:rsidR="00626D91" w:rsidRPr="00626D91" w:rsidRDefault="00930712" w:rsidP="00626D91">
            <w:pPr>
              <w:contextualSpacing w:val="0"/>
              <w:rPr>
                <w:rFonts w:eastAsia="Times New Roman" w:cs="Arial"/>
                <w:color w:val="000000"/>
                <w:sz w:val="20"/>
                <w:szCs w:val="20"/>
                <w:lang w:eastAsia="en-GB"/>
              </w:rPr>
            </w:pPr>
            <w:r>
              <w:rPr>
                <w:rFonts w:eastAsia="Times New Roman" w:cs="Arial"/>
                <w:color w:val="000000"/>
                <w:sz w:val="20"/>
                <w:szCs w:val="20"/>
                <w:lang w:eastAsia="en-GB"/>
              </w:rPr>
              <w:t xml:space="preserve">  </w:t>
            </w:r>
            <w:r w:rsidR="00626D91" w:rsidRPr="00626D91">
              <w:rPr>
                <w:rFonts w:eastAsia="Times New Roman" w:cs="Arial"/>
                <w:color w:val="000000"/>
                <w:sz w:val="20"/>
                <w:szCs w:val="20"/>
                <w:lang w:eastAsia="en-GB"/>
              </w:rPr>
              <w:t>Child welfare support:</w:t>
            </w:r>
          </w:p>
        </w:tc>
        <w:tc>
          <w:tcPr>
            <w:tcW w:w="0" w:type="auto"/>
            <w:tcBorders>
              <w:top w:val="nil"/>
              <w:left w:val="nil"/>
              <w:bottom w:val="nil"/>
              <w:right w:val="nil"/>
            </w:tcBorders>
            <w:shd w:val="clear" w:color="auto" w:fill="auto"/>
            <w:noWrap/>
            <w:vAlign w:val="bottom"/>
            <w:hideMark/>
          </w:tcPr>
          <w:p w14:paraId="1C2A46CE" w14:textId="77777777" w:rsidR="00626D91" w:rsidRPr="00626D91" w:rsidRDefault="00626D91" w:rsidP="00626D91">
            <w:pPr>
              <w:contextualSpacing w:val="0"/>
              <w:rPr>
                <w:rFonts w:eastAsia="Times New Roman" w:cs="Arial"/>
                <w:color w:val="000000"/>
                <w:sz w:val="20"/>
                <w:szCs w:val="20"/>
                <w:lang w:eastAsia="en-GB"/>
              </w:rPr>
            </w:pPr>
          </w:p>
        </w:tc>
      </w:tr>
      <w:tr w:rsidR="00626D91" w:rsidRPr="00626D91" w14:paraId="2548DC3D" w14:textId="77777777" w:rsidTr="00626D91">
        <w:trPr>
          <w:trHeight w:val="300"/>
        </w:trPr>
        <w:tc>
          <w:tcPr>
            <w:tcW w:w="0" w:type="auto"/>
            <w:gridSpan w:val="2"/>
            <w:tcBorders>
              <w:top w:val="nil"/>
              <w:left w:val="nil"/>
              <w:bottom w:val="nil"/>
              <w:right w:val="nil"/>
            </w:tcBorders>
            <w:shd w:val="clear" w:color="auto" w:fill="auto"/>
            <w:noWrap/>
            <w:vAlign w:val="center"/>
            <w:hideMark/>
          </w:tcPr>
          <w:p w14:paraId="01CAA875" w14:textId="1711395F"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 xml:space="preserve">  </w:t>
            </w:r>
            <w:r w:rsidR="00930712">
              <w:rPr>
                <w:rFonts w:eastAsia="Times New Roman" w:cs="Arial"/>
                <w:color w:val="000000"/>
                <w:sz w:val="20"/>
                <w:szCs w:val="20"/>
                <w:lang w:eastAsia="en-GB"/>
              </w:rPr>
              <w:t xml:space="preserve">  </w:t>
            </w:r>
            <w:r w:rsidRPr="00626D91">
              <w:rPr>
                <w:rFonts w:eastAsia="Times New Roman" w:cs="Arial"/>
                <w:color w:val="000000"/>
                <w:sz w:val="20"/>
                <w:szCs w:val="20"/>
                <w:lang w:eastAsia="en-GB"/>
              </w:rPr>
              <w:t>No support</w:t>
            </w:r>
          </w:p>
        </w:tc>
        <w:tc>
          <w:tcPr>
            <w:tcW w:w="0" w:type="auto"/>
            <w:tcBorders>
              <w:top w:val="nil"/>
              <w:left w:val="nil"/>
              <w:bottom w:val="nil"/>
              <w:right w:val="nil"/>
            </w:tcBorders>
            <w:shd w:val="clear" w:color="auto" w:fill="auto"/>
            <w:noWrap/>
            <w:vAlign w:val="bottom"/>
            <w:hideMark/>
          </w:tcPr>
          <w:p w14:paraId="56AD4B52" w14:textId="77777777" w:rsidR="00626D91" w:rsidRPr="00626D91" w:rsidRDefault="00626D91" w:rsidP="00626D91">
            <w:pPr>
              <w:contextualSpacing w:val="0"/>
              <w:rPr>
                <w:rFonts w:eastAsia="Times New Roman"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12F792F" w14:textId="77777777" w:rsidR="00626D91" w:rsidRPr="00626D91" w:rsidRDefault="00626D91" w:rsidP="00626D91">
            <w:pPr>
              <w:contextualSpacing w:val="0"/>
              <w:rPr>
                <w:rFonts w:ascii="Times New Roman" w:eastAsia="Times New Roman" w:hAnsi="Times New Roman" w:cs="Times New Roman"/>
                <w:sz w:val="20"/>
                <w:szCs w:val="20"/>
                <w:lang w:eastAsia="en-GB"/>
              </w:rPr>
            </w:pPr>
          </w:p>
        </w:tc>
      </w:tr>
      <w:tr w:rsidR="00626D91" w:rsidRPr="00626D91" w14:paraId="2D43A4E3" w14:textId="77777777" w:rsidTr="00626D91">
        <w:trPr>
          <w:trHeight w:val="300"/>
        </w:trPr>
        <w:tc>
          <w:tcPr>
            <w:tcW w:w="0" w:type="auto"/>
            <w:tcBorders>
              <w:top w:val="nil"/>
              <w:left w:val="nil"/>
              <w:bottom w:val="nil"/>
              <w:right w:val="nil"/>
            </w:tcBorders>
            <w:shd w:val="clear" w:color="auto" w:fill="auto"/>
            <w:noWrap/>
            <w:vAlign w:val="center"/>
            <w:hideMark/>
          </w:tcPr>
          <w:p w14:paraId="7735D3AB" w14:textId="522F401E"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 xml:space="preserve">  </w:t>
            </w:r>
            <w:r w:rsidR="00930712">
              <w:rPr>
                <w:rFonts w:eastAsia="Times New Roman" w:cs="Arial"/>
                <w:color w:val="000000"/>
                <w:sz w:val="20"/>
                <w:szCs w:val="20"/>
                <w:lang w:eastAsia="en-GB"/>
              </w:rPr>
              <w:t xml:space="preserve">  </w:t>
            </w:r>
            <w:r w:rsidRPr="00626D91">
              <w:rPr>
                <w:rFonts w:eastAsia="Times New Roman" w:cs="Arial"/>
                <w:color w:val="000000"/>
                <w:sz w:val="20"/>
                <w:szCs w:val="20"/>
                <w:lang w:eastAsia="en-GB"/>
              </w:rPr>
              <w:t>Early help</w:t>
            </w:r>
          </w:p>
        </w:tc>
        <w:tc>
          <w:tcPr>
            <w:tcW w:w="0" w:type="auto"/>
            <w:tcBorders>
              <w:top w:val="nil"/>
              <w:left w:val="nil"/>
              <w:bottom w:val="nil"/>
              <w:right w:val="nil"/>
            </w:tcBorders>
            <w:shd w:val="clear" w:color="auto" w:fill="auto"/>
            <w:noWrap/>
            <w:vAlign w:val="center"/>
            <w:hideMark/>
          </w:tcPr>
          <w:p w14:paraId="67063A3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1.06 (0.94-1.19)</w:t>
            </w:r>
          </w:p>
        </w:tc>
        <w:tc>
          <w:tcPr>
            <w:tcW w:w="0" w:type="auto"/>
            <w:tcBorders>
              <w:top w:val="nil"/>
              <w:left w:val="nil"/>
              <w:bottom w:val="nil"/>
              <w:right w:val="nil"/>
            </w:tcBorders>
            <w:shd w:val="clear" w:color="auto" w:fill="auto"/>
            <w:noWrap/>
            <w:vAlign w:val="center"/>
            <w:hideMark/>
          </w:tcPr>
          <w:p w14:paraId="74F40374"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0.90 (0.79-1.04)</w:t>
            </w:r>
          </w:p>
        </w:tc>
        <w:tc>
          <w:tcPr>
            <w:tcW w:w="0" w:type="auto"/>
            <w:tcBorders>
              <w:top w:val="nil"/>
              <w:left w:val="nil"/>
              <w:bottom w:val="nil"/>
              <w:right w:val="nil"/>
            </w:tcBorders>
            <w:shd w:val="clear" w:color="auto" w:fill="auto"/>
            <w:noWrap/>
            <w:vAlign w:val="center"/>
            <w:hideMark/>
          </w:tcPr>
          <w:p w14:paraId="5035712D"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1.40 (1.14-1.73)**</w:t>
            </w:r>
          </w:p>
        </w:tc>
      </w:tr>
      <w:tr w:rsidR="00626D91" w:rsidRPr="00626D91" w14:paraId="475216E4" w14:textId="77777777" w:rsidTr="00626D91">
        <w:trPr>
          <w:trHeight w:val="300"/>
        </w:trPr>
        <w:tc>
          <w:tcPr>
            <w:tcW w:w="0" w:type="auto"/>
            <w:tcBorders>
              <w:top w:val="nil"/>
              <w:left w:val="nil"/>
              <w:bottom w:val="nil"/>
              <w:right w:val="nil"/>
            </w:tcBorders>
            <w:shd w:val="clear" w:color="auto" w:fill="auto"/>
            <w:noWrap/>
            <w:vAlign w:val="center"/>
            <w:hideMark/>
          </w:tcPr>
          <w:p w14:paraId="171974A1" w14:textId="301E16F5"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 xml:space="preserve">  </w:t>
            </w:r>
            <w:r w:rsidR="00930712">
              <w:rPr>
                <w:rFonts w:eastAsia="Times New Roman" w:cs="Arial"/>
                <w:color w:val="000000"/>
                <w:sz w:val="20"/>
                <w:szCs w:val="20"/>
                <w:lang w:eastAsia="en-GB"/>
              </w:rPr>
              <w:t xml:space="preserve">  </w:t>
            </w:r>
            <w:r w:rsidRPr="00626D91">
              <w:rPr>
                <w:rFonts w:eastAsia="Times New Roman" w:cs="Arial"/>
                <w:color w:val="000000"/>
                <w:sz w:val="20"/>
                <w:szCs w:val="20"/>
                <w:lang w:eastAsia="en-GB"/>
              </w:rPr>
              <w:t>Child in need</w:t>
            </w:r>
          </w:p>
        </w:tc>
        <w:tc>
          <w:tcPr>
            <w:tcW w:w="0" w:type="auto"/>
            <w:tcBorders>
              <w:top w:val="nil"/>
              <w:left w:val="nil"/>
              <w:bottom w:val="nil"/>
              <w:right w:val="nil"/>
            </w:tcBorders>
            <w:shd w:val="clear" w:color="auto" w:fill="auto"/>
            <w:noWrap/>
            <w:vAlign w:val="center"/>
            <w:hideMark/>
          </w:tcPr>
          <w:p w14:paraId="469C0800"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1.21 (1.09-1.35)**</w:t>
            </w:r>
          </w:p>
        </w:tc>
        <w:tc>
          <w:tcPr>
            <w:tcW w:w="0" w:type="auto"/>
            <w:tcBorders>
              <w:top w:val="nil"/>
              <w:left w:val="nil"/>
              <w:bottom w:val="nil"/>
              <w:right w:val="nil"/>
            </w:tcBorders>
            <w:shd w:val="clear" w:color="auto" w:fill="auto"/>
            <w:noWrap/>
            <w:vAlign w:val="center"/>
            <w:hideMark/>
          </w:tcPr>
          <w:p w14:paraId="6AEBB4B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1.18 (1.03-1.36)*</w:t>
            </w:r>
          </w:p>
        </w:tc>
        <w:tc>
          <w:tcPr>
            <w:tcW w:w="0" w:type="auto"/>
            <w:tcBorders>
              <w:top w:val="nil"/>
              <w:left w:val="nil"/>
              <w:bottom w:val="nil"/>
              <w:right w:val="nil"/>
            </w:tcBorders>
            <w:shd w:val="clear" w:color="auto" w:fill="auto"/>
            <w:noWrap/>
            <w:vAlign w:val="center"/>
            <w:hideMark/>
          </w:tcPr>
          <w:p w14:paraId="6F811D68"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1.22 (1.02-1.46)*</w:t>
            </w:r>
          </w:p>
        </w:tc>
      </w:tr>
      <w:tr w:rsidR="00626D91" w:rsidRPr="00626D91" w14:paraId="39EB31A5" w14:textId="77777777" w:rsidTr="00626D91">
        <w:trPr>
          <w:trHeight w:val="300"/>
        </w:trPr>
        <w:tc>
          <w:tcPr>
            <w:tcW w:w="0" w:type="auto"/>
            <w:tcBorders>
              <w:top w:val="nil"/>
              <w:left w:val="nil"/>
              <w:bottom w:val="nil"/>
              <w:right w:val="nil"/>
            </w:tcBorders>
            <w:shd w:val="clear" w:color="auto" w:fill="auto"/>
            <w:noWrap/>
            <w:vAlign w:val="center"/>
            <w:hideMark/>
          </w:tcPr>
          <w:p w14:paraId="33450943" w14:textId="3F1B49C3"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 xml:space="preserve">  </w:t>
            </w:r>
            <w:r w:rsidR="00930712">
              <w:rPr>
                <w:rFonts w:eastAsia="Times New Roman" w:cs="Arial"/>
                <w:color w:val="000000"/>
                <w:sz w:val="20"/>
                <w:szCs w:val="20"/>
                <w:lang w:eastAsia="en-GB"/>
              </w:rPr>
              <w:t xml:space="preserve">  </w:t>
            </w:r>
            <w:r w:rsidRPr="00626D91">
              <w:rPr>
                <w:rFonts w:eastAsia="Times New Roman" w:cs="Arial"/>
                <w:color w:val="000000"/>
                <w:sz w:val="20"/>
                <w:szCs w:val="20"/>
                <w:lang w:eastAsia="en-GB"/>
              </w:rPr>
              <w:t>Child protection</w:t>
            </w:r>
          </w:p>
        </w:tc>
        <w:tc>
          <w:tcPr>
            <w:tcW w:w="0" w:type="auto"/>
            <w:tcBorders>
              <w:top w:val="nil"/>
              <w:left w:val="nil"/>
              <w:bottom w:val="nil"/>
              <w:right w:val="nil"/>
            </w:tcBorders>
            <w:shd w:val="clear" w:color="auto" w:fill="auto"/>
            <w:noWrap/>
            <w:vAlign w:val="center"/>
            <w:hideMark/>
          </w:tcPr>
          <w:p w14:paraId="7A81206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1.17 (1.08-1.27)**</w:t>
            </w:r>
          </w:p>
        </w:tc>
        <w:tc>
          <w:tcPr>
            <w:tcW w:w="0" w:type="auto"/>
            <w:tcBorders>
              <w:top w:val="nil"/>
              <w:left w:val="nil"/>
              <w:bottom w:val="nil"/>
              <w:right w:val="nil"/>
            </w:tcBorders>
            <w:shd w:val="clear" w:color="auto" w:fill="auto"/>
            <w:noWrap/>
            <w:vAlign w:val="center"/>
            <w:hideMark/>
          </w:tcPr>
          <w:p w14:paraId="46C54A84"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1.08 (0.97-1.21)</w:t>
            </w:r>
          </w:p>
        </w:tc>
        <w:tc>
          <w:tcPr>
            <w:tcW w:w="0" w:type="auto"/>
            <w:tcBorders>
              <w:top w:val="nil"/>
              <w:left w:val="nil"/>
              <w:bottom w:val="nil"/>
              <w:right w:val="nil"/>
            </w:tcBorders>
            <w:shd w:val="clear" w:color="auto" w:fill="auto"/>
            <w:noWrap/>
            <w:vAlign w:val="center"/>
            <w:hideMark/>
          </w:tcPr>
          <w:p w14:paraId="19C872DC"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1.25 (1.11-1.39)**</w:t>
            </w:r>
          </w:p>
        </w:tc>
      </w:tr>
      <w:tr w:rsidR="00626D91" w:rsidRPr="00626D91" w14:paraId="2FA2342A" w14:textId="77777777" w:rsidTr="00626D91">
        <w:trPr>
          <w:trHeight w:val="300"/>
        </w:trPr>
        <w:tc>
          <w:tcPr>
            <w:tcW w:w="0" w:type="auto"/>
            <w:tcBorders>
              <w:top w:val="nil"/>
              <w:left w:val="nil"/>
              <w:bottom w:val="nil"/>
              <w:right w:val="nil"/>
            </w:tcBorders>
            <w:shd w:val="clear" w:color="auto" w:fill="auto"/>
            <w:noWrap/>
            <w:vAlign w:val="center"/>
            <w:hideMark/>
          </w:tcPr>
          <w:p w14:paraId="0EDC6AF9" w14:textId="60670024"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 xml:space="preserve">  </w:t>
            </w:r>
            <w:r w:rsidR="00930712">
              <w:rPr>
                <w:rFonts w:eastAsia="Times New Roman" w:cs="Arial"/>
                <w:color w:val="000000"/>
                <w:sz w:val="20"/>
                <w:szCs w:val="20"/>
                <w:lang w:eastAsia="en-GB"/>
              </w:rPr>
              <w:t xml:space="preserve">  </w:t>
            </w:r>
            <w:r w:rsidRPr="00626D91">
              <w:rPr>
                <w:rFonts w:eastAsia="Times New Roman" w:cs="Arial"/>
                <w:color w:val="000000"/>
                <w:sz w:val="20"/>
                <w:szCs w:val="20"/>
                <w:lang w:eastAsia="en-GB"/>
              </w:rPr>
              <w:t>Child looked after</w:t>
            </w:r>
          </w:p>
        </w:tc>
        <w:tc>
          <w:tcPr>
            <w:tcW w:w="0" w:type="auto"/>
            <w:tcBorders>
              <w:top w:val="nil"/>
              <w:left w:val="nil"/>
              <w:bottom w:val="nil"/>
              <w:right w:val="nil"/>
            </w:tcBorders>
            <w:shd w:val="clear" w:color="auto" w:fill="auto"/>
            <w:noWrap/>
            <w:vAlign w:val="center"/>
            <w:hideMark/>
          </w:tcPr>
          <w:p w14:paraId="390098BE"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0.87 (0.78-0.96)**</w:t>
            </w:r>
          </w:p>
        </w:tc>
        <w:tc>
          <w:tcPr>
            <w:tcW w:w="0" w:type="auto"/>
            <w:tcBorders>
              <w:top w:val="nil"/>
              <w:left w:val="nil"/>
              <w:bottom w:val="nil"/>
              <w:right w:val="nil"/>
            </w:tcBorders>
            <w:shd w:val="clear" w:color="auto" w:fill="auto"/>
            <w:noWrap/>
            <w:vAlign w:val="center"/>
            <w:hideMark/>
          </w:tcPr>
          <w:p w14:paraId="66F0730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0.95 (0.70-1.29)</w:t>
            </w:r>
          </w:p>
        </w:tc>
        <w:tc>
          <w:tcPr>
            <w:tcW w:w="0" w:type="auto"/>
            <w:tcBorders>
              <w:top w:val="nil"/>
              <w:left w:val="nil"/>
              <w:bottom w:val="nil"/>
              <w:right w:val="nil"/>
            </w:tcBorders>
            <w:shd w:val="clear" w:color="auto" w:fill="auto"/>
            <w:noWrap/>
            <w:vAlign w:val="center"/>
            <w:hideMark/>
          </w:tcPr>
          <w:p w14:paraId="3179FB15"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0.89 (0.79-0.99)*</w:t>
            </w:r>
          </w:p>
        </w:tc>
      </w:tr>
      <w:tr w:rsidR="00626D91" w:rsidRPr="00626D91" w14:paraId="0AD360E2" w14:textId="77777777" w:rsidTr="00626D91">
        <w:trPr>
          <w:trHeight w:val="315"/>
        </w:trPr>
        <w:tc>
          <w:tcPr>
            <w:tcW w:w="0" w:type="auto"/>
            <w:tcBorders>
              <w:top w:val="nil"/>
              <w:left w:val="nil"/>
              <w:bottom w:val="single" w:sz="8" w:space="0" w:color="auto"/>
              <w:right w:val="nil"/>
            </w:tcBorders>
            <w:shd w:val="clear" w:color="auto" w:fill="auto"/>
            <w:noWrap/>
            <w:vAlign w:val="center"/>
            <w:hideMark/>
          </w:tcPr>
          <w:p w14:paraId="7CB7F96F" w14:textId="77777777" w:rsidR="00626D91" w:rsidRPr="00626D91" w:rsidRDefault="00626D91" w:rsidP="00626D91">
            <w:pPr>
              <w:contextualSpacing w:val="0"/>
              <w:rPr>
                <w:rFonts w:eastAsia="Times New Roman" w:cs="Arial"/>
                <w:color w:val="000000"/>
                <w:sz w:val="20"/>
                <w:szCs w:val="20"/>
                <w:lang w:eastAsia="en-GB"/>
              </w:rPr>
            </w:pPr>
            <w:r w:rsidRPr="00626D91">
              <w:rPr>
                <w:rFonts w:eastAsia="Times New Roman" w:cs="Arial"/>
                <w:color w:val="000000"/>
                <w:sz w:val="20"/>
                <w:szCs w:val="20"/>
                <w:lang w:eastAsia="en-GB"/>
              </w:rPr>
              <w:t> </w:t>
            </w:r>
          </w:p>
        </w:tc>
        <w:tc>
          <w:tcPr>
            <w:tcW w:w="0" w:type="auto"/>
            <w:tcBorders>
              <w:top w:val="nil"/>
              <w:left w:val="nil"/>
              <w:bottom w:val="single" w:sz="8" w:space="0" w:color="auto"/>
              <w:right w:val="nil"/>
            </w:tcBorders>
            <w:shd w:val="clear" w:color="auto" w:fill="auto"/>
            <w:noWrap/>
            <w:vAlign w:val="center"/>
            <w:hideMark/>
          </w:tcPr>
          <w:p w14:paraId="38E910C9"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 </w:t>
            </w:r>
          </w:p>
        </w:tc>
        <w:tc>
          <w:tcPr>
            <w:tcW w:w="0" w:type="auto"/>
            <w:tcBorders>
              <w:top w:val="nil"/>
              <w:left w:val="nil"/>
              <w:bottom w:val="single" w:sz="8" w:space="0" w:color="auto"/>
              <w:right w:val="nil"/>
            </w:tcBorders>
            <w:shd w:val="clear" w:color="auto" w:fill="auto"/>
            <w:noWrap/>
            <w:vAlign w:val="center"/>
            <w:hideMark/>
          </w:tcPr>
          <w:p w14:paraId="6035B36D"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 </w:t>
            </w:r>
          </w:p>
        </w:tc>
        <w:tc>
          <w:tcPr>
            <w:tcW w:w="0" w:type="auto"/>
            <w:tcBorders>
              <w:top w:val="nil"/>
              <w:left w:val="nil"/>
              <w:bottom w:val="single" w:sz="8" w:space="0" w:color="auto"/>
              <w:right w:val="nil"/>
            </w:tcBorders>
            <w:shd w:val="clear" w:color="auto" w:fill="auto"/>
            <w:noWrap/>
            <w:vAlign w:val="center"/>
            <w:hideMark/>
          </w:tcPr>
          <w:p w14:paraId="07315696" w14:textId="77777777" w:rsidR="00626D91" w:rsidRPr="00626D91" w:rsidRDefault="00626D91" w:rsidP="00626D91">
            <w:pPr>
              <w:contextualSpacing w:val="0"/>
              <w:jc w:val="right"/>
              <w:rPr>
                <w:rFonts w:eastAsia="Times New Roman" w:cs="Arial"/>
                <w:color w:val="000000"/>
                <w:sz w:val="20"/>
                <w:szCs w:val="20"/>
                <w:lang w:eastAsia="en-GB"/>
              </w:rPr>
            </w:pPr>
            <w:r w:rsidRPr="00626D91">
              <w:rPr>
                <w:rFonts w:eastAsia="Times New Roman" w:cs="Arial"/>
                <w:color w:val="000000"/>
                <w:sz w:val="20"/>
                <w:szCs w:val="20"/>
                <w:lang w:eastAsia="en-GB"/>
              </w:rPr>
              <w:t> </w:t>
            </w:r>
          </w:p>
        </w:tc>
      </w:tr>
    </w:tbl>
    <w:p w14:paraId="3A31F2C0" w14:textId="77777777" w:rsidR="007C6C0A" w:rsidRDefault="007C6C0A" w:rsidP="00D401E5"/>
    <w:p w14:paraId="0E6FDB43" w14:textId="77777777" w:rsidR="007C6C0A" w:rsidRDefault="007C6C0A" w:rsidP="32BE40CC">
      <w:pPr>
        <w:sectPr w:rsidR="007C6C0A" w:rsidSect="008C2FE1">
          <w:pgSz w:w="16838" w:h="11906" w:orient="landscape"/>
          <w:pgMar w:top="1440" w:right="1440" w:bottom="1440" w:left="1440" w:header="709" w:footer="709" w:gutter="0"/>
          <w:cols w:space="708"/>
          <w:docGrid w:linePitch="360"/>
        </w:sectPr>
      </w:pPr>
    </w:p>
    <w:p w14:paraId="1E9369BB" w14:textId="384194FB" w:rsidR="00852E3B" w:rsidRPr="00756CE1" w:rsidRDefault="00204440" w:rsidP="00836E70">
      <w:pPr>
        <w:pStyle w:val="Heading1"/>
      </w:pPr>
      <w:bookmarkStart w:id="92" w:name="_Toc189229688"/>
      <w:r>
        <w:lastRenderedPageBreak/>
        <w:t xml:space="preserve">Study 2: </w:t>
      </w:r>
      <w:r w:rsidR="00AC107D" w:rsidRPr="00367367">
        <w:t xml:space="preserve">Do </w:t>
      </w:r>
      <w:r w:rsidR="00AC107D" w:rsidRPr="00AC107D">
        <w:t xml:space="preserve">targeted prevention interventions for families </w:t>
      </w:r>
      <w:r w:rsidR="00AC107D" w:rsidRPr="00367367">
        <w:t>improve alcohol and drug treatment completions among parents with a substance use disorder? A quasi-experimental study using Generalized Boosted Models</w:t>
      </w:r>
      <w:r w:rsidR="00852E3B">
        <w:t>.</w:t>
      </w:r>
      <w:bookmarkEnd w:id="87"/>
      <w:bookmarkEnd w:id="88"/>
      <w:bookmarkEnd w:id="89"/>
      <w:bookmarkEnd w:id="90"/>
      <w:bookmarkEnd w:id="92"/>
    </w:p>
    <w:p w14:paraId="0EEADF4C" w14:textId="77777777" w:rsidR="00756CE1" w:rsidRPr="00BA1509" w:rsidRDefault="00756CE1" w:rsidP="00852E3B">
      <w:pPr>
        <w:pStyle w:val="NoSpacing"/>
        <w:spacing w:line="360" w:lineRule="auto"/>
      </w:pPr>
    </w:p>
    <w:p w14:paraId="7EDC7F04" w14:textId="77777777" w:rsidR="00852E3B" w:rsidRPr="00056E69" w:rsidRDefault="00852E3B" w:rsidP="00852E3B">
      <w:pPr>
        <w:pStyle w:val="NoSpacing"/>
        <w:spacing w:line="360" w:lineRule="auto"/>
        <w:rPr>
          <w:vertAlign w:val="superscript"/>
        </w:rPr>
      </w:pPr>
      <w:r w:rsidRPr="00056E69">
        <w:t xml:space="preserve">Virginia Musto Wright </w:t>
      </w:r>
      <w:bookmarkStart w:id="93" w:name="_Int_dW9Sv2LF"/>
      <w:r>
        <w:rPr>
          <w:vertAlign w:val="superscript"/>
        </w:rPr>
        <w:t>a</w:t>
      </w:r>
      <w:r w:rsidRPr="00056E69">
        <w:rPr>
          <w:vertAlign w:val="superscript"/>
        </w:rPr>
        <w:t>,</w:t>
      </w:r>
      <w:r>
        <w:rPr>
          <w:vertAlign w:val="superscript"/>
        </w:rPr>
        <w:t>c</w:t>
      </w:r>
      <w:bookmarkEnd w:id="93"/>
      <w:r w:rsidRPr="00056E69">
        <w:t xml:space="preserve">, Brian Eastwood </w:t>
      </w:r>
      <w:r>
        <w:rPr>
          <w:vertAlign w:val="superscript"/>
        </w:rPr>
        <w:t>a</w:t>
      </w:r>
      <w:r w:rsidRPr="00056E69">
        <w:t xml:space="preserve">, Petra Meier </w:t>
      </w:r>
      <w:r>
        <w:rPr>
          <w:vertAlign w:val="superscript"/>
        </w:rPr>
        <w:t>b</w:t>
      </w:r>
      <w:r w:rsidRPr="00056E69">
        <w:t xml:space="preserve"> and Alan Brennan </w:t>
      </w:r>
      <w:r>
        <w:rPr>
          <w:vertAlign w:val="superscript"/>
        </w:rPr>
        <w:t>c</w:t>
      </w:r>
    </w:p>
    <w:p w14:paraId="6C01ABF2" w14:textId="77777777" w:rsidR="00852E3B" w:rsidRPr="00056E69" w:rsidRDefault="00852E3B" w:rsidP="00852E3B">
      <w:pPr>
        <w:pStyle w:val="NoSpacing"/>
        <w:spacing w:line="360" w:lineRule="auto"/>
      </w:pPr>
    </w:p>
    <w:p w14:paraId="657B773C" w14:textId="744F587B" w:rsidR="00852E3B" w:rsidRPr="007752DD" w:rsidRDefault="00852E3B" w:rsidP="00852E3B">
      <w:pPr>
        <w:pStyle w:val="NoSpacing"/>
        <w:spacing w:line="360" w:lineRule="auto"/>
        <w:rPr>
          <w:i/>
          <w:iCs/>
          <w:sz w:val="20"/>
          <w:szCs w:val="20"/>
        </w:rPr>
      </w:pPr>
      <w:bookmarkStart w:id="94" w:name="_Int_IH9Zs2AR"/>
      <w:r w:rsidRPr="1CB577EE">
        <w:rPr>
          <w:i/>
          <w:iCs/>
          <w:sz w:val="20"/>
          <w:szCs w:val="20"/>
          <w:vertAlign w:val="superscript"/>
        </w:rPr>
        <w:t>a</w:t>
      </w:r>
      <w:bookmarkEnd w:id="94"/>
      <w:r w:rsidRPr="1CB577EE">
        <w:rPr>
          <w:i/>
          <w:iCs/>
          <w:sz w:val="20"/>
          <w:szCs w:val="20"/>
          <w:vertAlign w:val="superscript"/>
        </w:rPr>
        <w:t xml:space="preserve"> </w:t>
      </w:r>
      <w:r w:rsidRPr="1CB577EE">
        <w:rPr>
          <w:i/>
          <w:iCs/>
          <w:sz w:val="20"/>
          <w:szCs w:val="20"/>
        </w:rPr>
        <w:t>Office for Health Improvement and Disparities, Department o</w:t>
      </w:r>
      <w:r>
        <w:rPr>
          <w:i/>
          <w:iCs/>
          <w:sz w:val="20"/>
          <w:szCs w:val="20"/>
        </w:rPr>
        <w:t xml:space="preserve">f </w:t>
      </w:r>
      <w:r w:rsidRPr="1CB577EE">
        <w:rPr>
          <w:i/>
          <w:iCs/>
          <w:sz w:val="20"/>
          <w:szCs w:val="20"/>
        </w:rPr>
        <w:t xml:space="preserve">Health and Social Care, 39 Victoria Street, London, </w:t>
      </w:r>
      <w:r w:rsidRPr="1CB577EE">
        <w:rPr>
          <w:rFonts w:eastAsia="Times New Roman"/>
          <w:i/>
          <w:iCs/>
          <w:noProof/>
          <w:sz w:val="20"/>
          <w:szCs w:val="20"/>
          <w:lang w:val="en-US"/>
        </w:rPr>
        <w:t>SW1H 0EU, England</w:t>
      </w:r>
      <w:r w:rsidRPr="1CB577EE">
        <w:rPr>
          <w:i/>
          <w:iCs/>
          <w:sz w:val="20"/>
          <w:szCs w:val="20"/>
        </w:rPr>
        <w:t xml:space="preserve"> </w:t>
      </w:r>
    </w:p>
    <w:p w14:paraId="51D1BA75" w14:textId="002B6FB0" w:rsidR="00852E3B" w:rsidRPr="001E4857" w:rsidRDefault="00852E3B" w:rsidP="00852E3B">
      <w:pPr>
        <w:pStyle w:val="NoSpacing"/>
        <w:spacing w:line="360" w:lineRule="auto"/>
        <w:rPr>
          <w:i/>
          <w:iCs/>
          <w:color w:val="000000"/>
          <w:sz w:val="20"/>
          <w:szCs w:val="20"/>
        </w:rPr>
      </w:pPr>
      <w:r w:rsidRPr="007752DD">
        <w:rPr>
          <w:i/>
          <w:iCs/>
          <w:sz w:val="20"/>
          <w:szCs w:val="20"/>
          <w:vertAlign w:val="superscript"/>
        </w:rPr>
        <w:t xml:space="preserve">b </w:t>
      </w:r>
      <w:r w:rsidRPr="00F22082">
        <w:rPr>
          <w:i/>
          <w:color w:val="000000"/>
          <w:sz w:val="20"/>
        </w:rPr>
        <w:t xml:space="preserve">MRC/CSO Social and Public Health Sciences Unit, </w:t>
      </w:r>
      <w:r>
        <w:rPr>
          <w:i/>
          <w:color w:val="000000"/>
          <w:sz w:val="20"/>
        </w:rPr>
        <w:t xml:space="preserve">Clarice Pears Building, 90 Byres Road, </w:t>
      </w:r>
      <w:r w:rsidRPr="00F22082">
        <w:rPr>
          <w:i/>
          <w:color w:val="000000"/>
          <w:sz w:val="20"/>
        </w:rPr>
        <w:t>University of Glasgow</w:t>
      </w:r>
      <w:r w:rsidRPr="000844A1">
        <w:rPr>
          <w:i/>
          <w:color w:val="000000" w:themeColor="text1"/>
          <w:sz w:val="20"/>
        </w:rPr>
        <w:t>,</w:t>
      </w:r>
      <w:r w:rsidRPr="00F22082">
        <w:rPr>
          <w:i/>
          <w:color w:val="000000"/>
          <w:sz w:val="20"/>
        </w:rPr>
        <w:t xml:space="preserve"> G</w:t>
      </w:r>
      <w:r>
        <w:rPr>
          <w:i/>
          <w:color w:val="000000"/>
          <w:sz w:val="20"/>
        </w:rPr>
        <w:t>12</w:t>
      </w:r>
      <w:r w:rsidRPr="00F22082">
        <w:rPr>
          <w:i/>
          <w:color w:val="000000"/>
          <w:sz w:val="20"/>
        </w:rPr>
        <w:t xml:space="preserve"> </w:t>
      </w:r>
      <w:r>
        <w:rPr>
          <w:i/>
          <w:color w:val="000000"/>
          <w:sz w:val="20"/>
        </w:rPr>
        <w:t>8TB</w:t>
      </w:r>
      <w:r w:rsidRPr="000844A1">
        <w:rPr>
          <w:i/>
          <w:color w:val="000000" w:themeColor="text1"/>
          <w:sz w:val="20"/>
        </w:rPr>
        <w:t>, Scotland</w:t>
      </w:r>
    </w:p>
    <w:p w14:paraId="75EB0499" w14:textId="1D75758A" w:rsidR="00852E3B" w:rsidRPr="007752DD" w:rsidRDefault="00852E3B" w:rsidP="00852E3B">
      <w:pPr>
        <w:pStyle w:val="NoSpacing"/>
        <w:spacing w:line="360" w:lineRule="auto"/>
        <w:rPr>
          <w:i/>
          <w:iCs/>
          <w:sz w:val="20"/>
          <w:szCs w:val="20"/>
        </w:rPr>
      </w:pPr>
      <w:r w:rsidRPr="007752DD">
        <w:rPr>
          <w:i/>
          <w:iCs/>
          <w:sz w:val="20"/>
          <w:szCs w:val="20"/>
          <w:vertAlign w:val="superscript"/>
        </w:rPr>
        <w:t xml:space="preserve">c </w:t>
      </w:r>
      <w:r w:rsidRPr="007752DD">
        <w:rPr>
          <w:i/>
          <w:iCs/>
          <w:sz w:val="20"/>
          <w:szCs w:val="20"/>
        </w:rPr>
        <w:t xml:space="preserve">School of </w:t>
      </w:r>
      <w:r w:rsidR="005906B4">
        <w:rPr>
          <w:i/>
          <w:iCs/>
          <w:sz w:val="20"/>
          <w:szCs w:val="20"/>
        </w:rPr>
        <w:t>Medicine and Population Health</w:t>
      </w:r>
      <w:r w:rsidRPr="007752DD">
        <w:rPr>
          <w:i/>
          <w:iCs/>
          <w:sz w:val="20"/>
          <w:szCs w:val="20"/>
        </w:rPr>
        <w:t>, University of Sheffield</w:t>
      </w:r>
      <w:r>
        <w:rPr>
          <w:i/>
          <w:iCs/>
          <w:sz w:val="20"/>
          <w:szCs w:val="20"/>
        </w:rPr>
        <w:t xml:space="preserve">, </w:t>
      </w:r>
      <w:r w:rsidRPr="00922DF2">
        <w:rPr>
          <w:i/>
          <w:iCs/>
          <w:sz w:val="20"/>
          <w:szCs w:val="20"/>
        </w:rPr>
        <w:t>30 Regent St, Sheffield City Centre, Sheffield S1 4DA</w:t>
      </w:r>
      <w:r>
        <w:rPr>
          <w:i/>
          <w:iCs/>
          <w:sz w:val="20"/>
          <w:szCs w:val="20"/>
        </w:rPr>
        <w:t>, England</w:t>
      </w:r>
      <w:r w:rsidRPr="007752DD">
        <w:rPr>
          <w:i/>
          <w:iCs/>
          <w:sz w:val="20"/>
          <w:szCs w:val="20"/>
        </w:rPr>
        <w:t xml:space="preserve"> </w:t>
      </w:r>
    </w:p>
    <w:p w14:paraId="0038669E" w14:textId="77777777" w:rsidR="003907D3" w:rsidRDefault="003907D3" w:rsidP="003907D3">
      <w:pPr>
        <w:pStyle w:val="NoSpacing"/>
      </w:pPr>
    </w:p>
    <w:p w14:paraId="26C04E1C" w14:textId="11C46480" w:rsidR="003467CE" w:rsidRDefault="003467CE" w:rsidP="003907D3">
      <w:pPr>
        <w:pStyle w:val="NoSpacing"/>
        <w:rPr>
          <w:i/>
          <w:iCs/>
        </w:rPr>
      </w:pPr>
      <w:r w:rsidRPr="00332E40">
        <w:rPr>
          <w:i/>
          <w:iCs/>
        </w:rPr>
        <w:t xml:space="preserve">Target </w:t>
      </w:r>
      <w:r>
        <w:rPr>
          <w:i/>
          <w:iCs/>
        </w:rPr>
        <w:t>j</w:t>
      </w:r>
      <w:r w:rsidRPr="00332E40">
        <w:rPr>
          <w:i/>
          <w:iCs/>
        </w:rPr>
        <w:t xml:space="preserve">ournal: </w:t>
      </w:r>
      <w:r>
        <w:rPr>
          <w:i/>
          <w:iCs/>
        </w:rPr>
        <w:t>Addictions (submitted for consideration)</w:t>
      </w:r>
    </w:p>
    <w:p w14:paraId="6C820A04" w14:textId="77777777" w:rsidR="003467CE" w:rsidRPr="003467CE" w:rsidRDefault="003467CE" w:rsidP="003907D3">
      <w:pPr>
        <w:pStyle w:val="NoSpacing"/>
        <w:rPr>
          <w:i/>
          <w:iCs/>
        </w:rPr>
      </w:pPr>
    </w:p>
    <w:p w14:paraId="0C21688A" w14:textId="77777777" w:rsidR="00C85FFD" w:rsidRDefault="00C85FFD" w:rsidP="009C3BBC">
      <w:pPr>
        <w:pStyle w:val="Heading2"/>
        <w:numPr>
          <w:ilvl w:val="1"/>
          <w:numId w:val="19"/>
        </w:numPr>
        <w:spacing w:line="360" w:lineRule="auto"/>
      </w:pPr>
      <w:bookmarkStart w:id="95" w:name="_Toc189229689"/>
      <w:r>
        <w:t>Abstract</w:t>
      </w:r>
      <w:bookmarkEnd w:id="95"/>
    </w:p>
    <w:p w14:paraId="602CA906" w14:textId="63861DDB" w:rsidR="003907D3" w:rsidRPr="00083324" w:rsidRDefault="003907D3" w:rsidP="003907D3">
      <w:pPr>
        <w:pStyle w:val="NoSpacing"/>
        <w:spacing w:line="360" w:lineRule="auto"/>
      </w:pPr>
      <w:r>
        <w:rPr>
          <w:b/>
          <w:bCs/>
        </w:rPr>
        <w:t xml:space="preserve">Background and aims </w:t>
      </w:r>
      <w:r>
        <w:t>T</w:t>
      </w:r>
      <w:r w:rsidRPr="00817410">
        <w:t>reatment</w:t>
      </w:r>
      <w:r>
        <w:t>, targeted prevention</w:t>
      </w:r>
      <w:r w:rsidRPr="005A160C">
        <w:t xml:space="preserve"> </w:t>
      </w:r>
      <w:r>
        <w:t>in the form of parenting</w:t>
      </w:r>
      <w:r w:rsidR="00415942">
        <w:t xml:space="preserve"> and</w:t>
      </w:r>
      <w:r w:rsidR="006D18AB">
        <w:t>/or</w:t>
      </w:r>
      <w:r w:rsidR="00415942">
        <w:t xml:space="preserve"> </w:t>
      </w:r>
      <w:r>
        <w:t xml:space="preserve">family </w:t>
      </w:r>
      <w:r w:rsidR="00415942">
        <w:t xml:space="preserve">recovery </w:t>
      </w:r>
      <w:r>
        <w:t xml:space="preserve">support and ‘early help’, </w:t>
      </w:r>
      <w:r w:rsidRPr="005A160C">
        <w:t xml:space="preserve">and </w:t>
      </w:r>
      <w:r>
        <w:t xml:space="preserve">statutory </w:t>
      </w:r>
      <w:r w:rsidRPr="005A160C">
        <w:t xml:space="preserve">child welfare </w:t>
      </w:r>
      <w:r w:rsidR="0064321D">
        <w:t xml:space="preserve">delivered by children’s social care </w:t>
      </w:r>
      <w:r>
        <w:t xml:space="preserve">are </w:t>
      </w:r>
      <w:r w:rsidR="0026696B">
        <w:t xml:space="preserve">typical </w:t>
      </w:r>
      <w:r>
        <w:t>intervention</w:t>
      </w:r>
      <w:r w:rsidR="00361467">
        <w:t xml:space="preserve"> </w:t>
      </w:r>
      <w:r>
        <w:t xml:space="preserve">options </w:t>
      </w:r>
      <w:r w:rsidRPr="005A160C">
        <w:t xml:space="preserve">available to families affected by parental substance </w:t>
      </w:r>
      <w:r>
        <w:t>use disorder</w:t>
      </w:r>
      <w:r w:rsidR="00957C93">
        <w:t xml:space="preserve"> (SUD)</w:t>
      </w:r>
      <w:r w:rsidR="00361467">
        <w:t xml:space="preserve"> in England</w:t>
      </w:r>
      <w:r>
        <w:t xml:space="preserve">. </w:t>
      </w:r>
      <w:r>
        <w:rPr>
          <w:rStyle w:val="normaltextrun"/>
          <w:color w:val="000000"/>
          <w:shd w:val="clear" w:color="auto" w:fill="FFFFFF"/>
        </w:rPr>
        <w:t xml:space="preserve">This study examines whether integration of targeted prevention with treatment would promote more successful completions than treatment </w:t>
      </w:r>
      <w:r w:rsidR="00361467">
        <w:rPr>
          <w:rStyle w:val="normaltextrun"/>
          <w:color w:val="000000"/>
          <w:shd w:val="clear" w:color="auto" w:fill="FFFFFF"/>
        </w:rPr>
        <w:t>only</w:t>
      </w:r>
      <w:r>
        <w:rPr>
          <w:rStyle w:val="normaltextrun"/>
          <w:color w:val="000000"/>
          <w:shd w:val="clear" w:color="auto" w:fill="FFFFFF"/>
        </w:rPr>
        <w:t xml:space="preserve">. </w:t>
      </w:r>
      <w:r>
        <w:rPr>
          <w:b/>
          <w:bCs/>
        </w:rPr>
        <w:t xml:space="preserve">Design </w:t>
      </w:r>
      <w:r w:rsidRPr="00146EA4">
        <w:t>Quasi-experimental:</w:t>
      </w:r>
      <w:r>
        <w:rPr>
          <w:b/>
          <w:bCs/>
        </w:rPr>
        <w:t xml:space="preserve"> </w:t>
      </w:r>
      <w:r>
        <w:t>p</w:t>
      </w:r>
      <w:r w:rsidRPr="00C524C9">
        <w:t>ropensity scores were</w:t>
      </w:r>
      <w:r>
        <w:t xml:space="preserve"> </w:t>
      </w:r>
      <w:r w:rsidRPr="00C524C9">
        <w:t>calculated then weighted via Generalised Boosted Model</w:t>
      </w:r>
      <w:r>
        <w:t>ling</w:t>
      </w:r>
      <w:r w:rsidRPr="00C524C9">
        <w:t xml:space="preserve"> to estimate average</w:t>
      </w:r>
      <w:r>
        <w:t xml:space="preserve"> treatment effects (ATEs). E-values were estimated to test the robustness of significant findings. </w:t>
      </w:r>
      <w:r w:rsidRPr="004F2E60">
        <w:rPr>
          <w:b/>
          <w:bCs/>
        </w:rPr>
        <w:t>Setting</w:t>
      </w:r>
      <w:r>
        <w:rPr>
          <w:b/>
          <w:bCs/>
        </w:rPr>
        <w:t xml:space="preserve"> </w:t>
      </w:r>
      <w:r w:rsidRPr="00AE5023">
        <w:t>We used an English national administrative dataset for 1 April 2017 to 31 Janu</w:t>
      </w:r>
      <w:r w:rsidRPr="64986872">
        <w:t>ary 2020 (n=</w:t>
      </w:r>
      <w:r>
        <w:t>57,529</w:t>
      </w:r>
      <w:r w:rsidRPr="64986872">
        <w:t>)</w:t>
      </w:r>
      <w:r>
        <w:t xml:space="preserve">. </w:t>
      </w:r>
      <w:r>
        <w:rPr>
          <w:b/>
          <w:bCs/>
        </w:rPr>
        <w:t xml:space="preserve">Participants </w:t>
      </w:r>
      <w:r>
        <w:t>W</w:t>
      </w:r>
      <w:r w:rsidRPr="005A160C">
        <w:t>e identif</w:t>
      </w:r>
      <w:r>
        <w:t>ied</w:t>
      </w:r>
      <w:r w:rsidRPr="64986872">
        <w:t xml:space="preserve"> </w:t>
      </w:r>
      <w:r>
        <w:t>twelve</w:t>
      </w:r>
      <w:r w:rsidRPr="64986872">
        <w:t xml:space="preserve"> </w:t>
      </w:r>
      <w:r>
        <w:t>sub</w:t>
      </w:r>
      <w:r w:rsidRPr="64986872">
        <w:t>groups</w:t>
      </w:r>
      <w:r>
        <w:t>:</w:t>
      </w:r>
      <w:r w:rsidRPr="45F7CB4B">
        <w:t xml:space="preserve"> </w:t>
      </w:r>
      <w:r w:rsidR="002946F0">
        <w:t>parents living</w:t>
      </w:r>
      <w:r w:rsidRPr="005A160C">
        <w:t xml:space="preserve"> </w:t>
      </w:r>
      <w:r>
        <w:t xml:space="preserve">with children (LWC) </w:t>
      </w:r>
      <w:r w:rsidRPr="005A160C">
        <w:t xml:space="preserve">and </w:t>
      </w:r>
      <w:r>
        <w:t xml:space="preserve">parents </w:t>
      </w:r>
      <w:r w:rsidRPr="005A160C">
        <w:t xml:space="preserve">not living with children </w:t>
      </w:r>
      <w:r>
        <w:t>(NWC) in</w:t>
      </w:r>
      <w:r w:rsidRPr="005A160C">
        <w:t xml:space="preserve"> treatment</w:t>
      </w:r>
      <w:r w:rsidRPr="006902AE">
        <w:t xml:space="preserve">, </w:t>
      </w:r>
      <w:r>
        <w:t>s</w:t>
      </w:r>
      <w:r w:rsidRPr="006902AE">
        <w:t xml:space="preserve">tratified </w:t>
      </w:r>
      <w:r>
        <w:t>by sex and SUD (opiate user [OU], non-OU and alcohol only)</w:t>
      </w:r>
      <w:r w:rsidRPr="001977B4">
        <w:t xml:space="preserve">. </w:t>
      </w:r>
      <w:r w:rsidRPr="00083324">
        <w:rPr>
          <w:b/>
          <w:bCs/>
        </w:rPr>
        <w:t>Interventions</w:t>
      </w:r>
      <w:r>
        <w:t xml:space="preserve"> </w:t>
      </w:r>
      <w:r w:rsidRPr="001977B4">
        <w:t>Treatment only (</w:t>
      </w:r>
      <w:bookmarkStart w:id="96" w:name="_Int_DVsMgUKu"/>
      <w:r w:rsidRPr="001977B4">
        <w:t>Trt</w:t>
      </w:r>
      <w:bookmarkEnd w:id="96"/>
      <w:r w:rsidRPr="001977B4">
        <w:t xml:space="preserve">) was compared with </w:t>
      </w:r>
      <w:r w:rsidR="004430C5">
        <w:t>two</w:t>
      </w:r>
      <w:r w:rsidRPr="001977B4">
        <w:t xml:space="preserve"> strategies</w:t>
      </w:r>
      <w:bookmarkStart w:id="97" w:name="_Int_aoNVYIrH"/>
      <w:r w:rsidRPr="001977B4">
        <w:t>:</w:t>
      </w:r>
      <w:bookmarkEnd w:id="97"/>
      <w:r w:rsidRPr="001977B4">
        <w:t xml:space="preserve"> 1) </w:t>
      </w:r>
      <w:bookmarkStart w:id="98" w:name="_Int_oG0idTUd"/>
      <w:r w:rsidRPr="001977B4">
        <w:t>Trt</w:t>
      </w:r>
      <w:bookmarkEnd w:id="98"/>
      <w:r w:rsidRPr="001977B4">
        <w:t xml:space="preserve"> + </w:t>
      </w:r>
      <w:r w:rsidR="00AB7760">
        <w:t>parenting and/or family</w:t>
      </w:r>
      <w:r>
        <w:t xml:space="preserve"> recovery support 2) Trt + ‘early help’. </w:t>
      </w:r>
      <w:r w:rsidRPr="00083324">
        <w:rPr>
          <w:b/>
          <w:bCs/>
        </w:rPr>
        <w:t>Measure</w:t>
      </w:r>
      <w:r>
        <w:t xml:space="preserve"> S</w:t>
      </w:r>
      <w:r w:rsidRPr="001977B4">
        <w:t xml:space="preserve">uccessful completion of </w:t>
      </w:r>
      <w:r>
        <w:t xml:space="preserve">treatment. </w:t>
      </w:r>
      <w:r>
        <w:rPr>
          <w:b/>
          <w:bCs/>
        </w:rPr>
        <w:t>Findings</w:t>
      </w:r>
      <w:r w:rsidRPr="001977B4">
        <w:t xml:space="preserve"> </w:t>
      </w:r>
      <w:r>
        <w:t xml:space="preserve">Few people received strategy 1. </w:t>
      </w:r>
      <w:r>
        <w:lastRenderedPageBreak/>
        <w:t xml:space="preserve">Compared </w:t>
      </w:r>
      <w:r w:rsidRPr="001977B4">
        <w:t xml:space="preserve">with Trt, </w:t>
      </w:r>
      <w:r>
        <w:t>strategy 1 was found to have the strongest positive ATEs in 9 of the 12 subgroups, with e-values ranging from 1.83-2.48. Findings on the effectiveness of strateg</w:t>
      </w:r>
      <w:r w:rsidR="00830531">
        <w:t>y</w:t>
      </w:r>
      <w:r>
        <w:t xml:space="preserve"> 2 w</w:t>
      </w:r>
      <w:r w:rsidR="00ED4749">
        <w:t>ere</w:t>
      </w:r>
      <w:r w:rsidR="00830531">
        <w:t xml:space="preserve"> mostly nonsignificant</w:t>
      </w:r>
      <w:r>
        <w:t xml:space="preserve">. </w:t>
      </w:r>
      <w:r w:rsidRPr="00050429">
        <w:rPr>
          <w:b/>
          <w:bCs/>
        </w:rPr>
        <w:t>Conclusion</w:t>
      </w:r>
      <w:r w:rsidRPr="00050429">
        <w:t xml:space="preserve"> </w:t>
      </w:r>
      <w:r>
        <w:t>Integrated</w:t>
      </w:r>
      <w:r w:rsidRPr="00050429">
        <w:t xml:space="preserve"> </w:t>
      </w:r>
      <w:r>
        <w:t xml:space="preserve">treatment and </w:t>
      </w:r>
      <w:r w:rsidR="00AB7760">
        <w:t>parenting and/or family</w:t>
      </w:r>
      <w:r w:rsidRPr="00EB4726">
        <w:t xml:space="preserve"> recovery support is not received by many parents in the English treatment system, but it could be more effective than treatment </w:t>
      </w:r>
      <w:r w:rsidR="00027AB1">
        <w:t>only</w:t>
      </w:r>
      <w:r>
        <w:t>, including for parents not living with their children</w:t>
      </w:r>
      <w:r w:rsidRPr="00EB4726">
        <w:t>. However, results should be considered with some caution; while our approach generated a reasonably balanced</w:t>
      </w:r>
      <w:r w:rsidRPr="00106C74">
        <w:t xml:space="preserve"> comparison framework, there remains the possibility of other non-observed confounders or biases. </w:t>
      </w:r>
    </w:p>
    <w:p w14:paraId="2C5D37D4" w14:textId="77777777" w:rsidR="003907D3" w:rsidRPr="00056E69" w:rsidRDefault="003907D3" w:rsidP="003907D3">
      <w:pPr>
        <w:pStyle w:val="NoSpacing"/>
        <w:spacing w:line="360" w:lineRule="auto"/>
      </w:pPr>
    </w:p>
    <w:p w14:paraId="62C1115D" w14:textId="77777777" w:rsidR="00871FB1" w:rsidRDefault="003907D3" w:rsidP="00871FB1">
      <w:pPr>
        <w:pStyle w:val="NoSpacing"/>
        <w:spacing w:line="360" w:lineRule="auto"/>
      </w:pPr>
      <w:r w:rsidRPr="00EA628B">
        <w:rPr>
          <w:b/>
          <w:bCs/>
        </w:rPr>
        <w:t>Key words</w:t>
      </w:r>
      <w:r w:rsidRPr="45F7CB4B">
        <w:rPr>
          <w:b/>
          <w:bCs/>
        </w:rPr>
        <w:t xml:space="preserve">: </w:t>
      </w:r>
      <w:r w:rsidRPr="00EA628B">
        <w:t>Parents, substance use, child welfare, treatment, generali</w:t>
      </w:r>
      <w:r>
        <w:t>z</w:t>
      </w:r>
      <w:r w:rsidRPr="00EA628B">
        <w:t>ed boosted model</w:t>
      </w:r>
      <w:r>
        <w:t>, quasi-experiment</w:t>
      </w:r>
    </w:p>
    <w:p w14:paraId="32688C50" w14:textId="77777777" w:rsidR="00871FB1" w:rsidRDefault="00871FB1" w:rsidP="00871FB1">
      <w:pPr>
        <w:pStyle w:val="NoSpacing"/>
        <w:spacing w:line="360" w:lineRule="auto"/>
      </w:pPr>
    </w:p>
    <w:p w14:paraId="6D17B465" w14:textId="0062AE80" w:rsidR="003907D3" w:rsidRDefault="00C85FFD" w:rsidP="009C3BBC">
      <w:pPr>
        <w:pStyle w:val="Heading2"/>
        <w:numPr>
          <w:ilvl w:val="1"/>
          <w:numId w:val="19"/>
        </w:numPr>
        <w:spacing w:line="360" w:lineRule="auto"/>
      </w:pPr>
      <w:bookmarkStart w:id="99" w:name="_Toc189229690"/>
      <w:r>
        <w:t>Introduction</w:t>
      </w:r>
      <w:bookmarkEnd w:id="99"/>
      <w:r>
        <w:t xml:space="preserve"> </w:t>
      </w:r>
    </w:p>
    <w:p w14:paraId="13F6DC52" w14:textId="75C9680F" w:rsidR="003907D3" w:rsidRDefault="003907D3" w:rsidP="003907D3">
      <w:pPr>
        <w:pStyle w:val="NoSpacing"/>
        <w:spacing w:line="360" w:lineRule="auto"/>
        <w:rPr>
          <w:rStyle w:val="normaltextrun"/>
        </w:rPr>
      </w:pPr>
      <w:r>
        <w:t xml:space="preserve">Substance use disorder (SUD) among parents and carers requires </w:t>
      </w:r>
      <w:r w:rsidRPr="006A6FE3">
        <w:t>intervention because</w:t>
      </w:r>
      <w:r>
        <w:t xml:space="preserve"> it</w:t>
      </w:r>
      <w:r w:rsidRPr="006A6FE3">
        <w:t xml:space="preserve"> is associated with poor </w:t>
      </w:r>
      <w:r>
        <w:t xml:space="preserve">parent-infant relationships </w:t>
      </w:r>
      <w:r>
        <w:fldChar w:fldCharType="begin">
          <w:fldData xml:space="preserve">PEVuZE5vdGU+PENpdGU+PEF1dGhvcj5DYW5maWVsZDwvQXV0aG9yPjxZZWFyPjIwMTc8L1llYXI+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</w:fldData>
        </w:fldChar>
      </w:r>
      <w:r w:rsidR="00B9334F">
        <w:instrText xml:space="preserve"> ADDIN EN.CITE </w:instrText>
      </w:r>
      <w:r w:rsidR="00B9334F">
        <w:fldChar w:fldCharType="begin">
          <w:fldData xml:space="preserve">PEVuZE5vdGU+PENpdGU+PEF1dGhvcj5DYW5maWVsZDwvQXV0aG9yPjxZZWFyPjIwMTc8L1llYXI+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</w:fldData>
        </w:fldChar>
      </w:r>
      <w:r w:rsidR="00B9334F">
        <w:instrText xml:space="preserve"> ADDIN EN.CITE.DATA </w:instrText>
      </w:r>
      <w:r w:rsidR="00B9334F">
        <w:fldChar w:fldCharType="end"/>
      </w:r>
      <w:r>
        <w:fldChar w:fldCharType="separate"/>
      </w:r>
      <w:r w:rsidR="003C6F70">
        <w:rPr>
          <w:noProof/>
        </w:rPr>
        <w:t>(Canfield et al., 2017; Pajulo et al., 2006; Slesnick et al., 2014)</w:t>
      </w:r>
      <w:r>
        <w:fldChar w:fldCharType="end"/>
      </w:r>
      <w:r>
        <w:t xml:space="preserve">, which can lead to child abuse and neglect  </w:t>
      </w:r>
      <w:r>
        <w:fldChar w:fldCharType="begin">
          <w:fldData xml:space="preserve">PEVuZE5vdGU+PENpdGU+PEF1dGhvcj5IaW5kbGV5PC9BdXRob3I+PFllYXI+MjAwNjwvWWVhcj48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</w:fldData>
        </w:fldChar>
      </w:r>
      <w:r w:rsidR="00B9334F">
        <w:instrText xml:space="preserve"> ADDIN EN.CITE </w:instrText>
      </w:r>
      <w:r w:rsidR="00B9334F">
        <w:fldChar w:fldCharType="begin">
          <w:fldData xml:space="preserve">PEVuZE5vdGU+PENpdGU+PEF1dGhvcj5IaW5kbGV5PC9BdXRob3I+PFllYXI+MjAwNjwvWWVhcj48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</w:fldData>
        </w:fldChar>
      </w:r>
      <w:r w:rsidR="00B9334F">
        <w:instrText xml:space="preserve"> ADDIN EN.CITE.DATA </w:instrText>
      </w:r>
      <w:r w:rsidR="00B9334F">
        <w:fldChar w:fldCharType="end"/>
      </w:r>
      <w:r>
        <w:fldChar w:fldCharType="separate"/>
      </w:r>
      <w:r w:rsidR="003C6F70">
        <w:rPr>
          <w:noProof/>
        </w:rPr>
        <w:t>(Hindley et al., 2006; Moreland et al., 2021; Rossow et al., 2016; Stith et al., 2009)</w:t>
      </w:r>
      <w:r>
        <w:fldChar w:fldCharType="end"/>
      </w:r>
      <w:r>
        <w:t xml:space="preserve">, and poor child outcomes </w:t>
      </w:r>
      <w:r>
        <w:fldChar w:fldCharType="begin">
          <w:fldData xml:space="preserve">PEVuZE5vdGU+PENpdGU+PEF1dGhvcj5CZWxsaXM8L0F1dGhvcj48WWVhcj4yMDE0PC9ZZWFyPjxS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</w:fldData>
        </w:fldChar>
      </w:r>
      <w:r w:rsidR="00B9334F">
        <w:instrText xml:space="preserve"> ADDIN EN.CITE </w:instrText>
      </w:r>
      <w:r w:rsidR="00B9334F">
        <w:fldChar w:fldCharType="begin">
          <w:fldData xml:space="preserve">PEVuZE5vdGU+PENpdGU+PEF1dGhvcj5CZWxsaXM8L0F1dGhvcj48WWVhcj4yMDE0PC9ZZWFyPjxS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</w:fldData>
        </w:fldChar>
      </w:r>
      <w:r w:rsidR="00B9334F">
        <w:instrText xml:space="preserve"> ADDIN EN.CITE.DATA </w:instrText>
      </w:r>
      <w:r w:rsidR="00B9334F">
        <w:fldChar w:fldCharType="end"/>
      </w:r>
      <w:r>
        <w:fldChar w:fldCharType="separate"/>
      </w:r>
      <w:r w:rsidR="003C6F70">
        <w:rPr>
          <w:noProof/>
        </w:rPr>
        <w:t>(Bellis, Hughes, Leckenby, Baban, et al., 2014; Velleman &amp; Templeton, 2007; Velleman &amp; Templeton, 2016)</w:t>
      </w:r>
      <w:r>
        <w:fldChar w:fldCharType="end"/>
      </w:r>
      <w:r>
        <w:t xml:space="preserve">. </w:t>
      </w:r>
      <w:r>
        <w:rPr>
          <w:rStyle w:val="normaltextrun"/>
          <w:color w:val="000000"/>
          <w:shd w:val="clear" w:color="auto" w:fill="FFFFFF"/>
        </w:rPr>
        <w:t xml:space="preserve">However, there remains no international consensus on the best way to support families affected by SUD </w:t>
      </w:r>
      <w:r>
        <w:rPr>
          <w:rStyle w:val="normaltextrun"/>
          <w:color w:val="000000"/>
          <w:shd w:val="clear" w:color="auto" w:fill="FFFFFF"/>
        </w:rPr>
        <w:fldChar w:fldCharType="begin"/>
      </w:r>
      <w:r w:rsidR="00B9334F">
        <w:rPr>
          <w:rStyle w:val="normaltextrun"/>
          <w:color w:val="000000"/>
          <w:shd w:val="clear" w:color="auto" w:fill="FFFFFF"/>
        </w:rPr>
        <w:instrText xml:space="preserve"> ADDIN EN.CITE &lt;EndNote&gt;&lt;Cite&gt;&lt;Author&gt;McGovern&lt;/Author&gt;&lt;Year&gt;2017&lt;/Year&gt;&lt;RecNum&gt;25&lt;/RecNum&gt;&lt;DisplayText&gt;(McGovern et al., 2017)&lt;/DisplayText&gt;&lt;record&gt;&lt;rec-number&gt;25&lt;/rec-number&gt;&lt;foreign-keys&gt;&lt;key app="EN" db-id="ffzvr5fstavwxoe9v04xf0wmp5t50as52da0" timestamp="1731671637" guid="78acc3d5-de76-4725-8b54-a20520b092d4"&gt;25&lt;/key&gt;&lt;/foreign-keys&gt;&lt;ref-type name="Journal Article"&gt;17&lt;/ref-type&gt;&lt;contributors&gt;&lt;authors&gt;&lt;author&gt;McGovern, Ruth&lt;/author&gt;&lt;author&gt;Addison, Michelle T.&lt;/author&gt;&lt;author&gt;Newham, James J.&lt;/author&gt;&lt;author&gt;Hickman, Matthew&lt;/author&gt;&lt;author&gt;Kaner, Eileen F. S.&lt;/author&gt;&lt;/authors&gt;&lt;/contributors&gt;&lt;titles&gt;&lt;title&gt;Effectiveness of psychosocial interventions for reducing parental substance misuse&lt;/title&gt;&lt;secondary-title&gt;Cochrane Database of Systematic Reviews&lt;/secondary-title&gt;&lt;/titles&gt;&lt;periodical&gt;&lt;full-title&gt;Cochrane Database of Systematic Reviews&lt;/full-title&gt;&lt;/periodical&gt;&lt;number&gt;10&lt;/number&gt;&lt;dates&gt;&lt;year&gt;2017&lt;/year&gt;&lt;/dates&gt;&lt;publisher&gt;Wiley Online Library&lt;/publisher&gt;&lt;isbn&gt;1465-1858&lt;/isbn&gt;&lt;urls&gt;&lt;related-urls&gt;&lt;url&gt;http:https://doi.org/10.1002/14651858.CD012823&lt;/url&gt;&lt;/related-urls&gt;&lt;/urls&gt;&lt;electronic-resource-num&gt;10.1002/14651858.CD012823&lt;/electronic-resource-num&gt;&lt;/record&gt;&lt;/Cite&gt;&lt;/EndNote&gt;</w:instrText>
      </w:r>
      <w:r>
        <w:rPr>
          <w:rStyle w:val="normaltextrun"/>
          <w:color w:val="000000"/>
          <w:shd w:val="clear" w:color="auto" w:fill="FFFFFF"/>
        </w:rPr>
        <w:fldChar w:fldCharType="separate"/>
      </w:r>
      <w:r w:rsidR="00A77498">
        <w:rPr>
          <w:rStyle w:val="normaltextrun"/>
          <w:noProof/>
          <w:color w:val="000000"/>
          <w:shd w:val="clear" w:color="auto" w:fill="FFFFFF"/>
        </w:rPr>
        <w:t>(McGovern et al., 2017)</w:t>
      </w:r>
      <w:r>
        <w:rPr>
          <w:rStyle w:val="normaltextrun"/>
          <w:color w:val="000000"/>
          <w:shd w:val="clear" w:color="auto" w:fill="FFFFFF"/>
        </w:rPr>
        <w:fldChar w:fldCharType="end"/>
      </w:r>
      <w:r>
        <w:rPr>
          <w:rStyle w:val="normaltextrun"/>
        </w:rPr>
        <w:t xml:space="preserve">. </w:t>
      </w:r>
    </w:p>
    <w:p w14:paraId="2C7485AA" w14:textId="77777777" w:rsidR="00EC60E1" w:rsidRDefault="00EC60E1" w:rsidP="003907D3">
      <w:pPr>
        <w:pStyle w:val="NoSpacing"/>
        <w:spacing w:line="360" w:lineRule="auto"/>
        <w:rPr>
          <w:rStyle w:val="normaltextrun"/>
        </w:rPr>
      </w:pPr>
    </w:p>
    <w:p w14:paraId="3D8C9E1F" w14:textId="4CA36270" w:rsidR="003907D3" w:rsidRDefault="003F658B" w:rsidP="003907D3">
      <w:pPr>
        <w:pStyle w:val="NoSpacing"/>
        <w:spacing w:line="360" w:lineRule="auto"/>
        <w:rPr>
          <w:i/>
          <w:iCs/>
        </w:rPr>
      </w:pPr>
      <w:r>
        <w:rPr>
          <w:rStyle w:val="normaltextrun"/>
        </w:rPr>
        <w:t>Specialist t</w:t>
      </w:r>
      <w:r w:rsidR="003907D3">
        <w:rPr>
          <w:rStyle w:val="normaltextrun"/>
        </w:rPr>
        <w:t xml:space="preserve">reatment for SUD </w:t>
      </w:r>
      <w:r>
        <w:rPr>
          <w:rStyle w:val="normaltextrun"/>
        </w:rPr>
        <w:t xml:space="preserve">(hereafter ‘treatment’) </w:t>
      </w:r>
      <w:r w:rsidR="003907D3">
        <w:rPr>
          <w:rStyle w:val="normaltextrun"/>
        </w:rPr>
        <w:t>includes both pharmacological and psychosocial interventions</w:t>
      </w:r>
      <w:r w:rsidR="003907D3">
        <w:rPr>
          <w:rStyle w:val="normaltextrun"/>
          <w:color w:val="000000"/>
          <w:shd w:val="clear" w:color="auto" w:fill="E1E3E6"/>
        </w:rPr>
        <w:t xml:space="preserve"> </w:t>
      </w:r>
      <w:r w:rsidR="003907D3">
        <w:rPr>
          <w:rStyle w:val="normaltextrun"/>
          <w:color w:val="000000"/>
          <w:shd w:val="clear" w:color="auto" w:fill="E1E3E6"/>
        </w:rPr>
        <w:fldChar w:fldCharType="begin"/>
      </w:r>
      <w:r w:rsidR="00B9334F">
        <w:rPr>
          <w:rStyle w:val="normaltextrun"/>
          <w:color w:val="000000"/>
          <w:shd w:val="clear" w:color="auto" w:fill="E1E3E6"/>
        </w:rPr>
        <w:instrText xml:space="preserve"> ADDIN EN.CITE &lt;EndNote&gt;&lt;Cite&gt;&lt;Author&gt;NICE&lt;/Author&gt;&lt;Year&gt;2012&lt;/Year&gt;&lt;RecNum&gt;64&lt;/RecNum&gt;&lt;DisplayText&gt;(NICE, 2011, 2012a)&lt;/DisplayText&gt;&lt;record&gt;&lt;rec-number&gt;64&lt;/rec-number&gt;&lt;foreign-keys&gt;&lt;key app="EN" db-id="ffzvr5fstavwxoe9v04xf0wmp5t50as52da0" timestamp="1731671640" guid="4fe823d6-e62b-4adb-9845-9ff4835482bf"&gt;64&lt;/key&gt;&lt;/foreign-keys&gt;&lt;ref-type name="Report"&gt;27&lt;/ref-type&gt;&lt;contributors&gt;&lt;authors&gt;&lt;author&gt;NICE&lt;/author&gt;&lt;/authors&gt;&lt;/contributors&gt;&lt;titles&gt;&lt;title&gt;Drug use disorders in adults. Quality Standard (QS23).&lt;/title&gt;&lt;/titles&gt;&lt;dates&gt;&lt;year&gt;2012&lt;/year&gt;&lt;/dates&gt;&lt;publisher&gt;National Institute for Health and Care Excellence&lt;/publisher&gt;&lt;urls&gt;&lt;related-urls&gt;&lt;url&gt;https://www.nice.org.uk/guidance/qs23&lt;/url&gt;&lt;/related-urls&gt;&lt;/urls&gt;&lt;access-date&gt;26 July 2021&lt;/access-date&gt;&lt;/record&gt;&lt;/Cite&gt;&lt;Cite&gt;&lt;Author&gt;NICE&lt;/Author&gt;&lt;Year&gt;2011&lt;/Year&gt;&lt;RecNum&gt;67&lt;/RecNum&gt;&lt;record&gt;&lt;rec-number&gt;67&lt;/rec-number&gt;&lt;foreign-keys&gt;&lt;key app="EN" db-id="ffzvr5fstavwxoe9v04xf0wmp5t50as52da0" timestamp="1731671640" guid="c97eb53b-6da7-41ca-8404-699def5d2c78"&gt;67&lt;/key&gt;&lt;/foreign-keys&gt;&lt;ref-type name="Report"&gt;27&lt;/ref-type&gt;&lt;contributors&gt;&lt;authors&gt;&lt;author&gt;NICE&lt;/author&gt;&lt;/authors&gt;&lt;/contributors&gt;&lt;titles&gt;&lt;title&gt;Alcohol-use disorders: Diagnosis, assessment and management of harmful drinking (high-risk drinking) and alcohol dependence. Clinical Guideline (CG115).&lt;/title&gt;&lt;/titles&gt;&lt;dates&gt;&lt;year&gt;2011&lt;/year&gt;&lt;/dates&gt;&lt;publisher&gt;National Institute for Health and Care Excellence&lt;/publisher&gt;&lt;urls&gt;&lt;related-urls&gt;&lt;url&gt;https://www.nice.org.uk/guidance/cg115&lt;/url&gt;&lt;/related-urls&gt;&lt;/urls&gt;&lt;access-date&gt;26 July 2021&lt;/access-date&gt;&lt;/record&gt;&lt;/Cite&gt;&lt;/EndNote&gt;</w:instrText>
      </w:r>
      <w:r w:rsidR="003907D3">
        <w:rPr>
          <w:rStyle w:val="normaltextrun"/>
          <w:color w:val="000000"/>
          <w:shd w:val="clear" w:color="auto" w:fill="E1E3E6"/>
        </w:rPr>
        <w:fldChar w:fldCharType="separate"/>
      </w:r>
      <w:r w:rsidR="00A77498">
        <w:rPr>
          <w:rStyle w:val="normaltextrun"/>
          <w:noProof/>
          <w:color w:val="000000"/>
          <w:shd w:val="clear" w:color="auto" w:fill="E1E3E6"/>
        </w:rPr>
        <w:t>(NICE, 2011, 2012a)</w:t>
      </w:r>
      <w:r w:rsidR="003907D3">
        <w:rPr>
          <w:rStyle w:val="normaltextrun"/>
          <w:color w:val="000000"/>
          <w:shd w:val="clear" w:color="auto" w:fill="E1E3E6"/>
        </w:rPr>
        <w:fldChar w:fldCharType="end"/>
      </w:r>
      <w:r w:rsidR="003907D3">
        <w:rPr>
          <w:rStyle w:val="normaltextrun"/>
        </w:rPr>
        <w:t xml:space="preserve"> in outpatient and residential/ inpatient settings. </w:t>
      </w:r>
      <w:r w:rsidR="00A95E85" w:rsidRPr="00A95E85">
        <w:rPr>
          <w:rStyle w:val="normaltextrun"/>
        </w:rPr>
        <w:t xml:space="preserve">Alongside </w:t>
      </w:r>
      <w:r>
        <w:rPr>
          <w:rStyle w:val="normaltextrun"/>
        </w:rPr>
        <w:t xml:space="preserve">specialist </w:t>
      </w:r>
      <w:r w:rsidR="00A95E85" w:rsidRPr="00A95E85">
        <w:rPr>
          <w:rStyle w:val="normaltextrun"/>
        </w:rPr>
        <w:t xml:space="preserve">treatment, </w:t>
      </w:r>
      <w:r w:rsidR="00A95E85" w:rsidRPr="00A95E85">
        <w:t xml:space="preserve">parents should be able to access a wide range of targeted prevention from within the treatment system to enhance their recovery capital, from support with housing and employment to activities specific to improving parenting skills and familial relationships (known as ‘parenting and/or family recovery support’). Another form of targeted prevention is ‘early help’ provided by children and family services (viz. children’s centres or Family Hubs) which are a level above universal access to ‘early help’ and below the threshold of statutory child welfare interventions such as child protection </w:t>
      </w:r>
      <w:r w:rsidR="00A95E85" w:rsidRPr="00A95E85">
        <w:fldChar w:fldCharType="begin"/>
      </w:r>
      <w:r w:rsidR="00B9334F">
        <w:instrText xml:space="preserve"> ADDIN EN.CITE &lt;EndNote&gt;&lt;Cite&gt;&lt;Author&gt;Children&amp;apos;s Commissioner&lt;/Author&gt;&lt;Year&gt;2024&lt;/Year&gt;&lt;RecNum&gt;239&lt;/RecNum&gt;&lt;DisplayText&gt;(Children&amp;apos;s Commissioner, 2024)&lt;/DisplayText&gt;&lt;record&gt;&lt;rec-number&gt;239&lt;/rec-number&gt;&lt;foreign-keys&gt;&lt;key app="EN" db-id="ffzvr5fstavwxoe9v04xf0wmp5t50as52da0" timestamp="1731671651" guid="6cd19cd3-46d4-4e03-9f40-5ed0167de54d"&gt;239&lt;/key&gt;&lt;/foreign-keys&gt;&lt;ref-type name="Electronic Article"&gt;43&lt;/ref-type&gt;&lt;contributors&gt;&lt;authors&gt;&lt;author&gt;Children&amp;apos;s Commissioner,&lt;/author&gt;&lt;/authors&gt;&lt;/contributors&gt;&lt;titles&gt;&lt;title&gt;Children on child in need plans&lt;/title&gt;&lt;/titles&gt;&lt;dates&gt;&lt;year&gt;2024&lt;/year&gt;&lt;pub-dates&gt;&lt;date&gt;01/04/2024&lt;/date&gt;&lt;/pub-dates&gt;&lt;/dates&gt;&lt;pub-location&gt;London&lt;/pub-location&gt;&lt;publisher&gt;Office for the Children&amp;apos;s Commissioner,&lt;/publisher&gt;&lt;urls&gt;&lt;related-urls&gt;&lt;url&gt;https://assets.childrenscommissioner.gov.uk/wpuploads/2024/03/Childreninneedreport.pdf&lt;/url&gt;&lt;/related-urls&gt;&lt;/urls&gt;&lt;/record&gt;&lt;/Cite&gt;&lt;/EndNote&gt;</w:instrText>
      </w:r>
      <w:r w:rsidR="00A95E85" w:rsidRPr="00A95E85">
        <w:fldChar w:fldCharType="separate"/>
      </w:r>
      <w:r w:rsidR="00A95E85" w:rsidRPr="00A95E85">
        <w:rPr>
          <w:noProof/>
        </w:rPr>
        <w:t>(Children's Commissioner, 2024)</w:t>
      </w:r>
      <w:r w:rsidR="00A95E85" w:rsidRPr="00A95E85">
        <w:fldChar w:fldCharType="end"/>
      </w:r>
      <w:r w:rsidR="00A95E85" w:rsidRPr="00A95E85">
        <w:t>.</w:t>
      </w:r>
      <w:r w:rsidR="00A95E85" w:rsidRPr="00EC60E1">
        <w:rPr>
          <w:i/>
          <w:iCs/>
        </w:rPr>
        <w:t xml:space="preserve"> </w:t>
      </w:r>
    </w:p>
    <w:p w14:paraId="5D7444B0" w14:textId="77777777" w:rsidR="00A95E85" w:rsidRPr="00A95E85" w:rsidRDefault="00A95E85" w:rsidP="003907D3">
      <w:pPr>
        <w:pStyle w:val="NoSpacing"/>
        <w:spacing w:line="360" w:lineRule="auto"/>
        <w:rPr>
          <w:i/>
          <w:iCs/>
        </w:rPr>
      </w:pPr>
    </w:p>
    <w:p w14:paraId="569ADA63" w14:textId="4A260D02" w:rsidR="003907D3" w:rsidRDefault="003907D3" w:rsidP="003907D3">
      <w:pPr>
        <w:pStyle w:val="NoSpacing"/>
        <w:spacing w:line="360" w:lineRule="auto"/>
        <w:rPr>
          <w:rStyle w:val="normaltextrun"/>
          <w:color w:val="000000"/>
          <w:shd w:val="clear" w:color="auto" w:fill="FFFFFF"/>
        </w:rPr>
      </w:pPr>
      <w:r>
        <w:t xml:space="preserve">While treatment in England has been shown to be effective in reducing substance use and related problems </w:t>
      </w:r>
      <w:r>
        <w:fldChar w:fldCharType="begin">
          <w:fldData xml:space="preserve">PEVuZE5vdGU+PENpdGU+PEF1dGhvcj5FYXN0d29vZDwvQXV0aG9yPjxZZWFyPjIwMTg8L1llYXI+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</w:fldData>
        </w:fldChar>
      </w:r>
      <w:r w:rsidR="00B9334F">
        <w:instrText xml:space="preserve"> ADDIN EN.CITE </w:instrText>
      </w:r>
      <w:r w:rsidR="00B9334F">
        <w:fldChar w:fldCharType="begin">
          <w:fldData xml:space="preserve">PEVuZE5vdGU+PENpdGU+PEF1dGhvcj5FYXN0d29vZDwvQXV0aG9yPjxZZWFyPjIwMTg8L1llYXI+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</w:fldData>
        </w:fldChar>
      </w:r>
      <w:r w:rsidR="00B9334F">
        <w:instrText xml:space="preserve"> ADDIN EN.CITE.DATA </w:instrText>
      </w:r>
      <w:r w:rsidR="00B9334F">
        <w:fldChar w:fldCharType="end"/>
      </w:r>
      <w:r>
        <w:fldChar w:fldCharType="separate"/>
      </w:r>
      <w:r w:rsidR="003C6F70">
        <w:rPr>
          <w:noProof/>
        </w:rPr>
        <w:t>(Eastwood et al., 2018; Eastwood et al., 2017; Marsden et al., 2009; Marsden et al., 2012; Peacock et al., 2018; Willey et al., 2016)</w:t>
      </w:r>
      <w:r>
        <w:fldChar w:fldCharType="end"/>
      </w:r>
      <w:r>
        <w:t xml:space="preserve">, little attention has been paid to the different support needs of parents with SUD and their families. One </w:t>
      </w:r>
      <w:r>
        <w:rPr>
          <w:rStyle w:val="normaltextrun"/>
          <w:color w:val="000000"/>
          <w:shd w:val="clear" w:color="auto" w:fill="FFFFFF"/>
        </w:rPr>
        <w:t>previous analysis of the English National Drug Treatment Monitoring System (NDTMS) dataset suggested that parents who did not live with their children were more socioeconomically disadvantaged than those who did and were less likely to successfully complete treatment</w:t>
      </w:r>
      <w:r>
        <w:rPr>
          <w:rStyle w:val="normaltextrun"/>
          <w:color w:val="000000"/>
          <w:shd w:val="clear" w:color="auto" w:fill="E1E3E6"/>
        </w:rPr>
        <w:t xml:space="preserve"> </w:t>
      </w:r>
      <w:r>
        <w:rPr>
          <w:rStyle w:val="normaltextrun"/>
          <w:color w:val="000000"/>
          <w:shd w:val="clear" w:color="auto" w:fill="E1E3E6"/>
        </w:rPr>
        <w:fldChar w:fldCharType="begin"/>
      </w:r>
      <w:r w:rsidR="00B9334F">
        <w:rPr>
          <w:rStyle w:val="normaltextrun"/>
          <w:color w:val="000000"/>
          <w:shd w:val="clear" w:color="auto" w:fill="E1E3E6"/>
        </w:rPr>
        <w:instrText xml:space="preserve"> ADDIN EN.CITE &lt;EndNote&gt;&lt;Cite&gt;&lt;Author&gt;Meier&lt;/Author&gt;&lt;Year&gt;2004&lt;/Year&gt;&lt;RecNum&gt;39&lt;/RecNum&gt;&lt;DisplayText&gt;(Meier et al., 2004)&lt;/DisplayText&gt;&lt;record&gt;&lt;rec-number&gt;39&lt;/rec-number&gt;&lt;foreign-keys&gt;&lt;key app="EN" db-id="ffzvr5fstavwxoe9v04xf0wmp5t50as52da0" timestamp="1731671638" guid="be88e944-fa4d-41a7-bde6-f2d4f33ef6f4"&gt;39&lt;/key&gt;&lt;/foreign-keys&gt;&lt;ref-type name="Journal Article"&gt;17&lt;/ref-type&gt;&lt;contributors&gt;&lt;authors&gt;&lt;author&gt;Meier, P. S.&lt;/author&gt;&lt;author&gt;Donmall, M. C.&lt;/author&gt;&lt;author&gt;McElduff, P.&lt;/author&gt;&lt;/authors&gt;&lt;/contributors&gt;&lt;auth-address&gt;National Drug Evidence Centre, School of Epidemiology and Health Scineces, University of Manchester, UK. petra.meier@man.ac.uk&lt;/auth-address&gt;&lt;titles&gt;&lt;title&gt;Characteristics of drug users who do or do not have care of their children&lt;/title&gt;&lt;secondary-title&gt;Addiction&lt;/secondary-title&gt;&lt;/titles&gt;&lt;periodical&gt;&lt;full-title&gt;Addiction&lt;/full-title&gt;&lt;/periodical&gt;&lt;pages&gt;955-61&lt;/pages&gt;&lt;volume&gt;99&lt;/volume&gt;&lt;number&gt;8&lt;/number&gt;&lt;edition&gt;2004/07/22&lt;/edition&gt;&lt;keywords&gt;&lt;keyword&gt;Adult&lt;/keyword&gt;&lt;keyword&gt;Child&lt;/keyword&gt;&lt;keyword&gt;Child of Impaired Parents/*statistics &amp;amp; numerical data&lt;/keyword&gt;&lt;keyword&gt;England/epidemiology&lt;/keyword&gt;&lt;keyword&gt;Female&lt;/keyword&gt;&lt;keyword&gt;Humans&lt;/keyword&gt;&lt;keyword&gt;Male&lt;/keyword&gt;&lt;keyword&gt;Odds Ratio&lt;/keyword&gt;&lt;keyword&gt;*Parenting&lt;/keyword&gt;&lt;keyword&gt;Substance-Related Disorders/*epidemiology/psychology&lt;/keyword&gt;&lt;keyword&gt;Wales/epidemiology&lt;/keyword&gt;&lt;/keywords&gt;&lt;dates&gt;&lt;year&gt;2004&lt;/year&gt;&lt;pub-dates&gt;&lt;date&gt;Aug&lt;/date&gt;&lt;/pub-dates&gt;&lt;/dates&gt;&lt;isbn&gt;0965-2140 (Print)&amp;#xD;0965-2140&lt;/isbn&gt;&lt;accession-num&gt;15265092&lt;/accession-num&gt;&lt;urls&gt;&lt;/urls&gt;&lt;electronic-resource-num&gt;10.1111/j.1360-0443.2004.00786.x&lt;/electronic-resource-num&gt;&lt;remote-database-provider&gt;NLM&lt;/remote-database-provider&gt;&lt;language&gt;eng&lt;/language&gt;&lt;/record&gt;&lt;/Cite&gt;&lt;/EndNote&gt;</w:instrText>
      </w:r>
      <w:r>
        <w:rPr>
          <w:rStyle w:val="normaltextrun"/>
          <w:color w:val="000000"/>
          <w:shd w:val="clear" w:color="auto" w:fill="E1E3E6"/>
        </w:rPr>
        <w:fldChar w:fldCharType="separate"/>
      </w:r>
      <w:r w:rsidR="00A77498">
        <w:rPr>
          <w:rStyle w:val="normaltextrun"/>
          <w:noProof/>
          <w:color w:val="000000"/>
          <w:shd w:val="clear" w:color="auto" w:fill="E1E3E6"/>
        </w:rPr>
        <w:t>(Meier et al., 2004)</w:t>
      </w:r>
      <w:r>
        <w:rPr>
          <w:rStyle w:val="normaltextrun"/>
          <w:color w:val="000000"/>
          <w:shd w:val="clear" w:color="auto" w:fill="E1E3E6"/>
        </w:rPr>
        <w:fldChar w:fldCharType="end"/>
      </w:r>
      <w:r>
        <w:rPr>
          <w:rStyle w:val="normaltextrun"/>
          <w:color w:val="000000"/>
          <w:shd w:val="clear" w:color="auto" w:fill="FFFFFF"/>
        </w:rPr>
        <w:t>. </w:t>
      </w:r>
    </w:p>
    <w:p w14:paraId="0DB8E614" w14:textId="77777777" w:rsidR="003907D3" w:rsidRDefault="003907D3" w:rsidP="003907D3">
      <w:pPr>
        <w:pStyle w:val="NoSpacing"/>
        <w:spacing w:line="360" w:lineRule="auto"/>
        <w:rPr>
          <w:rStyle w:val="normaltextrun"/>
          <w:color w:val="000000"/>
          <w:shd w:val="clear" w:color="auto" w:fill="FFFFFF"/>
        </w:rPr>
      </w:pPr>
    </w:p>
    <w:p w14:paraId="095F4624" w14:textId="45C4CF83" w:rsidR="003907D3" w:rsidRDefault="003907D3" w:rsidP="003907D3">
      <w:pPr>
        <w:pStyle w:val="NoSpacing"/>
        <w:spacing w:line="360" w:lineRule="auto"/>
      </w:pPr>
      <w:r>
        <w:t>R</w:t>
      </w:r>
      <w:r>
        <w:rPr>
          <w:rStyle w:val="normaltextrun"/>
        </w:rPr>
        <w:t>eviews of the international literature suggest that programmes</w:t>
      </w:r>
      <w:r w:rsidR="008D206C">
        <w:rPr>
          <w:rStyle w:val="normaltextrun"/>
        </w:rPr>
        <w:t xml:space="preserve"> </w:t>
      </w:r>
      <w:r w:rsidR="00756F37">
        <w:rPr>
          <w:rStyle w:val="normaltextrun"/>
        </w:rPr>
        <w:t>aimed at improv</w:t>
      </w:r>
      <w:r w:rsidR="007E4E85">
        <w:rPr>
          <w:rStyle w:val="normaltextrun"/>
        </w:rPr>
        <w:t>ing</w:t>
      </w:r>
      <w:r w:rsidR="00756F37">
        <w:rPr>
          <w:rStyle w:val="normaltextrun"/>
        </w:rPr>
        <w:t xml:space="preserve"> parenting and </w:t>
      </w:r>
      <w:r w:rsidR="008D206C">
        <w:rPr>
          <w:rStyle w:val="normaltextrun"/>
        </w:rPr>
        <w:t>family functioning</w:t>
      </w:r>
      <w:r>
        <w:rPr>
          <w:rStyle w:val="normaltextrun"/>
        </w:rPr>
        <w:t xml:space="preserve"> may be </w:t>
      </w:r>
      <w:r w:rsidRPr="00BF5B52">
        <w:rPr>
          <w:rStyle w:val="normaltextrun"/>
        </w:rPr>
        <w:t>effective</w:t>
      </w:r>
      <w:r>
        <w:rPr>
          <w:rStyle w:val="normaltextrun"/>
        </w:rPr>
        <w:t xml:space="preserve"> in reducing substance use</w:t>
      </w:r>
      <w:r w:rsidRPr="00BF5B52">
        <w:rPr>
          <w:rStyle w:val="normaltextrun"/>
        </w:rPr>
        <w:t xml:space="preserve"> </w:t>
      </w:r>
      <w:r>
        <w:rPr>
          <w:rStyle w:val="normaltextrun"/>
        </w:rPr>
        <w:t>when coupled with SUD treatment, however</w:t>
      </w:r>
      <w:r w:rsidR="003C7677">
        <w:rPr>
          <w:rStyle w:val="normaltextrun"/>
        </w:rPr>
        <w:t>,</w:t>
      </w:r>
      <w:r>
        <w:rPr>
          <w:rStyle w:val="normaltextrun"/>
        </w:rPr>
        <w:t xml:space="preserve"> more evidence is required to have confidence in findings </w:t>
      </w:r>
      <w:r w:rsidRPr="00BF5B52">
        <w:rPr>
          <w:rStyle w:val="normaltextrun"/>
        </w:rPr>
        <w:fldChar w:fldCharType="begin">
          <w:fldData xml:space="preserve">PEVuZE5vdGU+PENpdGU+PEF1dGhvcj5NY0dvdmVybjwvQXV0aG9yPjxZZWFyPjIwMjE8L1llYXI+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=
</w:fldData>
        </w:fldChar>
      </w:r>
      <w:r w:rsidR="00B9334F">
        <w:rPr>
          <w:rStyle w:val="normaltextrun"/>
        </w:rPr>
        <w:instrText xml:space="preserve"> ADDIN EN.CITE </w:instrText>
      </w:r>
      <w:r w:rsidR="00B9334F">
        <w:rPr>
          <w:rStyle w:val="normaltextrun"/>
        </w:rPr>
        <w:fldChar w:fldCharType="begin">
          <w:fldData xml:space="preserve">PEVuZE5vdGU+PENpdGU+PEF1dGhvcj5NY0dvdmVybjwvQXV0aG9yPjxZZWFyPjIwMjE8L1llYXI+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=
</w:fldData>
        </w:fldChar>
      </w:r>
      <w:r w:rsidR="00B9334F">
        <w:rPr>
          <w:rStyle w:val="normaltextrun"/>
        </w:rPr>
        <w:instrText xml:space="preserve"> ADDIN EN.CITE.DATA </w:instrText>
      </w:r>
      <w:r w:rsidR="00B9334F">
        <w:rPr>
          <w:rStyle w:val="normaltextrun"/>
        </w:rPr>
      </w:r>
      <w:r w:rsidR="00B9334F">
        <w:rPr>
          <w:rStyle w:val="normaltextrun"/>
        </w:rPr>
        <w:fldChar w:fldCharType="end"/>
      </w:r>
      <w:r w:rsidRPr="00BF5B52">
        <w:rPr>
          <w:rStyle w:val="normaltextrun"/>
        </w:rPr>
      </w:r>
      <w:r w:rsidRPr="00BF5B52">
        <w:rPr>
          <w:rStyle w:val="normaltextrun"/>
        </w:rPr>
        <w:fldChar w:fldCharType="separate"/>
      </w:r>
      <w:r w:rsidR="002A536E">
        <w:rPr>
          <w:rStyle w:val="normaltextrun"/>
          <w:noProof/>
        </w:rPr>
        <w:t>(El-Banna et al., 2021; McGovern et al., 2021; Murphy et al., 2017)</w:t>
      </w:r>
      <w:r w:rsidRPr="00BF5B52">
        <w:rPr>
          <w:rStyle w:val="normaltextrun"/>
        </w:rPr>
        <w:fldChar w:fldCharType="end"/>
      </w:r>
      <w:r w:rsidR="00B07D67">
        <w:rPr>
          <w:rStyle w:val="normaltextrun"/>
        </w:rPr>
        <w:t>.</w:t>
      </w:r>
      <w:r w:rsidR="0039556E">
        <w:rPr>
          <w:rStyle w:val="normaltextrun"/>
        </w:rPr>
        <w:t xml:space="preserve"> </w:t>
      </w:r>
      <w:r w:rsidR="0039556E">
        <w:t>M</w:t>
      </w:r>
      <w:r>
        <w:t>ost studies o</w:t>
      </w:r>
      <w:r w:rsidR="0039556E">
        <w:t>n the</w:t>
      </w:r>
      <w:r>
        <w:t xml:space="preserve"> effectiveness </w:t>
      </w:r>
      <w:r w:rsidR="0039556E">
        <w:t xml:space="preserve">of interventions for parents </w:t>
      </w:r>
      <w:r>
        <w:t>are from the US where drug consumption, treatment and</w:t>
      </w:r>
      <w:r w:rsidRPr="00056E69">
        <w:t xml:space="preserve"> child welfare systems </w:t>
      </w:r>
      <w:r>
        <w:t xml:space="preserve">are notably different from England </w:t>
      </w:r>
      <w:r w:rsidRPr="00056E69">
        <w:fldChar w:fldCharType="begin">
          <w:fldData xml:space="preserve">PEVuZE5vdGU+PENpdGU+PEF1dGhvcj5HaWZmb3JkPC9BdXRob3I+PFllYXI+MjAxNDwvWWVhcj48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</w:fldData>
        </w:fldChar>
      </w:r>
      <w:r w:rsidR="00B9334F">
        <w:instrText xml:space="preserve"> ADDIN EN.CITE </w:instrText>
      </w:r>
      <w:r w:rsidR="00B9334F">
        <w:fldChar w:fldCharType="begin">
          <w:fldData xml:space="preserve">PEVuZE5vdGU+PENpdGU+PEF1dGhvcj5HaWZmb3JkPC9BdXRob3I+PFllYXI+MjAxNDwvWWVhcj48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</w:fldData>
        </w:fldChar>
      </w:r>
      <w:r w:rsidR="00B9334F">
        <w:instrText xml:space="preserve"> ADDIN EN.CITE.DATA </w:instrText>
      </w:r>
      <w:r w:rsidR="00B9334F">
        <w:fldChar w:fldCharType="end"/>
      </w:r>
      <w:r w:rsidRPr="00056E69">
        <w:fldChar w:fldCharType="separate"/>
      </w:r>
      <w:r w:rsidR="003C6F70">
        <w:rPr>
          <w:noProof/>
        </w:rPr>
        <w:t>(Forrester &amp; Harwin, 2006; Gifford et al., 2014; McGovern et al., 2021)</w:t>
      </w:r>
      <w:r w:rsidRPr="00056E69">
        <w:fldChar w:fldCharType="end"/>
      </w:r>
      <w:r>
        <w:t xml:space="preserve">. The parental outcomes reported </w:t>
      </w:r>
      <w:r w:rsidR="0098388E">
        <w:t>often</w:t>
      </w:r>
      <w:r>
        <w:t xml:space="preserve"> focus on successful treatment completion</w:t>
      </w:r>
      <w:r w:rsidR="00787134">
        <w:t xml:space="preserve"> or reduction in substance use</w:t>
      </w:r>
      <w:r>
        <w:t xml:space="preserve"> for mothers only. For children, commonly used outcome</w:t>
      </w:r>
      <w:r w:rsidR="008437DD">
        <w:t>s</w:t>
      </w:r>
      <w:r>
        <w:t xml:space="preserve"> </w:t>
      </w:r>
      <w:r w:rsidR="008437DD">
        <w:t>are</w:t>
      </w:r>
      <w:r>
        <w:t xml:space="preserve"> familial </w:t>
      </w:r>
      <w:r w:rsidRPr="00925EA9">
        <w:t xml:space="preserve">reunification </w:t>
      </w:r>
      <w:r>
        <w:t xml:space="preserve">or permanency, which is only relevant to children removed from their primary caregiver because of high safeguarding risks i.e. families with the most complex support needs receiving the most extreme child welfare strategy. Most children of parents receiving treatment in England do not fall into this category </w:t>
      </w:r>
      <w:r>
        <w:rPr>
          <w:rStyle w:val="normaltextrun"/>
        </w:rPr>
        <w:fldChar w:fldCharType="begin"/>
      </w:r>
      <w:r w:rsidR="00B9334F">
        <w:rPr>
          <w:rStyle w:val="normaltextrun"/>
        </w:rPr>
        <w:instrText xml:space="preserve"> ADDIN EN.CITE &lt;EndNote&gt;&lt;Cite&gt;&lt;Author&gt;Musto Wright&lt;/Author&gt;&lt;Year&gt;2024&lt;/Year&gt;&lt;RecNum&gt;278&lt;/RecNum&gt;&lt;DisplayText&gt;(Musto Wright et al., 2024a)&lt;/DisplayText&gt;&lt;record&gt;&lt;rec-number&gt;278&lt;/rec-number&gt;&lt;foreign-keys&gt;&lt;key app="EN" db-id="ffzvr5fstavwxoe9v04xf0wmp5t50as52da0" timestamp="1731671654" guid="a1defd86-bf13-46f7-99c1-13d00def814c"&gt;278&lt;/key&gt;&lt;/foreign-keys&gt;&lt;ref-type name="Journal Article"&gt;17&lt;/ref-type&gt;&lt;contributors&gt;&lt;authors&gt;&lt;author&gt;Musto Wright, V.,&lt;/author&gt;&lt;author&gt;Eastwood, B.,&lt;/author&gt;&lt;author&gt;Meier, P.,&lt;/author&gt;&lt;author&gt;Brennan, A.,&lt;/author&gt;&lt;/authors&gt;&lt;/contributors&gt;&lt;titles&gt;&lt;title&gt;Characteristics of parents who use substances, receive specialist treatment and child welfare support in England&lt;/title&gt;&lt;secondary-title&gt;Manuscript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rPr>
          <w:rStyle w:val="normaltextrun"/>
        </w:rPr>
        <w:fldChar w:fldCharType="separate"/>
      </w:r>
      <w:r w:rsidR="00A77498">
        <w:rPr>
          <w:rStyle w:val="normaltextrun"/>
          <w:noProof/>
        </w:rPr>
        <w:t>(Musto Wright et al., 2024a)</w:t>
      </w:r>
      <w:r>
        <w:rPr>
          <w:rStyle w:val="normaltextrun"/>
        </w:rPr>
        <w:fldChar w:fldCharType="end"/>
      </w:r>
      <w:r>
        <w:t xml:space="preserve">. </w:t>
      </w:r>
    </w:p>
    <w:p w14:paraId="27128163" w14:textId="77777777" w:rsidR="003907D3" w:rsidRDefault="003907D3" w:rsidP="003907D3">
      <w:pPr>
        <w:pStyle w:val="NoSpacing"/>
        <w:spacing w:line="360" w:lineRule="auto"/>
      </w:pPr>
    </w:p>
    <w:p w14:paraId="0BFA702F" w14:textId="7AAADA3B" w:rsidR="003907D3" w:rsidRDefault="003907D3" w:rsidP="003907D3">
      <w:pPr>
        <w:pStyle w:val="NoSpacing"/>
        <w:spacing w:line="360" w:lineRule="auto"/>
      </w:pPr>
      <w:r>
        <w:t xml:space="preserve">The literature also shows that fathers tend to be excluded from interventions </w:t>
      </w:r>
      <w:r>
        <w:fldChar w:fldCharType="begin">
          <w:fldData xml:space="preserve">PEVuZE5vdGU+PENpdGU+PEF1dGhvcj5XaGl0dGFrZXI8L0F1dGhvcj48WWVhcj4yMDIyPC9ZZWFy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</w:fldData>
        </w:fldChar>
      </w:r>
      <w:r w:rsidR="00B9334F">
        <w:instrText xml:space="preserve"> ADDIN EN.CITE </w:instrText>
      </w:r>
      <w:r w:rsidR="00B9334F">
        <w:fldChar w:fldCharType="begin">
          <w:fldData xml:space="preserve">PEVuZE5vdGU+PENpdGU+PEF1dGhvcj5XaGl0dGFrZXI8L0F1dGhvcj48WWVhcj4yMDIyPC9ZZWFy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</w:fldData>
        </w:fldChar>
      </w:r>
      <w:r w:rsidR="00B9334F">
        <w:instrText xml:space="preserve"> ADDIN EN.CITE.DATA </w:instrText>
      </w:r>
      <w:r w:rsidR="00B9334F">
        <w:fldChar w:fldCharType="end"/>
      </w:r>
      <w:r>
        <w:fldChar w:fldCharType="separate"/>
      </w:r>
      <w:r w:rsidR="003C6F70">
        <w:rPr>
          <w:noProof/>
        </w:rPr>
        <w:t>(Maxwell et al., 2012; McGovern et al., 2023; Perez-Vaisvidovsky et al., 2023; Stover et al., 2018; Whittaker et al., 2022)</w:t>
      </w:r>
      <w:r>
        <w:fldChar w:fldCharType="end"/>
      </w:r>
      <w:r>
        <w:t xml:space="preserve">, despite most people receiving treatment for SUD being male, and paternal SUD being associated with poor child outcomes </w:t>
      </w:r>
      <w:r>
        <w:fldChar w:fldCharType="begin">
          <w:fldData xml:space="preserve">PEVuZE5vdGU+PENpdGU+PEF1dGhvcj5NY0dvdmVybjwvQXV0aG9yPjxZZWFyPjIwMjM8L1llYXI+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</w:fldData>
        </w:fldChar>
      </w:r>
      <w:r w:rsidR="00B9334F">
        <w:instrText xml:space="preserve"> ADDIN EN.CITE </w:instrText>
      </w:r>
      <w:r w:rsidR="00B9334F">
        <w:fldChar w:fldCharType="begin">
          <w:fldData xml:space="preserve">PEVuZE5vdGU+PENpdGU+PEF1dGhvcj5NY0dvdmVybjwvQXV0aG9yPjxZZWFyPjIwMjM8L1llYXI+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</w:fldData>
        </w:fldChar>
      </w:r>
      <w:r w:rsidR="00B9334F">
        <w:instrText xml:space="preserve"> ADDIN EN.CITE.DATA </w:instrText>
      </w:r>
      <w:r w:rsidR="00B9334F">
        <w:fldChar w:fldCharType="end"/>
      </w:r>
      <w:r>
        <w:fldChar w:fldCharType="separate"/>
      </w:r>
      <w:r w:rsidR="003C6F70">
        <w:rPr>
          <w:noProof/>
        </w:rPr>
        <w:t>(Maxwell et al., 2012; McGovern et al., 2023)</w:t>
      </w:r>
      <w:r>
        <w:fldChar w:fldCharType="end"/>
      </w:r>
      <w:r>
        <w:t xml:space="preserve">. Evidence suggests that some fathers may welcome and benefit from intervention, even though engagement with services can be challenging </w:t>
      </w:r>
      <w:r>
        <w:fldChar w:fldCharType="begin">
          <w:fldData xml:space="preserve">PEVuZE5vdGU+PENpdGU+PEF1dGhvcj5NYXh3ZWxsPC9BdXRob3I+PFllYXI+MjAxMjwvWWVhcj48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</w:fldData>
        </w:fldChar>
      </w:r>
      <w:r w:rsidR="0042328C">
        <w:instrText xml:space="preserve"> ADDIN EN.CITE </w:instrText>
      </w:r>
      <w:r w:rsidR="0042328C">
        <w:fldChar w:fldCharType="begin">
          <w:fldData xml:space="preserve">PEVuZE5vdGU+PENpdGU+PEF1dGhvcj5NYXh3ZWxsPC9BdXRob3I+PFllYXI+MjAxMjwvWWVhcj48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</w:fldData>
        </w:fldChar>
      </w:r>
      <w:r w:rsidR="0042328C">
        <w:instrText xml:space="preserve"> ADDIN EN.CITE.DATA </w:instrText>
      </w:r>
      <w:r w:rsidR="0042328C">
        <w:fldChar w:fldCharType="end"/>
      </w:r>
      <w:r>
        <w:fldChar w:fldCharType="separate"/>
      </w:r>
      <w:r w:rsidR="0042328C">
        <w:rPr>
          <w:noProof/>
        </w:rPr>
        <w:t>(Maxwell et al., 2012; Rubenstein &amp; Stover, 2016; Stover, 2015; Stover et al., 2019a)</w:t>
      </w:r>
      <w:r>
        <w:fldChar w:fldCharType="end"/>
      </w:r>
      <w:r>
        <w:t xml:space="preserve">. A UK feasibility study for the Parents Under Pressure parenting programme for opioid using fathers (PUP4Dads) has also reported promising </w:t>
      </w:r>
      <w:r>
        <w:lastRenderedPageBreak/>
        <w:t xml:space="preserve">outcomes in terms of SUD reduction and father-child relationships </w:t>
      </w:r>
      <w:r>
        <w:fldChar w:fldCharType="begin"/>
      </w:r>
      <w:r w:rsidR="00B9334F">
        <w:instrText xml:space="preserve"> ADDIN EN.CITE &lt;EndNote&gt;&lt;Cite&gt;&lt;Author&gt;Whittaker&lt;/Author&gt;&lt;Year&gt;2022&lt;/Year&gt;&lt;RecNum&gt;199&lt;/RecNum&gt;&lt;DisplayText&gt;(Whittaker et al., 2022)&lt;/DisplayText&gt;&lt;record&gt;&lt;rec-number&gt;199&lt;/rec-number&gt;&lt;foreign-keys&gt;&lt;key app="EN" db-id="ffzvr5fstavwxoe9v04xf0wmp5t50as52da0" timestamp="1731671648" guid="99de965e-4f33-4e36-be9a-a2b9a2307c41"&gt;199&lt;/key&gt;&lt;/foreign-keys&gt;&lt;ref-type name="Journal Article"&gt;17&lt;/ref-type&gt;&lt;contributors&gt;&lt;authors&gt;&lt;author&gt;Whittaker, Anne&lt;/author&gt;&lt;author&gt;Elliott, Lawrie&lt;/author&gt;&lt;author&gt;Taylor, Julie&lt;/author&gt;&lt;author&gt;Dawe, Sharon&lt;/author&gt;&lt;author&gt;Harnett, Paul&lt;/author&gt;&lt;author&gt;Stoddart, Andrew&lt;/author&gt;&lt;author&gt;Littlewood, Peter&lt;/author&gt;&lt;author&gt;Robertson, Roy&lt;/author&gt;&lt;author&gt;Farquharson, Barbara&lt;/author&gt;&lt;author&gt;Strachan, Heather&lt;/author&gt;&lt;/authors&gt;&lt;/contributors&gt;&lt;titles&gt;&lt;title&gt;The Parents under Pressure parenting programme for families with fathers receiving treatment for opioid dependence: the PuP4Dads feasibility study&lt;/title&gt;&lt;alt-title&gt;Public Health Res&lt;/alt-title&gt;&lt;/titles&gt;&lt;alt-periodical&gt;&lt;abbr-1&gt;Public Health Res&lt;/abbr-1&gt;&lt;/alt-periodical&gt;&lt;pages&gt;3&lt;/pages&gt;&lt;volume&gt;10&lt;/volume&gt;&lt;dates&gt;&lt;year&gt;2022&lt;/year&gt;&lt;/dates&gt;&lt;label&gt;1.&lt;/label&gt;&lt;urls&gt;&lt;related-urls&gt;&lt;url&gt;https://doi.org/10.3310/YOWK7214&lt;/url&gt;&lt;/related-urls&gt;&lt;/urls&gt;&lt;electronic-resource-num&gt;10.3310/YOWK7214&lt;/electronic-resource-num&gt;&lt;/record&gt;&lt;/Cite&gt;&lt;/EndNote&gt;</w:instrText>
      </w:r>
      <w:r>
        <w:fldChar w:fldCharType="separate"/>
      </w:r>
      <w:r w:rsidR="00A77498">
        <w:rPr>
          <w:noProof/>
        </w:rPr>
        <w:t>(Whittaker et al., 2022)</w:t>
      </w:r>
      <w:r>
        <w:fldChar w:fldCharType="end"/>
      </w:r>
      <w:r>
        <w:t xml:space="preserve">. </w:t>
      </w:r>
    </w:p>
    <w:p w14:paraId="21AE7DEA" w14:textId="77777777" w:rsidR="003907D3" w:rsidRDefault="003907D3" w:rsidP="003907D3">
      <w:pPr>
        <w:pStyle w:val="NoSpacing"/>
        <w:spacing w:line="360" w:lineRule="auto"/>
      </w:pPr>
    </w:p>
    <w:p w14:paraId="19FD3E2B" w14:textId="4ED014C2" w:rsidR="003907D3" w:rsidRDefault="003907D3" w:rsidP="003907D3">
      <w:pPr>
        <w:pStyle w:val="NoSpacing"/>
        <w:spacing w:line="360" w:lineRule="auto"/>
      </w:pPr>
      <w:r w:rsidRPr="009B13E6">
        <w:rPr>
          <w:rStyle w:val="normaltextrun"/>
          <w:shd w:val="clear" w:color="auto" w:fill="FFFFFF"/>
        </w:rPr>
        <w:t>Previous work by our research team analysed the National Drug</w:t>
      </w:r>
      <w:r>
        <w:rPr>
          <w:rStyle w:val="normaltextrun"/>
          <w:shd w:val="clear" w:color="auto" w:fill="FFFFFF"/>
        </w:rPr>
        <w:t xml:space="preserve"> [and alcohol]</w:t>
      </w:r>
      <w:r w:rsidRPr="009B13E6">
        <w:rPr>
          <w:rStyle w:val="normaltextrun"/>
          <w:shd w:val="clear" w:color="auto" w:fill="FFFFFF"/>
        </w:rPr>
        <w:t xml:space="preserve"> Treatment Monitoring </w:t>
      </w:r>
      <w:r w:rsidR="00E365E6">
        <w:rPr>
          <w:rStyle w:val="normaltextrun"/>
          <w:shd w:val="clear" w:color="auto" w:fill="FFFFFF"/>
        </w:rPr>
        <w:t>S</w:t>
      </w:r>
      <w:r w:rsidRPr="009B13E6">
        <w:rPr>
          <w:rStyle w:val="normaltextrun"/>
          <w:shd w:val="clear" w:color="auto" w:fill="FFFFFF"/>
        </w:rPr>
        <w:t xml:space="preserve">ystem </w:t>
      </w:r>
      <w:r w:rsidR="00E365E6">
        <w:rPr>
          <w:rStyle w:val="normaltextrun"/>
          <w:shd w:val="clear" w:color="auto" w:fill="FFFFFF"/>
        </w:rPr>
        <w:t xml:space="preserve">(NDTMS) </w:t>
      </w:r>
      <w:r w:rsidRPr="009B13E6">
        <w:rPr>
          <w:rStyle w:val="normaltextrun"/>
          <w:shd w:val="clear" w:color="auto" w:fill="FFFFFF"/>
        </w:rPr>
        <w:t xml:space="preserve">to explore </w:t>
      </w:r>
      <w:r w:rsidRPr="0AD58FC7">
        <w:rPr>
          <w:rStyle w:val="normaltextrun"/>
        </w:rPr>
        <w:t xml:space="preserve">characteristics of parents </w:t>
      </w:r>
      <w:r>
        <w:rPr>
          <w:rStyle w:val="normaltextrun"/>
        </w:rPr>
        <w:t xml:space="preserve">with SUD </w:t>
      </w:r>
      <w:r w:rsidRPr="0AD58FC7">
        <w:rPr>
          <w:rStyle w:val="normaltextrun"/>
        </w:rPr>
        <w:t xml:space="preserve">receiving specialist treatment and </w:t>
      </w:r>
      <w:r w:rsidR="00392FA8">
        <w:rPr>
          <w:rStyle w:val="normaltextrun"/>
        </w:rPr>
        <w:t>interventions aimed at promoting or safeguarding</w:t>
      </w:r>
      <w:r>
        <w:rPr>
          <w:rStyle w:val="normaltextrun"/>
        </w:rPr>
        <w:t xml:space="preserve"> </w:t>
      </w:r>
      <w:r w:rsidRPr="0AD58FC7">
        <w:rPr>
          <w:rStyle w:val="normaltextrun"/>
        </w:rPr>
        <w:t xml:space="preserve">child welfare in England </w:t>
      </w:r>
      <w:r>
        <w:rPr>
          <w:rStyle w:val="normaltextrun"/>
        </w:rPr>
        <w:fldChar w:fldCharType="begin"/>
      </w:r>
      <w:r w:rsidR="00B9334F">
        <w:rPr>
          <w:rStyle w:val="normaltextrun"/>
        </w:rPr>
        <w:instrText xml:space="preserve"> ADDIN EN.CITE &lt;EndNote&gt;&lt;Cite&gt;&lt;Author&gt;Musto Wright&lt;/Author&gt;&lt;Year&gt;2024&lt;/Year&gt;&lt;RecNum&gt;278&lt;/RecNum&gt;&lt;DisplayText&gt;(Musto Wright et al., 2024a)&lt;/DisplayText&gt;&lt;record&gt;&lt;rec-number&gt;278&lt;/rec-number&gt;&lt;foreign-keys&gt;&lt;key app="EN" db-id="ffzvr5fstavwxoe9v04xf0wmp5t50as52da0" timestamp="1731671654" guid="a1defd86-bf13-46f7-99c1-13d00def814c"&gt;278&lt;/key&gt;&lt;/foreign-keys&gt;&lt;ref-type name="Journal Article"&gt;17&lt;/ref-type&gt;&lt;contributors&gt;&lt;authors&gt;&lt;author&gt;Musto Wright, V.,&lt;/author&gt;&lt;author&gt;Eastwood, B.,&lt;/author&gt;&lt;author&gt;Meier, P.,&lt;/author&gt;&lt;author&gt;Brennan, A.,&lt;/author&gt;&lt;/authors&gt;&lt;/contributors&gt;&lt;titles&gt;&lt;title&gt;Characteristics of parents who use substances, receive specialist treatment and child welfare support in England&lt;/title&gt;&lt;secondary-title&gt;Manuscript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rPr>
          <w:rStyle w:val="normaltextrun"/>
        </w:rPr>
        <w:fldChar w:fldCharType="separate"/>
      </w:r>
      <w:r w:rsidR="00A77498">
        <w:rPr>
          <w:rStyle w:val="normaltextrun"/>
          <w:noProof/>
        </w:rPr>
        <w:t>(Musto Wright et al., 2024a)</w:t>
      </w:r>
      <w:r>
        <w:rPr>
          <w:rStyle w:val="normaltextrun"/>
        </w:rPr>
        <w:fldChar w:fldCharType="end"/>
      </w:r>
      <w:r w:rsidRPr="0AD58FC7">
        <w:rPr>
          <w:rStyle w:val="normaltextrun"/>
        </w:rPr>
        <w:t xml:space="preserve">. </w:t>
      </w:r>
      <w:r w:rsidRPr="001F5BCC">
        <w:rPr>
          <w:rStyle w:val="normaltextrun"/>
        </w:rPr>
        <w:t xml:space="preserve">This showed that </w:t>
      </w:r>
      <w:r w:rsidR="00AB7760">
        <w:rPr>
          <w:rStyle w:val="normaltextrun"/>
          <w:shd w:val="clear" w:color="auto" w:fill="FFFFFF"/>
        </w:rPr>
        <w:t>parenting and/or family</w:t>
      </w:r>
      <w:r w:rsidRPr="001F5BCC">
        <w:rPr>
          <w:rStyle w:val="normaltextrun"/>
          <w:shd w:val="clear" w:color="auto" w:fill="FFFFFF"/>
        </w:rPr>
        <w:t xml:space="preserve"> recovery support alongside </w:t>
      </w:r>
      <w:r w:rsidR="003F658B">
        <w:rPr>
          <w:rStyle w:val="normaltextrun"/>
          <w:shd w:val="clear" w:color="auto" w:fill="FFFFFF"/>
        </w:rPr>
        <w:t>t</w:t>
      </w:r>
      <w:r w:rsidRPr="001F5BCC">
        <w:rPr>
          <w:rStyle w:val="normaltextrun"/>
          <w:shd w:val="clear" w:color="auto" w:fill="FFFFFF"/>
        </w:rPr>
        <w:t>reatment</w:t>
      </w:r>
      <w:r w:rsidR="003F658B">
        <w:rPr>
          <w:rStyle w:val="normaltextrun"/>
          <w:shd w:val="clear" w:color="auto" w:fill="FFFFFF"/>
        </w:rPr>
        <w:t xml:space="preserve"> </w:t>
      </w:r>
      <w:r w:rsidRPr="001F5BCC">
        <w:rPr>
          <w:rStyle w:val="normaltextrun"/>
          <w:shd w:val="clear" w:color="auto" w:fill="FFFFFF"/>
        </w:rPr>
        <w:t>was associated with successful treatment completion</w:t>
      </w:r>
      <w:r>
        <w:rPr>
          <w:rStyle w:val="normaltextrun"/>
          <w:shd w:val="clear" w:color="auto" w:fill="FFFFFF"/>
        </w:rPr>
        <w:t xml:space="preserve"> for </w:t>
      </w:r>
      <w:r w:rsidR="009647D3">
        <w:rPr>
          <w:rStyle w:val="normaltextrun"/>
          <w:shd w:val="clear" w:color="auto" w:fill="FFFFFF"/>
        </w:rPr>
        <w:t>fathers</w:t>
      </w:r>
      <w:r>
        <w:rPr>
          <w:rStyle w:val="normaltextrun"/>
          <w:shd w:val="clear" w:color="auto" w:fill="FFFFFF"/>
        </w:rPr>
        <w:t xml:space="preserve"> and </w:t>
      </w:r>
      <w:r w:rsidR="00AB7760">
        <w:rPr>
          <w:rStyle w:val="normaltextrun"/>
          <w:shd w:val="clear" w:color="auto" w:fill="FFFFFF"/>
        </w:rPr>
        <w:t>mothers</w:t>
      </w:r>
      <w:r>
        <w:rPr>
          <w:rStyle w:val="normaltextrun"/>
          <w:shd w:val="clear" w:color="auto" w:fill="FFFFFF"/>
        </w:rPr>
        <w:t xml:space="preserve"> irrespective of child living arrangements</w:t>
      </w:r>
      <w:r w:rsidRPr="001F5BCC">
        <w:rPr>
          <w:rStyle w:val="normaltextrun"/>
          <w:shd w:val="clear" w:color="auto" w:fill="FFFFFF"/>
        </w:rPr>
        <w:t xml:space="preserve">. </w:t>
      </w:r>
      <w:r w:rsidRPr="001F5BCC">
        <w:t xml:space="preserve">Results </w:t>
      </w:r>
      <w:r>
        <w:t xml:space="preserve">on the association between early help </w:t>
      </w:r>
      <w:r w:rsidR="00811F9F">
        <w:t xml:space="preserve">and treatment </w:t>
      </w:r>
      <w:r>
        <w:t xml:space="preserve">were </w:t>
      </w:r>
      <w:r w:rsidR="003F658B">
        <w:t>mostly mixed</w:t>
      </w:r>
      <w:r w:rsidRPr="00707929">
        <w:rPr>
          <w:rStyle w:val="normaltextrun"/>
          <w:shd w:val="clear" w:color="auto" w:fill="FFFFFF"/>
        </w:rPr>
        <w:t xml:space="preserve">. </w:t>
      </w:r>
      <w:r w:rsidRPr="009B13E6">
        <w:rPr>
          <w:rStyle w:val="normaltextrun"/>
          <w:shd w:val="clear" w:color="auto" w:fill="FFFFFF"/>
        </w:rPr>
        <w:t>This previous work was exploratory and did not adjust for potential confounding in a systematic way.</w:t>
      </w:r>
      <w:r>
        <w:rPr>
          <w:rStyle w:val="normaltextrun"/>
          <w:shd w:val="clear" w:color="auto" w:fill="FFFFFF"/>
        </w:rPr>
        <w:t xml:space="preserve"> </w:t>
      </w:r>
      <w:r w:rsidRPr="00C955AC">
        <w:rPr>
          <w:rStyle w:val="normaltextrun"/>
          <w:shd w:val="clear" w:color="auto" w:fill="FFFFFF"/>
        </w:rPr>
        <w:t>To mitigate confounding by selection bias, this study used a quasi-exp</w:t>
      </w:r>
      <w:r>
        <w:rPr>
          <w:rStyle w:val="normaltextrun"/>
          <w:shd w:val="clear" w:color="auto" w:fill="FFFFFF"/>
        </w:rPr>
        <w:t>erimental</w:t>
      </w:r>
      <w:r w:rsidRPr="00C955AC">
        <w:rPr>
          <w:rStyle w:val="normaltextrun"/>
          <w:shd w:val="clear" w:color="auto" w:fill="FFFFFF"/>
        </w:rPr>
        <w:t xml:space="preserve"> approach to test whether parents were more likely to complete </w:t>
      </w:r>
      <w:r>
        <w:rPr>
          <w:rStyle w:val="normaltextrun"/>
          <w:shd w:val="clear" w:color="auto" w:fill="FFFFFF"/>
        </w:rPr>
        <w:t xml:space="preserve">treatment </w:t>
      </w:r>
      <w:r w:rsidRPr="00C955AC">
        <w:rPr>
          <w:rStyle w:val="normaltextrun"/>
          <w:shd w:val="clear" w:color="auto" w:fill="FFFFFF"/>
        </w:rPr>
        <w:t>successfully if they received</w:t>
      </w:r>
      <w:r>
        <w:rPr>
          <w:rStyle w:val="normaltextrun"/>
          <w:shd w:val="clear" w:color="auto" w:fill="FFFFFF"/>
        </w:rPr>
        <w:t xml:space="preserve"> </w:t>
      </w:r>
      <w:r w:rsidRPr="007E05A8">
        <w:rPr>
          <w:rStyle w:val="normaltextrun"/>
          <w:shd w:val="clear" w:color="auto" w:fill="FFFFFF"/>
        </w:rPr>
        <w:t xml:space="preserve">treatment </w:t>
      </w:r>
      <w:r w:rsidR="00545D7B">
        <w:rPr>
          <w:rStyle w:val="normaltextrun"/>
          <w:shd w:val="clear" w:color="auto" w:fill="FFFFFF"/>
        </w:rPr>
        <w:t>plus</w:t>
      </w:r>
      <w:r w:rsidR="00B93F36">
        <w:rPr>
          <w:rStyle w:val="normaltextrun"/>
          <w:shd w:val="clear" w:color="auto" w:fill="FFFFFF"/>
        </w:rPr>
        <w:t xml:space="preserve"> targeted prevention in the form of</w:t>
      </w:r>
      <w:r w:rsidRPr="007E05A8">
        <w:rPr>
          <w:rStyle w:val="normaltextrun"/>
          <w:shd w:val="clear" w:color="auto" w:fill="FFFFFF"/>
        </w:rPr>
        <w:t xml:space="preserve"> </w:t>
      </w:r>
      <w:r w:rsidR="00AB7760">
        <w:rPr>
          <w:rStyle w:val="normaltextrun"/>
          <w:shd w:val="clear" w:color="auto" w:fill="FFFFFF"/>
        </w:rPr>
        <w:t>parenting and/or family</w:t>
      </w:r>
      <w:r w:rsidR="00B93F36">
        <w:rPr>
          <w:rStyle w:val="normaltextrun"/>
          <w:shd w:val="clear" w:color="auto" w:fill="FFFFFF"/>
        </w:rPr>
        <w:t xml:space="preserve"> and </w:t>
      </w:r>
      <w:r>
        <w:rPr>
          <w:rStyle w:val="normaltextrun"/>
          <w:shd w:val="clear" w:color="auto" w:fill="FFFFFF"/>
        </w:rPr>
        <w:t>early help.</w:t>
      </w:r>
    </w:p>
    <w:p w14:paraId="2346C5EC" w14:textId="77777777" w:rsidR="003907D3" w:rsidRPr="00AB03E5" w:rsidRDefault="003907D3" w:rsidP="003907D3">
      <w:pPr>
        <w:pStyle w:val="NoSpacing"/>
        <w:spacing w:line="360" w:lineRule="auto"/>
      </w:pPr>
    </w:p>
    <w:p w14:paraId="0FC16D5D" w14:textId="7E2B4956" w:rsidR="003907D3" w:rsidRDefault="00C85FFD" w:rsidP="009C3BBC">
      <w:pPr>
        <w:pStyle w:val="Heading2"/>
        <w:numPr>
          <w:ilvl w:val="1"/>
          <w:numId w:val="19"/>
        </w:numPr>
        <w:spacing w:line="360" w:lineRule="auto"/>
      </w:pPr>
      <w:bookmarkStart w:id="100" w:name="_Toc189229691"/>
      <w:r>
        <w:t>Methods</w:t>
      </w:r>
      <w:bookmarkEnd w:id="100"/>
      <w:r>
        <w:t xml:space="preserve"> </w:t>
      </w:r>
    </w:p>
    <w:p w14:paraId="03559EF9" w14:textId="3714A969" w:rsidR="001465FA" w:rsidRPr="001465FA" w:rsidRDefault="001465FA" w:rsidP="009C3BBC">
      <w:pPr>
        <w:pStyle w:val="Heading3"/>
        <w:numPr>
          <w:ilvl w:val="2"/>
          <w:numId w:val="19"/>
        </w:numPr>
        <w:spacing w:line="360" w:lineRule="auto"/>
      </w:pPr>
      <w:bookmarkStart w:id="101" w:name="_Toc189229692"/>
      <w:r>
        <w:t>Study design and setting</w:t>
      </w:r>
      <w:bookmarkEnd w:id="101"/>
    </w:p>
    <w:p w14:paraId="3CB4B18C" w14:textId="1FB948AB" w:rsidR="003907D3" w:rsidRPr="0016692C" w:rsidRDefault="003907D3" w:rsidP="003907D3">
      <w:pPr>
        <w:pStyle w:val="NoSpacing"/>
        <w:spacing w:line="360" w:lineRule="auto"/>
        <w:rPr>
          <w:rFonts w:eastAsia="Times New Roman"/>
          <w:lang w:eastAsia="en-GB"/>
        </w:rPr>
      </w:pPr>
      <w:r>
        <w:rPr>
          <w:rFonts w:eastAsia="Times New Roman"/>
          <w:lang w:eastAsia="en-GB"/>
        </w:rPr>
        <w:t>We used</w:t>
      </w:r>
      <w:r>
        <w:rPr>
          <w:rStyle w:val="normaltextrun"/>
        </w:rPr>
        <w:t xml:space="preserve"> d</w:t>
      </w:r>
      <w:r w:rsidRPr="000D315F">
        <w:t xml:space="preserve">ata from </w:t>
      </w:r>
      <w:r w:rsidRPr="000D315F">
        <w:rPr>
          <w:rStyle w:val="normaltextrun"/>
        </w:rPr>
        <w:t xml:space="preserve">the </w:t>
      </w:r>
      <w:r>
        <w:rPr>
          <w:rStyle w:val="normaltextrun"/>
        </w:rPr>
        <w:t>NDTMS, an administrative dataset</w:t>
      </w:r>
      <w:r w:rsidRPr="02F0ED4B">
        <w:rPr>
          <w:rFonts w:eastAsia="Times New Roman"/>
          <w:lang w:eastAsia="en-GB"/>
        </w:rPr>
        <w:t xml:space="preserve"> which records clinical and socio-demographic data on people receiving treatment for SUD in England</w:t>
      </w:r>
      <w:r>
        <w:rPr>
          <w:rFonts w:eastAsia="Times New Roman"/>
          <w:lang w:eastAsia="en-GB"/>
        </w:rPr>
        <w:t xml:space="preserve">, </w:t>
      </w:r>
      <w:r w:rsidR="00304934">
        <w:rPr>
          <w:rFonts w:eastAsia="Times New Roman"/>
          <w:lang w:eastAsia="en-GB"/>
        </w:rPr>
        <w:t>as well as</w:t>
      </w:r>
      <w:r>
        <w:rPr>
          <w:rFonts w:eastAsia="Times New Roman"/>
          <w:lang w:eastAsia="en-GB"/>
        </w:rPr>
        <w:t xml:space="preserve"> patient outcomes</w:t>
      </w:r>
      <w:r w:rsidRPr="19D1ADF9">
        <w:rPr>
          <w:rFonts w:eastAsia="Times New Roman"/>
          <w:lang w:eastAsia="en-GB"/>
        </w:rPr>
        <w:t xml:space="preserve">. </w:t>
      </w:r>
      <w:r w:rsidRPr="02F0ED4B">
        <w:rPr>
          <w:rFonts w:eastAsia="Times New Roman"/>
          <w:lang w:eastAsia="en-GB"/>
        </w:rPr>
        <w:t xml:space="preserve">Data </w:t>
      </w:r>
      <w:r>
        <w:rPr>
          <w:rFonts w:eastAsia="Times New Roman"/>
          <w:lang w:eastAsia="en-GB"/>
        </w:rPr>
        <w:t>wa</w:t>
      </w:r>
      <w:r w:rsidRPr="02F0ED4B">
        <w:rPr>
          <w:rFonts w:eastAsia="Times New Roman"/>
          <w:lang w:eastAsia="en-GB"/>
        </w:rPr>
        <w:t>s captured at the start of the treatment process and reviewed throughout</w:t>
      </w:r>
      <w:r>
        <w:rPr>
          <w:rFonts w:eastAsia="Times New Roman"/>
          <w:lang w:eastAsia="en-GB"/>
        </w:rPr>
        <w:t xml:space="preserve"> by keyworkers in clinical interviews with parents</w:t>
      </w:r>
      <w:r w:rsidRPr="02F0ED4B">
        <w:rPr>
          <w:rFonts w:eastAsia="Times New Roman"/>
          <w:lang w:eastAsia="en-GB"/>
        </w:rPr>
        <w:t xml:space="preserve">. </w:t>
      </w:r>
      <w:r w:rsidRPr="02F0ED4B">
        <w:t xml:space="preserve">As </w:t>
      </w:r>
      <w:r w:rsidR="00811F9F">
        <w:t>children’s social care</w:t>
      </w:r>
      <w:r w:rsidRPr="02F0ED4B">
        <w:t xml:space="preserve"> data collection began 1 April 2017, data from this point was analysed up to </w:t>
      </w:r>
      <w:r w:rsidRPr="0016692C">
        <w:rPr>
          <w:rFonts w:eastAsia="Times New Roman"/>
          <w:lang w:eastAsia="en-GB"/>
        </w:rPr>
        <w:t>31 January 2020. We test</w:t>
      </w:r>
      <w:r>
        <w:rPr>
          <w:rFonts w:eastAsia="Times New Roman"/>
          <w:lang w:eastAsia="en-GB"/>
        </w:rPr>
        <w:t>ed</w:t>
      </w:r>
      <w:r w:rsidRPr="0016692C">
        <w:rPr>
          <w:rFonts w:eastAsia="Times New Roman"/>
          <w:lang w:eastAsia="en-GB"/>
        </w:rPr>
        <w:t xml:space="preserve"> our hypothes</w:t>
      </w:r>
      <w:r>
        <w:rPr>
          <w:rFonts w:eastAsia="Times New Roman"/>
          <w:lang w:eastAsia="en-GB"/>
        </w:rPr>
        <w:t>e</w:t>
      </w:r>
      <w:r w:rsidRPr="0016692C">
        <w:rPr>
          <w:rFonts w:eastAsia="Times New Roman"/>
          <w:lang w:eastAsia="en-GB"/>
        </w:rPr>
        <w:t xml:space="preserve">s by using </w:t>
      </w:r>
      <w:r w:rsidR="00170B39">
        <w:rPr>
          <w:rFonts w:eastAsia="Times New Roman"/>
          <w:lang w:eastAsia="en-GB"/>
        </w:rPr>
        <w:t>a quasi-experimental approach</w:t>
      </w:r>
      <w:r w:rsidR="00304934">
        <w:rPr>
          <w:rFonts w:eastAsia="Times New Roman"/>
          <w:lang w:eastAsia="en-GB"/>
        </w:rPr>
        <w:t xml:space="preserve"> </w:t>
      </w:r>
      <w:r w:rsidRPr="0016692C">
        <w:rPr>
          <w:rFonts w:eastAsia="Times New Roman"/>
          <w:lang w:eastAsia="en-GB"/>
        </w:rPr>
        <w:t>to estimate propensity score weights</w:t>
      </w:r>
      <w:r>
        <w:rPr>
          <w:rFonts w:eastAsia="Times New Roman"/>
          <w:lang w:eastAsia="en-GB"/>
        </w:rPr>
        <w:t xml:space="preserve"> so that control and multiple intervention groups could be</w:t>
      </w:r>
      <w:r>
        <w:rPr>
          <w:rStyle w:val="CommentReference"/>
        </w:rPr>
        <w:t xml:space="preserve"> </w:t>
      </w:r>
      <w:r>
        <w:rPr>
          <w:rFonts w:eastAsia="Times New Roman"/>
          <w:lang w:eastAsia="en-GB"/>
        </w:rPr>
        <w:t>compared while minimising selection bias</w:t>
      </w:r>
      <w:r w:rsidR="00170B39">
        <w:rPr>
          <w:rFonts w:eastAsia="Times New Roman"/>
          <w:lang w:eastAsia="en-GB"/>
        </w:rPr>
        <w:t xml:space="preserve"> (see below for more detail)</w:t>
      </w:r>
      <w:r>
        <w:rPr>
          <w:rFonts w:eastAsia="Times New Roman"/>
          <w:lang w:eastAsia="en-GB"/>
        </w:rPr>
        <w:t>.</w:t>
      </w:r>
      <w:r w:rsidRPr="0016692C">
        <w:rPr>
          <w:rFonts w:eastAsia="Times New Roman"/>
          <w:lang w:eastAsia="en-GB"/>
        </w:rPr>
        <w:t xml:space="preserve"> </w:t>
      </w:r>
    </w:p>
    <w:p w14:paraId="7B0C152F" w14:textId="77777777" w:rsidR="003907D3" w:rsidRPr="00581808" w:rsidRDefault="003907D3" w:rsidP="003907D3">
      <w:pPr>
        <w:pStyle w:val="NoSpacing"/>
        <w:tabs>
          <w:tab w:val="left" w:pos="1926"/>
        </w:tabs>
      </w:pPr>
    </w:p>
    <w:p w14:paraId="1ADA15C1" w14:textId="43F8044B" w:rsidR="003907D3" w:rsidRPr="00D167F5" w:rsidRDefault="003907D3" w:rsidP="009C3BBC">
      <w:pPr>
        <w:pStyle w:val="Heading3"/>
        <w:numPr>
          <w:ilvl w:val="2"/>
          <w:numId w:val="19"/>
        </w:numPr>
        <w:spacing w:line="360" w:lineRule="auto"/>
      </w:pPr>
      <w:bookmarkStart w:id="102" w:name="_Toc189229693"/>
      <w:r>
        <w:t>Population</w:t>
      </w:r>
      <w:bookmarkEnd w:id="102"/>
      <w:r>
        <w:t xml:space="preserve"> </w:t>
      </w:r>
    </w:p>
    <w:p w14:paraId="3B814A1B" w14:textId="04522E42" w:rsidR="003907D3" w:rsidRDefault="003907D3" w:rsidP="003907D3">
      <w:pPr>
        <w:pStyle w:val="NoSpacing"/>
        <w:spacing w:line="360" w:lineRule="auto"/>
      </w:pPr>
      <w:r>
        <w:rPr>
          <w:rStyle w:val="normaltextrun"/>
          <w:color w:val="000000"/>
          <w:shd w:val="clear" w:color="auto" w:fill="FFFFFF"/>
        </w:rPr>
        <w:t xml:space="preserve">As </w:t>
      </w:r>
      <w:r w:rsidR="000A3CE0" w:rsidRPr="002D3F3C">
        <w:rPr>
          <w:rStyle w:val="normaltextrun"/>
          <w:color w:val="000000"/>
          <w:shd w:val="clear" w:color="auto" w:fill="FFFFFF"/>
        </w:rPr>
        <w:fldChar w:fldCharType="begin"/>
      </w:r>
      <w:r w:rsidR="000A3CE0" w:rsidRPr="002D3F3C">
        <w:rPr>
          <w:rStyle w:val="normaltextrun"/>
          <w:color w:val="000000"/>
          <w:shd w:val="clear" w:color="auto" w:fill="FFFFFF"/>
        </w:rPr>
        <w:instrText xml:space="preserve"> REF _Ref177137280 \h  \* MERGEFORMAT </w:instrText>
      </w:r>
      <w:r w:rsidR="000A3CE0" w:rsidRPr="002D3F3C">
        <w:rPr>
          <w:rStyle w:val="normaltextrun"/>
          <w:color w:val="000000"/>
          <w:shd w:val="clear" w:color="auto" w:fill="FFFFFF"/>
        </w:rPr>
      </w:r>
      <w:r w:rsidR="000A3CE0" w:rsidRPr="002D3F3C">
        <w:rPr>
          <w:rStyle w:val="normaltextrun"/>
          <w:color w:val="000000"/>
          <w:shd w:val="clear" w:color="auto" w:fill="FFFFFF"/>
        </w:rPr>
        <w:fldChar w:fldCharType="separate"/>
      </w:r>
      <w:r w:rsidR="000A3CE0" w:rsidRPr="002D3F3C">
        <w:rPr>
          <w:rStyle w:val="normaltextrun"/>
          <w:color w:val="000000"/>
          <w:shd w:val="clear" w:color="auto" w:fill="FFFFFF"/>
        </w:rPr>
        <w:t>Figure 4.3</w:t>
      </w:r>
      <w:r w:rsidR="000A3CE0" w:rsidRPr="002D3F3C">
        <w:rPr>
          <w:rStyle w:val="normaltextrun"/>
          <w:color w:val="000000"/>
          <w:shd w:val="clear" w:color="auto" w:fill="FFFFFF"/>
        </w:rPr>
        <w:noBreakHyphen/>
        <w:t>1</w:t>
      </w:r>
      <w:r w:rsidR="000A3CE0" w:rsidRPr="002D3F3C">
        <w:rPr>
          <w:rStyle w:val="normaltextrun"/>
          <w:color w:val="000000"/>
          <w:shd w:val="clear" w:color="auto" w:fill="FFFFFF"/>
        </w:rPr>
        <w:fldChar w:fldCharType="end"/>
      </w:r>
      <w:r w:rsidRPr="002D3F3C">
        <w:rPr>
          <w:rStyle w:val="normaltextrun"/>
          <w:color w:val="000000"/>
          <w:shd w:val="clear" w:color="auto" w:fill="FFFFFF"/>
        </w:rPr>
        <w:t xml:space="preserve"> </w:t>
      </w:r>
      <w:r>
        <w:rPr>
          <w:rStyle w:val="normaltextrun"/>
          <w:color w:val="000000"/>
          <w:shd w:val="clear" w:color="auto" w:fill="FFFFFF"/>
        </w:rPr>
        <w:t xml:space="preserve">shows, twelve population subgroups were created as they reflect important sex, family and substance use stratifications. They were also consistent with national reporting of NDTMS data and national strategies, and therefore familiar </w:t>
      </w:r>
      <w:r>
        <w:rPr>
          <w:rStyle w:val="normaltextrun"/>
          <w:color w:val="000000"/>
          <w:shd w:val="clear" w:color="auto" w:fill="FFFFFF"/>
        </w:rPr>
        <w:lastRenderedPageBreak/>
        <w:t xml:space="preserve">to English practitioners and policymakers. </w:t>
      </w:r>
      <w:r>
        <w:rPr>
          <w:rFonts w:eastAsia="Times New Roman"/>
          <w:lang w:eastAsia="en-GB"/>
        </w:rPr>
        <w:t>Our ‘parent’ sample were</w:t>
      </w:r>
      <w:r w:rsidRPr="00056E69">
        <w:t xml:space="preserve"> </w:t>
      </w:r>
      <w:r w:rsidR="002946F0">
        <w:t>parents living</w:t>
      </w:r>
      <w:r>
        <w:t xml:space="preserve"> with children (LWC) and parents not living with their children (NWC). </w:t>
      </w:r>
    </w:p>
    <w:p w14:paraId="208D8700" w14:textId="77777777" w:rsidR="000A3CE0" w:rsidRDefault="000A3CE0" w:rsidP="003907D3">
      <w:pPr>
        <w:pStyle w:val="NoSpacing"/>
        <w:spacing w:line="360" w:lineRule="auto"/>
      </w:pPr>
    </w:p>
    <w:p w14:paraId="39E69734" w14:textId="5A10160E" w:rsidR="000A3CE0" w:rsidRPr="000A3CE0" w:rsidRDefault="000A3CE0" w:rsidP="000A3CE0">
      <w:pPr>
        <w:pStyle w:val="Caption"/>
        <w:rPr>
          <w:b w:val="0"/>
          <w:bCs w:val="0"/>
          <w:i/>
          <w:iCs/>
          <w:color w:val="auto"/>
          <w:sz w:val="24"/>
          <w:szCs w:val="24"/>
        </w:rPr>
      </w:pPr>
      <w:bookmarkStart w:id="103" w:name="_Ref177137280"/>
      <w:bookmarkStart w:id="104" w:name="_Toc185845010"/>
      <w:r w:rsidRPr="000A3CE0">
        <w:rPr>
          <w:b w:val="0"/>
          <w:bCs w:val="0"/>
          <w:i/>
          <w:iCs/>
          <w:color w:val="auto"/>
          <w:sz w:val="24"/>
          <w:szCs w:val="24"/>
        </w:rPr>
        <w:t xml:space="preserve">Figure </w:t>
      </w:r>
      <w:r w:rsidR="002B1FB9">
        <w:rPr>
          <w:b w:val="0"/>
          <w:bCs w:val="0"/>
          <w:i/>
          <w:iCs/>
          <w:color w:val="auto"/>
          <w:sz w:val="24"/>
          <w:szCs w:val="24"/>
        </w:rPr>
        <w:fldChar w:fldCharType="begin"/>
      </w:r>
      <w:r w:rsidR="002B1FB9">
        <w:rPr>
          <w:b w:val="0"/>
          <w:bCs w:val="0"/>
          <w:i/>
          <w:iCs/>
          <w:color w:val="auto"/>
          <w:sz w:val="24"/>
          <w:szCs w:val="24"/>
        </w:rPr>
        <w:instrText xml:space="preserve"> STYLEREF 2 \s </w:instrText>
      </w:r>
      <w:r w:rsidR="002B1FB9">
        <w:rPr>
          <w:b w:val="0"/>
          <w:bCs w:val="0"/>
          <w:i/>
          <w:iCs/>
          <w:color w:val="auto"/>
          <w:sz w:val="24"/>
          <w:szCs w:val="24"/>
        </w:rPr>
        <w:fldChar w:fldCharType="separate"/>
      </w:r>
      <w:r w:rsidR="002B1FB9">
        <w:rPr>
          <w:b w:val="0"/>
          <w:bCs w:val="0"/>
          <w:i/>
          <w:iCs/>
          <w:noProof/>
          <w:color w:val="auto"/>
          <w:sz w:val="24"/>
          <w:szCs w:val="24"/>
        </w:rPr>
        <w:t>4.3</w:t>
      </w:r>
      <w:r w:rsidR="002B1FB9">
        <w:rPr>
          <w:b w:val="0"/>
          <w:bCs w:val="0"/>
          <w:i/>
          <w:iCs/>
          <w:color w:val="auto"/>
          <w:sz w:val="24"/>
          <w:szCs w:val="24"/>
        </w:rPr>
        <w:fldChar w:fldCharType="end"/>
      </w:r>
      <w:r w:rsidR="002B1FB9">
        <w:rPr>
          <w:b w:val="0"/>
          <w:bCs w:val="0"/>
          <w:i/>
          <w:iCs/>
          <w:color w:val="auto"/>
          <w:sz w:val="24"/>
          <w:szCs w:val="24"/>
        </w:rPr>
        <w:noBreakHyphen/>
      </w:r>
      <w:r w:rsidR="002B1FB9">
        <w:rPr>
          <w:b w:val="0"/>
          <w:bCs w:val="0"/>
          <w:i/>
          <w:iCs/>
          <w:color w:val="auto"/>
          <w:sz w:val="24"/>
          <w:szCs w:val="24"/>
        </w:rPr>
        <w:fldChar w:fldCharType="begin"/>
      </w:r>
      <w:r w:rsidR="002B1FB9">
        <w:rPr>
          <w:b w:val="0"/>
          <w:bCs w:val="0"/>
          <w:i/>
          <w:iCs/>
          <w:color w:val="auto"/>
          <w:sz w:val="24"/>
          <w:szCs w:val="24"/>
        </w:rPr>
        <w:instrText xml:space="preserve"> SEQ Figure \* ARABIC \s 2 </w:instrText>
      </w:r>
      <w:r w:rsidR="002B1FB9">
        <w:rPr>
          <w:b w:val="0"/>
          <w:bCs w:val="0"/>
          <w:i/>
          <w:iCs/>
          <w:color w:val="auto"/>
          <w:sz w:val="24"/>
          <w:szCs w:val="24"/>
        </w:rPr>
        <w:fldChar w:fldCharType="separate"/>
      </w:r>
      <w:r w:rsidR="002B1FB9">
        <w:rPr>
          <w:b w:val="0"/>
          <w:bCs w:val="0"/>
          <w:i/>
          <w:iCs/>
          <w:noProof/>
          <w:color w:val="auto"/>
          <w:sz w:val="24"/>
          <w:szCs w:val="24"/>
        </w:rPr>
        <w:t>1</w:t>
      </w:r>
      <w:r w:rsidR="002B1FB9">
        <w:rPr>
          <w:b w:val="0"/>
          <w:bCs w:val="0"/>
          <w:i/>
          <w:iCs/>
          <w:color w:val="auto"/>
          <w:sz w:val="24"/>
          <w:szCs w:val="24"/>
        </w:rPr>
        <w:fldChar w:fldCharType="end"/>
      </w:r>
      <w:bookmarkEnd w:id="103"/>
      <w:r>
        <w:rPr>
          <w:b w:val="0"/>
          <w:bCs w:val="0"/>
          <w:i/>
          <w:iCs/>
          <w:color w:val="auto"/>
          <w:sz w:val="24"/>
          <w:szCs w:val="24"/>
        </w:rPr>
        <w:tab/>
      </w:r>
      <w:r w:rsidRPr="000A3CE0">
        <w:rPr>
          <w:b w:val="0"/>
          <w:bCs w:val="0"/>
          <w:i/>
          <w:iCs/>
          <w:color w:val="auto"/>
          <w:sz w:val="24"/>
          <w:szCs w:val="24"/>
        </w:rPr>
        <w:t>Subgroupings used in</w:t>
      </w:r>
      <w:r w:rsidR="00C87F43">
        <w:rPr>
          <w:b w:val="0"/>
          <w:bCs w:val="0"/>
          <w:i/>
          <w:iCs/>
          <w:color w:val="auto"/>
          <w:sz w:val="24"/>
          <w:szCs w:val="24"/>
        </w:rPr>
        <w:t xml:space="preserve"> the</w:t>
      </w:r>
      <w:r w:rsidRPr="000A3CE0">
        <w:rPr>
          <w:b w:val="0"/>
          <w:bCs w:val="0"/>
          <w:i/>
          <w:iCs/>
          <w:color w:val="auto"/>
          <w:sz w:val="24"/>
          <w:szCs w:val="24"/>
        </w:rPr>
        <w:t xml:space="preserve"> analysis (n=</w:t>
      </w:r>
      <w:r w:rsidR="00B27763">
        <w:rPr>
          <w:b w:val="0"/>
          <w:bCs w:val="0"/>
          <w:i/>
          <w:iCs/>
          <w:color w:val="auto"/>
          <w:sz w:val="24"/>
          <w:szCs w:val="24"/>
        </w:rPr>
        <w:t>48</w:t>
      </w:r>
      <w:r w:rsidRPr="000A3CE0">
        <w:rPr>
          <w:b w:val="0"/>
          <w:bCs w:val="0"/>
          <w:i/>
          <w:iCs/>
          <w:color w:val="auto"/>
          <w:sz w:val="24"/>
          <w:szCs w:val="24"/>
        </w:rPr>
        <w:t>,</w:t>
      </w:r>
      <w:r w:rsidR="00B27763">
        <w:rPr>
          <w:b w:val="0"/>
          <w:bCs w:val="0"/>
          <w:i/>
          <w:iCs/>
          <w:color w:val="auto"/>
          <w:sz w:val="24"/>
          <w:szCs w:val="24"/>
        </w:rPr>
        <w:t>169</w:t>
      </w:r>
      <w:r w:rsidRPr="000A3CE0">
        <w:rPr>
          <w:b w:val="0"/>
          <w:bCs w:val="0"/>
          <w:i/>
          <w:iCs/>
          <w:color w:val="auto"/>
          <w:sz w:val="24"/>
          <w:szCs w:val="24"/>
        </w:rPr>
        <w:t>)</w:t>
      </w:r>
      <w:bookmarkEnd w:id="104"/>
    </w:p>
    <w:p w14:paraId="5E437E28" w14:textId="3604B6DD" w:rsidR="000A3CE0" w:rsidRDefault="000A3CE0" w:rsidP="000A3CE0">
      <w:pPr>
        <w:pStyle w:val="NoSpacing"/>
      </w:pPr>
    </w:p>
    <w:p w14:paraId="18E0FFEC" w14:textId="3FBA5E96" w:rsidR="000A3CE0" w:rsidRDefault="00E779E7" w:rsidP="002609AF">
      <w:pPr>
        <w:pStyle w:val="NoSpacing"/>
      </w:pPr>
      <w:r>
        <w:rPr>
          <w:noProof/>
          <w:sz w:val="20"/>
          <w:szCs w:val="20"/>
        </w:rPr>
        <w:drawing>
          <wp:inline distT="0" distB="0" distL="0" distR="0" wp14:anchorId="11AFE081" wp14:editId="149DE07F">
            <wp:extent cx="5731510" cy="3960075"/>
            <wp:effectExtent l="0" t="0" r="0" b="21590"/>
            <wp:docPr id="1661592153" name="Diagram 1661592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82B9D6D" w14:textId="77777777" w:rsidR="00B27763" w:rsidRDefault="00B27763" w:rsidP="003907D3">
      <w:pPr>
        <w:pStyle w:val="NoSpacing"/>
        <w:spacing w:line="360" w:lineRule="auto"/>
      </w:pPr>
    </w:p>
    <w:p w14:paraId="6D7A404C" w14:textId="130C05D4" w:rsidR="003907D3" w:rsidRPr="00D167F5" w:rsidRDefault="003907D3" w:rsidP="009C3BBC">
      <w:pPr>
        <w:pStyle w:val="Heading3"/>
        <w:numPr>
          <w:ilvl w:val="2"/>
          <w:numId w:val="19"/>
        </w:numPr>
        <w:spacing w:line="360" w:lineRule="auto"/>
      </w:pPr>
      <w:bookmarkStart w:id="105" w:name="_Toc189229694"/>
      <w:r>
        <w:t>Interventions and outcome</w:t>
      </w:r>
      <w:bookmarkEnd w:id="105"/>
    </w:p>
    <w:p w14:paraId="0601A2D7" w14:textId="77777777" w:rsidR="003907D3" w:rsidRPr="00686FFE" w:rsidRDefault="003907D3" w:rsidP="003907D3">
      <w:pPr>
        <w:pStyle w:val="NoSpacing"/>
        <w:spacing w:line="360" w:lineRule="auto"/>
        <w:rPr>
          <w:rFonts w:eastAsia="Calibri"/>
        </w:rPr>
      </w:pPr>
      <w:r>
        <w:t xml:space="preserve">As we were concerned with interventions delivered alongside treatment that may enhance outcomes further, </w:t>
      </w:r>
      <w:r>
        <w:rPr>
          <w:rFonts w:eastAsia="Calibri"/>
        </w:rPr>
        <w:t>the following interventions were compared with ‘Treatment only’ (Trt):</w:t>
      </w:r>
    </w:p>
    <w:p w14:paraId="07D0D612" w14:textId="5D84CB40" w:rsidR="003907D3" w:rsidRDefault="003907D3" w:rsidP="009C3BBC">
      <w:pPr>
        <w:pStyle w:val="NoSpacing"/>
        <w:numPr>
          <w:ilvl w:val="0"/>
          <w:numId w:val="20"/>
        </w:numPr>
        <w:spacing w:line="360" w:lineRule="auto"/>
        <w:contextualSpacing w:val="0"/>
      </w:pPr>
      <w:r>
        <w:t xml:space="preserve">Trt + parenting </w:t>
      </w:r>
      <w:r w:rsidR="002F013C">
        <w:t>and/</w:t>
      </w:r>
      <w:r>
        <w:t>or family recovery support offered by treatment services</w:t>
      </w:r>
    </w:p>
    <w:p w14:paraId="312A3541" w14:textId="2777036D" w:rsidR="003907D3" w:rsidRDefault="003907D3" w:rsidP="003907D3">
      <w:pPr>
        <w:pStyle w:val="NoSpacing"/>
        <w:numPr>
          <w:ilvl w:val="0"/>
          <w:numId w:val="20"/>
        </w:numPr>
        <w:spacing w:line="360" w:lineRule="auto"/>
        <w:contextualSpacing w:val="0"/>
      </w:pPr>
      <w:r>
        <w:t>Trt + ‘early help’ offered by children and family services</w:t>
      </w:r>
    </w:p>
    <w:p w14:paraId="5D9F87C9" w14:textId="77777777" w:rsidR="00B4102F" w:rsidRDefault="00B4102F" w:rsidP="00B4102F">
      <w:pPr>
        <w:pStyle w:val="NoSpacing"/>
        <w:spacing w:line="360" w:lineRule="auto"/>
        <w:ind w:left="720"/>
        <w:contextualSpacing w:val="0"/>
      </w:pPr>
    </w:p>
    <w:p w14:paraId="3B49D5FB" w14:textId="63B0BB84" w:rsidR="003907D3" w:rsidRDefault="003907D3" w:rsidP="003907D3">
      <w:pPr>
        <w:pStyle w:val="NoSpacing"/>
        <w:spacing w:line="360" w:lineRule="auto"/>
      </w:pPr>
      <w:r>
        <w:t>These strategies reflect status as recorded at the start of a parent</w:t>
      </w:r>
      <w:r w:rsidR="002F013C">
        <w:t>’s</w:t>
      </w:r>
      <w:r>
        <w:t xml:space="preserve"> treatment journey. </w:t>
      </w:r>
    </w:p>
    <w:p w14:paraId="1AA2D015" w14:textId="77777777" w:rsidR="003907D3" w:rsidRDefault="003907D3" w:rsidP="003907D3">
      <w:pPr>
        <w:pStyle w:val="NoSpacing"/>
        <w:spacing w:line="360" w:lineRule="auto"/>
      </w:pPr>
    </w:p>
    <w:p w14:paraId="73157D8F" w14:textId="7CCD753A" w:rsidR="003907D3" w:rsidRDefault="003907D3" w:rsidP="003907D3">
      <w:pPr>
        <w:pStyle w:val="NoSpacing"/>
        <w:spacing w:line="360" w:lineRule="auto"/>
        <w:rPr>
          <w:rFonts w:eastAsia="Calibri"/>
        </w:rPr>
      </w:pPr>
      <w:r w:rsidRPr="02F0ED4B">
        <w:t xml:space="preserve">The outcome measure </w:t>
      </w:r>
      <w:r>
        <w:t>taken from the NDTMS wa</w:t>
      </w:r>
      <w:r w:rsidRPr="02F0ED4B">
        <w:t>s ‘</w:t>
      </w:r>
      <w:r>
        <w:t>successful completion of treatment</w:t>
      </w:r>
      <w:bookmarkStart w:id="106" w:name="_Int_oOOqADMS"/>
      <w:r w:rsidRPr="02F0ED4B">
        <w:t>’</w:t>
      </w:r>
      <w:r w:rsidRPr="522D941E">
        <w:t>.</w:t>
      </w:r>
      <w:r>
        <w:t xml:space="preserve"> </w:t>
      </w:r>
      <w:r w:rsidRPr="522D941E">
        <w:t xml:space="preserve">This is </w:t>
      </w:r>
      <w:bookmarkEnd w:id="106"/>
      <w:r w:rsidRPr="02F0ED4B">
        <w:t xml:space="preserve">defined as </w:t>
      </w:r>
      <w:r>
        <w:t>people</w:t>
      </w:r>
      <w:r w:rsidRPr="02F0ED4B">
        <w:t xml:space="preserve"> who achieved all their care plan goals</w:t>
      </w:r>
      <w:r>
        <w:t xml:space="preserve"> and</w:t>
      </w:r>
      <w:r w:rsidRPr="02F0ED4B">
        <w:t xml:space="preserve"> </w:t>
      </w:r>
      <w:r>
        <w:t xml:space="preserve">were </w:t>
      </w:r>
      <w:r>
        <w:lastRenderedPageBreak/>
        <w:t>neither no</w:t>
      </w:r>
      <w:r w:rsidRPr="02F0ED4B">
        <w:t xml:space="preserve"> </w:t>
      </w:r>
      <w:r>
        <w:t xml:space="preserve">longer </w:t>
      </w:r>
      <w:r w:rsidRPr="02F0ED4B">
        <w:t>dependent on the substances that brought them into treatment</w:t>
      </w:r>
      <w:r>
        <w:t xml:space="preserve"> (as determined by a clinician)</w:t>
      </w:r>
      <w:r w:rsidRPr="02F0ED4B">
        <w:t xml:space="preserve"> </w:t>
      </w:r>
      <w:r>
        <w:t>nor</w:t>
      </w:r>
      <w:r w:rsidRPr="02F0ED4B">
        <w:t xml:space="preserve"> receiving pharmacological treatment</w:t>
      </w:r>
      <w:r>
        <w:t xml:space="preserve"> </w:t>
      </w:r>
      <w:r w:rsidRPr="02F0ED4B">
        <w:fldChar w:fldCharType="begin"/>
      </w:r>
      <w:r w:rsidR="00B9334F">
        <w:instrText xml:space="preserve"> ADDIN EN.CITE &lt;EndNote&gt;&lt;Cite&gt;&lt;Author&gt;PHE&lt;/Author&gt;&lt;Year&gt;2019&lt;/Year&gt;&lt;RecNum&gt;63&lt;/RecNum&gt;&lt;DisplayText&gt;(PHE, 2019a)&lt;/DisplayText&gt;&lt;record&gt;&lt;rec-number&gt;63&lt;/rec-number&gt;&lt;foreign-keys&gt;&lt;key app="EN" db-id="ffzvr5fstavwxoe9v04xf0wmp5t50as52da0" timestamp="1731671640" guid="41db3abb-9f3b-4907-b16e-d664d4bba4d1"&gt;63&lt;/key&gt;&lt;/foreign-keys&gt;&lt;ref-type name="Report"&gt;27&lt;/ref-type&gt;&lt;contributors&gt;&lt;authors&gt;&lt;author&gt;PHE&lt;/author&gt;&lt;/authors&gt;&lt;/contributors&gt;&lt;titles&gt;&lt;title&gt;National Drug Treatment Monitoring System (NDTMS). Adult drug and alcohol treatment business definitions. Core dataset O&lt;/title&gt;&lt;/titles&gt;&lt;dates&gt;&lt;year&gt;2019&lt;/year&gt;&lt;pub-dates&gt;&lt;date&gt;14/06/2019&lt;/date&gt;&lt;/pub-dates&gt;&lt;/dates&gt;&lt;publisher&gt;Public Health England&lt;/publisher&gt;&lt;urls&gt;&lt;related-urls&gt;&lt;url&gt;https://assets.publishing.service.gov.uk/government/uploads/system/uploads/attachment_data/file/785198/NDTMS_adult_drug_and_alcohol_treatment_business_definitions_CDS-O.pdf&lt;/url&gt;&lt;/related-urls&gt;&lt;/urls&gt;&lt;/record&gt;&lt;/Cite&gt;&lt;/EndNote&gt;</w:instrText>
      </w:r>
      <w:r w:rsidRPr="02F0ED4B">
        <w:fldChar w:fldCharType="separate"/>
      </w:r>
      <w:r w:rsidR="00A77498">
        <w:rPr>
          <w:noProof/>
        </w:rPr>
        <w:t>(PHE, 2019a)</w:t>
      </w:r>
      <w:r w:rsidRPr="02F0ED4B">
        <w:fldChar w:fldCharType="end"/>
      </w:r>
      <w:r w:rsidRPr="02F0ED4B">
        <w:t xml:space="preserve">. </w:t>
      </w:r>
    </w:p>
    <w:p w14:paraId="1A7EBF2D" w14:textId="77777777" w:rsidR="003907D3" w:rsidRPr="00A90897" w:rsidRDefault="003907D3" w:rsidP="003907D3">
      <w:pPr>
        <w:pStyle w:val="NoSpacing"/>
        <w:spacing w:line="360" w:lineRule="auto"/>
        <w:rPr>
          <w:rStyle w:val="CommentReference"/>
        </w:rPr>
      </w:pPr>
    </w:p>
    <w:p w14:paraId="0B78EE4D" w14:textId="77777777" w:rsidR="003907D3" w:rsidRDefault="003907D3" w:rsidP="009C3BBC">
      <w:pPr>
        <w:pStyle w:val="Heading3"/>
        <w:numPr>
          <w:ilvl w:val="2"/>
          <w:numId w:val="19"/>
        </w:numPr>
        <w:spacing w:line="360" w:lineRule="auto"/>
      </w:pPr>
      <w:bookmarkStart w:id="107" w:name="_Toc189229695"/>
      <w:r>
        <w:t>Statistical analysis</w:t>
      </w:r>
      <w:bookmarkEnd w:id="107"/>
    </w:p>
    <w:p w14:paraId="6AC5105D" w14:textId="27862E75" w:rsidR="003907D3" w:rsidRDefault="003907D3" w:rsidP="003907D3">
      <w:pPr>
        <w:pStyle w:val="NoSpacing"/>
        <w:spacing w:line="360" w:lineRule="auto"/>
      </w:pPr>
      <w:r>
        <w:t xml:space="preserve">The analysis was </w:t>
      </w:r>
      <w:r w:rsidRPr="00587F37">
        <w:t>conducted using the Toolkit for Weighting and Analysis of Nonequivalent Groups (</w:t>
      </w:r>
      <w:r>
        <w:t>‘twang’</w:t>
      </w:r>
      <w:r w:rsidRPr="00587F37">
        <w:t>) package</w:t>
      </w:r>
      <w:r>
        <w:t xml:space="preserve"> in R </w:t>
      </w:r>
      <w:r>
        <w:fldChar w:fldCharType="begin"/>
      </w:r>
      <w:r w:rsidR="00B9334F">
        <w:instrText xml:space="preserve"> ADDIN EN.CITE &lt;EndNote&gt;&lt;Cite&gt;&lt;Author&gt;Cefalu&lt;/Author&gt;&lt;Year&gt;2006&lt;/Year&gt;&lt;RecNum&gt;328&lt;/RecNum&gt;&lt;DisplayText&gt;(Cefalu, 2006)&lt;/DisplayText&gt;&lt;record&gt;&lt;rec-number&gt;328&lt;/rec-number&gt;&lt;foreign-keys&gt;&lt;key app="EN" db-id="ffzvr5fstavwxoe9v04xf0wmp5t50as52da0" timestamp="1731671658" guid="e6ff69ea-77ca-4def-853f-09cb9cc0fc7d"&gt;328&lt;/key&gt;&lt;/foreign-keys&gt;&lt;ref-type name="Electronic Article"&gt;43&lt;/ref-type&gt;&lt;contributors&gt;&lt;authors&gt;&lt;author&gt;Matthew Cefalu&lt;/author&gt;&lt;/authors&gt;&lt;/contributors&gt;&lt;titles&gt;&lt;title&gt;TWANG: Toolkit for Weighting and Analysis of Nonequivalent Groups. R package version 2.5&lt;/title&gt;&lt;/titles&gt;&lt;dates&gt;&lt;year&gt;2006&lt;/year&gt;&lt;/dates&gt;&lt;urls&gt;&lt;related-urls&gt;&lt;url&gt;https://cran.r-project.org/web/packages/twang&lt;/url&gt;&lt;/related-urls&gt;&lt;/urls&gt;&lt;/record&gt;&lt;/Cite&gt;&lt;/EndNote&gt;</w:instrText>
      </w:r>
      <w:r>
        <w:fldChar w:fldCharType="separate"/>
      </w:r>
      <w:r w:rsidR="00A77498">
        <w:rPr>
          <w:noProof/>
        </w:rPr>
        <w:t>(Cefalu, 2006)</w:t>
      </w:r>
      <w:r>
        <w:fldChar w:fldCharType="end"/>
      </w:r>
      <w:r>
        <w:t xml:space="preserve"> using the ‘mnps’ function adapted from</w:t>
      </w:r>
      <w:r w:rsidRPr="009842F9">
        <w:t xml:space="preserve"> </w:t>
      </w:r>
      <w:r w:rsidRPr="009842F9">
        <w:fldChar w:fldCharType="begin"/>
      </w:r>
      <w:r w:rsidR="00B9334F">
        <w:instrText xml:space="preserve"> ADDIN EN.CITE &lt;EndNote&gt;&lt;Cite AuthorYear="1"&gt;&lt;Author&gt;Burgette&lt;/Author&gt;&lt;Year&gt;2021&lt;/Year&gt;&lt;RecNum&gt;354&lt;/RecNum&gt;&lt;DisplayText&gt;Burgette et al. (2021)&lt;/DisplayText&gt;&lt;record&gt;&lt;rec-number&gt;354&lt;/rec-number&gt;&lt;foreign-keys&gt;&lt;key app="EN" db-id="ffzvr5fstavwxoe9v04xf0wmp5t50as52da0" timestamp="1731671662" guid="bafe36dc-0b7f-44d1-b970-317fd73a4281"&gt;354&lt;/key&gt;&lt;/foreign-keys&gt;&lt;ref-type name="Electronic Article"&gt;43&lt;/ref-type&gt;&lt;contributors&gt;&lt;authors&gt;&lt;author&gt;Lane Burgette&lt;/author&gt;&lt;author&gt;Beth Ann Griffin&lt;/author&gt;&lt;author&gt;Dan McCaffrey&lt;/author&gt;&lt;/authors&gt;&lt;/contributors&gt;&lt;titles&gt;&lt;title&gt;Propensity scores for multiple treatments: A tutorial for the mnps function in the twang package&lt;/title&gt;&lt;/titles&gt;&lt;dates&gt;&lt;year&gt;2021&lt;/year&gt;&lt;/dates&gt;&lt;urls&gt;&lt;related-urls&gt;&lt;url&gt;https://cran.r-project.org/web/packages/twang/vignettes/mnps.pdf&lt;/url&gt;&lt;/related-urls&gt;&lt;/urls&gt;&lt;/record&gt;&lt;/Cite&gt;&lt;/EndNote&gt;</w:instrText>
      </w:r>
      <w:r w:rsidRPr="009842F9">
        <w:fldChar w:fldCharType="separate"/>
      </w:r>
      <w:r w:rsidR="00A77498">
        <w:rPr>
          <w:noProof/>
        </w:rPr>
        <w:t>Burgette et al. (2021)</w:t>
      </w:r>
      <w:r w:rsidRPr="009842F9">
        <w:fldChar w:fldCharType="end"/>
      </w:r>
      <w:r>
        <w:t>.</w:t>
      </w:r>
    </w:p>
    <w:p w14:paraId="2511C0AA" w14:textId="77777777" w:rsidR="003907D3" w:rsidRDefault="003907D3" w:rsidP="003907D3">
      <w:pPr>
        <w:pStyle w:val="NoSpacing"/>
        <w:spacing w:line="360" w:lineRule="auto"/>
      </w:pPr>
    </w:p>
    <w:p w14:paraId="3518FD6B" w14:textId="33ABE1BB" w:rsidR="003907D3" w:rsidRPr="00D128B4" w:rsidRDefault="003907D3" w:rsidP="00616A70">
      <w:pPr>
        <w:pStyle w:val="NoSpacing"/>
        <w:spacing w:line="360" w:lineRule="auto"/>
      </w:pPr>
      <w:r>
        <w:t xml:space="preserve">We first created twelve datasets using the population groupings described earlier. A Generalized Boosted Model (GBM) was created for each of the twelve datasets to estimate the </w:t>
      </w:r>
      <w:r w:rsidRPr="522D941E">
        <w:t>predicted</w:t>
      </w:r>
      <w:r>
        <w:t xml:space="preserve"> probability, or propensity score, for a person in a subgroup to receive the intervention strategy they actually received given their characteristics (observed baseline covariates). Propensity scores were then weighted to adjust for confounders using GBM multiple regression trees which were built iteratively until the weighted distributions of the observed baseline covariates were similar between the control and intervention groups (known as ‘optimal balance’). The same observed baseline covariates used to estimate propensity scores were used to estimate weights (known as a ‘doubly robust’ approach), as recommended by </w:t>
      </w:r>
      <w:r>
        <w:fldChar w:fldCharType="begin"/>
      </w:r>
      <w:r w:rsidR="00B9334F">
        <w:instrText xml:space="preserve"> ADDIN EN.CITE &lt;EndNote&gt;&lt;Cite AuthorYear="1"&gt;&lt;Author&gt;Griffin&lt;/Author&gt;&lt;Year&gt;2020&lt;/Year&gt;&lt;RecNum&gt;180&lt;/RecNum&gt;&lt;DisplayText&gt;Griffin et al. (2020)&lt;/DisplayText&gt;&lt;record&gt;&lt;rec-number&gt;180&lt;/rec-number&gt;&lt;foreign-keys&gt;&lt;key app="EN" db-id="ffzvr5fstavwxoe9v04xf0wmp5t50as52da0" timestamp="1731671647" guid="37b402b1-b9d1-4ac2-aee5-dc7efdfb82d4"&gt;180&lt;/key&gt;&lt;/foreign-keys&gt;&lt;ref-type name="Book"&gt;6&lt;/ref-type&gt;&lt;contributors&gt;&lt;authors&gt;&lt;author&gt;Griffin, Beth Ann&lt;/author&gt;&lt;author&gt;Story, Chuck&lt;/author&gt;&lt;author&gt;Sanchez, Ricardo&lt;/author&gt;&lt;author&gt;Cefalu, Matthew&lt;/author&gt;&lt;author&gt;McCaffrey, Daniel F.&lt;/author&gt;&lt;/authors&gt;&lt;/contributors&gt;&lt;titles&gt;&lt;title&gt;Toolkit for Weighting and Analysis of Nonequivalent Groups: A Tutorial on the TWANG Shiny Application for Three or More Treatment Groups&lt;/title&gt;&lt;/titles&gt;&lt;dates&gt;&lt;year&gt;2020&lt;/year&gt;&lt;/dates&gt;&lt;pub-location&gt;Santa Monica, CA&lt;/pub-location&gt;&lt;publisher&gt;RAND Corporation&lt;/publisher&gt;&lt;urls&gt;&lt;related-urls&gt;&lt;url&gt;https://www.rand.org/pubs/tools/TLA570-1.html&lt;/url&gt;&lt;/related-urls&gt;&lt;/urls&gt;&lt;electronic-resource-num&gt;10.7249/TLA570-1&lt;/electronic-resource-num&gt;&lt;/record&gt;&lt;/Cite&gt;&lt;/EndNote&gt;</w:instrText>
      </w:r>
      <w:r>
        <w:fldChar w:fldCharType="separate"/>
      </w:r>
      <w:r w:rsidR="00A77498">
        <w:rPr>
          <w:noProof/>
        </w:rPr>
        <w:t>Griffin et al. (2020)</w:t>
      </w:r>
      <w:r>
        <w:fldChar w:fldCharType="end"/>
      </w:r>
      <w:r>
        <w:t xml:space="preserve"> when samples sizes are large. </w:t>
      </w:r>
    </w:p>
    <w:p w14:paraId="1ABECC89" w14:textId="77777777" w:rsidR="003907D3" w:rsidRDefault="003907D3" w:rsidP="00616A70">
      <w:pPr>
        <w:pStyle w:val="NoSpacing"/>
        <w:spacing w:line="360" w:lineRule="auto"/>
      </w:pPr>
    </w:p>
    <w:p w14:paraId="38722039" w14:textId="22259B12" w:rsidR="00906EF9" w:rsidRPr="00616A70" w:rsidRDefault="003907D3" w:rsidP="00616A70">
      <w:pPr>
        <w:spacing w:line="360" w:lineRule="auto"/>
        <w:contextualSpacing w:val="0"/>
        <w:rPr>
          <w:rFonts w:cs="Arial"/>
          <w:szCs w:val="24"/>
        </w:rPr>
      </w:pPr>
      <w:r w:rsidRPr="00616A70">
        <w:rPr>
          <w:rFonts w:cs="Arial"/>
          <w:szCs w:val="24"/>
        </w:rPr>
        <w:t xml:space="preserve">Two metrics of balance were used, the Adjusted Standardized Mean Differences (ASMD, or ‘effect size’) and Kolmogorov-Smirnov (KS) statistic. These were combined with two different methods for summarizing across observed baseline covariates (mean and maximum). These four methods were compared to determine the best stopping rule to use, i.e., when to stop the GBM iterative process to achieve optimal balance </w:t>
      </w:r>
      <w:r w:rsidRPr="00616A70">
        <w:rPr>
          <w:rFonts w:cs="Arial"/>
          <w:szCs w:val="24"/>
        </w:rPr>
        <w:fldChar w:fldCharType="begin">
          <w:fldData xml:space="preserve">PEVuZE5vdGU+PENpdGU+PEF1dGhvcj5CdXJnZXR0ZTwvQXV0aG9yPjxZZWFyPjIwMjE8L1llYXI+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</w:fldData>
        </w:fldChar>
      </w:r>
      <w:r w:rsidR="00B9334F">
        <w:rPr>
          <w:rFonts w:cs="Arial"/>
          <w:szCs w:val="24"/>
        </w:rPr>
        <w:instrText xml:space="preserve"> ADDIN EN.CITE </w:instrText>
      </w:r>
      <w:r w:rsidR="00B9334F">
        <w:rPr>
          <w:rFonts w:cs="Arial"/>
          <w:szCs w:val="24"/>
        </w:rPr>
        <w:fldChar w:fldCharType="begin">
          <w:fldData xml:space="preserve">PEVuZE5vdGU+PENpdGU+PEF1dGhvcj5CdXJnZXR0ZTwvQXV0aG9yPjxZZWFyPjIwMjE8L1llYXI+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</w:fldData>
        </w:fldChar>
      </w:r>
      <w:r w:rsidR="00B9334F">
        <w:rPr>
          <w:rFonts w:cs="Arial"/>
          <w:szCs w:val="24"/>
        </w:rPr>
        <w:instrText xml:space="preserve"> ADDIN EN.CITE.DATA </w:instrText>
      </w:r>
      <w:r w:rsidR="00B9334F">
        <w:rPr>
          <w:rFonts w:cs="Arial"/>
          <w:szCs w:val="24"/>
        </w:rPr>
      </w:r>
      <w:r w:rsidR="00B9334F">
        <w:rPr>
          <w:rFonts w:cs="Arial"/>
          <w:szCs w:val="24"/>
        </w:rPr>
        <w:fldChar w:fldCharType="end"/>
      </w:r>
      <w:r w:rsidRPr="00616A70">
        <w:rPr>
          <w:rFonts w:cs="Arial"/>
          <w:szCs w:val="24"/>
        </w:rPr>
      </w:r>
      <w:r w:rsidRPr="00616A70">
        <w:rPr>
          <w:rFonts w:cs="Arial"/>
          <w:szCs w:val="24"/>
        </w:rPr>
        <w:fldChar w:fldCharType="separate"/>
      </w:r>
      <w:r w:rsidR="003C6F70" w:rsidRPr="00616A70">
        <w:rPr>
          <w:rFonts w:cs="Arial"/>
          <w:noProof/>
          <w:szCs w:val="24"/>
        </w:rPr>
        <w:t>(Burgette et al., 2021; McCaffrey et al., 2013)</w:t>
      </w:r>
      <w:r w:rsidRPr="00616A70">
        <w:rPr>
          <w:rFonts w:cs="Arial"/>
          <w:szCs w:val="24"/>
        </w:rPr>
        <w:fldChar w:fldCharType="end"/>
      </w:r>
      <w:r w:rsidRPr="00616A70">
        <w:rPr>
          <w:rFonts w:cs="Arial"/>
          <w:szCs w:val="24"/>
        </w:rPr>
        <w:t xml:space="preserve">. We found 20,000 iterations using the mean KS achieved optimal balance. </w:t>
      </w:r>
      <w:r w:rsidR="00CA3FAE" w:rsidRPr="00616A70">
        <w:rPr>
          <w:rFonts w:cs="Arial"/>
          <w:szCs w:val="24"/>
        </w:rPr>
        <w:t>57</w:t>
      </w:r>
      <w:r w:rsidR="008722E2" w:rsidRPr="00616A70">
        <w:rPr>
          <w:rFonts w:cs="Arial"/>
          <w:szCs w:val="24"/>
        </w:rPr>
        <w:t>,5</w:t>
      </w:r>
      <w:r w:rsidR="00CA3FAE" w:rsidRPr="00616A70">
        <w:rPr>
          <w:rFonts w:cs="Arial"/>
          <w:szCs w:val="24"/>
        </w:rPr>
        <w:t>29</w:t>
      </w:r>
      <w:r w:rsidR="008722E2" w:rsidRPr="00616A70">
        <w:rPr>
          <w:rFonts w:cs="Arial"/>
          <w:szCs w:val="24"/>
        </w:rPr>
        <w:t xml:space="preserve"> parents were in treatment during the time frame, 48,169 of whom </w:t>
      </w:r>
      <w:r w:rsidR="00C87F43" w:rsidRPr="00616A70">
        <w:rPr>
          <w:rFonts w:cs="Arial"/>
          <w:szCs w:val="24"/>
        </w:rPr>
        <w:t xml:space="preserve">received </w:t>
      </w:r>
      <w:r w:rsidR="009737C5" w:rsidRPr="00616A70">
        <w:rPr>
          <w:rFonts w:cs="Arial"/>
          <w:szCs w:val="24"/>
        </w:rPr>
        <w:t xml:space="preserve">treatment only or treatment </w:t>
      </w:r>
      <w:r w:rsidR="00545D7B">
        <w:rPr>
          <w:rFonts w:cs="Arial"/>
          <w:szCs w:val="24"/>
        </w:rPr>
        <w:t>plus</w:t>
      </w:r>
      <w:r w:rsidR="009737C5" w:rsidRPr="00616A70">
        <w:rPr>
          <w:rFonts w:cs="Arial"/>
          <w:szCs w:val="24"/>
        </w:rPr>
        <w:t xml:space="preserve"> targeted prevention. The remainder received a statutory child welfare intervention. </w:t>
      </w:r>
      <w:r w:rsidR="00616A70">
        <w:t>The e</w:t>
      </w:r>
      <w:r>
        <w:t xml:space="preserve">ffective sample size </w:t>
      </w:r>
      <w:r w:rsidRPr="00E11A38">
        <w:t>(ESS)</w:t>
      </w:r>
      <w:r w:rsidR="00616A70">
        <w:t>,</w:t>
      </w:r>
      <w:r w:rsidRPr="00E11A38">
        <w:t xml:space="preserve"> </w:t>
      </w:r>
      <w:r w:rsidR="009D4E62">
        <w:t>excluding those on a statutory child welfare intervention</w:t>
      </w:r>
      <w:r w:rsidR="00616A70">
        <w:t>,</w:t>
      </w:r>
      <w:r w:rsidR="009D4E62">
        <w:t xml:space="preserve"> </w:t>
      </w:r>
      <w:r w:rsidRPr="00E11A38">
        <w:t xml:space="preserve">after propensity score weighting was </w:t>
      </w:r>
      <w:r w:rsidR="00410606">
        <w:t>47</w:t>
      </w:r>
      <w:r w:rsidRPr="00E11A38">
        <w:t>,</w:t>
      </w:r>
      <w:r w:rsidR="00410606">
        <w:t>047</w:t>
      </w:r>
      <w:r w:rsidRPr="00E11A38">
        <w:t>.</w:t>
      </w:r>
      <w:r w:rsidRPr="00640745">
        <w:t xml:space="preserve"> </w:t>
      </w:r>
      <w:r w:rsidR="00410606">
        <w:t xml:space="preserve"> </w:t>
      </w:r>
    </w:p>
    <w:p w14:paraId="291AC031" w14:textId="77777777" w:rsidR="00CA3FAE" w:rsidRDefault="00CA3FAE" w:rsidP="003907D3">
      <w:pPr>
        <w:pStyle w:val="NoSpacing"/>
        <w:spacing w:line="360" w:lineRule="auto"/>
      </w:pPr>
    </w:p>
    <w:p w14:paraId="7E56D862" w14:textId="5147B0A0" w:rsidR="003907D3" w:rsidRDefault="003907D3" w:rsidP="003907D3">
      <w:pPr>
        <w:pStyle w:val="NoSpacing"/>
        <w:spacing w:line="360" w:lineRule="auto"/>
      </w:pPr>
      <w:r>
        <w:t xml:space="preserve">Our approach enabled a quasi-experimental evaluation of our intervention strategies compared with treatment only. We assumed that the sex of the parent, type of </w:t>
      </w:r>
      <w:r>
        <w:lastRenderedPageBreak/>
        <w:t xml:space="preserve">substance used and child living arrangements were important </w:t>
      </w:r>
      <w:r w:rsidRPr="00441A36">
        <w:t xml:space="preserve">early factors when </w:t>
      </w:r>
      <w:r>
        <w:t xml:space="preserve">practitioners are </w:t>
      </w:r>
      <w:r w:rsidRPr="00441A36">
        <w:t xml:space="preserve">deciding to which </w:t>
      </w:r>
      <w:r>
        <w:t>intervention</w:t>
      </w:r>
      <w:r w:rsidRPr="00441A36">
        <w:t xml:space="preserve"> parents </w:t>
      </w:r>
      <w:r>
        <w:t>w</w:t>
      </w:r>
      <w:r w:rsidRPr="00441A36">
        <w:t xml:space="preserve">ould be initially </w:t>
      </w:r>
      <w:r w:rsidR="00727949">
        <w:t>assigned</w:t>
      </w:r>
      <w:r w:rsidR="00A722A0">
        <w:t>, and</w:t>
      </w:r>
      <w:r w:rsidR="00747F9F">
        <w:t xml:space="preserve"> </w:t>
      </w:r>
      <w:r w:rsidR="00A722A0">
        <w:t>so we</w:t>
      </w:r>
      <w:r w:rsidR="000A386D">
        <w:t xml:space="preserve"> estimated</w:t>
      </w:r>
      <w:r>
        <w:t xml:space="preserve"> the </w:t>
      </w:r>
      <w:r w:rsidRPr="001D63CB">
        <w:t xml:space="preserve">average treatment effects (ATEs) in each of the </w:t>
      </w:r>
      <w:r>
        <w:t xml:space="preserve">twelve </w:t>
      </w:r>
      <w:r w:rsidR="00A824CA">
        <w:t xml:space="preserve">subgroup </w:t>
      </w:r>
      <w:r>
        <w:t>models</w:t>
      </w:r>
      <w:r w:rsidRPr="001D63CB">
        <w:t xml:space="preserve"> </w:t>
      </w:r>
      <w:r w:rsidRPr="001D63CB">
        <w:fldChar w:fldCharType="begin"/>
      </w:r>
      <w:r w:rsidR="00B9334F">
        <w:instrText xml:space="preserve"> ADDIN EN.CITE &lt;EndNote&gt;&lt;Cite&gt;&lt;Author&gt;Greifer&lt;/Author&gt;&lt;Year&gt;2021&lt;/Year&gt;&lt;RecNum&gt;59&lt;/RecNum&gt;&lt;DisplayText&gt;(Greifer &amp;amp; Stuart, 2021)&lt;/DisplayText&gt;&lt;record&gt;&lt;rec-number&gt;59&lt;/rec-number&gt;&lt;foreign-keys&gt;&lt;key app="EN" db-id="ffzvr5fstavwxoe9v04xf0wmp5t50as52da0" timestamp="1731671640" guid="4f0f7681-845c-4289-8c11-6f39de07331b"&gt;59&lt;/key&gt;&lt;/foreign-keys&gt;&lt;ref-type name="Journal Article"&gt;17&lt;/ref-type&gt;&lt;contributors&gt;&lt;authors&gt;&lt;author&gt;Greifer, Noah&lt;/author&gt;&lt;author&gt;Stuart, Elizabeth A.&lt;/author&gt;&lt;/authors&gt;&lt;/contributors&gt;&lt;titles&gt;&lt;title&gt;Choosing the Causal Estimand for Propensity Score Analysis of Observational Studies&lt;/title&gt;&lt;/titles&gt;&lt;keywords&gt;&lt;keyword&gt;Statistics - Methodology&lt;/keyword&gt;&lt;/keywords&gt;&lt;dates&gt;&lt;year&gt;2021&lt;/year&gt;&lt;/dates&gt;&lt;urls&gt;&lt;/urls&gt;&lt;electronic-resource-num&gt;10.48550/arxiv.2106.10577&lt;/electronic-resource-num&gt;&lt;/record&gt;&lt;/Cite&gt;&lt;/EndNote&gt;</w:instrText>
      </w:r>
      <w:r w:rsidRPr="001D63CB">
        <w:fldChar w:fldCharType="separate"/>
      </w:r>
      <w:r w:rsidR="003C6F70">
        <w:rPr>
          <w:noProof/>
        </w:rPr>
        <w:t>(Greifer &amp; Stuart, 2021)</w:t>
      </w:r>
      <w:r w:rsidRPr="001D63CB">
        <w:fldChar w:fldCharType="end"/>
      </w:r>
      <w:r>
        <w:t>. As our outcome variable was binary (‘successful’ or ‘not successful’), the differences in ATE reflected percentage point differences for each intervention compared to treatment only.</w:t>
      </w:r>
    </w:p>
    <w:p w14:paraId="3CB9AF9B" w14:textId="77777777" w:rsidR="003A27BF" w:rsidRPr="00306448" w:rsidRDefault="003A27BF" w:rsidP="003907D3">
      <w:pPr>
        <w:pStyle w:val="NoSpacing"/>
        <w:spacing w:line="360" w:lineRule="auto"/>
      </w:pPr>
    </w:p>
    <w:p w14:paraId="63B4587A" w14:textId="4EA1D13E" w:rsidR="003907D3" w:rsidRDefault="003907D3" w:rsidP="00716F08">
      <w:pPr>
        <w:pStyle w:val="Heading4"/>
        <w:spacing w:line="240" w:lineRule="auto"/>
      </w:pPr>
      <w:r w:rsidRPr="008653ED">
        <w:t>Baseline covariates</w:t>
      </w:r>
    </w:p>
    <w:p w14:paraId="55BBB8ED" w14:textId="77777777" w:rsidR="00716F08" w:rsidRPr="00716F08" w:rsidRDefault="00716F08" w:rsidP="00716F08"/>
    <w:p w14:paraId="18B33596" w14:textId="081E0D45" w:rsidR="003907D3" w:rsidRDefault="003907D3" w:rsidP="003907D3">
      <w:pPr>
        <w:pStyle w:val="NoSpacing"/>
        <w:spacing w:line="360" w:lineRule="auto"/>
      </w:pPr>
      <w:r>
        <w:t xml:space="preserve">While GBM can handle many baseline covariates, controlling for too many can adversely affect ATE and inflate the variability of weighted means </w:t>
      </w:r>
      <w:r>
        <w:fldChar w:fldCharType="begin"/>
      </w:r>
      <w:r w:rsidR="00B9334F">
        <w:instrText xml:space="preserve"> ADDIN EN.CITE &lt;EndNote&gt;&lt;Cite&gt;&lt;Author&gt;Griffin&lt;/Author&gt;&lt;Year&gt;2017&lt;/Year&gt;&lt;RecNum&gt;60&lt;/RecNum&gt;&lt;DisplayText&gt;(Griffin et al., 2017)&lt;/DisplayText&gt;&lt;record&gt;&lt;rec-number&gt;60&lt;/rec-number&gt;&lt;foreign-keys&gt;&lt;key app="EN" db-id="ffzvr5fstavwxoe9v04xf0wmp5t50as52da0" timestamp="1731671640" guid="fd7b4c1d-6f88-409e-ba67-5133635f4905"&gt;60&lt;/key&gt;&lt;/foreign-keys&gt;&lt;ref-type name="Journal Article"&gt;17&lt;/ref-type&gt;&lt;contributors&gt;&lt;authors&gt;&lt;author&gt;Griffin, B. A.&lt;/author&gt;&lt;author&gt;McCaffrey, D.&lt;/author&gt;&lt;author&gt;Almirall, D.&lt;/author&gt;&lt;author&gt;Setodji, C.&lt;/author&gt;&lt;author&gt;Burgette, L.&lt;/author&gt;&lt;/authors&gt;&lt;/contributors&gt;&lt;auth-address&gt;RAND Corporation. 1200 South Hayes Street. Arlington, VA 22202.&amp;#xD;Educational Testing Service (ETS). Ewing New Jersey.&amp;#xD;University of Michigan, Institute for Social Research. Ann Arbor, Michigan.&lt;/auth-address&gt;&lt;titles&gt;&lt;title&gt;Chasing balance and other recommendations for improving nonparametric propensity score models&lt;/title&gt;&lt;secondary-title&gt;J Causal Inference&lt;/secondary-title&gt;&lt;/titles&gt;&lt;periodical&gt;&lt;full-title&gt;J Causal Inference&lt;/full-title&gt;&lt;/periodical&gt;&lt;volume&gt;5&lt;/volume&gt;&lt;number&gt;2&lt;/number&gt;&lt;edition&gt;20170113&lt;/edition&gt;&lt;dates&gt;&lt;year&gt;2017&lt;/year&gt;&lt;/dates&gt;&lt;isbn&gt;2193-3677 (Print)&amp;#xD;2193-3685&lt;/isbn&gt;&lt;accession-num&gt;29503788&lt;/accession-num&gt;&lt;urls&gt;&lt;/urls&gt;&lt;custom2&gt;PMC5830178&lt;/custom2&gt;&lt;custom6&gt;NIHMS912190&lt;/custom6&gt;&lt;electronic-resource-num&gt;10.1515/jci-2015-0026&lt;/electronic-resource-num&gt;&lt;remote-database-provider&gt;NLM&lt;/remote-database-provider&gt;&lt;language&gt;eng&lt;/language&gt;&lt;/record&gt;&lt;/Cite&gt;&lt;/EndNote&gt;</w:instrText>
      </w:r>
      <w:r>
        <w:fldChar w:fldCharType="separate"/>
      </w:r>
      <w:r w:rsidR="00A77498">
        <w:rPr>
          <w:noProof/>
        </w:rPr>
        <w:t>(Griffin et al., 2017)</w:t>
      </w:r>
      <w:r>
        <w:fldChar w:fldCharType="end"/>
      </w:r>
      <w:r>
        <w:t xml:space="preserve">. </w:t>
      </w:r>
      <w:r w:rsidRPr="522D941E">
        <w:t xml:space="preserve">We included </w:t>
      </w:r>
      <w:r>
        <w:t xml:space="preserve">only the most influential observed baseline covariates as determined by the significant baseline socio-demographic and clinical predictors of treatment completion from our </w:t>
      </w:r>
      <w:r w:rsidRPr="522D941E">
        <w:t xml:space="preserve">previous </w:t>
      </w:r>
      <w:r>
        <w:t xml:space="preserve">exploratory analysis </w:t>
      </w:r>
      <w:r>
        <w:fldChar w:fldCharType="begin"/>
      </w:r>
      <w:r w:rsidR="00B9334F">
        <w:instrText xml:space="preserve"> ADDIN EN.CITE &lt;EndNote&gt;&lt;Cite&gt;&lt;Author&gt;Musto Wright&lt;/Author&gt;&lt;Year&gt;2024&lt;/Year&gt;&lt;RecNum&gt;278&lt;/RecNum&gt;&lt;DisplayText&gt;(Musto Wright et al., 2024a)&lt;/DisplayText&gt;&lt;record&gt;&lt;rec-number&gt;278&lt;/rec-number&gt;&lt;foreign-keys&gt;&lt;key app="EN" db-id="ffzvr5fstavwxoe9v04xf0wmp5t50as52da0" timestamp="1731671654" guid="a1defd86-bf13-46f7-99c1-13d00def814c"&gt;278&lt;/key&gt;&lt;/foreign-keys&gt;&lt;ref-type name="Journal Article"&gt;17&lt;/ref-type&gt;&lt;contributors&gt;&lt;authors&gt;&lt;author&gt;Musto Wright, V.,&lt;/author&gt;&lt;author&gt;Eastwood, B.,&lt;/author&gt;&lt;author&gt;Meier, P.,&lt;/author&gt;&lt;author&gt;Brennan, A.,&lt;/author&gt;&lt;/authors&gt;&lt;/contributors&gt;&lt;titles&gt;&lt;title&gt;Characteristics of parents who use substances, receive specialist treatment and child welfare support in England&lt;/title&gt;&lt;secondary-title&gt;Manuscript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fldChar w:fldCharType="separate"/>
      </w:r>
      <w:r w:rsidR="00A77498">
        <w:rPr>
          <w:noProof/>
        </w:rPr>
        <w:t>(Musto Wright et al., 2024a)</w:t>
      </w:r>
      <w:r>
        <w:fldChar w:fldCharType="end"/>
      </w:r>
      <w:r w:rsidRPr="02F0ED4B">
        <w:t>.</w:t>
      </w:r>
      <w:r>
        <w:t xml:space="preserve"> The following seven variables were thus used: age</w:t>
      </w:r>
      <w:r w:rsidRPr="2F7D0496">
        <w:t xml:space="preserve">; pregnancy among females aged 18-50; </w:t>
      </w:r>
      <w:r>
        <w:t>not in education</w:t>
      </w:r>
      <w:r w:rsidRPr="2F7D0496">
        <w:t>, e</w:t>
      </w:r>
      <w:r w:rsidRPr="00056E69">
        <w:t>mployment</w:t>
      </w:r>
      <w:r w:rsidRPr="2F7D0496">
        <w:t>,</w:t>
      </w:r>
      <w:r w:rsidRPr="00056E69">
        <w:t xml:space="preserve"> </w:t>
      </w:r>
      <w:r>
        <w:t>or training (NEET);</w:t>
      </w:r>
      <w:r w:rsidRPr="00056E69">
        <w:t xml:space="preserve"> housing </w:t>
      </w:r>
      <w:r>
        <w:t>problem/ no fixed abode;</w:t>
      </w:r>
      <w:r w:rsidRPr="00056E69">
        <w:t xml:space="preserve"> </w:t>
      </w:r>
      <w:r>
        <w:t xml:space="preserve">concurrent mental health treatment need; criminal justice referral into treatment and multiple treatment episodes during the study period. </w:t>
      </w:r>
    </w:p>
    <w:p w14:paraId="2E1B793C" w14:textId="77777777" w:rsidR="003907D3" w:rsidRDefault="003907D3" w:rsidP="003907D3">
      <w:pPr>
        <w:pStyle w:val="NoSpacing"/>
        <w:spacing w:line="360" w:lineRule="auto"/>
      </w:pPr>
    </w:p>
    <w:p w14:paraId="7102709C" w14:textId="148D9900" w:rsidR="003907D3" w:rsidRDefault="003907D3" w:rsidP="00716F08">
      <w:pPr>
        <w:pStyle w:val="Heading4"/>
        <w:spacing w:line="240" w:lineRule="auto"/>
      </w:pPr>
      <w:r>
        <w:t>Missing data</w:t>
      </w:r>
    </w:p>
    <w:p w14:paraId="6F52E08B" w14:textId="77777777" w:rsidR="00716F08" w:rsidRPr="00716F08" w:rsidRDefault="00716F08" w:rsidP="00716F08"/>
    <w:p w14:paraId="74EFA24C" w14:textId="0AE69397" w:rsidR="006A0858" w:rsidRDefault="003907D3" w:rsidP="006A0858">
      <w:pPr>
        <w:spacing w:line="360" w:lineRule="auto"/>
        <w:rPr>
          <w:rFonts w:cs="Arial"/>
        </w:rPr>
      </w:pPr>
      <w:r w:rsidRPr="00027819">
        <w:t xml:space="preserve">Just over a fifth (22.7%) of our data were missing.  </w:t>
      </w:r>
      <w:r w:rsidRPr="00027819">
        <w:fldChar w:fldCharType="begin"/>
      </w:r>
      <w:r w:rsidR="00B9334F">
        <w:instrText xml:space="preserve"> ADDIN EN.CITE &lt;EndNote&gt;&lt;Cite AuthorYear="1"&gt;&lt;Author&gt;Coffman&lt;/Author&gt;&lt;Year&gt;2020&lt;/Year&gt;&lt;RecNum&gt;22&lt;/RecNum&gt;&lt;DisplayText&gt;Coffman et al. (2020)&lt;/DisplayText&gt;&lt;record&gt;&lt;rec-number&gt;22&lt;/rec-number&gt;&lt;foreign-keys&gt;&lt;key app="EN" db-id="ffzvr5fstavwxoe9v04xf0wmp5t50as52da0" timestamp="1731671637" guid="c1a124a1-d671-427d-84ee-0448c850692a"&gt;22&lt;/key&gt;&lt;/foreign-keys&gt;&lt;ref-type name="Journal Article"&gt;17&lt;/ref-type&gt;&lt;contributors&gt;&lt;authors&gt;&lt;author&gt;Coffman, Donna L.&lt;/author&gt;&lt;author&gt;Zhou, Jiangxiu&lt;/author&gt;&lt;author&gt;Cai, Xizhen&lt;/author&gt;&lt;/authors&gt;&lt;/contributors&gt;&lt;titles&gt;&lt;title&gt;Comparison of methods for handling covariate missingness in propensity score estimation with a binary exposure&lt;/title&gt;&lt;secondary-title&gt;BMC Medical Research Methodology&lt;/secondary-title&gt;&lt;/titles&gt;&lt;periodical&gt;&lt;full-title&gt;BMC Medical Research Methodology&lt;/full-title&gt;&lt;/periodical&gt;&lt;pages&gt;168&lt;/pages&gt;&lt;volume&gt;20&lt;/volume&gt;&lt;number&gt;1&lt;/number&gt;&lt;dates&gt;&lt;year&gt;2020&lt;/year&gt;&lt;pub-dates&gt;&lt;date&gt;2020/06/26&lt;/date&gt;&lt;/pub-dates&gt;&lt;/dates&gt;&lt;isbn&gt;1471-2288&lt;/isbn&gt;&lt;urls&gt;&lt;related-urls&gt;&lt;url&gt;https://doi.org/10.1186/s12874-020-01053-4&lt;/url&gt;&lt;/related-urls&gt;&lt;/urls&gt;&lt;electronic-resource-num&gt;10.1186/s12874-020-01053-4&lt;/electronic-resource-num&gt;&lt;/record&gt;&lt;/Cite&gt;&lt;/EndNote&gt;</w:instrText>
      </w:r>
      <w:r w:rsidRPr="00027819">
        <w:fldChar w:fldCharType="separate"/>
      </w:r>
      <w:r w:rsidR="00A77498">
        <w:rPr>
          <w:noProof/>
        </w:rPr>
        <w:t>Coffman et al. (2020)</w:t>
      </w:r>
      <w:r w:rsidRPr="00027819">
        <w:fldChar w:fldCharType="end"/>
      </w:r>
      <w:r w:rsidRPr="00027819">
        <w:t xml:space="preserve"> showed that</w:t>
      </w:r>
      <w:r>
        <w:t xml:space="preserve">, where data on potential confounders is missing at random, then </w:t>
      </w:r>
      <w:r>
        <w:rPr>
          <w:rFonts w:cs="Arial"/>
        </w:rPr>
        <w:t xml:space="preserve">missing values should first be imputed before applying GBM. </w:t>
      </w:r>
      <w:r>
        <w:t xml:space="preserve">The authors </w:t>
      </w:r>
      <w:r>
        <w:rPr>
          <w:rFonts w:cs="Arial"/>
        </w:rPr>
        <w:t xml:space="preserve">found no difference in bias or standard errors between single and twenty multiple imputations. We tested this </w:t>
      </w:r>
      <w:r w:rsidRPr="522D941E">
        <w:rPr>
          <w:rFonts w:cs="Arial"/>
        </w:rPr>
        <w:t xml:space="preserve">for our dataset </w:t>
      </w:r>
      <w:r>
        <w:rPr>
          <w:rFonts w:cs="Arial"/>
        </w:rPr>
        <w:t xml:space="preserve">by comparing the standard errors and p-values of our observed patient characteristics in twenty datasets </w:t>
      </w:r>
      <w:r w:rsidRPr="522D941E">
        <w:rPr>
          <w:rFonts w:cs="Arial"/>
        </w:rPr>
        <w:t>that we had</w:t>
      </w:r>
      <w:r>
        <w:rPr>
          <w:rFonts w:cs="Arial"/>
        </w:rPr>
        <w:t xml:space="preserve"> imputed in our exploratory analysis </w:t>
      </w:r>
      <w:r>
        <w:rPr>
          <w:rFonts w:cs="Arial"/>
        </w:rPr>
        <w:fldChar w:fldCharType="begin"/>
      </w:r>
      <w:r w:rsidR="00B9334F">
        <w:rPr>
          <w:rFonts w:cs="Arial"/>
        </w:rPr>
        <w:instrText xml:space="preserve"> ADDIN EN.CITE &lt;EndNote&gt;&lt;Cite&gt;&lt;Author&gt;Musto Wright&lt;/Author&gt;&lt;Year&gt;2024&lt;/Year&gt;&lt;RecNum&gt;278&lt;/RecNum&gt;&lt;DisplayText&gt;(Musto Wright et al., 2024a)&lt;/DisplayText&gt;&lt;record&gt;&lt;rec-number&gt;278&lt;/rec-number&gt;&lt;foreign-keys&gt;&lt;key app="EN" db-id="ffzvr5fstavwxoe9v04xf0wmp5t50as52da0" timestamp="1731671654" guid="a1defd86-bf13-46f7-99c1-13d00def814c"&gt;278&lt;/key&gt;&lt;/foreign-keys&gt;&lt;ref-type name="Journal Article"&gt;17&lt;/ref-type&gt;&lt;contributors&gt;&lt;authors&gt;&lt;author&gt;Musto Wright, V.,&lt;/author&gt;&lt;author&gt;Eastwood, B.,&lt;/author&gt;&lt;author&gt;Meier, P.,&lt;/author&gt;&lt;author&gt;Brennan, A.,&lt;/author&gt;&lt;/authors&gt;&lt;/contributors&gt;&lt;titles&gt;&lt;title&gt;Characteristics of parents who use substances, receive specialist treatment and child welfare support in England&lt;/title&gt;&lt;secondary-title&gt;Manuscript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rPr>
          <w:rFonts w:cs="Arial"/>
        </w:rPr>
        <w:fldChar w:fldCharType="separate"/>
      </w:r>
      <w:r w:rsidR="00A77498">
        <w:rPr>
          <w:rFonts w:cs="Arial"/>
          <w:noProof/>
        </w:rPr>
        <w:t>(Musto Wright et al., 2024a)</w:t>
      </w:r>
      <w:r>
        <w:rPr>
          <w:rFonts w:cs="Arial"/>
        </w:rPr>
        <w:fldChar w:fldCharType="end"/>
      </w:r>
      <w:r>
        <w:rPr>
          <w:rFonts w:cs="Arial"/>
        </w:rPr>
        <w:t xml:space="preserve">. </w:t>
      </w:r>
      <w:r w:rsidRPr="522D941E">
        <w:rPr>
          <w:rFonts w:cs="Arial"/>
        </w:rPr>
        <w:t xml:space="preserve">In line with </w:t>
      </w:r>
      <w:r>
        <w:fldChar w:fldCharType="begin"/>
      </w:r>
      <w:r w:rsidR="00B9334F">
        <w:instrText xml:space="preserve"> ADDIN EN.CITE &lt;EndNote&gt;&lt;Cite AuthorYear="1"&gt;&lt;Author&gt;Coffman&lt;/Author&gt;&lt;Year&gt;2020&lt;/Year&gt;&lt;RecNum&gt;22&lt;/RecNum&gt;&lt;DisplayText&gt;Coffman et al. (2020)&lt;/DisplayText&gt;&lt;record&gt;&lt;rec-number&gt;22&lt;/rec-number&gt;&lt;foreign-keys&gt;&lt;key app="EN" db-id="ffzvr5fstavwxoe9v04xf0wmp5t50as52da0" timestamp="1731671637" guid="c1a124a1-d671-427d-84ee-0448c850692a"&gt;22&lt;/key&gt;&lt;/foreign-keys&gt;&lt;ref-type name="Journal Article"&gt;17&lt;/ref-type&gt;&lt;contributors&gt;&lt;authors&gt;&lt;author&gt;Coffman, Donna L.&lt;/author&gt;&lt;author&gt;Zhou, Jiangxiu&lt;/author&gt;&lt;author&gt;Cai, Xizhen&lt;/author&gt;&lt;/authors&gt;&lt;/contributors&gt;&lt;titles&gt;&lt;title&gt;Comparison of methods for handling covariate missingness in propensity score estimation with a binary exposure&lt;/title&gt;&lt;secondary-title&gt;BMC Medical Research Methodology&lt;/secondary-title&gt;&lt;/titles&gt;&lt;periodical&gt;&lt;full-title&gt;BMC Medical Research Methodology&lt;/full-title&gt;&lt;/periodical&gt;&lt;pages&gt;168&lt;/pages&gt;&lt;volume&gt;20&lt;/volume&gt;&lt;number&gt;1&lt;/number&gt;&lt;dates&gt;&lt;year&gt;2020&lt;/year&gt;&lt;pub-dates&gt;&lt;date&gt;2020/06/26&lt;/date&gt;&lt;/pub-dates&gt;&lt;/dates&gt;&lt;isbn&gt;1471-2288&lt;/isbn&gt;&lt;urls&gt;&lt;related-urls&gt;&lt;url&gt;https://doi.org/10.1186/s12874-020-01053-4&lt;/url&gt;&lt;/related-urls&gt;&lt;/urls&gt;&lt;electronic-resource-num&gt;10.1186/s12874-020-01053-4&lt;/electronic-resource-num&gt;&lt;/record&gt;&lt;/Cite&gt;&lt;/EndNote&gt;</w:instrText>
      </w:r>
      <w:r>
        <w:fldChar w:fldCharType="separate"/>
      </w:r>
      <w:r w:rsidR="00A77498">
        <w:rPr>
          <w:noProof/>
        </w:rPr>
        <w:t>Coffman et al. (2020)</w:t>
      </w:r>
      <w:r>
        <w:fldChar w:fldCharType="end"/>
      </w:r>
      <w:r>
        <w:rPr>
          <w:rFonts w:cs="Arial"/>
        </w:rPr>
        <w:t>, differences were negligible and not statistically significant (see supplementary</w:t>
      </w:r>
      <w:r w:rsidR="00D21896">
        <w:rPr>
          <w:rFonts w:cs="Arial"/>
        </w:rPr>
        <w:t xml:space="preserve"> </w:t>
      </w:r>
      <w:r w:rsidR="004875A9" w:rsidRPr="00D812E5">
        <w:rPr>
          <w:rFonts w:cs="Arial"/>
        </w:rPr>
        <w:fldChar w:fldCharType="begin"/>
      </w:r>
      <w:r w:rsidR="004875A9" w:rsidRPr="00D812E5">
        <w:rPr>
          <w:rFonts w:cs="Arial"/>
        </w:rPr>
        <w:instrText xml:space="preserve"> REF _Ref177139445 \h  \* MERGEFORMAT </w:instrText>
      </w:r>
      <w:r w:rsidR="004875A9" w:rsidRPr="00D812E5">
        <w:rPr>
          <w:rFonts w:cs="Arial"/>
        </w:rPr>
      </w:r>
      <w:r w:rsidR="004875A9" w:rsidRPr="00D812E5">
        <w:rPr>
          <w:rFonts w:cs="Arial"/>
        </w:rPr>
        <w:fldChar w:fldCharType="separate"/>
      </w:r>
      <w:r w:rsidR="004875A9" w:rsidRPr="00D812E5">
        <w:rPr>
          <w:szCs w:val="24"/>
        </w:rPr>
        <w:t xml:space="preserve">Table B </w:t>
      </w:r>
      <w:r w:rsidR="004875A9" w:rsidRPr="00D812E5">
        <w:rPr>
          <w:szCs w:val="24"/>
        </w:rPr>
        <w:noBreakHyphen/>
        <w:t>1</w:t>
      </w:r>
      <w:r w:rsidR="004875A9" w:rsidRPr="00D812E5">
        <w:rPr>
          <w:rFonts w:cs="Arial"/>
        </w:rPr>
        <w:fldChar w:fldCharType="end"/>
      </w:r>
      <w:r w:rsidR="004875A9">
        <w:rPr>
          <w:rFonts w:cs="Arial"/>
        </w:rPr>
        <w:t xml:space="preserve"> in Appendix B</w:t>
      </w:r>
      <w:r w:rsidRPr="004875A9">
        <w:rPr>
          <w:rFonts w:cs="Arial"/>
        </w:rPr>
        <w:t>)</w:t>
      </w:r>
      <w:r w:rsidRPr="522D941E">
        <w:rPr>
          <w:rFonts w:cs="Arial"/>
        </w:rPr>
        <w:t xml:space="preserve">. We therefore used </w:t>
      </w:r>
      <w:r>
        <w:rPr>
          <w:rFonts w:cs="Arial"/>
        </w:rPr>
        <w:t>a single imputation method for the GBM. (</w:t>
      </w:r>
      <w:r w:rsidRPr="522D941E">
        <w:rPr>
          <w:rFonts w:cs="Arial"/>
        </w:rPr>
        <w:t>Full details on data</w:t>
      </w:r>
      <w:r>
        <w:rPr>
          <w:rFonts w:cs="Arial"/>
        </w:rPr>
        <w:t xml:space="preserve"> prior to imputation, as well as missingness tests, can be seen in </w:t>
      </w:r>
      <w:r>
        <w:rPr>
          <w:rFonts w:cs="Arial"/>
        </w:rPr>
        <w:fldChar w:fldCharType="begin"/>
      </w:r>
      <w:r w:rsidR="00B9334F">
        <w:rPr>
          <w:rFonts w:cs="Arial"/>
        </w:rPr>
        <w:instrText xml:space="preserve"> ADDIN EN.CITE &lt;EndNote&gt;&lt;Cite&gt;&lt;Author&gt;Musto Wright&lt;/Author&gt;&lt;Year&gt;2024&lt;/Year&gt;&lt;RecNum&gt;278&lt;/RecNum&gt;&lt;DisplayText&gt;(Musto Wright et al., 2024a)&lt;/DisplayText&gt;&lt;record&gt;&lt;rec-number&gt;278&lt;/rec-number&gt;&lt;foreign-keys&gt;&lt;key app="EN" db-id="ffzvr5fstavwxoe9v04xf0wmp5t50as52da0" timestamp="1731671654" guid="a1defd86-bf13-46f7-99c1-13d00def814c"&gt;278&lt;/key&gt;&lt;/foreign-keys&gt;&lt;ref-type name="Journal Article"&gt;17&lt;/ref-type&gt;&lt;contributors&gt;&lt;authors&gt;&lt;author&gt;Musto Wright, V.,&lt;/author&gt;&lt;author&gt;Eastwood, B.,&lt;/author&gt;&lt;author&gt;Meier, P.,&lt;/author&gt;&lt;author&gt;Brennan, A.,&lt;/author&gt;&lt;/authors&gt;&lt;/contributors&gt;&lt;titles&gt;&lt;title&gt;Characteristics of parents who use substances, receive specialist treatment and child welfare support in England&lt;/title&gt;&lt;secondary-title&gt;Manuscript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rPr>
          <w:rFonts w:cs="Arial"/>
        </w:rPr>
        <w:fldChar w:fldCharType="separate"/>
      </w:r>
      <w:r w:rsidR="00A77498">
        <w:rPr>
          <w:rFonts w:cs="Arial"/>
          <w:noProof/>
        </w:rPr>
        <w:t>(Musto Wright et al., 2024a)</w:t>
      </w:r>
      <w:r>
        <w:rPr>
          <w:rFonts w:cs="Arial"/>
        </w:rPr>
        <w:fldChar w:fldCharType="end"/>
      </w:r>
      <w:r w:rsidR="00CD74F5">
        <w:rPr>
          <w:rFonts w:cs="Arial"/>
        </w:rPr>
        <w:t>.</w:t>
      </w:r>
    </w:p>
    <w:p w14:paraId="4BC48D93" w14:textId="77777777" w:rsidR="006A0858" w:rsidRDefault="006A0858" w:rsidP="006A0858">
      <w:pPr>
        <w:pStyle w:val="NoSpacing"/>
        <w:spacing w:line="360" w:lineRule="auto"/>
      </w:pPr>
    </w:p>
    <w:p w14:paraId="2F1D7BE1" w14:textId="77777777" w:rsidR="006B14A9" w:rsidRPr="006A0858" w:rsidRDefault="006B14A9" w:rsidP="006A0858">
      <w:pPr>
        <w:pStyle w:val="NoSpacing"/>
        <w:spacing w:line="360" w:lineRule="auto"/>
      </w:pPr>
    </w:p>
    <w:p w14:paraId="107C3E13" w14:textId="391BA758" w:rsidR="003907D3" w:rsidRDefault="003907D3" w:rsidP="00716F08">
      <w:pPr>
        <w:pStyle w:val="Heading4"/>
        <w:spacing w:line="240" w:lineRule="auto"/>
      </w:pPr>
      <w:r>
        <w:lastRenderedPageBreak/>
        <w:t>Sensitivity analysis</w:t>
      </w:r>
    </w:p>
    <w:p w14:paraId="4BD5FCFB" w14:textId="77777777" w:rsidR="00716F08" w:rsidRPr="00716F08" w:rsidRDefault="00716F08" w:rsidP="00716F08"/>
    <w:p w14:paraId="096618E7" w14:textId="033A4A6E" w:rsidR="003907D3" w:rsidRDefault="003907D3" w:rsidP="003907D3">
      <w:pPr>
        <w:pStyle w:val="NoSpacing"/>
        <w:spacing w:line="360" w:lineRule="auto"/>
      </w:pPr>
      <w:r w:rsidRPr="522D941E">
        <w:t xml:space="preserve">We used E-values to assess the robustness of </w:t>
      </w:r>
      <w:r>
        <w:t>ATEs</w:t>
      </w:r>
      <w:r w:rsidRPr="522D941E">
        <w:t xml:space="preserve">. </w:t>
      </w:r>
      <w:r>
        <w:t xml:space="preserve">In quasi-experimental studies, it is possible for unmeasured confounders (features which cause both treatment assignment </w:t>
      </w:r>
      <w:r w:rsidRPr="00D0403B">
        <w:rPr>
          <w:i/>
          <w:iCs/>
        </w:rPr>
        <w:t>and</w:t>
      </w:r>
      <w:r>
        <w:t xml:space="preserve"> outcome) to be misinterpreted as treatment effects </w:t>
      </w:r>
      <w:r>
        <w:fldChar w:fldCharType="begin"/>
      </w:r>
      <w:r w:rsidR="00B9334F">
        <w:instrText xml:space="preserve"> ADDIN EN.CITE &lt;EndNote&gt;&lt;Cite&gt;&lt;Author&gt;Linden&lt;/Author&gt;&lt;Year&gt;2020&lt;/Year&gt;&lt;RecNum&gt;187&lt;/RecNum&gt;&lt;DisplayText&gt;(Linden et al., 2020)&lt;/DisplayText&gt;&lt;record&gt;&lt;rec-number&gt;187&lt;/rec-number&gt;&lt;foreign-keys&gt;&lt;key app="EN" db-id="ffzvr5fstavwxoe9v04xf0wmp5t50as52da0" timestamp="1731671648" guid="ee7f9038-5a49-49b5-95e9-4fa016240854"&gt;187&lt;/key&gt;&lt;/foreign-keys&gt;&lt;ref-type name="Journal Article"&gt;17&lt;/ref-type&gt;&lt;contributors&gt;&lt;authors&gt;&lt;author&gt;Linden, Ariel&lt;/author&gt;&lt;author&gt;Mathur, Maya B.&lt;/author&gt;&lt;author&gt;VanderWeele, Tyler J.&lt;/author&gt;&lt;/authors&gt;&lt;/contributors&gt;&lt;titles&gt;&lt;title&gt;Conducting sensitivity analysis for unmeasured confounding in observational studies using E-values: The evalue package&lt;/title&gt;&lt;secondary-title&gt;The Stata Journal&lt;/secondary-title&gt;&lt;/titles&gt;&lt;periodical&gt;&lt;full-title&gt;The Stata Journal&lt;/full-title&gt;&lt;/periodical&gt;&lt;pages&gt;162-175&lt;/pages&gt;&lt;volume&gt;20&lt;/volume&gt;&lt;number&gt;1&lt;/number&gt;&lt;keywords&gt;&lt;keyword&gt;st0593,evalue,E-value,sensitivity analysis,treatment effects,causality,confounding&lt;/keyword&gt;&lt;/keywords&gt;&lt;dates&gt;&lt;year&gt;2020&lt;/year&gt;&lt;/dates&gt;&lt;urls&gt;&lt;related-urls&gt;&lt;url&gt;https://journals.sagepub.com/doi/abs/10.1177/1536867X20909696&lt;/url&gt;&lt;/related-urls&gt;&lt;/urls&gt;&lt;electronic-resource-num&gt;10.1177/1536867x20909696&lt;/electronic-resource-num&gt;&lt;/record&gt;&lt;/Cite&gt;&lt;/EndNote&gt;</w:instrText>
      </w:r>
      <w:r>
        <w:fldChar w:fldCharType="separate"/>
      </w:r>
      <w:r w:rsidR="00A77498">
        <w:rPr>
          <w:noProof/>
        </w:rPr>
        <w:t>(Linden et al., 2020)</w:t>
      </w:r>
      <w:r>
        <w:fldChar w:fldCharType="end"/>
      </w:r>
      <w:r>
        <w:t xml:space="preserve">.  Adjusting for all measured covariates in a study, the e-value is defined as the minimum strength of association there would have to be between an unmeasured confounder and treatment assignment, and between the unmeasured confounder and treatment outcome, to fully explain away </w:t>
      </w:r>
      <w:r w:rsidRPr="522D941E">
        <w:t>the</w:t>
      </w:r>
      <w:r>
        <w:t xml:space="preserve"> treatment effect estimate. Thus, for every statistically significant ATE estimate in our study, e-values were calculated to estimate the minimum </w:t>
      </w:r>
      <w:r w:rsidRPr="001B3A3D">
        <w:t xml:space="preserve">strength </w:t>
      </w:r>
      <w:r>
        <w:t>of confounder associations required for the ATE to become nonsignificant, after adjusting for the observed baseline covariates.</w:t>
      </w:r>
      <w:r w:rsidRPr="001B3A3D">
        <w:t xml:space="preserve"> </w:t>
      </w:r>
      <w:r>
        <w:t xml:space="preserve">E-values are </w:t>
      </w:r>
      <w:r w:rsidRPr="522D941E">
        <w:t>quantified</w:t>
      </w:r>
      <w:r>
        <w:t xml:space="preserve"> on a risk ratio scale, with results </w:t>
      </w:r>
      <w:r w:rsidRPr="001B3A3D">
        <w:t>close to 1 indicat</w:t>
      </w:r>
      <w:r>
        <w:t>ing</w:t>
      </w:r>
      <w:r w:rsidRPr="001B3A3D">
        <w:t xml:space="preserve"> little unmeasured confounding would be necessary</w:t>
      </w:r>
      <w:r>
        <w:t xml:space="preserve">. In social sciences research, an effect size greater than twofold is not common, and a variable that affects both treatment assignment and treatment outcomes by greater than twofold is even less so </w:t>
      </w:r>
      <w:r>
        <w:fldChar w:fldCharType="begin"/>
      </w:r>
      <w:r w:rsidR="00B9334F">
        <w:instrText xml:space="preserve"> ADDIN EN.CITE &lt;EndNote&gt;&lt;Cite&gt;&lt;Author&gt;Localio&lt;/Author&gt;&lt;Year&gt;2017&lt;/Year&gt;&lt;RecNum&gt;188&lt;/RecNum&gt;&lt;DisplayText&gt;(Localio et al., 2017)&lt;/DisplayText&gt;&lt;record&gt;&lt;rec-number&gt;188&lt;/rec-number&gt;&lt;foreign-keys&gt;&lt;key app="EN" db-id="ffzvr5fstavwxoe9v04xf0wmp5t50as52da0" timestamp="1731671648" guid="068450fd-70b9-4e48-a264-f516a239cac9"&gt;188&lt;/key&gt;&lt;/foreign-keys&gt;&lt;ref-type name="Journal Article"&gt;17&lt;/ref-type&gt;&lt;contributors&gt;&lt;authors&gt;&lt;author&gt;Localio, A. Russell&lt;/author&gt;&lt;author&gt;Stack, CatherineB&lt;/author&gt;&lt;author&gt;Griswold, MichaelE&lt;/author&gt;&lt;/authors&gt;&lt;/contributors&gt;&lt;titles&gt;&lt;title&gt;Sensitivity Analysis for Unmeasured Confounding: E-Values for Observational Studies&lt;/title&gt;&lt;secondary-title&gt;Annals of Internal Medicine&lt;/secondary-title&gt;&lt;/titles&gt;&lt;periodical&gt;&lt;full-title&gt;Annals of Internal Medicine&lt;/full-title&gt;&lt;/periodical&gt;&lt;pages&gt;285-undefined&lt;/pages&gt;&lt;volume&gt;167&lt;/volume&gt;&lt;number&gt;4&lt;/number&gt;&lt;dates&gt;&lt;year&gt;2017&lt;/year&gt;&lt;/dates&gt;&lt;isbn&gt;0003-4819&lt;/isbn&gt;&lt;urls&gt;&lt;related-urls&gt;&lt;url&gt;https://libkey.io/10.7326/M17-1485&lt;/url&gt;&lt;/related-urls&gt;&lt;/urls&gt;&lt;electronic-resource-num&gt;10.7326/M17-1485&lt;/electronic-resource-num&gt;&lt;/record&gt;&lt;/Cite&gt;&lt;/EndNote&gt;</w:instrText>
      </w:r>
      <w:r>
        <w:fldChar w:fldCharType="separate"/>
      </w:r>
      <w:r w:rsidR="00A77498">
        <w:rPr>
          <w:noProof/>
        </w:rPr>
        <w:t>(Localio et al., 2017)</w:t>
      </w:r>
      <w:r>
        <w:fldChar w:fldCharType="end"/>
      </w:r>
      <w:r>
        <w:t xml:space="preserve">. </w:t>
      </w:r>
      <w:r w:rsidRPr="001B3A3D">
        <w:t xml:space="preserve">E-values were calculated using the ‘EValue’ package in R </w:t>
      </w:r>
      <w:r w:rsidRPr="001B3A3D">
        <w:fldChar w:fldCharType="begin"/>
      </w:r>
      <w:r w:rsidR="00B9334F">
        <w:instrText xml:space="preserve"> ADDIN EN.CITE &lt;EndNote&gt;&lt;Cite&gt;&lt;Author&gt;VanderWeele&lt;/Author&gt;&lt;Year&gt;2017&lt;/Year&gt;&lt;RecNum&gt;65&lt;/RecNum&gt;&lt;DisplayText&gt;(VanderWeele &amp;amp; Ding, 2017)&lt;/DisplayText&gt;&lt;record&gt;&lt;rec-number&gt;65&lt;/rec-number&gt;&lt;foreign-keys&gt;&lt;key app="EN" db-id="ffzvr5fstavwxoe9v04xf0wmp5t50as52da0" timestamp="1731671640" guid="af78d4d2-27d0-4288-9090-ce8ea9655f27"&gt;65&lt;/key&gt;&lt;/foreign-keys&gt;&lt;ref-type name="Journal Article"&gt;17&lt;/ref-type&gt;&lt;contributors&gt;&lt;authors&gt;&lt;author&gt;VanderWeele, T.J.&lt;/author&gt;&lt;author&gt;Ding, P.&lt;/author&gt;&lt;/authors&gt;&lt;/contributors&gt;&lt;titles&gt;&lt;title&gt;Sensitivity Analysis in Observational Research: Introducing the E-Value&lt;/title&gt;&lt;secondary-title&gt;Annals of Internal Medicine&lt;/secondary-title&gt;&lt;/titles&gt;&lt;periodical&gt;&lt;full-title&gt;Annals of Internal Medicine&lt;/full-title&gt;&lt;/periodical&gt;&lt;pages&gt;268-274&lt;/pages&gt;&lt;volume&gt;167&lt;/volume&gt;&lt;number&gt;4&lt;/number&gt;&lt;keywords&gt;&lt;keyword&gt;Ovarian cancer,Motivation,Systematic reviews,Health services research,Confidence intervals,Sensitivity,Health care quality,Observational studies,Upper respiratory tract infections,Statistical models,Maternal health,Social status,Smoking habits,Infants,Q&lt;/keyword&gt;&lt;/keywords&gt;&lt;dates&gt;&lt;year&gt;2017&lt;/year&gt;&lt;/dates&gt;&lt;urls&gt;&lt;related-urls&gt;&lt;url&gt;https://www.acpjournals.org/doi/abs/10.7326/M16-2607&lt;/url&gt;&lt;/related-urls&gt;&lt;/urls&gt;&lt;electronic-resource-num&gt;https://www.acpjournals.org/doi/10.7326/M16-2607&lt;/electronic-resource-num&gt;&lt;/record&gt;&lt;/Cite&gt;&lt;/EndNote&gt;</w:instrText>
      </w:r>
      <w:r w:rsidRPr="001B3A3D">
        <w:fldChar w:fldCharType="separate"/>
      </w:r>
      <w:r w:rsidR="003C6F70">
        <w:rPr>
          <w:noProof/>
        </w:rPr>
        <w:t>(VanderWeele &amp; Ding, 2017)</w:t>
      </w:r>
      <w:r w:rsidRPr="001B3A3D">
        <w:fldChar w:fldCharType="end"/>
      </w:r>
      <w:r>
        <w:t>.</w:t>
      </w:r>
    </w:p>
    <w:p w14:paraId="457A3FA2" w14:textId="77777777" w:rsidR="00506BD1" w:rsidRPr="0035467B" w:rsidRDefault="00506BD1" w:rsidP="003907D3">
      <w:pPr>
        <w:pStyle w:val="NoSpacing"/>
        <w:spacing w:line="360" w:lineRule="auto"/>
      </w:pPr>
    </w:p>
    <w:p w14:paraId="33BE9A9C" w14:textId="77777777" w:rsidR="00716F08" w:rsidRDefault="00716F08" w:rsidP="009C3BBC">
      <w:pPr>
        <w:pStyle w:val="Heading2"/>
        <w:numPr>
          <w:ilvl w:val="1"/>
          <w:numId w:val="19"/>
        </w:numPr>
        <w:spacing w:line="360" w:lineRule="auto"/>
      </w:pPr>
      <w:bookmarkStart w:id="108" w:name="_Toc189229696"/>
      <w:r w:rsidRPr="00056E69">
        <w:t>R</w:t>
      </w:r>
      <w:r>
        <w:t>esults</w:t>
      </w:r>
      <w:bookmarkEnd w:id="108"/>
    </w:p>
    <w:p w14:paraId="1469A123" w14:textId="17BAB7F1" w:rsidR="003907D3" w:rsidRDefault="00103742" w:rsidP="003907D3">
      <w:pPr>
        <w:pStyle w:val="NoSpacing"/>
        <w:spacing w:line="360" w:lineRule="auto"/>
      </w:pPr>
      <w:r w:rsidRPr="00D812E5">
        <w:fldChar w:fldCharType="begin"/>
      </w:r>
      <w:r w:rsidRPr="00D812E5">
        <w:instrText xml:space="preserve"> REF _Ref177143264 \h  \* MERGEFORMAT </w:instrText>
      </w:r>
      <w:r w:rsidRPr="00D812E5">
        <w:fldChar w:fldCharType="separate"/>
      </w:r>
      <w:r w:rsidRPr="00D812E5">
        <w:t xml:space="preserve">Table </w:t>
      </w:r>
      <w:r w:rsidRPr="00D812E5">
        <w:rPr>
          <w:noProof/>
        </w:rPr>
        <w:t>4.4</w:t>
      </w:r>
      <w:r w:rsidRPr="00D812E5">
        <w:noBreakHyphen/>
      </w:r>
      <w:r w:rsidRPr="00D812E5">
        <w:rPr>
          <w:noProof/>
        </w:rPr>
        <w:t>1</w:t>
      </w:r>
      <w:r w:rsidRPr="00D812E5">
        <w:fldChar w:fldCharType="end"/>
      </w:r>
      <w:r w:rsidRPr="00D812E5">
        <w:t xml:space="preserve"> </w:t>
      </w:r>
      <w:r w:rsidR="003907D3" w:rsidRPr="00D812E5">
        <w:t>describes</w:t>
      </w:r>
      <w:r w:rsidR="003907D3">
        <w:t xml:space="preserve"> the observed </w:t>
      </w:r>
      <w:r w:rsidR="00E23BB8">
        <w:t>characteristics of people in the treatment system</w:t>
      </w:r>
      <w:r w:rsidR="003907D3" w:rsidRPr="522D941E">
        <w:t xml:space="preserve">. </w:t>
      </w:r>
      <w:r w:rsidR="003907D3">
        <w:t xml:space="preserve">The </w:t>
      </w:r>
      <w:r w:rsidR="003907D3" w:rsidRPr="00AD68F7">
        <w:t xml:space="preserve">data highlights some notable differences between </w:t>
      </w:r>
      <w:r w:rsidR="00AB7760" w:rsidRPr="00AD68F7">
        <w:t>mothers</w:t>
      </w:r>
      <w:r w:rsidR="003907D3" w:rsidRPr="00AD68F7">
        <w:t xml:space="preserve"> and </w:t>
      </w:r>
      <w:r w:rsidR="00EA4EDA">
        <w:t>fathers</w:t>
      </w:r>
      <w:r w:rsidR="003907D3" w:rsidRPr="00AD68F7">
        <w:t xml:space="preserve">. For example, irrespective of substance used and child living arrangements, </w:t>
      </w:r>
      <w:r w:rsidR="00AB7760" w:rsidRPr="00AD68F7">
        <w:t>mothers</w:t>
      </w:r>
      <w:r w:rsidR="003907D3" w:rsidRPr="00AD68F7">
        <w:t xml:space="preserve"> consistently had a higher proportion of co-occurring mental health treatment needs. </w:t>
      </w:r>
      <w:r w:rsidR="00AB7760" w:rsidRPr="00AD68F7">
        <w:t>Mothers</w:t>
      </w:r>
      <w:r w:rsidR="003907D3" w:rsidRPr="00AD68F7">
        <w:t xml:space="preserve"> were also more likely than men to be not in employment, education or training (NEET), but less likely than men to have been referred into treatment via the criminal justice </w:t>
      </w:r>
      <w:r w:rsidR="003907D3" w:rsidRPr="002D3F3C">
        <w:t xml:space="preserve">system. </w:t>
      </w:r>
      <w:r w:rsidRPr="002D3F3C">
        <w:fldChar w:fldCharType="begin"/>
      </w:r>
      <w:r w:rsidRPr="002D3F3C">
        <w:instrText xml:space="preserve"> REF _Ref177143264 \h  \* MERGEFORMAT </w:instrText>
      </w:r>
      <w:r w:rsidRPr="002D3F3C">
        <w:fldChar w:fldCharType="separate"/>
      </w:r>
      <w:r w:rsidRPr="002D3F3C">
        <w:t xml:space="preserve">Table </w:t>
      </w:r>
      <w:r w:rsidRPr="002D3F3C">
        <w:rPr>
          <w:noProof/>
        </w:rPr>
        <w:t>4.4</w:t>
      </w:r>
      <w:r w:rsidRPr="002D3F3C">
        <w:noBreakHyphen/>
      </w:r>
      <w:r w:rsidRPr="002D3F3C">
        <w:rPr>
          <w:noProof/>
        </w:rPr>
        <w:t>1</w:t>
      </w:r>
      <w:r w:rsidRPr="002D3F3C">
        <w:fldChar w:fldCharType="end"/>
      </w:r>
      <w:r w:rsidRPr="002D3F3C">
        <w:t xml:space="preserve"> </w:t>
      </w:r>
      <w:r w:rsidR="003907D3" w:rsidRPr="002D3F3C">
        <w:t>also</w:t>
      </w:r>
      <w:r w:rsidR="003907D3" w:rsidRPr="00AD68F7">
        <w:t xml:space="preserve"> suggests that parents not living with children (NWC) have more complex support needs than </w:t>
      </w:r>
      <w:r w:rsidR="002946F0" w:rsidRPr="00AD68F7">
        <w:t>parents living</w:t>
      </w:r>
      <w:r w:rsidR="003907D3" w:rsidRPr="00AD68F7">
        <w:t xml:space="preserve"> </w:t>
      </w:r>
      <w:r w:rsidR="005709F7">
        <w:t xml:space="preserve">with </w:t>
      </w:r>
      <w:r w:rsidR="003907D3" w:rsidRPr="00AD68F7">
        <w:t xml:space="preserve">children (LWC). For example, among opiate users (OUs), 11.0% of </w:t>
      </w:r>
      <w:r w:rsidR="00AB7760" w:rsidRPr="00AD68F7">
        <w:t>mothers</w:t>
      </w:r>
      <w:r w:rsidR="003907D3" w:rsidRPr="00AD68F7">
        <w:t xml:space="preserve"> and 8% </w:t>
      </w:r>
      <w:r w:rsidR="00AB7760" w:rsidRPr="00AD68F7">
        <w:t>of fathers</w:t>
      </w:r>
      <w:r w:rsidR="003907D3" w:rsidRPr="00AD68F7">
        <w:t xml:space="preserve"> LWC had a housing problem compared with 39% of </w:t>
      </w:r>
      <w:r w:rsidR="00AB7760" w:rsidRPr="00AD68F7">
        <w:t>mothers</w:t>
      </w:r>
      <w:r w:rsidR="003907D3" w:rsidRPr="00AD68F7">
        <w:t xml:space="preserve"> and 37.7% </w:t>
      </w:r>
      <w:r w:rsidR="00AB7760" w:rsidRPr="00AD68F7">
        <w:t>of fathers</w:t>
      </w:r>
      <w:r w:rsidR="003907D3" w:rsidRPr="00AD68F7">
        <w:t xml:space="preserve"> NWC.</w:t>
      </w:r>
      <w:r w:rsidR="003907D3">
        <w:t xml:space="preserve"> </w:t>
      </w:r>
    </w:p>
    <w:p w14:paraId="10A4805D" w14:textId="77777777" w:rsidR="009E643D" w:rsidRDefault="009E643D" w:rsidP="003907D3">
      <w:pPr>
        <w:pStyle w:val="NoSpacing"/>
        <w:spacing w:line="360" w:lineRule="auto"/>
      </w:pPr>
    </w:p>
    <w:p w14:paraId="6CD3AC82" w14:textId="3A7519F0" w:rsidR="009E643D" w:rsidRDefault="000E59CB" w:rsidP="009E643D">
      <w:pPr>
        <w:pStyle w:val="NoSpacing"/>
        <w:spacing w:line="360" w:lineRule="auto"/>
      </w:pPr>
      <w:r w:rsidRPr="002D3F3C">
        <w:fldChar w:fldCharType="begin"/>
      </w:r>
      <w:r w:rsidRPr="002D3F3C">
        <w:instrText xml:space="preserve"> REF _Ref177144361 \h  \* MERGEFORMAT </w:instrText>
      </w:r>
      <w:r w:rsidRPr="002D3F3C">
        <w:fldChar w:fldCharType="separate"/>
      </w:r>
      <w:r w:rsidRPr="002D3F3C">
        <w:t xml:space="preserve">Table </w:t>
      </w:r>
      <w:r w:rsidRPr="002D3F3C">
        <w:rPr>
          <w:noProof/>
        </w:rPr>
        <w:t>4.4</w:t>
      </w:r>
      <w:r w:rsidRPr="002D3F3C">
        <w:noBreakHyphen/>
      </w:r>
      <w:r w:rsidRPr="002D3F3C">
        <w:rPr>
          <w:noProof/>
        </w:rPr>
        <w:t>2</w:t>
      </w:r>
      <w:r w:rsidRPr="002D3F3C">
        <w:fldChar w:fldCharType="end"/>
      </w:r>
      <w:r>
        <w:t xml:space="preserve"> </w:t>
      </w:r>
      <w:r w:rsidR="009E643D" w:rsidRPr="522D941E">
        <w:t>shows the</w:t>
      </w:r>
      <w:r w:rsidR="009E643D">
        <w:t xml:space="preserve"> results of our chosen balance metric, the </w:t>
      </w:r>
      <w:r w:rsidR="009E643D" w:rsidRPr="19709DD8">
        <w:t>Kolmogorov-</w:t>
      </w:r>
      <w:r w:rsidR="009E643D" w:rsidRPr="522D941E">
        <w:t>Smirnov</w:t>
      </w:r>
      <w:r w:rsidR="009E643D" w:rsidRPr="19709DD8">
        <w:t xml:space="preserve"> (KS)</w:t>
      </w:r>
      <w:r w:rsidR="009E643D">
        <w:t xml:space="preserve"> statistic</w:t>
      </w:r>
      <w:r w:rsidR="009E643D" w:rsidRPr="522D941E">
        <w:t xml:space="preserve">. This was calculated using </w:t>
      </w:r>
      <w:r w:rsidR="009E643D">
        <w:t xml:space="preserve">our method for summarizing across </w:t>
      </w:r>
      <w:r w:rsidR="009E643D">
        <w:lastRenderedPageBreak/>
        <w:t>observed baseline covariates, the mean</w:t>
      </w:r>
      <w:r w:rsidR="009E643D" w:rsidRPr="522D941E">
        <w:t xml:space="preserve">. </w:t>
      </w:r>
      <w:r w:rsidR="009E643D">
        <w:t>Compared with the unadjusted, there was a</w:t>
      </w:r>
      <w:r w:rsidR="009E643D" w:rsidRPr="00622605">
        <w:t xml:space="preserve"> decrease</w:t>
      </w:r>
      <w:r w:rsidR="009E643D">
        <w:t xml:space="preserve"> in the mean KS statistic in all subgroup covariates to &lt;0.</w:t>
      </w:r>
      <w:r w:rsidR="009E643D" w:rsidRPr="19709DD8">
        <w:t>1</w:t>
      </w:r>
      <w:r w:rsidR="009E643D" w:rsidRPr="522D941E">
        <w:t>0 following weighting. There was also</w:t>
      </w:r>
      <w:r w:rsidR="009E643D">
        <w:t xml:space="preserve"> an increase in all p-values</w:t>
      </w:r>
      <w:r w:rsidR="009E643D" w:rsidRPr="522D941E">
        <w:t>. T</w:t>
      </w:r>
      <w:r w:rsidR="009E643D">
        <w:t>ogether,</w:t>
      </w:r>
      <w:r w:rsidR="009E643D" w:rsidRPr="522D941E">
        <w:t xml:space="preserve"> </w:t>
      </w:r>
      <w:r w:rsidR="009E643D">
        <w:t xml:space="preserve">these suggest that balance was achieved in our twelve subgroup samples used for analysis </w:t>
      </w:r>
      <w:r w:rsidR="009E643D">
        <w:fldChar w:fldCharType="begin">
          <w:fldData xml:space="preserve">PEVuZE5vdGU+PENpdGU+PEF1dGhvcj5CdXJnZXR0ZTwvQXV0aG9yPjxZZWFyPjIwMjE8L1llYXI+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</w:fldData>
        </w:fldChar>
      </w:r>
      <w:r w:rsidR="00B9334F">
        <w:instrText xml:space="preserve"> ADDIN EN.CITE </w:instrText>
      </w:r>
      <w:r w:rsidR="00B9334F">
        <w:fldChar w:fldCharType="begin">
          <w:fldData xml:space="preserve">PEVuZE5vdGU+PENpdGU+PEF1dGhvcj5CdXJnZXR0ZTwvQXV0aG9yPjxZZWFyPjIwMjE8L1llYXI+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</w:fldData>
        </w:fldChar>
      </w:r>
      <w:r w:rsidR="00B9334F">
        <w:instrText xml:space="preserve"> ADDIN EN.CITE.DATA </w:instrText>
      </w:r>
      <w:r w:rsidR="00B9334F">
        <w:fldChar w:fldCharType="end"/>
      </w:r>
      <w:r w:rsidR="009E643D">
        <w:fldChar w:fldCharType="separate"/>
      </w:r>
      <w:r w:rsidR="009E643D">
        <w:rPr>
          <w:noProof/>
        </w:rPr>
        <w:t>(Burgette et al., 2021; McCaffrey et al., 2013)</w:t>
      </w:r>
      <w:r w:rsidR="009E643D">
        <w:fldChar w:fldCharType="end"/>
      </w:r>
      <w:r w:rsidR="009E643D">
        <w:t xml:space="preserve">. </w:t>
      </w:r>
    </w:p>
    <w:p w14:paraId="0111E672" w14:textId="77777777" w:rsidR="00D36AE3" w:rsidRDefault="00D36AE3" w:rsidP="00D36AE3">
      <w:pPr>
        <w:pStyle w:val="NoSpacing"/>
        <w:spacing w:line="360" w:lineRule="auto"/>
      </w:pPr>
    </w:p>
    <w:p w14:paraId="2EA79007" w14:textId="06E0CCEF" w:rsidR="006B0863" w:rsidRDefault="000E59CB" w:rsidP="009E643D">
      <w:pPr>
        <w:pStyle w:val="NoSpacing"/>
        <w:spacing w:line="360" w:lineRule="auto"/>
      </w:pPr>
      <w:r w:rsidRPr="002D3F3C">
        <w:fldChar w:fldCharType="begin"/>
      </w:r>
      <w:r w:rsidRPr="002D3F3C">
        <w:instrText xml:space="preserve"> REF _Ref177144436 \h  \* MERGEFORMAT </w:instrText>
      </w:r>
      <w:r w:rsidRPr="002D3F3C">
        <w:fldChar w:fldCharType="separate"/>
      </w:r>
      <w:r w:rsidRPr="002D3F3C">
        <w:t xml:space="preserve">Table </w:t>
      </w:r>
      <w:r w:rsidRPr="002D3F3C">
        <w:rPr>
          <w:noProof/>
        </w:rPr>
        <w:t>4.4</w:t>
      </w:r>
      <w:r w:rsidRPr="002D3F3C">
        <w:noBreakHyphen/>
      </w:r>
      <w:r w:rsidRPr="002D3F3C">
        <w:rPr>
          <w:noProof/>
        </w:rPr>
        <w:t>3</w:t>
      </w:r>
      <w:r w:rsidRPr="002D3F3C">
        <w:fldChar w:fldCharType="end"/>
      </w:r>
      <w:r w:rsidRPr="002D3F3C">
        <w:t xml:space="preserve"> </w:t>
      </w:r>
      <w:r w:rsidR="00D36AE3" w:rsidRPr="002D3F3C">
        <w:t>also provides</w:t>
      </w:r>
      <w:r w:rsidR="00D36AE3" w:rsidRPr="64986872">
        <w:t xml:space="preserve"> the core study findings</w:t>
      </w:r>
      <w:r w:rsidR="00D36AE3" w:rsidRPr="522D941E">
        <w:t xml:space="preserve">. </w:t>
      </w:r>
      <w:r w:rsidR="00D36AE3">
        <w:t>Intervention s</w:t>
      </w:r>
      <w:r w:rsidR="00D36AE3" w:rsidRPr="522D941E">
        <w:t xml:space="preserve">trategies with </w:t>
      </w:r>
      <w:r w:rsidR="00D36AE3">
        <w:t xml:space="preserve">a </w:t>
      </w:r>
      <w:r w:rsidR="00D36AE3" w:rsidRPr="522D941E">
        <w:t>statistically significant average treatment effect</w:t>
      </w:r>
      <w:r w:rsidR="00D36AE3">
        <w:t>, s</w:t>
      </w:r>
      <w:r w:rsidR="00D36AE3" w:rsidRPr="522D941E">
        <w:t xml:space="preserve">tatistically significantly higher odds ratio of success, and </w:t>
      </w:r>
      <w:r w:rsidR="00D36AE3">
        <w:t>e-value</w:t>
      </w:r>
      <w:r w:rsidR="00D36AE3" w:rsidRPr="522D941E">
        <w:t xml:space="preserve"> above 1 are shown in green. Strategies with statistically significantly higher odds ratio of success but with an </w:t>
      </w:r>
      <w:r w:rsidR="00D36AE3">
        <w:t>e</w:t>
      </w:r>
      <w:r w:rsidR="00D36AE3" w:rsidRPr="522D941E">
        <w:t xml:space="preserve">-value of 1 are shown in amber. </w:t>
      </w:r>
    </w:p>
    <w:p w14:paraId="5B7384B7" w14:textId="77777777" w:rsidR="006B0863" w:rsidRDefault="006B0863" w:rsidP="006B0863">
      <w:pPr>
        <w:pStyle w:val="paragraph"/>
        <w:spacing w:line="360" w:lineRule="auto"/>
        <w:textAlignment w:val="baseline"/>
        <w:rPr>
          <w:rFonts w:ascii="Arial" w:eastAsiaTheme="minorHAnsi" w:hAnsi="Arial" w:cs="Arial"/>
          <w:lang w:eastAsia="en-US"/>
        </w:rPr>
      </w:pPr>
      <w:r w:rsidRPr="000D1703">
        <w:rPr>
          <w:rFonts w:ascii="Arial" w:eastAsiaTheme="minorHAnsi" w:hAnsi="Arial" w:cs="Arial"/>
          <w:lang w:eastAsia="en-US"/>
        </w:rPr>
        <w:t>We first discuss here strategy 1 (Trt + parenting and/or family recovery support) compared with treatment alone. Relatively few people in the treatment system receive</w:t>
      </w:r>
      <w:r>
        <w:rPr>
          <w:rFonts w:ascii="Arial" w:eastAsiaTheme="minorHAnsi" w:hAnsi="Arial" w:cs="Arial"/>
          <w:lang w:eastAsia="en-US"/>
        </w:rPr>
        <w:t>s</w:t>
      </w:r>
      <w:r w:rsidRPr="000D1703">
        <w:rPr>
          <w:rFonts w:ascii="Arial" w:eastAsiaTheme="minorHAnsi" w:hAnsi="Arial" w:cs="Arial"/>
          <w:lang w:eastAsia="en-US"/>
        </w:rPr>
        <w:t xml:space="preserve"> </w:t>
      </w:r>
      <w:r>
        <w:rPr>
          <w:rFonts w:ascii="Arial" w:eastAsiaTheme="minorHAnsi" w:hAnsi="Arial" w:cs="Arial"/>
          <w:lang w:eastAsia="en-US"/>
        </w:rPr>
        <w:t>strategy 1</w:t>
      </w:r>
      <w:r w:rsidRPr="000D1703">
        <w:rPr>
          <w:rFonts w:ascii="Arial" w:eastAsiaTheme="minorHAnsi" w:hAnsi="Arial" w:cs="Arial"/>
          <w:lang w:eastAsia="en-US"/>
        </w:rPr>
        <w:t xml:space="preserve"> (3%). Of those that d</w:t>
      </w:r>
      <w:r>
        <w:rPr>
          <w:rFonts w:ascii="Arial" w:eastAsiaTheme="minorHAnsi" w:hAnsi="Arial" w:cs="Arial"/>
          <w:lang w:eastAsia="en-US"/>
        </w:rPr>
        <w:t>id</w:t>
      </w:r>
      <w:r w:rsidRPr="000D1703">
        <w:rPr>
          <w:rFonts w:ascii="Arial" w:eastAsiaTheme="minorHAnsi" w:hAnsi="Arial" w:cs="Arial"/>
          <w:lang w:eastAsia="en-US"/>
        </w:rPr>
        <w:t xml:space="preserve">, most </w:t>
      </w:r>
      <w:r>
        <w:rPr>
          <w:rFonts w:ascii="Arial" w:eastAsiaTheme="minorHAnsi" w:hAnsi="Arial" w:cs="Arial"/>
          <w:lang w:eastAsia="en-US"/>
        </w:rPr>
        <w:t>we</w:t>
      </w:r>
      <w:r w:rsidRPr="000D1703">
        <w:rPr>
          <w:rFonts w:ascii="Arial" w:eastAsiaTheme="minorHAnsi" w:hAnsi="Arial" w:cs="Arial"/>
          <w:lang w:eastAsia="en-US"/>
        </w:rPr>
        <w:t xml:space="preserve">re </w:t>
      </w:r>
      <w:r>
        <w:rPr>
          <w:rFonts w:ascii="Arial" w:eastAsiaTheme="minorHAnsi" w:hAnsi="Arial" w:cs="Arial"/>
          <w:lang w:eastAsia="en-US"/>
        </w:rPr>
        <w:t>LWC mothers</w:t>
      </w:r>
      <w:r w:rsidRPr="000D1703">
        <w:rPr>
          <w:rFonts w:ascii="Arial" w:eastAsiaTheme="minorHAnsi" w:hAnsi="Arial" w:cs="Arial"/>
          <w:lang w:eastAsia="en-US"/>
        </w:rPr>
        <w:t xml:space="preserve"> (27%)</w:t>
      </w:r>
      <w:r>
        <w:rPr>
          <w:rFonts w:ascii="Arial" w:eastAsiaTheme="minorHAnsi" w:hAnsi="Arial" w:cs="Arial"/>
          <w:lang w:eastAsia="en-US"/>
        </w:rPr>
        <w:t>. A higher proportion of a</w:t>
      </w:r>
      <w:r w:rsidRPr="000D1703">
        <w:rPr>
          <w:rFonts w:ascii="Arial" w:eastAsiaTheme="minorHAnsi" w:hAnsi="Arial" w:cs="Arial"/>
          <w:lang w:eastAsia="en-US"/>
        </w:rPr>
        <w:t xml:space="preserve">lcohol only using parents </w:t>
      </w:r>
      <w:r>
        <w:rPr>
          <w:rFonts w:ascii="Arial" w:eastAsiaTheme="minorHAnsi" w:hAnsi="Arial" w:cs="Arial"/>
          <w:lang w:eastAsia="en-US"/>
        </w:rPr>
        <w:t xml:space="preserve">were on strategy 1 </w:t>
      </w:r>
      <w:r w:rsidRPr="000D1703">
        <w:rPr>
          <w:rFonts w:ascii="Arial" w:eastAsiaTheme="minorHAnsi" w:hAnsi="Arial" w:cs="Arial"/>
          <w:lang w:eastAsia="en-US"/>
        </w:rPr>
        <w:t>(46%)</w:t>
      </w:r>
      <w:r>
        <w:rPr>
          <w:rFonts w:ascii="Arial" w:eastAsiaTheme="minorHAnsi" w:hAnsi="Arial" w:cs="Arial"/>
          <w:lang w:eastAsia="en-US"/>
        </w:rPr>
        <w:t xml:space="preserve"> than other substance groups</w:t>
      </w:r>
      <w:r w:rsidRPr="000D1703">
        <w:rPr>
          <w:rFonts w:ascii="Arial" w:eastAsiaTheme="minorHAnsi" w:hAnsi="Arial" w:cs="Arial"/>
          <w:lang w:eastAsia="en-US"/>
        </w:rPr>
        <w:t>.</w:t>
      </w:r>
      <w:r>
        <w:rPr>
          <w:rFonts w:ascii="Arial" w:eastAsiaTheme="minorHAnsi" w:hAnsi="Arial" w:cs="Arial"/>
          <w:lang w:eastAsia="en-US"/>
        </w:rPr>
        <w:t xml:space="preserve"> </w:t>
      </w:r>
    </w:p>
    <w:p w14:paraId="64159399" w14:textId="77777777" w:rsidR="006B0863" w:rsidRDefault="006B0863" w:rsidP="006B0863">
      <w:pPr>
        <w:pStyle w:val="paragraph"/>
        <w:spacing w:line="360" w:lineRule="auto"/>
        <w:textAlignment w:val="baseline"/>
        <w:rPr>
          <w:rFonts w:ascii="Arial" w:eastAsiaTheme="minorHAnsi" w:hAnsi="Arial" w:cs="Arial"/>
          <w:lang w:eastAsia="en-US"/>
        </w:rPr>
      </w:pPr>
    </w:p>
    <w:p w14:paraId="5AC8BAB9" w14:textId="0354B7A3" w:rsidR="006B0863" w:rsidRDefault="006B0863" w:rsidP="006B0863">
      <w:pPr>
        <w:pStyle w:val="paragraph"/>
        <w:spacing w:line="360" w:lineRule="auto"/>
        <w:textAlignment w:val="baseline"/>
        <w:rPr>
          <w:rFonts w:ascii="Arial" w:eastAsiaTheme="minorHAnsi" w:hAnsi="Arial" w:cs="Arial"/>
          <w:lang w:eastAsia="en-US"/>
        </w:rPr>
      </w:pPr>
      <w:r w:rsidRPr="000D1703">
        <w:rPr>
          <w:rFonts w:ascii="Arial" w:eastAsiaTheme="minorHAnsi" w:hAnsi="Arial" w:cs="Arial"/>
          <w:lang w:eastAsia="en-US"/>
        </w:rPr>
        <w:t xml:space="preserve">For two of the twelve subgroups examined there was no significant difference in successful completion rates (subgroup 4: OU mothers who were NWC, and subgroup 7: OU men who were LWC). For subgroup 1: mothers LWC and OUs, there was a statistically significant outcome, but the e-value indicated little unmeasured confounding would be necessary to render the result nonsignificant. For all </w:t>
      </w:r>
      <w:r>
        <w:rPr>
          <w:rFonts w:ascii="Arial" w:eastAsiaTheme="minorHAnsi" w:hAnsi="Arial" w:cs="Arial"/>
          <w:lang w:eastAsia="en-US"/>
        </w:rPr>
        <w:t>nine</w:t>
      </w:r>
      <w:r w:rsidRPr="000D1703">
        <w:rPr>
          <w:rFonts w:ascii="Arial" w:eastAsiaTheme="minorHAnsi" w:hAnsi="Arial" w:cs="Arial"/>
          <w:lang w:eastAsia="en-US"/>
        </w:rPr>
        <w:t xml:space="preserve"> of the remaining subgroups however, strategy 1 was estimated to be (statistically significantly) more effective than specialist treatment only, with e-values ranging from 1.83-2.48. As an example, subgroup 2 of Non-OU mothers who were LWC had the highest average treatment effect (0.16), with an estimated probability of successful completion of 77.5% for strategy 1 compared with 61.5% for treatment only.</w:t>
      </w:r>
    </w:p>
    <w:p w14:paraId="77B0287D" w14:textId="77777777" w:rsidR="006B0863" w:rsidRDefault="006B0863" w:rsidP="006B0863">
      <w:pPr>
        <w:pStyle w:val="paragraph"/>
        <w:spacing w:line="360" w:lineRule="auto"/>
        <w:textAlignment w:val="baseline"/>
        <w:rPr>
          <w:rFonts w:ascii="Arial" w:eastAsiaTheme="minorHAnsi" w:hAnsi="Arial" w:cs="Arial"/>
          <w:lang w:eastAsia="en-US"/>
        </w:rPr>
      </w:pPr>
    </w:p>
    <w:p w14:paraId="6E6BF33A" w14:textId="77777777" w:rsidR="006B0863" w:rsidRDefault="006B0863" w:rsidP="009E643D">
      <w:pPr>
        <w:pStyle w:val="NoSpacing"/>
        <w:spacing w:line="360" w:lineRule="auto"/>
      </w:pPr>
    </w:p>
    <w:p w14:paraId="6B1A58F5" w14:textId="77777777" w:rsidR="009E643D" w:rsidRDefault="009E643D" w:rsidP="003907D3">
      <w:pPr>
        <w:pStyle w:val="NoSpacing"/>
        <w:spacing w:line="360" w:lineRule="auto"/>
      </w:pPr>
    </w:p>
    <w:p w14:paraId="335787FE" w14:textId="77777777" w:rsidR="003907D3" w:rsidRPr="003C0493" w:rsidRDefault="003907D3" w:rsidP="003907D3">
      <w:pPr>
        <w:pStyle w:val="NoSpacing"/>
        <w:spacing w:line="360" w:lineRule="auto"/>
      </w:pPr>
    </w:p>
    <w:p w14:paraId="0266D479" w14:textId="77777777" w:rsidR="00920E16" w:rsidRDefault="00920E16" w:rsidP="006B0863">
      <w:pPr>
        <w:pStyle w:val="Caption"/>
        <w:rPr>
          <w:color w:val="auto"/>
          <w:sz w:val="24"/>
          <w:szCs w:val="24"/>
        </w:rPr>
        <w:sectPr w:rsidR="00920E16" w:rsidSect="00297D7F">
          <w:pgSz w:w="11906" w:h="16838"/>
          <w:pgMar w:top="1440" w:right="1440" w:bottom="1440" w:left="1440" w:header="709" w:footer="709" w:gutter="0"/>
          <w:cols w:space="708"/>
          <w:docGrid w:linePitch="360"/>
        </w:sectPr>
      </w:pPr>
    </w:p>
    <w:p w14:paraId="3F36BB36" w14:textId="0C690D9A" w:rsidR="00930783" w:rsidRPr="006A0858" w:rsidRDefault="003C0493" w:rsidP="006A0858">
      <w:pPr>
        <w:pStyle w:val="Caption"/>
        <w:ind w:left="1440" w:hanging="1440"/>
        <w:rPr>
          <w:b w:val="0"/>
          <w:bCs w:val="0"/>
          <w:i/>
          <w:iCs/>
          <w:color w:val="auto"/>
          <w:sz w:val="24"/>
          <w:szCs w:val="24"/>
        </w:rPr>
      </w:pPr>
      <w:bookmarkStart w:id="109" w:name="_Ref177143264"/>
      <w:bookmarkStart w:id="110" w:name="_Toc185844996"/>
      <w:r w:rsidRPr="006236F0">
        <w:rPr>
          <w:b w:val="0"/>
          <w:bCs w:val="0"/>
          <w:i/>
          <w:iCs/>
          <w:color w:val="auto"/>
          <w:sz w:val="24"/>
          <w:szCs w:val="24"/>
        </w:rPr>
        <w:lastRenderedPageBreak/>
        <w:t xml:space="preserve">Table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4.4</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1</w:t>
      </w:r>
      <w:r w:rsidR="00367870">
        <w:rPr>
          <w:b w:val="0"/>
          <w:bCs w:val="0"/>
          <w:i/>
          <w:iCs/>
          <w:color w:val="auto"/>
          <w:sz w:val="24"/>
          <w:szCs w:val="24"/>
        </w:rPr>
        <w:fldChar w:fldCharType="end"/>
      </w:r>
      <w:bookmarkEnd w:id="109"/>
      <w:r w:rsidRPr="006236F0">
        <w:rPr>
          <w:b w:val="0"/>
          <w:bCs w:val="0"/>
          <w:i/>
          <w:iCs/>
          <w:color w:val="auto"/>
          <w:sz w:val="24"/>
          <w:szCs w:val="24"/>
        </w:rPr>
        <w:tab/>
      </w:r>
      <w:r w:rsidR="00DD517A" w:rsidRPr="006236F0">
        <w:rPr>
          <w:b w:val="0"/>
          <w:bCs w:val="0"/>
          <w:i/>
          <w:iCs/>
          <w:color w:val="auto"/>
          <w:sz w:val="24"/>
          <w:szCs w:val="24"/>
        </w:rPr>
        <w:t>Observed proportions of people having each of the seven</w:t>
      </w:r>
      <w:r w:rsidR="00920E16" w:rsidRPr="006236F0">
        <w:rPr>
          <w:b w:val="0"/>
          <w:bCs w:val="0"/>
          <w:i/>
          <w:iCs/>
          <w:color w:val="auto"/>
          <w:sz w:val="24"/>
          <w:szCs w:val="24"/>
        </w:rPr>
        <w:t xml:space="preserve"> </w:t>
      </w:r>
      <w:r w:rsidR="00DD517A" w:rsidRPr="006236F0">
        <w:rPr>
          <w:b w:val="0"/>
          <w:bCs w:val="0"/>
          <w:i/>
          <w:iCs/>
          <w:color w:val="auto"/>
          <w:sz w:val="24"/>
          <w:szCs w:val="24"/>
        </w:rPr>
        <w:t xml:space="preserve">baseline covariates from the multiple imputed dataset </w:t>
      </w:r>
      <w:r w:rsidR="006A0858">
        <w:rPr>
          <w:b w:val="0"/>
          <w:bCs w:val="0"/>
          <w:i/>
          <w:iCs/>
          <w:color w:val="auto"/>
          <w:sz w:val="24"/>
          <w:szCs w:val="24"/>
        </w:rPr>
        <w:t>(n=57,529)</w:t>
      </w:r>
      <w:bookmarkEnd w:id="110"/>
    </w:p>
    <w:tbl>
      <w:tblPr>
        <w:tblW w:w="13871" w:type="dxa"/>
        <w:tblLook w:val="04A0" w:firstRow="1" w:lastRow="0" w:firstColumn="1" w:lastColumn="0" w:noHBand="0" w:noVBand="1"/>
      </w:tblPr>
      <w:tblGrid>
        <w:gridCol w:w="1295"/>
        <w:gridCol w:w="4275"/>
        <w:gridCol w:w="2130"/>
        <w:gridCol w:w="2043"/>
        <w:gridCol w:w="2070"/>
        <w:gridCol w:w="2058"/>
      </w:tblGrid>
      <w:tr w:rsidR="002C360B" w:rsidRPr="00FA46EC" w14:paraId="347AE9EE" w14:textId="77777777">
        <w:trPr>
          <w:trHeight w:val="885"/>
        </w:trPr>
        <w:tc>
          <w:tcPr>
            <w:tcW w:w="1295" w:type="dxa"/>
            <w:vMerge w:val="restart"/>
            <w:tcBorders>
              <w:top w:val="nil"/>
              <w:left w:val="nil"/>
              <w:right w:val="nil"/>
            </w:tcBorders>
            <w:shd w:val="clear" w:color="auto" w:fill="auto"/>
            <w:noWrap/>
            <w:vAlign w:val="center"/>
            <w:hideMark/>
          </w:tcPr>
          <w:p w14:paraId="0E05F2F6"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Substance</w:t>
            </w:r>
          </w:p>
        </w:tc>
        <w:tc>
          <w:tcPr>
            <w:tcW w:w="4275" w:type="dxa"/>
            <w:vMerge w:val="restart"/>
            <w:tcBorders>
              <w:top w:val="nil"/>
              <w:left w:val="nil"/>
              <w:right w:val="single" w:sz="4" w:space="0" w:color="auto"/>
            </w:tcBorders>
            <w:shd w:val="clear" w:color="auto" w:fill="auto"/>
            <w:noWrap/>
            <w:vAlign w:val="center"/>
            <w:hideMark/>
          </w:tcPr>
          <w:p w14:paraId="15467DD8"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Covariate</w:t>
            </w:r>
          </w:p>
        </w:tc>
        <w:tc>
          <w:tcPr>
            <w:tcW w:w="4173" w:type="dxa"/>
            <w:gridSpan w:val="2"/>
            <w:tcBorders>
              <w:top w:val="nil"/>
              <w:left w:val="nil"/>
              <w:bottom w:val="nil"/>
              <w:right w:val="single" w:sz="4" w:space="0" w:color="000000" w:themeColor="text1"/>
            </w:tcBorders>
            <w:shd w:val="clear" w:color="auto" w:fill="auto"/>
            <w:vAlign w:val="center"/>
            <w:hideMark/>
          </w:tcPr>
          <w:p w14:paraId="4C567CF8" w14:textId="1F81140A" w:rsidR="002C360B" w:rsidRPr="00FA46EC" w:rsidRDefault="002C360B">
            <w:pPr>
              <w:jc w:val="center"/>
              <w:rPr>
                <w:rFonts w:eastAsia="Times New Roman" w:cs="Arial"/>
                <w:color w:val="000000"/>
                <w:sz w:val="20"/>
                <w:szCs w:val="20"/>
                <w:lang w:eastAsia="en-GB"/>
              </w:rPr>
            </w:pPr>
            <w:r>
              <w:rPr>
                <w:rFonts w:eastAsia="Times New Roman" w:cs="Arial"/>
                <w:color w:val="000000"/>
                <w:sz w:val="20"/>
                <w:szCs w:val="20"/>
                <w:lang w:eastAsia="en-GB"/>
              </w:rPr>
              <w:t>Parents living</w:t>
            </w:r>
            <w:r w:rsidRPr="00FA46EC">
              <w:rPr>
                <w:rFonts w:eastAsia="Times New Roman" w:cs="Arial"/>
                <w:color w:val="000000"/>
                <w:sz w:val="20"/>
                <w:szCs w:val="20"/>
                <w:lang w:eastAsia="en-GB"/>
              </w:rPr>
              <w:t xml:space="preserve"> with children </w:t>
            </w:r>
          </w:p>
        </w:tc>
        <w:tc>
          <w:tcPr>
            <w:tcW w:w="4128" w:type="dxa"/>
            <w:gridSpan w:val="2"/>
            <w:tcBorders>
              <w:top w:val="nil"/>
              <w:left w:val="nil"/>
              <w:bottom w:val="nil"/>
              <w:right w:val="single" w:sz="4" w:space="0" w:color="000000" w:themeColor="text1"/>
            </w:tcBorders>
            <w:shd w:val="clear" w:color="auto" w:fill="auto"/>
            <w:vAlign w:val="center"/>
            <w:hideMark/>
          </w:tcPr>
          <w:p w14:paraId="2D050418" w14:textId="35EA9169"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 xml:space="preserve">Parents not living with children </w:t>
            </w:r>
          </w:p>
        </w:tc>
      </w:tr>
      <w:tr w:rsidR="002C360B" w:rsidRPr="00FA46EC" w14:paraId="78B8EDF3" w14:textId="77777777">
        <w:trPr>
          <w:trHeight w:val="585"/>
        </w:trPr>
        <w:tc>
          <w:tcPr>
            <w:tcW w:w="1295" w:type="dxa"/>
            <w:vMerge/>
            <w:vAlign w:val="center"/>
            <w:hideMark/>
          </w:tcPr>
          <w:p w14:paraId="6A6D27CD" w14:textId="77777777" w:rsidR="002C360B" w:rsidRPr="00FA46EC" w:rsidRDefault="002C360B">
            <w:pPr>
              <w:rPr>
                <w:rFonts w:eastAsia="Times New Roman" w:cs="Arial"/>
                <w:color w:val="000000"/>
                <w:sz w:val="20"/>
                <w:szCs w:val="20"/>
                <w:lang w:eastAsia="en-GB"/>
              </w:rPr>
            </w:pPr>
          </w:p>
        </w:tc>
        <w:tc>
          <w:tcPr>
            <w:tcW w:w="4275" w:type="dxa"/>
            <w:vMerge/>
            <w:tcBorders>
              <w:right w:val="single" w:sz="4" w:space="0" w:color="auto"/>
            </w:tcBorders>
            <w:vAlign w:val="center"/>
            <w:hideMark/>
          </w:tcPr>
          <w:p w14:paraId="789CC33A" w14:textId="77777777" w:rsidR="002C360B" w:rsidRPr="00FA46EC" w:rsidRDefault="002C360B">
            <w:pPr>
              <w:rPr>
                <w:rFonts w:eastAsia="Times New Roman" w:cs="Arial"/>
                <w:color w:val="000000"/>
                <w:sz w:val="20"/>
                <w:szCs w:val="20"/>
                <w:lang w:eastAsia="en-GB"/>
              </w:rPr>
            </w:pPr>
          </w:p>
        </w:tc>
        <w:tc>
          <w:tcPr>
            <w:tcW w:w="2130" w:type="dxa"/>
            <w:tcBorders>
              <w:top w:val="nil"/>
              <w:left w:val="single" w:sz="4" w:space="0" w:color="auto"/>
              <w:bottom w:val="nil"/>
              <w:right w:val="nil"/>
            </w:tcBorders>
            <w:shd w:val="clear" w:color="auto" w:fill="auto"/>
            <w:vAlign w:val="bottom"/>
            <w:hideMark/>
          </w:tcPr>
          <w:p w14:paraId="30FA8D85" w14:textId="55137475" w:rsidR="002C360B" w:rsidRPr="00FA46EC" w:rsidRDefault="002C360B">
            <w:pPr>
              <w:jc w:val="center"/>
              <w:rPr>
                <w:rFonts w:eastAsia="Times New Roman" w:cs="Arial"/>
                <w:color w:val="000000"/>
                <w:sz w:val="20"/>
                <w:szCs w:val="20"/>
                <w:lang w:eastAsia="en-GB"/>
              </w:rPr>
            </w:pPr>
            <w:r>
              <w:rPr>
                <w:rFonts w:eastAsia="Times New Roman" w:cs="Arial"/>
                <w:color w:val="000000"/>
                <w:sz w:val="20"/>
                <w:szCs w:val="20"/>
                <w:lang w:eastAsia="en-GB"/>
              </w:rPr>
              <w:t>Mothers</w:t>
            </w:r>
            <w:r w:rsidRPr="00FA46EC">
              <w:rPr>
                <w:rFonts w:eastAsia="Times New Roman" w:cs="Arial"/>
                <w:color w:val="000000"/>
                <w:sz w:val="20"/>
                <w:szCs w:val="20"/>
                <w:lang w:eastAsia="en-GB"/>
              </w:rPr>
              <w:t xml:space="preserve"> </w:t>
            </w:r>
          </w:p>
        </w:tc>
        <w:tc>
          <w:tcPr>
            <w:tcW w:w="2043" w:type="dxa"/>
            <w:tcBorders>
              <w:top w:val="nil"/>
              <w:left w:val="nil"/>
              <w:bottom w:val="nil"/>
              <w:right w:val="nil"/>
            </w:tcBorders>
            <w:shd w:val="clear" w:color="auto" w:fill="auto"/>
            <w:vAlign w:val="bottom"/>
            <w:hideMark/>
          </w:tcPr>
          <w:p w14:paraId="1713EE20" w14:textId="66678990" w:rsidR="002C360B" w:rsidRPr="00FA46EC" w:rsidRDefault="002C360B">
            <w:pPr>
              <w:jc w:val="center"/>
              <w:rPr>
                <w:rFonts w:eastAsia="Times New Roman" w:cs="Arial"/>
                <w:color w:val="000000"/>
                <w:sz w:val="20"/>
                <w:szCs w:val="20"/>
                <w:lang w:eastAsia="en-GB"/>
              </w:rPr>
            </w:pPr>
            <w:r>
              <w:rPr>
                <w:rFonts w:eastAsia="Times New Roman" w:cs="Arial"/>
                <w:color w:val="000000"/>
                <w:sz w:val="20"/>
                <w:szCs w:val="20"/>
                <w:lang w:eastAsia="en-GB"/>
              </w:rPr>
              <w:t xml:space="preserve">Fathers </w:t>
            </w:r>
          </w:p>
        </w:tc>
        <w:tc>
          <w:tcPr>
            <w:tcW w:w="2070" w:type="dxa"/>
            <w:tcBorders>
              <w:top w:val="nil"/>
              <w:left w:val="single" w:sz="4" w:space="0" w:color="auto"/>
              <w:bottom w:val="nil"/>
              <w:right w:val="nil"/>
            </w:tcBorders>
            <w:shd w:val="clear" w:color="auto" w:fill="auto"/>
            <w:vAlign w:val="bottom"/>
            <w:hideMark/>
          </w:tcPr>
          <w:p w14:paraId="72A30E0D" w14:textId="2D154A15" w:rsidR="002C360B" w:rsidRPr="00FA46EC" w:rsidRDefault="002C360B">
            <w:pPr>
              <w:jc w:val="center"/>
              <w:rPr>
                <w:rFonts w:eastAsia="Times New Roman" w:cs="Arial"/>
                <w:color w:val="000000"/>
                <w:sz w:val="20"/>
                <w:szCs w:val="20"/>
                <w:lang w:eastAsia="en-GB"/>
              </w:rPr>
            </w:pPr>
            <w:r>
              <w:rPr>
                <w:rFonts w:eastAsia="Times New Roman" w:cs="Arial"/>
                <w:color w:val="000000"/>
                <w:sz w:val="20"/>
                <w:szCs w:val="20"/>
                <w:lang w:eastAsia="en-GB"/>
              </w:rPr>
              <w:t>Mothers</w:t>
            </w:r>
            <w:r w:rsidRPr="00FA46EC">
              <w:rPr>
                <w:rFonts w:eastAsia="Times New Roman" w:cs="Arial"/>
                <w:color w:val="000000"/>
                <w:sz w:val="20"/>
                <w:szCs w:val="20"/>
                <w:lang w:eastAsia="en-GB"/>
              </w:rPr>
              <w:t xml:space="preserve"> </w:t>
            </w:r>
          </w:p>
        </w:tc>
        <w:tc>
          <w:tcPr>
            <w:tcW w:w="2058" w:type="dxa"/>
            <w:tcBorders>
              <w:top w:val="nil"/>
              <w:left w:val="nil"/>
              <w:bottom w:val="nil"/>
              <w:right w:val="single" w:sz="4" w:space="0" w:color="auto"/>
            </w:tcBorders>
            <w:shd w:val="clear" w:color="auto" w:fill="auto"/>
            <w:vAlign w:val="bottom"/>
            <w:hideMark/>
          </w:tcPr>
          <w:p w14:paraId="745EED0C" w14:textId="24C7C945" w:rsidR="002C360B" w:rsidRPr="00FA46EC" w:rsidRDefault="002C360B">
            <w:pPr>
              <w:jc w:val="center"/>
              <w:rPr>
                <w:rFonts w:eastAsia="Times New Roman" w:cs="Arial"/>
                <w:color w:val="000000"/>
                <w:sz w:val="20"/>
                <w:szCs w:val="20"/>
                <w:lang w:eastAsia="en-GB"/>
              </w:rPr>
            </w:pPr>
            <w:r>
              <w:rPr>
                <w:rFonts w:eastAsia="Times New Roman" w:cs="Arial"/>
                <w:color w:val="000000"/>
                <w:sz w:val="20"/>
                <w:szCs w:val="20"/>
                <w:lang w:eastAsia="en-GB"/>
              </w:rPr>
              <w:t xml:space="preserve">Fathers </w:t>
            </w:r>
          </w:p>
        </w:tc>
      </w:tr>
      <w:tr w:rsidR="002C360B" w:rsidRPr="00FA46EC" w14:paraId="372826F7" w14:textId="77777777">
        <w:trPr>
          <w:trHeight w:val="300"/>
        </w:trPr>
        <w:tc>
          <w:tcPr>
            <w:tcW w:w="1295" w:type="dxa"/>
            <w:vMerge/>
            <w:tcBorders>
              <w:bottom w:val="single" w:sz="4" w:space="0" w:color="auto"/>
            </w:tcBorders>
            <w:vAlign w:val="center"/>
            <w:hideMark/>
          </w:tcPr>
          <w:p w14:paraId="698D8893" w14:textId="77777777" w:rsidR="002C360B" w:rsidRPr="00FA46EC" w:rsidRDefault="002C360B">
            <w:pPr>
              <w:rPr>
                <w:rFonts w:eastAsia="Times New Roman" w:cs="Arial"/>
                <w:color w:val="000000"/>
                <w:sz w:val="20"/>
                <w:szCs w:val="20"/>
                <w:lang w:eastAsia="en-GB"/>
              </w:rPr>
            </w:pPr>
          </w:p>
        </w:tc>
        <w:tc>
          <w:tcPr>
            <w:tcW w:w="4275" w:type="dxa"/>
            <w:vMerge/>
            <w:tcBorders>
              <w:bottom w:val="single" w:sz="4" w:space="0" w:color="auto"/>
              <w:right w:val="single" w:sz="4" w:space="0" w:color="auto"/>
            </w:tcBorders>
            <w:vAlign w:val="center"/>
            <w:hideMark/>
          </w:tcPr>
          <w:p w14:paraId="75BD4EA2" w14:textId="77777777" w:rsidR="002C360B" w:rsidRPr="00FA46EC" w:rsidRDefault="002C360B">
            <w:pPr>
              <w:rPr>
                <w:rFonts w:eastAsia="Times New Roman" w:cs="Arial"/>
                <w:color w:val="000000"/>
                <w:sz w:val="20"/>
                <w:szCs w:val="20"/>
                <w:lang w:eastAsia="en-GB"/>
              </w:rPr>
            </w:pPr>
          </w:p>
        </w:tc>
        <w:tc>
          <w:tcPr>
            <w:tcW w:w="2130" w:type="dxa"/>
            <w:tcBorders>
              <w:top w:val="nil"/>
              <w:left w:val="single" w:sz="4" w:space="0" w:color="auto"/>
              <w:bottom w:val="single" w:sz="4" w:space="0" w:color="auto"/>
              <w:right w:val="nil"/>
            </w:tcBorders>
            <w:shd w:val="clear" w:color="auto" w:fill="auto"/>
            <w:noWrap/>
            <w:vAlign w:val="center"/>
            <w:hideMark/>
          </w:tcPr>
          <w:p w14:paraId="7A7E97E1" w14:textId="77777777"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n (%)</w:t>
            </w:r>
          </w:p>
        </w:tc>
        <w:tc>
          <w:tcPr>
            <w:tcW w:w="2043" w:type="dxa"/>
            <w:tcBorders>
              <w:top w:val="nil"/>
              <w:left w:val="nil"/>
              <w:bottom w:val="single" w:sz="4" w:space="0" w:color="auto"/>
              <w:right w:val="nil"/>
            </w:tcBorders>
            <w:shd w:val="clear" w:color="auto" w:fill="auto"/>
            <w:noWrap/>
            <w:vAlign w:val="center"/>
            <w:hideMark/>
          </w:tcPr>
          <w:p w14:paraId="65959CD4" w14:textId="77777777"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n (%)</w:t>
            </w:r>
          </w:p>
        </w:tc>
        <w:tc>
          <w:tcPr>
            <w:tcW w:w="2070" w:type="dxa"/>
            <w:tcBorders>
              <w:top w:val="nil"/>
              <w:left w:val="single" w:sz="4" w:space="0" w:color="auto"/>
              <w:bottom w:val="single" w:sz="4" w:space="0" w:color="auto"/>
              <w:right w:val="nil"/>
            </w:tcBorders>
            <w:shd w:val="clear" w:color="auto" w:fill="auto"/>
            <w:noWrap/>
            <w:vAlign w:val="center"/>
            <w:hideMark/>
          </w:tcPr>
          <w:p w14:paraId="37AE683A" w14:textId="77777777"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n (%)</w:t>
            </w:r>
          </w:p>
        </w:tc>
        <w:tc>
          <w:tcPr>
            <w:tcW w:w="2058" w:type="dxa"/>
            <w:tcBorders>
              <w:top w:val="nil"/>
              <w:left w:val="nil"/>
              <w:bottom w:val="single" w:sz="4" w:space="0" w:color="auto"/>
              <w:right w:val="single" w:sz="4" w:space="0" w:color="auto"/>
            </w:tcBorders>
            <w:shd w:val="clear" w:color="auto" w:fill="auto"/>
            <w:noWrap/>
            <w:vAlign w:val="center"/>
            <w:hideMark/>
          </w:tcPr>
          <w:p w14:paraId="38E15289" w14:textId="77777777"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n (%)</w:t>
            </w:r>
          </w:p>
        </w:tc>
      </w:tr>
      <w:tr w:rsidR="002C360B" w:rsidRPr="00FA46EC" w14:paraId="61E503F8" w14:textId="77777777">
        <w:trPr>
          <w:trHeight w:val="300"/>
        </w:trPr>
        <w:tc>
          <w:tcPr>
            <w:tcW w:w="1295" w:type="dxa"/>
            <w:vMerge w:val="restart"/>
            <w:tcBorders>
              <w:top w:val="single" w:sz="4" w:space="0" w:color="auto"/>
              <w:left w:val="nil"/>
              <w:bottom w:val="single" w:sz="4" w:space="0" w:color="000000" w:themeColor="text1"/>
              <w:right w:val="nil"/>
            </w:tcBorders>
            <w:shd w:val="clear" w:color="auto" w:fill="auto"/>
            <w:noWrap/>
            <w:vAlign w:val="center"/>
            <w:hideMark/>
          </w:tcPr>
          <w:p w14:paraId="1A6B995D"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OUs</w:t>
            </w:r>
          </w:p>
        </w:tc>
        <w:tc>
          <w:tcPr>
            <w:tcW w:w="4275" w:type="dxa"/>
            <w:tcBorders>
              <w:top w:val="single" w:sz="4" w:space="0" w:color="auto"/>
              <w:left w:val="nil"/>
              <w:bottom w:val="nil"/>
              <w:right w:val="single" w:sz="4" w:space="0" w:color="auto"/>
            </w:tcBorders>
            <w:shd w:val="clear" w:color="auto" w:fill="auto"/>
            <w:noWrap/>
            <w:vAlign w:val="center"/>
            <w:hideMark/>
          </w:tcPr>
          <w:p w14:paraId="2CE75123"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Aged 18-24</w:t>
            </w:r>
          </w:p>
        </w:tc>
        <w:tc>
          <w:tcPr>
            <w:tcW w:w="2130" w:type="dxa"/>
            <w:tcBorders>
              <w:top w:val="single" w:sz="4" w:space="0" w:color="auto"/>
              <w:left w:val="nil"/>
              <w:bottom w:val="nil"/>
              <w:right w:val="nil"/>
            </w:tcBorders>
            <w:shd w:val="clear" w:color="auto" w:fill="auto"/>
            <w:noWrap/>
            <w:vAlign w:val="bottom"/>
            <w:hideMark/>
          </w:tcPr>
          <w:p w14:paraId="41208913"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52 (3.2)</w:t>
            </w:r>
          </w:p>
        </w:tc>
        <w:tc>
          <w:tcPr>
            <w:tcW w:w="2043" w:type="dxa"/>
            <w:tcBorders>
              <w:top w:val="single" w:sz="4" w:space="0" w:color="auto"/>
              <w:left w:val="nil"/>
              <w:bottom w:val="nil"/>
              <w:right w:val="nil"/>
            </w:tcBorders>
            <w:shd w:val="clear" w:color="auto" w:fill="auto"/>
            <w:noWrap/>
            <w:vAlign w:val="bottom"/>
            <w:hideMark/>
          </w:tcPr>
          <w:p w14:paraId="1837842F"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26 (1.3)</w:t>
            </w:r>
          </w:p>
        </w:tc>
        <w:tc>
          <w:tcPr>
            <w:tcW w:w="2070" w:type="dxa"/>
            <w:tcBorders>
              <w:top w:val="single" w:sz="4" w:space="0" w:color="auto"/>
              <w:left w:val="single" w:sz="4" w:space="0" w:color="auto"/>
              <w:bottom w:val="nil"/>
              <w:right w:val="nil"/>
            </w:tcBorders>
            <w:shd w:val="clear" w:color="auto" w:fill="auto"/>
            <w:noWrap/>
            <w:vAlign w:val="bottom"/>
            <w:hideMark/>
          </w:tcPr>
          <w:p w14:paraId="24D6B03B"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139 (2.9)</w:t>
            </w:r>
          </w:p>
        </w:tc>
        <w:tc>
          <w:tcPr>
            <w:tcW w:w="2058" w:type="dxa"/>
            <w:tcBorders>
              <w:top w:val="single" w:sz="4" w:space="0" w:color="auto"/>
              <w:left w:val="nil"/>
              <w:bottom w:val="nil"/>
              <w:right w:val="single" w:sz="4" w:space="0" w:color="auto"/>
            </w:tcBorders>
            <w:shd w:val="clear" w:color="auto" w:fill="auto"/>
            <w:noWrap/>
            <w:vAlign w:val="bottom"/>
            <w:hideMark/>
          </w:tcPr>
          <w:p w14:paraId="5B3380E7"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167 (1.4)</w:t>
            </w:r>
          </w:p>
        </w:tc>
      </w:tr>
      <w:tr w:rsidR="002C360B" w:rsidRPr="00FA46EC" w14:paraId="482B58A8" w14:textId="77777777">
        <w:trPr>
          <w:trHeight w:val="300"/>
        </w:trPr>
        <w:tc>
          <w:tcPr>
            <w:tcW w:w="1295" w:type="dxa"/>
            <w:vMerge/>
            <w:vAlign w:val="center"/>
            <w:hideMark/>
          </w:tcPr>
          <w:p w14:paraId="29D62A12"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1818BA60"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Pregnant</w:t>
            </w:r>
          </w:p>
        </w:tc>
        <w:tc>
          <w:tcPr>
            <w:tcW w:w="2130" w:type="dxa"/>
            <w:tcBorders>
              <w:top w:val="nil"/>
              <w:left w:val="nil"/>
              <w:bottom w:val="nil"/>
              <w:right w:val="nil"/>
            </w:tcBorders>
            <w:shd w:val="clear" w:color="auto" w:fill="auto"/>
            <w:noWrap/>
            <w:vAlign w:val="bottom"/>
            <w:hideMark/>
          </w:tcPr>
          <w:p w14:paraId="07B2B372"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76 (4.7)</w:t>
            </w:r>
          </w:p>
        </w:tc>
        <w:tc>
          <w:tcPr>
            <w:tcW w:w="2043" w:type="dxa"/>
            <w:tcBorders>
              <w:top w:val="nil"/>
              <w:left w:val="nil"/>
              <w:bottom w:val="nil"/>
              <w:right w:val="nil"/>
            </w:tcBorders>
            <w:shd w:val="clear" w:color="auto" w:fill="auto"/>
            <w:noWrap/>
            <w:vAlign w:val="bottom"/>
            <w:hideMark/>
          </w:tcPr>
          <w:p w14:paraId="6D9AC339" w14:textId="77777777"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w:t>
            </w:r>
          </w:p>
        </w:tc>
        <w:tc>
          <w:tcPr>
            <w:tcW w:w="2070" w:type="dxa"/>
            <w:tcBorders>
              <w:top w:val="nil"/>
              <w:left w:val="single" w:sz="4" w:space="0" w:color="auto"/>
              <w:bottom w:val="nil"/>
              <w:right w:val="nil"/>
            </w:tcBorders>
            <w:shd w:val="clear" w:color="auto" w:fill="auto"/>
            <w:noWrap/>
            <w:vAlign w:val="bottom"/>
            <w:hideMark/>
          </w:tcPr>
          <w:p w14:paraId="6540655B"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203 (4.2)</w:t>
            </w:r>
          </w:p>
        </w:tc>
        <w:tc>
          <w:tcPr>
            <w:tcW w:w="2058" w:type="dxa"/>
            <w:tcBorders>
              <w:top w:val="nil"/>
              <w:left w:val="nil"/>
              <w:bottom w:val="nil"/>
              <w:right w:val="single" w:sz="4" w:space="0" w:color="auto"/>
            </w:tcBorders>
            <w:shd w:val="clear" w:color="auto" w:fill="auto"/>
            <w:noWrap/>
            <w:vAlign w:val="bottom"/>
            <w:hideMark/>
          </w:tcPr>
          <w:p w14:paraId="727D3371" w14:textId="77777777"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w:t>
            </w:r>
          </w:p>
        </w:tc>
      </w:tr>
      <w:tr w:rsidR="002C360B" w:rsidRPr="00FA46EC" w14:paraId="6A9B6F50" w14:textId="77777777">
        <w:trPr>
          <w:trHeight w:val="300"/>
        </w:trPr>
        <w:tc>
          <w:tcPr>
            <w:tcW w:w="1295" w:type="dxa"/>
            <w:vMerge/>
            <w:vAlign w:val="center"/>
            <w:hideMark/>
          </w:tcPr>
          <w:p w14:paraId="41F5005E"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6F1C0018"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NEET</w:t>
            </w:r>
          </w:p>
        </w:tc>
        <w:tc>
          <w:tcPr>
            <w:tcW w:w="2130" w:type="dxa"/>
            <w:tcBorders>
              <w:top w:val="nil"/>
              <w:left w:val="nil"/>
              <w:bottom w:val="nil"/>
              <w:right w:val="nil"/>
            </w:tcBorders>
            <w:shd w:val="clear" w:color="auto" w:fill="auto"/>
            <w:noWrap/>
            <w:vAlign w:val="bottom"/>
            <w:hideMark/>
          </w:tcPr>
          <w:p w14:paraId="203C92C7"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1,258 (77.8)</w:t>
            </w:r>
          </w:p>
        </w:tc>
        <w:tc>
          <w:tcPr>
            <w:tcW w:w="2043" w:type="dxa"/>
            <w:tcBorders>
              <w:top w:val="nil"/>
              <w:left w:val="nil"/>
              <w:bottom w:val="nil"/>
              <w:right w:val="nil"/>
            </w:tcBorders>
            <w:shd w:val="clear" w:color="auto" w:fill="auto"/>
            <w:noWrap/>
            <w:vAlign w:val="bottom"/>
            <w:hideMark/>
          </w:tcPr>
          <w:p w14:paraId="4ED7B216"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1,164 (60.3)</w:t>
            </w:r>
          </w:p>
        </w:tc>
        <w:tc>
          <w:tcPr>
            <w:tcW w:w="2070" w:type="dxa"/>
            <w:tcBorders>
              <w:top w:val="nil"/>
              <w:left w:val="single" w:sz="4" w:space="0" w:color="auto"/>
              <w:bottom w:val="nil"/>
              <w:right w:val="nil"/>
            </w:tcBorders>
            <w:shd w:val="clear" w:color="auto" w:fill="auto"/>
            <w:noWrap/>
            <w:vAlign w:val="bottom"/>
            <w:hideMark/>
          </w:tcPr>
          <w:p w14:paraId="43D7CF02"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4,629 (95.9)</w:t>
            </w:r>
          </w:p>
        </w:tc>
        <w:tc>
          <w:tcPr>
            <w:tcW w:w="2058" w:type="dxa"/>
            <w:tcBorders>
              <w:top w:val="nil"/>
              <w:left w:val="nil"/>
              <w:bottom w:val="nil"/>
              <w:right w:val="single" w:sz="4" w:space="0" w:color="auto"/>
            </w:tcBorders>
            <w:shd w:val="clear" w:color="auto" w:fill="auto"/>
            <w:noWrap/>
            <w:vAlign w:val="bottom"/>
            <w:hideMark/>
          </w:tcPr>
          <w:p w14:paraId="492D5179"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10,292 (88.2)</w:t>
            </w:r>
          </w:p>
        </w:tc>
      </w:tr>
      <w:tr w:rsidR="002C360B" w:rsidRPr="00FA46EC" w14:paraId="25A6CEA8" w14:textId="77777777">
        <w:trPr>
          <w:trHeight w:val="300"/>
        </w:trPr>
        <w:tc>
          <w:tcPr>
            <w:tcW w:w="1295" w:type="dxa"/>
            <w:vMerge/>
            <w:vAlign w:val="center"/>
            <w:hideMark/>
          </w:tcPr>
          <w:p w14:paraId="680A4087"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6C5A6D88"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Housing problem</w:t>
            </w:r>
          </w:p>
        </w:tc>
        <w:tc>
          <w:tcPr>
            <w:tcW w:w="2130" w:type="dxa"/>
            <w:tcBorders>
              <w:top w:val="nil"/>
              <w:left w:val="nil"/>
              <w:bottom w:val="nil"/>
              <w:right w:val="nil"/>
            </w:tcBorders>
            <w:shd w:val="clear" w:color="auto" w:fill="auto"/>
            <w:noWrap/>
            <w:vAlign w:val="bottom"/>
            <w:hideMark/>
          </w:tcPr>
          <w:p w14:paraId="6428E939"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178 (11.0)</w:t>
            </w:r>
          </w:p>
        </w:tc>
        <w:tc>
          <w:tcPr>
            <w:tcW w:w="2043" w:type="dxa"/>
            <w:tcBorders>
              <w:top w:val="nil"/>
              <w:left w:val="nil"/>
              <w:bottom w:val="nil"/>
              <w:right w:val="nil"/>
            </w:tcBorders>
            <w:shd w:val="clear" w:color="auto" w:fill="auto"/>
            <w:noWrap/>
            <w:vAlign w:val="bottom"/>
            <w:hideMark/>
          </w:tcPr>
          <w:p w14:paraId="1088226D"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155 (8.0)</w:t>
            </w:r>
          </w:p>
        </w:tc>
        <w:tc>
          <w:tcPr>
            <w:tcW w:w="2070" w:type="dxa"/>
            <w:tcBorders>
              <w:top w:val="nil"/>
              <w:left w:val="single" w:sz="4" w:space="0" w:color="auto"/>
              <w:bottom w:val="nil"/>
              <w:right w:val="nil"/>
            </w:tcBorders>
            <w:shd w:val="clear" w:color="auto" w:fill="auto"/>
            <w:noWrap/>
            <w:vAlign w:val="bottom"/>
            <w:hideMark/>
          </w:tcPr>
          <w:p w14:paraId="519D6698"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1,883 (39.0)</w:t>
            </w:r>
          </w:p>
        </w:tc>
        <w:tc>
          <w:tcPr>
            <w:tcW w:w="2058" w:type="dxa"/>
            <w:tcBorders>
              <w:top w:val="nil"/>
              <w:left w:val="nil"/>
              <w:bottom w:val="nil"/>
              <w:right w:val="single" w:sz="4" w:space="0" w:color="auto"/>
            </w:tcBorders>
            <w:shd w:val="clear" w:color="auto" w:fill="auto"/>
            <w:noWrap/>
            <w:vAlign w:val="bottom"/>
            <w:hideMark/>
          </w:tcPr>
          <w:p w14:paraId="1E75BB80"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4,397 (37.7)</w:t>
            </w:r>
          </w:p>
        </w:tc>
      </w:tr>
      <w:tr w:rsidR="002C360B" w:rsidRPr="00FA46EC" w14:paraId="1DD2A355" w14:textId="77777777">
        <w:trPr>
          <w:trHeight w:val="300"/>
        </w:trPr>
        <w:tc>
          <w:tcPr>
            <w:tcW w:w="1295" w:type="dxa"/>
            <w:vMerge/>
            <w:vAlign w:val="center"/>
            <w:hideMark/>
          </w:tcPr>
          <w:p w14:paraId="0B52BC81"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0016608E"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Mental health treatment need</w:t>
            </w:r>
          </w:p>
        </w:tc>
        <w:tc>
          <w:tcPr>
            <w:tcW w:w="2130" w:type="dxa"/>
            <w:tcBorders>
              <w:top w:val="nil"/>
              <w:left w:val="nil"/>
              <w:bottom w:val="nil"/>
              <w:right w:val="nil"/>
            </w:tcBorders>
            <w:shd w:val="clear" w:color="auto" w:fill="auto"/>
            <w:noWrap/>
            <w:vAlign w:val="bottom"/>
            <w:hideMark/>
          </w:tcPr>
          <w:p w14:paraId="7582EA32"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702 (43.4)</w:t>
            </w:r>
          </w:p>
        </w:tc>
        <w:tc>
          <w:tcPr>
            <w:tcW w:w="2043" w:type="dxa"/>
            <w:tcBorders>
              <w:top w:val="nil"/>
              <w:left w:val="nil"/>
              <w:bottom w:val="nil"/>
              <w:right w:val="nil"/>
            </w:tcBorders>
            <w:shd w:val="clear" w:color="auto" w:fill="auto"/>
            <w:noWrap/>
            <w:vAlign w:val="bottom"/>
            <w:hideMark/>
          </w:tcPr>
          <w:p w14:paraId="3A5F6C5D"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559 (28.9)</w:t>
            </w:r>
          </w:p>
        </w:tc>
        <w:tc>
          <w:tcPr>
            <w:tcW w:w="2070" w:type="dxa"/>
            <w:tcBorders>
              <w:top w:val="nil"/>
              <w:left w:val="single" w:sz="4" w:space="0" w:color="auto"/>
              <w:bottom w:val="nil"/>
              <w:right w:val="nil"/>
            </w:tcBorders>
            <w:shd w:val="clear" w:color="auto" w:fill="auto"/>
            <w:noWrap/>
            <w:vAlign w:val="bottom"/>
            <w:hideMark/>
          </w:tcPr>
          <w:p w14:paraId="79CCF822"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2,777 (57.5)</w:t>
            </w:r>
          </w:p>
        </w:tc>
        <w:tc>
          <w:tcPr>
            <w:tcW w:w="2058" w:type="dxa"/>
            <w:tcBorders>
              <w:top w:val="nil"/>
              <w:left w:val="nil"/>
              <w:bottom w:val="nil"/>
              <w:right w:val="single" w:sz="4" w:space="0" w:color="auto"/>
            </w:tcBorders>
            <w:shd w:val="clear" w:color="auto" w:fill="auto"/>
            <w:noWrap/>
            <w:vAlign w:val="bottom"/>
            <w:hideMark/>
          </w:tcPr>
          <w:p w14:paraId="47583413"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5,261 (45.1)</w:t>
            </w:r>
          </w:p>
        </w:tc>
      </w:tr>
      <w:tr w:rsidR="002C360B" w:rsidRPr="00FA46EC" w14:paraId="5804A812" w14:textId="77777777">
        <w:trPr>
          <w:trHeight w:val="300"/>
        </w:trPr>
        <w:tc>
          <w:tcPr>
            <w:tcW w:w="1295" w:type="dxa"/>
            <w:vMerge/>
            <w:vAlign w:val="center"/>
            <w:hideMark/>
          </w:tcPr>
          <w:p w14:paraId="34D0B2F8"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456EABAF"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Criminal justice referral</w:t>
            </w:r>
          </w:p>
        </w:tc>
        <w:tc>
          <w:tcPr>
            <w:tcW w:w="2130" w:type="dxa"/>
            <w:tcBorders>
              <w:top w:val="nil"/>
              <w:left w:val="nil"/>
              <w:bottom w:val="nil"/>
              <w:right w:val="nil"/>
            </w:tcBorders>
            <w:shd w:val="clear" w:color="auto" w:fill="auto"/>
            <w:noWrap/>
            <w:vAlign w:val="bottom"/>
            <w:hideMark/>
          </w:tcPr>
          <w:p w14:paraId="41BD3F60"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92 (5.7)</w:t>
            </w:r>
          </w:p>
        </w:tc>
        <w:tc>
          <w:tcPr>
            <w:tcW w:w="2043" w:type="dxa"/>
            <w:tcBorders>
              <w:top w:val="nil"/>
              <w:left w:val="nil"/>
              <w:bottom w:val="nil"/>
              <w:right w:val="nil"/>
            </w:tcBorders>
            <w:shd w:val="clear" w:color="auto" w:fill="auto"/>
            <w:noWrap/>
            <w:vAlign w:val="bottom"/>
            <w:hideMark/>
          </w:tcPr>
          <w:p w14:paraId="143527CF"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297 (15.4)</w:t>
            </w:r>
          </w:p>
        </w:tc>
        <w:tc>
          <w:tcPr>
            <w:tcW w:w="2070" w:type="dxa"/>
            <w:tcBorders>
              <w:top w:val="nil"/>
              <w:left w:val="single" w:sz="4" w:space="0" w:color="auto"/>
              <w:bottom w:val="nil"/>
              <w:right w:val="nil"/>
            </w:tcBorders>
            <w:shd w:val="clear" w:color="auto" w:fill="auto"/>
            <w:noWrap/>
            <w:vAlign w:val="bottom"/>
            <w:hideMark/>
          </w:tcPr>
          <w:p w14:paraId="5644F32F"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1,182 (24.5)</w:t>
            </w:r>
          </w:p>
        </w:tc>
        <w:tc>
          <w:tcPr>
            <w:tcW w:w="2058" w:type="dxa"/>
            <w:tcBorders>
              <w:top w:val="nil"/>
              <w:left w:val="nil"/>
              <w:bottom w:val="nil"/>
              <w:right w:val="single" w:sz="4" w:space="0" w:color="auto"/>
            </w:tcBorders>
            <w:shd w:val="clear" w:color="auto" w:fill="auto"/>
            <w:noWrap/>
            <w:vAlign w:val="bottom"/>
            <w:hideMark/>
          </w:tcPr>
          <w:p w14:paraId="2E323AC0"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3,903 (33.4)</w:t>
            </w:r>
          </w:p>
        </w:tc>
      </w:tr>
      <w:tr w:rsidR="002C360B" w:rsidRPr="00FA46EC" w14:paraId="42D98EB5" w14:textId="77777777">
        <w:trPr>
          <w:trHeight w:val="300"/>
        </w:trPr>
        <w:tc>
          <w:tcPr>
            <w:tcW w:w="1295" w:type="dxa"/>
            <w:vMerge/>
            <w:tcBorders>
              <w:bottom w:val="single" w:sz="4" w:space="0" w:color="auto"/>
            </w:tcBorders>
            <w:vAlign w:val="center"/>
            <w:hideMark/>
          </w:tcPr>
          <w:p w14:paraId="45B0AFF4"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single" w:sz="4" w:space="0" w:color="auto"/>
              <w:right w:val="single" w:sz="4" w:space="0" w:color="auto"/>
            </w:tcBorders>
            <w:shd w:val="clear" w:color="auto" w:fill="auto"/>
            <w:noWrap/>
            <w:vAlign w:val="center"/>
            <w:hideMark/>
          </w:tcPr>
          <w:p w14:paraId="265AEF52"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Multiple treatment journeys</w:t>
            </w:r>
          </w:p>
        </w:tc>
        <w:tc>
          <w:tcPr>
            <w:tcW w:w="2130" w:type="dxa"/>
            <w:tcBorders>
              <w:top w:val="nil"/>
              <w:left w:val="nil"/>
              <w:bottom w:val="single" w:sz="4" w:space="0" w:color="auto"/>
              <w:right w:val="nil"/>
            </w:tcBorders>
            <w:shd w:val="clear" w:color="auto" w:fill="auto"/>
            <w:noWrap/>
            <w:vAlign w:val="bottom"/>
            <w:hideMark/>
          </w:tcPr>
          <w:p w14:paraId="099BE1CD"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264 (16.3)</w:t>
            </w:r>
          </w:p>
        </w:tc>
        <w:tc>
          <w:tcPr>
            <w:tcW w:w="2043" w:type="dxa"/>
            <w:tcBorders>
              <w:top w:val="nil"/>
              <w:left w:val="nil"/>
              <w:bottom w:val="single" w:sz="4" w:space="0" w:color="auto"/>
              <w:right w:val="nil"/>
            </w:tcBorders>
            <w:shd w:val="clear" w:color="auto" w:fill="auto"/>
            <w:noWrap/>
            <w:vAlign w:val="bottom"/>
            <w:hideMark/>
          </w:tcPr>
          <w:p w14:paraId="3C32341D"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411 (21.3)</w:t>
            </w:r>
          </w:p>
        </w:tc>
        <w:tc>
          <w:tcPr>
            <w:tcW w:w="2070" w:type="dxa"/>
            <w:tcBorders>
              <w:top w:val="nil"/>
              <w:left w:val="single" w:sz="4" w:space="0" w:color="auto"/>
              <w:bottom w:val="single" w:sz="4" w:space="0" w:color="auto"/>
              <w:right w:val="nil"/>
            </w:tcBorders>
            <w:shd w:val="clear" w:color="auto" w:fill="auto"/>
            <w:noWrap/>
            <w:vAlign w:val="bottom"/>
            <w:hideMark/>
          </w:tcPr>
          <w:p w14:paraId="6D0610AD"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1,932 (40.0)</w:t>
            </w:r>
          </w:p>
        </w:tc>
        <w:tc>
          <w:tcPr>
            <w:tcW w:w="2058" w:type="dxa"/>
            <w:tcBorders>
              <w:top w:val="nil"/>
              <w:left w:val="nil"/>
              <w:bottom w:val="single" w:sz="4" w:space="0" w:color="auto"/>
              <w:right w:val="single" w:sz="4" w:space="0" w:color="auto"/>
            </w:tcBorders>
            <w:shd w:val="clear" w:color="auto" w:fill="auto"/>
            <w:noWrap/>
            <w:vAlign w:val="bottom"/>
            <w:hideMark/>
          </w:tcPr>
          <w:p w14:paraId="1CBABC61"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4,322 (37.0)</w:t>
            </w:r>
          </w:p>
        </w:tc>
      </w:tr>
      <w:tr w:rsidR="002C360B" w:rsidRPr="00FA46EC" w14:paraId="165EE745" w14:textId="77777777">
        <w:trPr>
          <w:trHeight w:val="300"/>
        </w:trPr>
        <w:tc>
          <w:tcPr>
            <w:tcW w:w="1295" w:type="dxa"/>
            <w:vMerge w:val="restart"/>
            <w:tcBorders>
              <w:top w:val="single" w:sz="4" w:space="0" w:color="auto"/>
              <w:left w:val="nil"/>
              <w:bottom w:val="single" w:sz="4" w:space="0" w:color="000000" w:themeColor="text1"/>
              <w:right w:val="nil"/>
            </w:tcBorders>
            <w:shd w:val="clear" w:color="auto" w:fill="auto"/>
            <w:noWrap/>
            <w:vAlign w:val="center"/>
            <w:hideMark/>
          </w:tcPr>
          <w:p w14:paraId="2F449BCF"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Non-OUs</w:t>
            </w:r>
          </w:p>
        </w:tc>
        <w:tc>
          <w:tcPr>
            <w:tcW w:w="4275" w:type="dxa"/>
            <w:tcBorders>
              <w:top w:val="single" w:sz="4" w:space="0" w:color="auto"/>
              <w:left w:val="nil"/>
              <w:bottom w:val="nil"/>
              <w:right w:val="single" w:sz="4" w:space="0" w:color="auto"/>
            </w:tcBorders>
            <w:shd w:val="clear" w:color="auto" w:fill="auto"/>
            <w:noWrap/>
            <w:vAlign w:val="center"/>
            <w:hideMark/>
          </w:tcPr>
          <w:p w14:paraId="761A16CF"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Aged 18-24</w:t>
            </w:r>
          </w:p>
        </w:tc>
        <w:tc>
          <w:tcPr>
            <w:tcW w:w="2130" w:type="dxa"/>
            <w:tcBorders>
              <w:top w:val="single" w:sz="4" w:space="0" w:color="auto"/>
              <w:left w:val="nil"/>
              <w:bottom w:val="nil"/>
              <w:right w:val="nil"/>
            </w:tcBorders>
            <w:shd w:val="clear" w:color="auto" w:fill="auto"/>
            <w:noWrap/>
            <w:vAlign w:val="bottom"/>
            <w:hideMark/>
          </w:tcPr>
          <w:p w14:paraId="61E9EF65"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311 (12.2)</w:t>
            </w:r>
          </w:p>
        </w:tc>
        <w:tc>
          <w:tcPr>
            <w:tcW w:w="2043" w:type="dxa"/>
            <w:tcBorders>
              <w:top w:val="single" w:sz="4" w:space="0" w:color="auto"/>
              <w:left w:val="nil"/>
              <w:bottom w:val="nil"/>
              <w:right w:val="nil"/>
            </w:tcBorders>
            <w:shd w:val="clear" w:color="auto" w:fill="auto"/>
            <w:noWrap/>
            <w:vAlign w:val="bottom"/>
            <w:hideMark/>
          </w:tcPr>
          <w:p w14:paraId="6691DA9E"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224 (7.1)</w:t>
            </w:r>
          </w:p>
        </w:tc>
        <w:tc>
          <w:tcPr>
            <w:tcW w:w="2070" w:type="dxa"/>
            <w:tcBorders>
              <w:top w:val="single" w:sz="4" w:space="0" w:color="auto"/>
              <w:left w:val="single" w:sz="4" w:space="0" w:color="auto"/>
              <w:bottom w:val="nil"/>
              <w:right w:val="nil"/>
            </w:tcBorders>
            <w:shd w:val="clear" w:color="auto" w:fill="auto"/>
            <w:noWrap/>
            <w:vAlign w:val="bottom"/>
            <w:hideMark/>
          </w:tcPr>
          <w:p w14:paraId="047CD2F1"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318 (14.0)</w:t>
            </w:r>
          </w:p>
        </w:tc>
        <w:tc>
          <w:tcPr>
            <w:tcW w:w="2058" w:type="dxa"/>
            <w:tcBorders>
              <w:top w:val="single" w:sz="4" w:space="0" w:color="auto"/>
              <w:left w:val="nil"/>
              <w:bottom w:val="nil"/>
              <w:right w:val="single" w:sz="4" w:space="0" w:color="auto"/>
            </w:tcBorders>
            <w:shd w:val="clear" w:color="auto" w:fill="auto"/>
            <w:noWrap/>
            <w:vAlign w:val="bottom"/>
            <w:hideMark/>
          </w:tcPr>
          <w:p w14:paraId="43B51E79"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704 (9.2)</w:t>
            </w:r>
          </w:p>
        </w:tc>
      </w:tr>
      <w:tr w:rsidR="002C360B" w:rsidRPr="00FA46EC" w14:paraId="74516ED2" w14:textId="77777777">
        <w:trPr>
          <w:trHeight w:val="300"/>
        </w:trPr>
        <w:tc>
          <w:tcPr>
            <w:tcW w:w="1295" w:type="dxa"/>
            <w:vMerge/>
            <w:vAlign w:val="center"/>
            <w:hideMark/>
          </w:tcPr>
          <w:p w14:paraId="51DAF757"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584FA410"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Pregnant</w:t>
            </w:r>
          </w:p>
        </w:tc>
        <w:tc>
          <w:tcPr>
            <w:tcW w:w="2130" w:type="dxa"/>
            <w:tcBorders>
              <w:top w:val="nil"/>
              <w:left w:val="nil"/>
              <w:bottom w:val="nil"/>
              <w:right w:val="nil"/>
            </w:tcBorders>
            <w:shd w:val="clear" w:color="auto" w:fill="auto"/>
            <w:noWrap/>
            <w:vAlign w:val="bottom"/>
            <w:hideMark/>
          </w:tcPr>
          <w:p w14:paraId="0255E364"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130 (5.1)</w:t>
            </w:r>
          </w:p>
        </w:tc>
        <w:tc>
          <w:tcPr>
            <w:tcW w:w="2043" w:type="dxa"/>
            <w:tcBorders>
              <w:top w:val="nil"/>
              <w:left w:val="nil"/>
              <w:bottom w:val="nil"/>
              <w:right w:val="nil"/>
            </w:tcBorders>
            <w:shd w:val="clear" w:color="auto" w:fill="auto"/>
            <w:noWrap/>
            <w:vAlign w:val="bottom"/>
            <w:hideMark/>
          </w:tcPr>
          <w:p w14:paraId="3401242F" w14:textId="77777777"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w:t>
            </w:r>
          </w:p>
        </w:tc>
        <w:tc>
          <w:tcPr>
            <w:tcW w:w="2070" w:type="dxa"/>
            <w:tcBorders>
              <w:top w:val="nil"/>
              <w:left w:val="single" w:sz="4" w:space="0" w:color="auto"/>
              <w:bottom w:val="nil"/>
              <w:right w:val="nil"/>
            </w:tcBorders>
            <w:shd w:val="clear" w:color="auto" w:fill="auto"/>
            <w:noWrap/>
            <w:vAlign w:val="bottom"/>
            <w:hideMark/>
          </w:tcPr>
          <w:p w14:paraId="2AD5E30A"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187 (8.2)</w:t>
            </w:r>
          </w:p>
        </w:tc>
        <w:tc>
          <w:tcPr>
            <w:tcW w:w="2058" w:type="dxa"/>
            <w:tcBorders>
              <w:top w:val="nil"/>
              <w:left w:val="nil"/>
              <w:bottom w:val="nil"/>
              <w:right w:val="single" w:sz="4" w:space="0" w:color="auto"/>
            </w:tcBorders>
            <w:shd w:val="clear" w:color="auto" w:fill="auto"/>
            <w:noWrap/>
            <w:vAlign w:val="bottom"/>
            <w:hideMark/>
          </w:tcPr>
          <w:p w14:paraId="6A73B772" w14:textId="77777777"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w:t>
            </w:r>
          </w:p>
        </w:tc>
      </w:tr>
      <w:tr w:rsidR="002C360B" w:rsidRPr="00FA46EC" w14:paraId="3FAB4253" w14:textId="77777777">
        <w:trPr>
          <w:trHeight w:val="300"/>
        </w:trPr>
        <w:tc>
          <w:tcPr>
            <w:tcW w:w="1295" w:type="dxa"/>
            <w:vMerge/>
            <w:vAlign w:val="center"/>
            <w:hideMark/>
          </w:tcPr>
          <w:p w14:paraId="73156965"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17793251"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NEET</w:t>
            </w:r>
          </w:p>
        </w:tc>
        <w:tc>
          <w:tcPr>
            <w:tcW w:w="2130" w:type="dxa"/>
            <w:tcBorders>
              <w:top w:val="nil"/>
              <w:left w:val="nil"/>
              <w:bottom w:val="nil"/>
              <w:right w:val="nil"/>
            </w:tcBorders>
            <w:shd w:val="clear" w:color="auto" w:fill="auto"/>
            <w:noWrap/>
            <w:vAlign w:val="bottom"/>
            <w:hideMark/>
          </w:tcPr>
          <w:p w14:paraId="1F8C1330"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1,853 (73.0)</w:t>
            </w:r>
          </w:p>
        </w:tc>
        <w:tc>
          <w:tcPr>
            <w:tcW w:w="2043" w:type="dxa"/>
            <w:tcBorders>
              <w:top w:val="nil"/>
              <w:left w:val="nil"/>
              <w:bottom w:val="nil"/>
              <w:right w:val="nil"/>
            </w:tcBorders>
            <w:shd w:val="clear" w:color="auto" w:fill="auto"/>
            <w:noWrap/>
            <w:vAlign w:val="bottom"/>
            <w:hideMark/>
          </w:tcPr>
          <w:p w14:paraId="5BC8D008"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1,282 (40.7)</w:t>
            </w:r>
          </w:p>
        </w:tc>
        <w:tc>
          <w:tcPr>
            <w:tcW w:w="2070" w:type="dxa"/>
            <w:tcBorders>
              <w:top w:val="nil"/>
              <w:left w:val="single" w:sz="4" w:space="0" w:color="auto"/>
              <w:bottom w:val="nil"/>
              <w:right w:val="nil"/>
            </w:tcBorders>
            <w:shd w:val="clear" w:color="auto" w:fill="auto"/>
            <w:noWrap/>
            <w:vAlign w:val="bottom"/>
            <w:hideMark/>
          </w:tcPr>
          <w:p w14:paraId="41E1BA91"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2,027 (89.2)</w:t>
            </w:r>
          </w:p>
        </w:tc>
        <w:tc>
          <w:tcPr>
            <w:tcW w:w="2058" w:type="dxa"/>
            <w:tcBorders>
              <w:top w:val="nil"/>
              <w:left w:val="nil"/>
              <w:bottom w:val="nil"/>
              <w:right w:val="single" w:sz="4" w:space="0" w:color="auto"/>
            </w:tcBorders>
            <w:shd w:val="clear" w:color="auto" w:fill="auto"/>
            <w:noWrap/>
            <w:vAlign w:val="bottom"/>
            <w:hideMark/>
          </w:tcPr>
          <w:p w14:paraId="0BBF2997"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5,176 (67.9)</w:t>
            </w:r>
          </w:p>
        </w:tc>
      </w:tr>
      <w:tr w:rsidR="002C360B" w:rsidRPr="00FA46EC" w14:paraId="60862B26" w14:textId="77777777">
        <w:trPr>
          <w:trHeight w:val="300"/>
        </w:trPr>
        <w:tc>
          <w:tcPr>
            <w:tcW w:w="1295" w:type="dxa"/>
            <w:vMerge/>
            <w:vAlign w:val="center"/>
            <w:hideMark/>
          </w:tcPr>
          <w:p w14:paraId="281C3409"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5D04F47E"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Housing problem</w:t>
            </w:r>
          </w:p>
        </w:tc>
        <w:tc>
          <w:tcPr>
            <w:tcW w:w="2130" w:type="dxa"/>
            <w:tcBorders>
              <w:top w:val="nil"/>
              <w:left w:val="nil"/>
              <w:bottom w:val="nil"/>
              <w:right w:val="nil"/>
            </w:tcBorders>
            <w:shd w:val="clear" w:color="auto" w:fill="auto"/>
            <w:noWrap/>
            <w:vAlign w:val="bottom"/>
            <w:hideMark/>
          </w:tcPr>
          <w:p w14:paraId="22245A98"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321 (12.6)</w:t>
            </w:r>
          </w:p>
        </w:tc>
        <w:tc>
          <w:tcPr>
            <w:tcW w:w="2043" w:type="dxa"/>
            <w:tcBorders>
              <w:top w:val="nil"/>
              <w:left w:val="nil"/>
              <w:bottom w:val="nil"/>
              <w:right w:val="nil"/>
            </w:tcBorders>
            <w:shd w:val="clear" w:color="auto" w:fill="auto"/>
            <w:noWrap/>
            <w:vAlign w:val="bottom"/>
            <w:hideMark/>
          </w:tcPr>
          <w:p w14:paraId="67B4445F"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278 (8.8)</w:t>
            </w:r>
          </w:p>
        </w:tc>
        <w:tc>
          <w:tcPr>
            <w:tcW w:w="2070" w:type="dxa"/>
            <w:tcBorders>
              <w:top w:val="nil"/>
              <w:left w:val="single" w:sz="4" w:space="0" w:color="auto"/>
              <w:bottom w:val="nil"/>
              <w:right w:val="nil"/>
            </w:tcBorders>
            <w:shd w:val="clear" w:color="auto" w:fill="auto"/>
            <w:noWrap/>
            <w:vAlign w:val="bottom"/>
            <w:hideMark/>
          </w:tcPr>
          <w:p w14:paraId="09AFD179"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536 (23.6)</w:t>
            </w:r>
          </w:p>
        </w:tc>
        <w:tc>
          <w:tcPr>
            <w:tcW w:w="2058" w:type="dxa"/>
            <w:tcBorders>
              <w:top w:val="nil"/>
              <w:left w:val="nil"/>
              <w:bottom w:val="nil"/>
              <w:right w:val="single" w:sz="4" w:space="0" w:color="auto"/>
            </w:tcBorders>
            <w:shd w:val="clear" w:color="auto" w:fill="auto"/>
            <w:noWrap/>
            <w:vAlign w:val="bottom"/>
            <w:hideMark/>
          </w:tcPr>
          <w:p w14:paraId="3903C415"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1,882 (24.7)</w:t>
            </w:r>
          </w:p>
        </w:tc>
      </w:tr>
      <w:tr w:rsidR="002C360B" w:rsidRPr="00FA46EC" w14:paraId="170B53A9" w14:textId="77777777">
        <w:trPr>
          <w:trHeight w:val="300"/>
        </w:trPr>
        <w:tc>
          <w:tcPr>
            <w:tcW w:w="1295" w:type="dxa"/>
            <w:vMerge/>
            <w:vAlign w:val="center"/>
            <w:hideMark/>
          </w:tcPr>
          <w:p w14:paraId="163242A0"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2132A43B"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Mental health treatment need</w:t>
            </w:r>
          </w:p>
        </w:tc>
        <w:tc>
          <w:tcPr>
            <w:tcW w:w="2130" w:type="dxa"/>
            <w:tcBorders>
              <w:top w:val="nil"/>
              <w:left w:val="nil"/>
              <w:bottom w:val="nil"/>
              <w:right w:val="nil"/>
            </w:tcBorders>
            <w:shd w:val="clear" w:color="auto" w:fill="auto"/>
            <w:noWrap/>
            <w:vAlign w:val="bottom"/>
            <w:hideMark/>
          </w:tcPr>
          <w:p w14:paraId="2ED33670"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1,356 (53.4)</w:t>
            </w:r>
          </w:p>
        </w:tc>
        <w:tc>
          <w:tcPr>
            <w:tcW w:w="2043" w:type="dxa"/>
            <w:tcBorders>
              <w:top w:val="nil"/>
              <w:left w:val="nil"/>
              <w:bottom w:val="nil"/>
              <w:right w:val="nil"/>
            </w:tcBorders>
            <w:shd w:val="clear" w:color="auto" w:fill="auto"/>
            <w:noWrap/>
            <w:vAlign w:val="bottom"/>
            <w:hideMark/>
          </w:tcPr>
          <w:p w14:paraId="77DC39B4"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1,088 (34.6)</w:t>
            </w:r>
          </w:p>
        </w:tc>
        <w:tc>
          <w:tcPr>
            <w:tcW w:w="2070" w:type="dxa"/>
            <w:tcBorders>
              <w:top w:val="nil"/>
              <w:left w:val="single" w:sz="4" w:space="0" w:color="auto"/>
              <w:bottom w:val="nil"/>
              <w:right w:val="nil"/>
            </w:tcBorders>
            <w:shd w:val="clear" w:color="auto" w:fill="auto"/>
            <w:noWrap/>
            <w:vAlign w:val="bottom"/>
            <w:hideMark/>
          </w:tcPr>
          <w:p w14:paraId="569EB87B"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1,469 (64.6)</w:t>
            </w:r>
          </w:p>
        </w:tc>
        <w:tc>
          <w:tcPr>
            <w:tcW w:w="2058" w:type="dxa"/>
            <w:tcBorders>
              <w:top w:val="nil"/>
              <w:left w:val="nil"/>
              <w:bottom w:val="nil"/>
              <w:right w:val="single" w:sz="4" w:space="0" w:color="auto"/>
            </w:tcBorders>
            <w:shd w:val="clear" w:color="auto" w:fill="auto"/>
            <w:noWrap/>
            <w:vAlign w:val="bottom"/>
            <w:hideMark/>
          </w:tcPr>
          <w:p w14:paraId="22183DE6"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3,680 (48.3)</w:t>
            </w:r>
          </w:p>
        </w:tc>
      </w:tr>
      <w:tr w:rsidR="002C360B" w:rsidRPr="00FA46EC" w14:paraId="14CA79A7" w14:textId="77777777">
        <w:trPr>
          <w:trHeight w:val="300"/>
        </w:trPr>
        <w:tc>
          <w:tcPr>
            <w:tcW w:w="1295" w:type="dxa"/>
            <w:vMerge/>
            <w:vAlign w:val="center"/>
            <w:hideMark/>
          </w:tcPr>
          <w:p w14:paraId="2895293A"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7D5B5DB3"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Criminal justice referral</w:t>
            </w:r>
          </w:p>
        </w:tc>
        <w:tc>
          <w:tcPr>
            <w:tcW w:w="2130" w:type="dxa"/>
            <w:tcBorders>
              <w:top w:val="nil"/>
              <w:left w:val="nil"/>
              <w:bottom w:val="nil"/>
              <w:right w:val="nil"/>
            </w:tcBorders>
            <w:shd w:val="clear" w:color="auto" w:fill="auto"/>
            <w:noWrap/>
            <w:vAlign w:val="bottom"/>
            <w:hideMark/>
          </w:tcPr>
          <w:p w14:paraId="35268EBE"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58 (2.3)</w:t>
            </w:r>
          </w:p>
        </w:tc>
        <w:tc>
          <w:tcPr>
            <w:tcW w:w="2043" w:type="dxa"/>
            <w:tcBorders>
              <w:top w:val="nil"/>
              <w:left w:val="nil"/>
              <w:bottom w:val="nil"/>
              <w:right w:val="nil"/>
            </w:tcBorders>
            <w:shd w:val="clear" w:color="auto" w:fill="auto"/>
            <w:noWrap/>
            <w:vAlign w:val="bottom"/>
            <w:hideMark/>
          </w:tcPr>
          <w:p w14:paraId="233EEC76"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271 (8.6)</w:t>
            </w:r>
          </w:p>
        </w:tc>
        <w:tc>
          <w:tcPr>
            <w:tcW w:w="2070" w:type="dxa"/>
            <w:tcBorders>
              <w:top w:val="nil"/>
              <w:left w:val="single" w:sz="4" w:space="0" w:color="auto"/>
              <w:bottom w:val="nil"/>
              <w:right w:val="nil"/>
            </w:tcBorders>
            <w:shd w:val="clear" w:color="auto" w:fill="auto"/>
            <w:noWrap/>
            <w:vAlign w:val="bottom"/>
            <w:hideMark/>
          </w:tcPr>
          <w:p w14:paraId="400231C0"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158 (7.0)</w:t>
            </w:r>
          </w:p>
        </w:tc>
        <w:tc>
          <w:tcPr>
            <w:tcW w:w="2058" w:type="dxa"/>
            <w:tcBorders>
              <w:top w:val="nil"/>
              <w:left w:val="nil"/>
              <w:bottom w:val="nil"/>
              <w:right w:val="single" w:sz="4" w:space="0" w:color="auto"/>
            </w:tcBorders>
            <w:shd w:val="clear" w:color="auto" w:fill="auto"/>
            <w:noWrap/>
            <w:vAlign w:val="bottom"/>
            <w:hideMark/>
          </w:tcPr>
          <w:p w14:paraId="2F3B6626"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1,355 (17.8)</w:t>
            </w:r>
          </w:p>
        </w:tc>
      </w:tr>
      <w:tr w:rsidR="002C360B" w:rsidRPr="00FA46EC" w14:paraId="205344EE" w14:textId="77777777">
        <w:trPr>
          <w:trHeight w:val="300"/>
        </w:trPr>
        <w:tc>
          <w:tcPr>
            <w:tcW w:w="1295" w:type="dxa"/>
            <w:vMerge/>
            <w:tcBorders>
              <w:bottom w:val="single" w:sz="4" w:space="0" w:color="auto"/>
            </w:tcBorders>
            <w:vAlign w:val="center"/>
            <w:hideMark/>
          </w:tcPr>
          <w:p w14:paraId="36A9B7D6"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single" w:sz="4" w:space="0" w:color="auto"/>
              <w:right w:val="single" w:sz="4" w:space="0" w:color="auto"/>
            </w:tcBorders>
            <w:shd w:val="clear" w:color="auto" w:fill="auto"/>
            <w:noWrap/>
            <w:vAlign w:val="center"/>
            <w:hideMark/>
          </w:tcPr>
          <w:p w14:paraId="27FE611D"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Multiple treatment journeys</w:t>
            </w:r>
          </w:p>
        </w:tc>
        <w:tc>
          <w:tcPr>
            <w:tcW w:w="2130" w:type="dxa"/>
            <w:tcBorders>
              <w:top w:val="nil"/>
              <w:left w:val="nil"/>
              <w:bottom w:val="single" w:sz="4" w:space="0" w:color="auto"/>
              <w:right w:val="nil"/>
            </w:tcBorders>
            <w:shd w:val="clear" w:color="auto" w:fill="auto"/>
            <w:noWrap/>
            <w:vAlign w:val="bottom"/>
            <w:hideMark/>
          </w:tcPr>
          <w:p w14:paraId="64E05D3D"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399 (15.7)</w:t>
            </w:r>
          </w:p>
        </w:tc>
        <w:tc>
          <w:tcPr>
            <w:tcW w:w="2043" w:type="dxa"/>
            <w:tcBorders>
              <w:top w:val="nil"/>
              <w:left w:val="nil"/>
              <w:bottom w:val="single" w:sz="4" w:space="0" w:color="auto"/>
              <w:right w:val="nil"/>
            </w:tcBorders>
            <w:shd w:val="clear" w:color="auto" w:fill="auto"/>
            <w:noWrap/>
            <w:vAlign w:val="bottom"/>
            <w:hideMark/>
          </w:tcPr>
          <w:p w14:paraId="0E65E6D9"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390 (12.4)</w:t>
            </w:r>
          </w:p>
        </w:tc>
        <w:tc>
          <w:tcPr>
            <w:tcW w:w="2070" w:type="dxa"/>
            <w:tcBorders>
              <w:top w:val="nil"/>
              <w:left w:val="single" w:sz="4" w:space="0" w:color="auto"/>
              <w:bottom w:val="single" w:sz="4" w:space="0" w:color="auto"/>
              <w:right w:val="nil"/>
            </w:tcBorders>
            <w:shd w:val="clear" w:color="auto" w:fill="auto"/>
            <w:noWrap/>
            <w:vAlign w:val="bottom"/>
            <w:hideMark/>
          </w:tcPr>
          <w:p w14:paraId="7655C5B5"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556 (24.5)</w:t>
            </w:r>
          </w:p>
        </w:tc>
        <w:tc>
          <w:tcPr>
            <w:tcW w:w="2058" w:type="dxa"/>
            <w:tcBorders>
              <w:top w:val="nil"/>
              <w:left w:val="nil"/>
              <w:bottom w:val="single" w:sz="4" w:space="0" w:color="auto"/>
              <w:right w:val="single" w:sz="4" w:space="0" w:color="auto"/>
            </w:tcBorders>
            <w:shd w:val="clear" w:color="auto" w:fill="auto"/>
            <w:noWrap/>
            <w:vAlign w:val="bottom"/>
            <w:hideMark/>
          </w:tcPr>
          <w:p w14:paraId="538E9768"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1,533 (20.1)</w:t>
            </w:r>
          </w:p>
        </w:tc>
      </w:tr>
      <w:tr w:rsidR="002C360B" w:rsidRPr="00FA46EC" w14:paraId="32A5074B" w14:textId="77777777">
        <w:trPr>
          <w:trHeight w:val="300"/>
        </w:trPr>
        <w:tc>
          <w:tcPr>
            <w:tcW w:w="1295" w:type="dxa"/>
            <w:vMerge w:val="restart"/>
            <w:tcBorders>
              <w:top w:val="single" w:sz="4" w:space="0" w:color="auto"/>
              <w:left w:val="nil"/>
              <w:bottom w:val="single" w:sz="4" w:space="0" w:color="000000" w:themeColor="text1"/>
              <w:right w:val="nil"/>
            </w:tcBorders>
            <w:shd w:val="clear" w:color="auto" w:fill="auto"/>
            <w:noWrap/>
            <w:vAlign w:val="center"/>
            <w:hideMark/>
          </w:tcPr>
          <w:p w14:paraId="35881143"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Alcohol only</w:t>
            </w:r>
          </w:p>
        </w:tc>
        <w:tc>
          <w:tcPr>
            <w:tcW w:w="4275" w:type="dxa"/>
            <w:tcBorders>
              <w:top w:val="single" w:sz="4" w:space="0" w:color="auto"/>
              <w:left w:val="nil"/>
              <w:bottom w:val="nil"/>
              <w:right w:val="single" w:sz="4" w:space="0" w:color="auto"/>
            </w:tcBorders>
            <w:shd w:val="clear" w:color="auto" w:fill="auto"/>
            <w:noWrap/>
            <w:vAlign w:val="center"/>
            <w:hideMark/>
          </w:tcPr>
          <w:p w14:paraId="400B1706"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Aged 18-24</w:t>
            </w:r>
          </w:p>
        </w:tc>
        <w:tc>
          <w:tcPr>
            <w:tcW w:w="2130" w:type="dxa"/>
            <w:tcBorders>
              <w:top w:val="single" w:sz="4" w:space="0" w:color="auto"/>
              <w:left w:val="nil"/>
              <w:bottom w:val="nil"/>
              <w:right w:val="nil"/>
            </w:tcBorders>
            <w:shd w:val="clear" w:color="auto" w:fill="auto"/>
            <w:noWrap/>
            <w:vAlign w:val="bottom"/>
            <w:hideMark/>
          </w:tcPr>
          <w:p w14:paraId="047F194D"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84 (1.7)</w:t>
            </w:r>
          </w:p>
        </w:tc>
        <w:tc>
          <w:tcPr>
            <w:tcW w:w="2043" w:type="dxa"/>
            <w:tcBorders>
              <w:top w:val="single" w:sz="4" w:space="0" w:color="auto"/>
              <w:left w:val="nil"/>
              <w:bottom w:val="nil"/>
              <w:right w:val="nil"/>
            </w:tcBorders>
            <w:shd w:val="clear" w:color="auto" w:fill="auto"/>
            <w:noWrap/>
            <w:vAlign w:val="bottom"/>
            <w:hideMark/>
          </w:tcPr>
          <w:p w14:paraId="1AFA4377"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32 (0.8)</w:t>
            </w:r>
          </w:p>
        </w:tc>
        <w:tc>
          <w:tcPr>
            <w:tcW w:w="2070" w:type="dxa"/>
            <w:tcBorders>
              <w:top w:val="single" w:sz="4" w:space="0" w:color="auto"/>
              <w:left w:val="single" w:sz="4" w:space="0" w:color="auto"/>
              <w:bottom w:val="nil"/>
              <w:right w:val="nil"/>
            </w:tcBorders>
            <w:shd w:val="clear" w:color="auto" w:fill="auto"/>
            <w:noWrap/>
            <w:vAlign w:val="bottom"/>
            <w:hideMark/>
          </w:tcPr>
          <w:p w14:paraId="0DFAF151"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83 (1.9)</w:t>
            </w:r>
          </w:p>
        </w:tc>
        <w:tc>
          <w:tcPr>
            <w:tcW w:w="2058" w:type="dxa"/>
            <w:tcBorders>
              <w:top w:val="single" w:sz="4" w:space="0" w:color="auto"/>
              <w:left w:val="nil"/>
              <w:bottom w:val="nil"/>
              <w:right w:val="single" w:sz="4" w:space="0" w:color="auto"/>
            </w:tcBorders>
            <w:shd w:val="clear" w:color="auto" w:fill="auto"/>
            <w:noWrap/>
            <w:vAlign w:val="bottom"/>
            <w:hideMark/>
          </w:tcPr>
          <w:p w14:paraId="6F087608"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119 (1.4)</w:t>
            </w:r>
          </w:p>
        </w:tc>
      </w:tr>
      <w:tr w:rsidR="002C360B" w:rsidRPr="00FA46EC" w14:paraId="6E7038F9" w14:textId="77777777">
        <w:trPr>
          <w:trHeight w:val="300"/>
        </w:trPr>
        <w:tc>
          <w:tcPr>
            <w:tcW w:w="1295" w:type="dxa"/>
            <w:vMerge/>
            <w:vAlign w:val="center"/>
            <w:hideMark/>
          </w:tcPr>
          <w:p w14:paraId="0015A1CA"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58EC782E"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Pregnant</w:t>
            </w:r>
          </w:p>
        </w:tc>
        <w:tc>
          <w:tcPr>
            <w:tcW w:w="2130" w:type="dxa"/>
            <w:tcBorders>
              <w:top w:val="nil"/>
              <w:left w:val="nil"/>
              <w:bottom w:val="nil"/>
              <w:right w:val="nil"/>
            </w:tcBorders>
            <w:shd w:val="clear" w:color="auto" w:fill="auto"/>
            <w:noWrap/>
            <w:vAlign w:val="bottom"/>
            <w:hideMark/>
          </w:tcPr>
          <w:p w14:paraId="02CB6697"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65 (1.3)</w:t>
            </w:r>
          </w:p>
        </w:tc>
        <w:tc>
          <w:tcPr>
            <w:tcW w:w="2043" w:type="dxa"/>
            <w:tcBorders>
              <w:top w:val="nil"/>
              <w:left w:val="nil"/>
              <w:bottom w:val="nil"/>
              <w:right w:val="nil"/>
            </w:tcBorders>
            <w:shd w:val="clear" w:color="auto" w:fill="auto"/>
            <w:noWrap/>
            <w:vAlign w:val="bottom"/>
            <w:hideMark/>
          </w:tcPr>
          <w:p w14:paraId="502B62DB" w14:textId="77777777"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w:t>
            </w:r>
          </w:p>
        </w:tc>
        <w:tc>
          <w:tcPr>
            <w:tcW w:w="2070" w:type="dxa"/>
            <w:tcBorders>
              <w:top w:val="nil"/>
              <w:left w:val="single" w:sz="4" w:space="0" w:color="auto"/>
              <w:bottom w:val="nil"/>
              <w:right w:val="nil"/>
            </w:tcBorders>
            <w:shd w:val="clear" w:color="auto" w:fill="auto"/>
            <w:noWrap/>
            <w:vAlign w:val="bottom"/>
            <w:hideMark/>
          </w:tcPr>
          <w:p w14:paraId="2B7C47A6"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81 (1.9)</w:t>
            </w:r>
          </w:p>
        </w:tc>
        <w:tc>
          <w:tcPr>
            <w:tcW w:w="2058" w:type="dxa"/>
            <w:tcBorders>
              <w:top w:val="nil"/>
              <w:left w:val="nil"/>
              <w:bottom w:val="nil"/>
              <w:right w:val="single" w:sz="4" w:space="0" w:color="auto"/>
            </w:tcBorders>
            <w:shd w:val="clear" w:color="auto" w:fill="auto"/>
            <w:noWrap/>
            <w:vAlign w:val="bottom"/>
            <w:hideMark/>
          </w:tcPr>
          <w:p w14:paraId="59D57ED9" w14:textId="77777777" w:rsidR="002C360B" w:rsidRPr="00FA46EC" w:rsidRDefault="002C360B">
            <w:pPr>
              <w:jc w:val="center"/>
              <w:rPr>
                <w:rFonts w:eastAsia="Times New Roman" w:cs="Arial"/>
                <w:color w:val="000000"/>
                <w:sz w:val="20"/>
                <w:szCs w:val="20"/>
                <w:lang w:eastAsia="en-GB"/>
              </w:rPr>
            </w:pPr>
            <w:r w:rsidRPr="00FA46EC">
              <w:rPr>
                <w:rFonts w:eastAsia="Times New Roman" w:cs="Arial"/>
                <w:color w:val="000000"/>
                <w:sz w:val="20"/>
                <w:szCs w:val="20"/>
                <w:lang w:eastAsia="en-GB"/>
              </w:rPr>
              <w:t xml:space="preserve"> (0.0)</w:t>
            </w:r>
          </w:p>
        </w:tc>
      </w:tr>
      <w:tr w:rsidR="002C360B" w:rsidRPr="00FA46EC" w14:paraId="24729496" w14:textId="77777777">
        <w:trPr>
          <w:trHeight w:val="300"/>
        </w:trPr>
        <w:tc>
          <w:tcPr>
            <w:tcW w:w="1295" w:type="dxa"/>
            <w:vMerge/>
            <w:vAlign w:val="center"/>
            <w:hideMark/>
          </w:tcPr>
          <w:p w14:paraId="6246A91B"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4BD26C5D"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NEET</w:t>
            </w:r>
          </w:p>
        </w:tc>
        <w:tc>
          <w:tcPr>
            <w:tcW w:w="2130" w:type="dxa"/>
            <w:tcBorders>
              <w:top w:val="nil"/>
              <w:left w:val="nil"/>
              <w:bottom w:val="nil"/>
              <w:right w:val="nil"/>
            </w:tcBorders>
            <w:shd w:val="clear" w:color="auto" w:fill="auto"/>
            <w:noWrap/>
            <w:vAlign w:val="bottom"/>
            <w:hideMark/>
          </w:tcPr>
          <w:p w14:paraId="629419C7"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2,799 (56.4)</w:t>
            </w:r>
          </w:p>
        </w:tc>
        <w:tc>
          <w:tcPr>
            <w:tcW w:w="2043" w:type="dxa"/>
            <w:tcBorders>
              <w:top w:val="nil"/>
              <w:left w:val="nil"/>
              <w:bottom w:val="nil"/>
              <w:right w:val="nil"/>
            </w:tcBorders>
            <w:shd w:val="clear" w:color="auto" w:fill="auto"/>
            <w:noWrap/>
            <w:vAlign w:val="bottom"/>
            <w:hideMark/>
          </w:tcPr>
          <w:p w14:paraId="66ADDA02"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1,363 (34.4)</w:t>
            </w:r>
          </w:p>
        </w:tc>
        <w:tc>
          <w:tcPr>
            <w:tcW w:w="2070" w:type="dxa"/>
            <w:tcBorders>
              <w:top w:val="nil"/>
              <w:left w:val="single" w:sz="4" w:space="0" w:color="auto"/>
              <w:bottom w:val="nil"/>
              <w:right w:val="nil"/>
            </w:tcBorders>
            <w:shd w:val="clear" w:color="auto" w:fill="auto"/>
            <w:noWrap/>
            <w:vAlign w:val="bottom"/>
            <w:hideMark/>
          </w:tcPr>
          <w:p w14:paraId="36915C17"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3,423 (78.3)</w:t>
            </w:r>
          </w:p>
        </w:tc>
        <w:tc>
          <w:tcPr>
            <w:tcW w:w="2058" w:type="dxa"/>
            <w:tcBorders>
              <w:top w:val="nil"/>
              <w:left w:val="nil"/>
              <w:bottom w:val="nil"/>
              <w:right w:val="single" w:sz="4" w:space="0" w:color="auto"/>
            </w:tcBorders>
            <w:shd w:val="clear" w:color="auto" w:fill="auto"/>
            <w:noWrap/>
            <w:vAlign w:val="bottom"/>
            <w:hideMark/>
          </w:tcPr>
          <w:p w14:paraId="01869E46"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5,934 (69.0)</w:t>
            </w:r>
          </w:p>
        </w:tc>
      </w:tr>
      <w:tr w:rsidR="002C360B" w:rsidRPr="00FA46EC" w14:paraId="0D495252" w14:textId="77777777">
        <w:trPr>
          <w:trHeight w:val="300"/>
        </w:trPr>
        <w:tc>
          <w:tcPr>
            <w:tcW w:w="1295" w:type="dxa"/>
            <w:vMerge/>
            <w:vAlign w:val="center"/>
            <w:hideMark/>
          </w:tcPr>
          <w:p w14:paraId="5ABAF7F6"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51C789EC"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Housing problem</w:t>
            </w:r>
          </w:p>
        </w:tc>
        <w:tc>
          <w:tcPr>
            <w:tcW w:w="2130" w:type="dxa"/>
            <w:tcBorders>
              <w:top w:val="nil"/>
              <w:left w:val="nil"/>
              <w:bottom w:val="nil"/>
              <w:right w:val="nil"/>
            </w:tcBorders>
            <w:shd w:val="clear" w:color="auto" w:fill="auto"/>
            <w:noWrap/>
            <w:vAlign w:val="bottom"/>
            <w:hideMark/>
          </w:tcPr>
          <w:p w14:paraId="6F02F3F4"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300 (6.0)</w:t>
            </w:r>
          </w:p>
        </w:tc>
        <w:tc>
          <w:tcPr>
            <w:tcW w:w="2043" w:type="dxa"/>
            <w:tcBorders>
              <w:top w:val="nil"/>
              <w:left w:val="nil"/>
              <w:bottom w:val="nil"/>
              <w:right w:val="nil"/>
            </w:tcBorders>
            <w:shd w:val="clear" w:color="auto" w:fill="auto"/>
            <w:noWrap/>
            <w:vAlign w:val="bottom"/>
            <w:hideMark/>
          </w:tcPr>
          <w:p w14:paraId="5F55D3F2"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167 (4.2)</w:t>
            </w:r>
          </w:p>
        </w:tc>
        <w:tc>
          <w:tcPr>
            <w:tcW w:w="2070" w:type="dxa"/>
            <w:tcBorders>
              <w:top w:val="nil"/>
              <w:left w:val="single" w:sz="4" w:space="0" w:color="auto"/>
              <w:bottom w:val="nil"/>
              <w:right w:val="nil"/>
            </w:tcBorders>
            <w:shd w:val="clear" w:color="auto" w:fill="auto"/>
            <w:noWrap/>
            <w:vAlign w:val="bottom"/>
            <w:hideMark/>
          </w:tcPr>
          <w:p w14:paraId="7AB0D1F0"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544 (12.4)</w:t>
            </w:r>
          </w:p>
        </w:tc>
        <w:tc>
          <w:tcPr>
            <w:tcW w:w="2058" w:type="dxa"/>
            <w:tcBorders>
              <w:top w:val="nil"/>
              <w:left w:val="nil"/>
              <w:bottom w:val="nil"/>
              <w:right w:val="single" w:sz="4" w:space="0" w:color="auto"/>
            </w:tcBorders>
            <w:shd w:val="clear" w:color="auto" w:fill="auto"/>
            <w:noWrap/>
            <w:vAlign w:val="bottom"/>
            <w:hideMark/>
          </w:tcPr>
          <w:p w14:paraId="6C72DB05"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1,360 (15.8)</w:t>
            </w:r>
          </w:p>
        </w:tc>
      </w:tr>
      <w:tr w:rsidR="002C360B" w:rsidRPr="00FA46EC" w14:paraId="419F8C88" w14:textId="77777777">
        <w:trPr>
          <w:trHeight w:val="300"/>
        </w:trPr>
        <w:tc>
          <w:tcPr>
            <w:tcW w:w="1295" w:type="dxa"/>
            <w:vMerge/>
            <w:vAlign w:val="center"/>
            <w:hideMark/>
          </w:tcPr>
          <w:p w14:paraId="50E7BEDF"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65925BDC"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Mental health treatment need</w:t>
            </w:r>
          </w:p>
        </w:tc>
        <w:tc>
          <w:tcPr>
            <w:tcW w:w="2130" w:type="dxa"/>
            <w:tcBorders>
              <w:top w:val="nil"/>
              <w:left w:val="nil"/>
              <w:bottom w:val="nil"/>
              <w:right w:val="nil"/>
            </w:tcBorders>
            <w:shd w:val="clear" w:color="auto" w:fill="auto"/>
            <w:noWrap/>
            <w:vAlign w:val="bottom"/>
            <w:hideMark/>
          </w:tcPr>
          <w:p w14:paraId="3ADAE183"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2,528 (50.9)</w:t>
            </w:r>
          </w:p>
        </w:tc>
        <w:tc>
          <w:tcPr>
            <w:tcW w:w="2043" w:type="dxa"/>
            <w:tcBorders>
              <w:top w:val="nil"/>
              <w:left w:val="nil"/>
              <w:bottom w:val="nil"/>
              <w:right w:val="nil"/>
            </w:tcBorders>
            <w:shd w:val="clear" w:color="auto" w:fill="auto"/>
            <w:noWrap/>
            <w:vAlign w:val="bottom"/>
            <w:hideMark/>
          </w:tcPr>
          <w:p w14:paraId="7A0A2937"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1,408 (35.6)</w:t>
            </w:r>
          </w:p>
        </w:tc>
        <w:tc>
          <w:tcPr>
            <w:tcW w:w="2070" w:type="dxa"/>
            <w:tcBorders>
              <w:top w:val="nil"/>
              <w:left w:val="single" w:sz="4" w:space="0" w:color="auto"/>
              <w:bottom w:val="nil"/>
              <w:right w:val="nil"/>
            </w:tcBorders>
            <w:shd w:val="clear" w:color="auto" w:fill="auto"/>
            <w:noWrap/>
            <w:vAlign w:val="bottom"/>
            <w:hideMark/>
          </w:tcPr>
          <w:p w14:paraId="72DC1FE2"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2,503 (57.2)</w:t>
            </w:r>
          </w:p>
        </w:tc>
        <w:tc>
          <w:tcPr>
            <w:tcW w:w="2058" w:type="dxa"/>
            <w:tcBorders>
              <w:top w:val="nil"/>
              <w:left w:val="nil"/>
              <w:bottom w:val="nil"/>
              <w:right w:val="single" w:sz="4" w:space="0" w:color="auto"/>
            </w:tcBorders>
            <w:shd w:val="clear" w:color="auto" w:fill="auto"/>
            <w:noWrap/>
            <w:vAlign w:val="bottom"/>
            <w:hideMark/>
          </w:tcPr>
          <w:p w14:paraId="01C01984"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3,994 (46.4)</w:t>
            </w:r>
          </w:p>
        </w:tc>
      </w:tr>
      <w:tr w:rsidR="002C360B" w:rsidRPr="00FA46EC" w14:paraId="620C14B4" w14:textId="77777777">
        <w:trPr>
          <w:trHeight w:val="300"/>
        </w:trPr>
        <w:tc>
          <w:tcPr>
            <w:tcW w:w="1295" w:type="dxa"/>
            <w:vMerge/>
            <w:vAlign w:val="center"/>
            <w:hideMark/>
          </w:tcPr>
          <w:p w14:paraId="20DF245D"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nil"/>
              <w:right w:val="single" w:sz="4" w:space="0" w:color="auto"/>
            </w:tcBorders>
            <w:shd w:val="clear" w:color="auto" w:fill="auto"/>
            <w:noWrap/>
            <w:vAlign w:val="center"/>
            <w:hideMark/>
          </w:tcPr>
          <w:p w14:paraId="2B82BDEE" w14:textId="77777777" w:rsidR="002C360B" w:rsidRPr="00FA46EC" w:rsidRDefault="002C360B">
            <w:pPr>
              <w:rPr>
                <w:rFonts w:eastAsia="Times New Roman" w:cs="Arial"/>
                <w:color w:val="000000"/>
                <w:sz w:val="20"/>
                <w:szCs w:val="20"/>
                <w:lang w:eastAsia="en-GB"/>
              </w:rPr>
            </w:pPr>
            <w:r w:rsidRPr="00FA46EC">
              <w:rPr>
                <w:rFonts w:eastAsia="Times New Roman" w:cs="Arial"/>
                <w:color w:val="000000"/>
                <w:sz w:val="20"/>
                <w:szCs w:val="20"/>
                <w:lang w:eastAsia="en-GB"/>
              </w:rPr>
              <w:t>Criminal justice referral</w:t>
            </w:r>
          </w:p>
        </w:tc>
        <w:tc>
          <w:tcPr>
            <w:tcW w:w="2130" w:type="dxa"/>
            <w:tcBorders>
              <w:top w:val="nil"/>
              <w:left w:val="nil"/>
              <w:bottom w:val="nil"/>
              <w:right w:val="nil"/>
            </w:tcBorders>
            <w:shd w:val="clear" w:color="auto" w:fill="auto"/>
            <w:noWrap/>
            <w:vAlign w:val="bottom"/>
            <w:hideMark/>
          </w:tcPr>
          <w:p w14:paraId="51BD2B80"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106 (2.1)</w:t>
            </w:r>
          </w:p>
        </w:tc>
        <w:tc>
          <w:tcPr>
            <w:tcW w:w="2043" w:type="dxa"/>
            <w:tcBorders>
              <w:top w:val="nil"/>
              <w:left w:val="nil"/>
              <w:bottom w:val="nil"/>
              <w:right w:val="nil"/>
            </w:tcBorders>
            <w:shd w:val="clear" w:color="auto" w:fill="auto"/>
            <w:noWrap/>
            <w:vAlign w:val="bottom"/>
            <w:hideMark/>
          </w:tcPr>
          <w:p w14:paraId="613AB7BF"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186 (4.7)</w:t>
            </w:r>
          </w:p>
        </w:tc>
        <w:tc>
          <w:tcPr>
            <w:tcW w:w="2070" w:type="dxa"/>
            <w:tcBorders>
              <w:top w:val="nil"/>
              <w:left w:val="single" w:sz="4" w:space="0" w:color="auto"/>
              <w:bottom w:val="nil"/>
              <w:right w:val="nil"/>
            </w:tcBorders>
            <w:shd w:val="clear" w:color="auto" w:fill="auto"/>
            <w:noWrap/>
            <w:vAlign w:val="bottom"/>
            <w:hideMark/>
          </w:tcPr>
          <w:p w14:paraId="24A809F5"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217 (5.0)</w:t>
            </w:r>
          </w:p>
        </w:tc>
        <w:tc>
          <w:tcPr>
            <w:tcW w:w="2058" w:type="dxa"/>
            <w:tcBorders>
              <w:top w:val="nil"/>
              <w:left w:val="nil"/>
              <w:bottom w:val="nil"/>
              <w:right w:val="single" w:sz="4" w:space="0" w:color="auto"/>
            </w:tcBorders>
            <w:shd w:val="clear" w:color="auto" w:fill="auto"/>
            <w:noWrap/>
            <w:vAlign w:val="bottom"/>
            <w:hideMark/>
          </w:tcPr>
          <w:p w14:paraId="5D92C13C"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1,005 (11.7)</w:t>
            </w:r>
          </w:p>
        </w:tc>
      </w:tr>
      <w:tr w:rsidR="002C360B" w:rsidRPr="00FA46EC" w14:paraId="001EA6DF" w14:textId="77777777">
        <w:trPr>
          <w:trHeight w:val="300"/>
        </w:trPr>
        <w:tc>
          <w:tcPr>
            <w:tcW w:w="1295" w:type="dxa"/>
            <w:vMerge/>
            <w:tcBorders>
              <w:bottom w:val="single" w:sz="4" w:space="0" w:color="auto"/>
            </w:tcBorders>
            <w:vAlign w:val="center"/>
            <w:hideMark/>
          </w:tcPr>
          <w:p w14:paraId="04832B8A" w14:textId="77777777" w:rsidR="002C360B" w:rsidRPr="00FA46EC" w:rsidRDefault="002C360B">
            <w:pPr>
              <w:rPr>
                <w:rFonts w:eastAsia="Times New Roman" w:cs="Arial"/>
                <w:color w:val="000000"/>
                <w:sz w:val="20"/>
                <w:szCs w:val="20"/>
                <w:lang w:eastAsia="en-GB"/>
              </w:rPr>
            </w:pPr>
          </w:p>
        </w:tc>
        <w:tc>
          <w:tcPr>
            <w:tcW w:w="4275" w:type="dxa"/>
            <w:tcBorders>
              <w:top w:val="nil"/>
              <w:left w:val="nil"/>
              <w:bottom w:val="single" w:sz="4" w:space="0" w:color="auto"/>
              <w:right w:val="single" w:sz="4" w:space="0" w:color="auto"/>
            </w:tcBorders>
            <w:shd w:val="clear" w:color="auto" w:fill="auto"/>
            <w:noWrap/>
            <w:vAlign w:val="center"/>
            <w:hideMark/>
          </w:tcPr>
          <w:p w14:paraId="3F39E9C8" w14:textId="77777777" w:rsidR="002C360B" w:rsidRDefault="002C360B">
            <w:pPr>
              <w:rPr>
                <w:rFonts w:cs="Arial"/>
                <w:szCs w:val="24"/>
              </w:rPr>
            </w:pPr>
            <w:r w:rsidRPr="00FA46EC">
              <w:rPr>
                <w:rFonts w:eastAsia="Times New Roman" w:cs="Arial"/>
                <w:color w:val="000000"/>
                <w:sz w:val="20"/>
                <w:szCs w:val="20"/>
                <w:lang w:eastAsia="en-GB"/>
              </w:rPr>
              <w:t>Multiple treatment journeys</w:t>
            </w:r>
          </w:p>
          <w:p w14:paraId="372A010F" w14:textId="2D06CB96" w:rsidR="00313816" w:rsidRPr="00313816" w:rsidRDefault="00313816" w:rsidP="00313816">
            <w:pPr>
              <w:rPr>
                <w:rFonts w:eastAsia="Times New Roman" w:cs="Arial"/>
                <w:sz w:val="20"/>
                <w:szCs w:val="20"/>
                <w:lang w:eastAsia="en-GB"/>
              </w:rPr>
            </w:pPr>
          </w:p>
        </w:tc>
        <w:tc>
          <w:tcPr>
            <w:tcW w:w="2130" w:type="dxa"/>
            <w:tcBorders>
              <w:top w:val="nil"/>
              <w:left w:val="nil"/>
              <w:bottom w:val="single" w:sz="4" w:space="0" w:color="auto"/>
              <w:right w:val="nil"/>
            </w:tcBorders>
            <w:shd w:val="clear" w:color="auto" w:fill="auto"/>
            <w:noWrap/>
            <w:vAlign w:val="bottom"/>
            <w:hideMark/>
          </w:tcPr>
          <w:p w14:paraId="61777191"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930 (18.7)</w:t>
            </w:r>
          </w:p>
        </w:tc>
        <w:tc>
          <w:tcPr>
            <w:tcW w:w="2043" w:type="dxa"/>
            <w:tcBorders>
              <w:top w:val="nil"/>
              <w:left w:val="nil"/>
              <w:bottom w:val="single" w:sz="4" w:space="0" w:color="auto"/>
              <w:right w:val="nil"/>
            </w:tcBorders>
            <w:shd w:val="clear" w:color="auto" w:fill="auto"/>
            <w:noWrap/>
            <w:vAlign w:val="bottom"/>
            <w:hideMark/>
          </w:tcPr>
          <w:p w14:paraId="3E4CAEB4"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691 (17.5)</w:t>
            </w:r>
          </w:p>
        </w:tc>
        <w:tc>
          <w:tcPr>
            <w:tcW w:w="2070" w:type="dxa"/>
            <w:tcBorders>
              <w:top w:val="nil"/>
              <w:left w:val="single" w:sz="4" w:space="0" w:color="auto"/>
              <w:bottom w:val="single" w:sz="4" w:space="0" w:color="auto"/>
              <w:right w:val="nil"/>
            </w:tcBorders>
            <w:shd w:val="clear" w:color="auto" w:fill="auto"/>
            <w:noWrap/>
            <w:vAlign w:val="bottom"/>
            <w:hideMark/>
          </w:tcPr>
          <w:p w14:paraId="1ED6FFDE"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1,222 (27.9)</w:t>
            </w:r>
          </w:p>
        </w:tc>
        <w:tc>
          <w:tcPr>
            <w:tcW w:w="2058" w:type="dxa"/>
            <w:tcBorders>
              <w:top w:val="nil"/>
              <w:left w:val="nil"/>
              <w:bottom w:val="single" w:sz="4" w:space="0" w:color="auto"/>
              <w:right w:val="single" w:sz="4" w:space="0" w:color="auto"/>
            </w:tcBorders>
            <w:shd w:val="clear" w:color="auto" w:fill="auto"/>
            <w:noWrap/>
            <w:vAlign w:val="bottom"/>
            <w:hideMark/>
          </w:tcPr>
          <w:p w14:paraId="39229E46" w14:textId="77777777" w:rsidR="002C360B" w:rsidRPr="00FA46EC" w:rsidRDefault="002C360B">
            <w:pPr>
              <w:jc w:val="right"/>
              <w:rPr>
                <w:rFonts w:eastAsia="Times New Roman" w:cs="Arial"/>
                <w:color w:val="000000"/>
                <w:sz w:val="20"/>
                <w:szCs w:val="20"/>
                <w:lang w:eastAsia="en-GB"/>
              </w:rPr>
            </w:pPr>
            <w:r w:rsidRPr="00FA46EC">
              <w:rPr>
                <w:rFonts w:eastAsia="Times New Roman" w:cs="Arial"/>
                <w:color w:val="000000"/>
                <w:sz w:val="20"/>
                <w:szCs w:val="20"/>
                <w:lang w:eastAsia="en-GB"/>
              </w:rPr>
              <w:t>2,117 (24.6)</w:t>
            </w:r>
          </w:p>
        </w:tc>
      </w:tr>
    </w:tbl>
    <w:p w14:paraId="1591DB44" w14:textId="56A236DD" w:rsidR="00313816" w:rsidRDefault="00313816" w:rsidP="00EF5EE4">
      <w:pPr>
        <w:pStyle w:val="Caption"/>
        <w:keepNext/>
        <w:ind w:left="1440" w:hanging="1440"/>
        <w:rPr>
          <w:b w:val="0"/>
          <w:bCs w:val="0"/>
          <w:i/>
          <w:iCs/>
          <w:color w:val="auto"/>
          <w:sz w:val="24"/>
          <w:szCs w:val="24"/>
        </w:rPr>
      </w:pPr>
      <w:bookmarkStart w:id="111" w:name="_Ref177144361"/>
      <w:bookmarkStart w:id="112" w:name="_Toc185844997"/>
      <w:r w:rsidRPr="00EF5EE4">
        <w:rPr>
          <w:b w:val="0"/>
          <w:bCs w:val="0"/>
          <w:i/>
          <w:iCs/>
          <w:color w:val="auto"/>
          <w:sz w:val="24"/>
          <w:szCs w:val="24"/>
        </w:rPr>
        <w:lastRenderedPageBreak/>
        <w:t xml:space="preserve">Table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4.4</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2</w:t>
      </w:r>
      <w:r w:rsidR="00367870">
        <w:rPr>
          <w:b w:val="0"/>
          <w:bCs w:val="0"/>
          <w:i/>
          <w:iCs/>
          <w:color w:val="auto"/>
          <w:sz w:val="24"/>
          <w:szCs w:val="24"/>
        </w:rPr>
        <w:fldChar w:fldCharType="end"/>
      </w:r>
      <w:bookmarkEnd w:id="111"/>
      <w:r w:rsidR="00EF5EE4" w:rsidRPr="00EF5EE4">
        <w:rPr>
          <w:b w:val="0"/>
          <w:bCs w:val="0"/>
          <w:i/>
          <w:iCs/>
          <w:color w:val="auto"/>
          <w:sz w:val="24"/>
          <w:szCs w:val="24"/>
        </w:rPr>
        <w:tab/>
      </w:r>
      <w:r w:rsidRPr="00EF5EE4">
        <w:rPr>
          <w:b w:val="0"/>
          <w:bCs w:val="0"/>
          <w:i/>
          <w:iCs/>
          <w:color w:val="auto"/>
          <w:sz w:val="24"/>
          <w:szCs w:val="24"/>
        </w:rPr>
        <w:t xml:space="preserve">Summary of pre- and post-propensity score weighted </w:t>
      </w:r>
      <w:r w:rsidRPr="00EF5EE4">
        <w:rPr>
          <w:rFonts w:cs="Arial"/>
          <w:b w:val="0"/>
          <w:bCs w:val="0"/>
          <w:i/>
          <w:iCs/>
          <w:color w:val="auto"/>
          <w:sz w:val="24"/>
          <w:szCs w:val="24"/>
        </w:rPr>
        <w:t xml:space="preserve">Kolmogorov-Smirnov statistics </w:t>
      </w:r>
      <w:r w:rsidRPr="00EF5EE4">
        <w:rPr>
          <w:b w:val="0"/>
          <w:bCs w:val="0"/>
          <w:i/>
          <w:iCs/>
          <w:color w:val="auto"/>
          <w:sz w:val="24"/>
          <w:szCs w:val="24"/>
        </w:rPr>
        <w:t>averaged across observed baseline covariates using the mean. Presented by sex, SUD and child living arrangements (n=</w:t>
      </w:r>
      <w:r w:rsidR="00BE65D7" w:rsidRPr="00BE65D7">
        <w:rPr>
          <w:b w:val="0"/>
          <w:bCs w:val="0"/>
          <w:i/>
          <w:iCs/>
          <w:color w:val="auto"/>
          <w:sz w:val="24"/>
          <w:szCs w:val="24"/>
        </w:rPr>
        <w:t>48,169</w:t>
      </w:r>
      <w:r w:rsidRPr="00EF5EE4">
        <w:rPr>
          <w:b w:val="0"/>
          <w:bCs w:val="0"/>
          <w:i/>
          <w:iCs/>
          <w:color w:val="auto"/>
          <w:sz w:val="24"/>
          <w:szCs w:val="24"/>
        </w:rPr>
        <w:t>;ESS=</w:t>
      </w:r>
      <w:r w:rsidR="00BE65D7" w:rsidRPr="00BE65D7">
        <w:rPr>
          <w:b w:val="0"/>
          <w:bCs w:val="0"/>
          <w:i/>
          <w:iCs/>
          <w:color w:val="auto"/>
          <w:sz w:val="24"/>
          <w:szCs w:val="24"/>
        </w:rPr>
        <w:t>47,047</w:t>
      </w:r>
      <w:r w:rsidRPr="00EF5EE4">
        <w:rPr>
          <w:b w:val="0"/>
          <w:bCs w:val="0"/>
          <w:i/>
          <w:iCs/>
          <w:color w:val="auto"/>
          <w:sz w:val="24"/>
          <w:szCs w:val="24"/>
        </w:rPr>
        <w:t>)</w:t>
      </w:r>
      <w:bookmarkEnd w:id="112"/>
    </w:p>
    <w:p w14:paraId="0E049B9D" w14:textId="77777777" w:rsidR="00BE65D7" w:rsidRDefault="00BE65D7" w:rsidP="00BE65D7"/>
    <w:p w14:paraId="17958324" w14:textId="77777777" w:rsidR="00313816" w:rsidRPr="00CC5400" w:rsidRDefault="00313816" w:rsidP="00313816">
      <w:pPr>
        <w:rPr>
          <w:b/>
          <w:bCs/>
        </w:rPr>
      </w:pPr>
      <w:r>
        <w:tab/>
      </w:r>
    </w:p>
    <w:tbl>
      <w:tblPr>
        <w:tblW w:w="14310" w:type="dxa"/>
        <w:tblLook w:val="04A0" w:firstRow="1" w:lastRow="0" w:firstColumn="1" w:lastColumn="0" w:noHBand="0" w:noVBand="1"/>
      </w:tblPr>
      <w:tblGrid>
        <w:gridCol w:w="872"/>
        <w:gridCol w:w="2910"/>
        <w:gridCol w:w="1316"/>
        <w:gridCol w:w="1316"/>
        <w:gridCol w:w="1316"/>
        <w:gridCol w:w="1316"/>
        <w:gridCol w:w="1316"/>
        <w:gridCol w:w="1316"/>
        <w:gridCol w:w="1316"/>
        <w:gridCol w:w="1316"/>
      </w:tblGrid>
      <w:tr w:rsidR="00313816" w:rsidRPr="005332D7" w14:paraId="27A709AA" w14:textId="77777777">
        <w:trPr>
          <w:trHeight w:val="300"/>
        </w:trPr>
        <w:tc>
          <w:tcPr>
            <w:tcW w:w="872" w:type="dxa"/>
            <w:vMerge w:val="restart"/>
            <w:tcBorders>
              <w:top w:val="nil"/>
              <w:left w:val="nil"/>
              <w:bottom w:val="single" w:sz="4" w:space="0" w:color="000000" w:themeColor="text1"/>
              <w:right w:val="nil"/>
            </w:tcBorders>
            <w:shd w:val="clear" w:color="auto" w:fill="auto"/>
            <w:noWrap/>
            <w:vAlign w:val="center"/>
            <w:hideMark/>
          </w:tcPr>
          <w:p w14:paraId="5DD4C1D6" w14:textId="77777777" w:rsidR="00313816" w:rsidRPr="005332D7" w:rsidRDefault="00313816">
            <w:pPr>
              <w:rPr>
                <w:rFonts w:eastAsia="Times New Roman" w:cs="Arial"/>
                <w:color w:val="000000"/>
                <w:sz w:val="20"/>
                <w:szCs w:val="20"/>
                <w:lang w:eastAsia="en-GB"/>
              </w:rPr>
            </w:pPr>
          </w:p>
        </w:tc>
        <w:tc>
          <w:tcPr>
            <w:tcW w:w="2910" w:type="dxa"/>
            <w:vMerge w:val="restart"/>
            <w:tcBorders>
              <w:top w:val="nil"/>
              <w:left w:val="nil"/>
              <w:bottom w:val="single" w:sz="4" w:space="0" w:color="auto"/>
              <w:right w:val="single" w:sz="4" w:space="0" w:color="auto"/>
            </w:tcBorders>
            <w:shd w:val="clear" w:color="auto" w:fill="auto"/>
            <w:noWrap/>
            <w:vAlign w:val="center"/>
            <w:hideMark/>
          </w:tcPr>
          <w:p w14:paraId="461D0CB4"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Covariate</w:t>
            </w:r>
          </w:p>
        </w:tc>
        <w:tc>
          <w:tcPr>
            <w:tcW w:w="5264" w:type="dxa"/>
            <w:gridSpan w:val="4"/>
            <w:tcBorders>
              <w:top w:val="nil"/>
              <w:left w:val="nil"/>
              <w:bottom w:val="nil"/>
              <w:right w:val="nil"/>
            </w:tcBorders>
            <w:shd w:val="clear" w:color="auto" w:fill="auto"/>
            <w:noWrap/>
            <w:vAlign w:val="center"/>
            <w:hideMark/>
          </w:tcPr>
          <w:p w14:paraId="637D26B0" w14:textId="77777777" w:rsidR="00313816" w:rsidRPr="005332D7" w:rsidRDefault="00313816">
            <w:pPr>
              <w:jc w:val="center"/>
              <w:rPr>
                <w:rFonts w:eastAsia="Times New Roman" w:cs="Arial"/>
                <w:color w:val="000000"/>
                <w:sz w:val="20"/>
                <w:szCs w:val="20"/>
                <w:lang w:eastAsia="en-GB"/>
              </w:rPr>
            </w:pPr>
            <w:r>
              <w:rPr>
                <w:rFonts w:eastAsia="Times New Roman" w:cs="Arial"/>
                <w:color w:val="000000"/>
                <w:sz w:val="20"/>
                <w:szCs w:val="20"/>
                <w:lang w:eastAsia="en-GB"/>
              </w:rPr>
              <w:t>Parents living</w:t>
            </w:r>
            <w:r w:rsidRPr="005332D7">
              <w:rPr>
                <w:rFonts w:eastAsia="Times New Roman" w:cs="Arial"/>
                <w:color w:val="000000"/>
                <w:sz w:val="20"/>
                <w:szCs w:val="20"/>
                <w:lang w:eastAsia="en-GB"/>
              </w:rPr>
              <w:t xml:space="preserve"> with children </w:t>
            </w:r>
          </w:p>
        </w:tc>
        <w:tc>
          <w:tcPr>
            <w:tcW w:w="5264" w:type="dxa"/>
            <w:gridSpan w:val="4"/>
            <w:tcBorders>
              <w:top w:val="nil"/>
              <w:left w:val="single" w:sz="4" w:space="0" w:color="auto"/>
              <w:bottom w:val="nil"/>
              <w:right w:val="single" w:sz="4" w:space="0" w:color="000000" w:themeColor="text1"/>
            </w:tcBorders>
            <w:shd w:val="clear" w:color="auto" w:fill="auto"/>
            <w:noWrap/>
            <w:vAlign w:val="center"/>
            <w:hideMark/>
          </w:tcPr>
          <w:p w14:paraId="53420AD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 xml:space="preserve">Parents not living with children </w:t>
            </w:r>
          </w:p>
        </w:tc>
      </w:tr>
      <w:tr w:rsidR="00313816" w:rsidRPr="005332D7" w14:paraId="35315E4A" w14:textId="77777777">
        <w:trPr>
          <w:trHeight w:val="300"/>
        </w:trPr>
        <w:tc>
          <w:tcPr>
            <w:tcW w:w="872" w:type="dxa"/>
            <w:vMerge/>
            <w:vAlign w:val="center"/>
            <w:hideMark/>
          </w:tcPr>
          <w:p w14:paraId="4E2A88A3" w14:textId="77777777" w:rsidR="00313816" w:rsidRPr="005332D7" w:rsidRDefault="00313816">
            <w:pPr>
              <w:rPr>
                <w:rFonts w:eastAsia="Times New Roman" w:cs="Arial"/>
                <w:color w:val="000000"/>
                <w:sz w:val="20"/>
                <w:szCs w:val="20"/>
                <w:lang w:eastAsia="en-GB"/>
              </w:rPr>
            </w:pPr>
          </w:p>
        </w:tc>
        <w:tc>
          <w:tcPr>
            <w:tcW w:w="2910" w:type="dxa"/>
            <w:vMerge/>
            <w:tcBorders>
              <w:bottom w:val="single" w:sz="4" w:space="0" w:color="auto"/>
              <w:right w:val="single" w:sz="4" w:space="0" w:color="auto"/>
            </w:tcBorders>
            <w:vAlign w:val="center"/>
            <w:hideMark/>
          </w:tcPr>
          <w:p w14:paraId="50C8B2CD" w14:textId="77777777" w:rsidR="00313816" w:rsidRPr="005332D7" w:rsidRDefault="00313816">
            <w:pPr>
              <w:rPr>
                <w:rFonts w:eastAsia="Times New Roman" w:cs="Arial"/>
                <w:color w:val="000000"/>
                <w:sz w:val="20"/>
                <w:szCs w:val="20"/>
                <w:lang w:eastAsia="en-GB"/>
              </w:rPr>
            </w:pPr>
          </w:p>
        </w:tc>
        <w:tc>
          <w:tcPr>
            <w:tcW w:w="2632" w:type="dxa"/>
            <w:gridSpan w:val="2"/>
            <w:tcBorders>
              <w:top w:val="nil"/>
              <w:left w:val="single" w:sz="4" w:space="0" w:color="auto"/>
              <w:bottom w:val="nil"/>
              <w:right w:val="single" w:sz="4" w:space="0" w:color="000000" w:themeColor="text1"/>
            </w:tcBorders>
            <w:shd w:val="clear" w:color="auto" w:fill="auto"/>
            <w:noWrap/>
            <w:vAlign w:val="bottom"/>
            <w:hideMark/>
          </w:tcPr>
          <w:p w14:paraId="3E80374B" w14:textId="77777777" w:rsidR="00313816" w:rsidRPr="005332D7" w:rsidRDefault="00313816">
            <w:pPr>
              <w:jc w:val="center"/>
              <w:rPr>
                <w:rFonts w:eastAsia="Times New Roman" w:cs="Arial"/>
                <w:color w:val="000000"/>
                <w:sz w:val="20"/>
                <w:szCs w:val="20"/>
                <w:lang w:eastAsia="en-GB"/>
              </w:rPr>
            </w:pPr>
            <w:r>
              <w:rPr>
                <w:rFonts w:eastAsia="Times New Roman" w:cs="Arial"/>
                <w:color w:val="000000"/>
                <w:sz w:val="20"/>
                <w:szCs w:val="20"/>
                <w:lang w:eastAsia="en-GB"/>
              </w:rPr>
              <w:t>Mothers</w:t>
            </w:r>
          </w:p>
        </w:tc>
        <w:tc>
          <w:tcPr>
            <w:tcW w:w="2632" w:type="dxa"/>
            <w:gridSpan w:val="2"/>
            <w:tcBorders>
              <w:top w:val="nil"/>
              <w:left w:val="nil"/>
              <w:bottom w:val="nil"/>
              <w:right w:val="nil"/>
            </w:tcBorders>
            <w:shd w:val="clear" w:color="auto" w:fill="auto"/>
            <w:noWrap/>
            <w:vAlign w:val="bottom"/>
            <w:hideMark/>
          </w:tcPr>
          <w:p w14:paraId="57D6036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Men</w:t>
            </w:r>
          </w:p>
        </w:tc>
        <w:tc>
          <w:tcPr>
            <w:tcW w:w="2632" w:type="dxa"/>
            <w:gridSpan w:val="2"/>
            <w:tcBorders>
              <w:top w:val="nil"/>
              <w:left w:val="single" w:sz="4" w:space="0" w:color="auto"/>
              <w:bottom w:val="nil"/>
              <w:right w:val="single" w:sz="4" w:space="0" w:color="000000" w:themeColor="text1"/>
            </w:tcBorders>
            <w:shd w:val="clear" w:color="auto" w:fill="auto"/>
            <w:noWrap/>
            <w:vAlign w:val="bottom"/>
            <w:hideMark/>
          </w:tcPr>
          <w:p w14:paraId="484D4103" w14:textId="77777777" w:rsidR="00313816" w:rsidRPr="005332D7" w:rsidRDefault="00313816">
            <w:pPr>
              <w:jc w:val="center"/>
              <w:rPr>
                <w:rFonts w:eastAsia="Times New Roman" w:cs="Arial"/>
                <w:color w:val="000000"/>
                <w:sz w:val="20"/>
                <w:szCs w:val="20"/>
                <w:lang w:eastAsia="en-GB"/>
              </w:rPr>
            </w:pPr>
            <w:r>
              <w:rPr>
                <w:rFonts w:eastAsia="Times New Roman" w:cs="Arial"/>
                <w:color w:val="000000"/>
                <w:sz w:val="20"/>
                <w:szCs w:val="20"/>
                <w:lang w:eastAsia="en-GB"/>
              </w:rPr>
              <w:t>Mothers</w:t>
            </w:r>
          </w:p>
        </w:tc>
        <w:tc>
          <w:tcPr>
            <w:tcW w:w="2632" w:type="dxa"/>
            <w:gridSpan w:val="2"/>
            <w:tcBorders>
              <w:top w:val="nil"/>
              <w:left w:val="nil"/>
              <w:bottom w:val="nil"/>
              <w:right w:val="single" w:sz="4" w:space="0" w:color="000000" w:themeColor="text1"/>
            </w:tcBorders>
            <w:shd w:val="clear" w:color="auto" w:fill="auto"/>
            <w:noWrap/>
            <w:vAlign w:val="bottom"/>
            <w:hideMark/>
          </w:tcPr>
          <w:p w14:paraId="56C3EB9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Men</w:t>
            </w:r>
          </w:p>
        </w:tc>
      </w:tr>
      <w:tr w:rsidR="00313816" w:rsidRPr="005332D7" w14:paraId="1FCAEE34" w14:textId="77777777">
        <w:trPr>
          <w:trHeight w:val="570"/>
        </w:trPr>
        <w:tc>
          <w:tcPr>
            <w:tcW w:w="872" w:type="dxa"/>
            <w:vMerge/>
            <w:vAlign w:val="center"/>
            <w:hideMark/>
          </w:tcPr>
          <w:p w14:paraId="41FB0856" w14:textId="77777777" w:rsidR="00313816" w:rsidRPr="005332D7" w:rsidRDefault="00313816">
            <w:pPr>
              <w:rPr>
                <w:rFonts w:eastAsia="Times New Roman" w:cs="Arial"/>
                <w:color w:val="000000"/>
                <w:sz w:val="20"/>
                <w:szCs w:val="20"/>
                <w:lang w:eastAsia="en-GB"/>
              </w:rPr>
            </w:pPr>
          </w:p>
        </w:tc>
        <w:tc>
          <w:tcPr>
            <w:tcW w:w="2910" w:type="dxa"/>
            <w:vMerge/>
            <w:tcBorders>
              <w:bottom w:val="single" w:sz="4" w:space="0" w:color="auto"/>
              <w:right w:val="single" w:sz="4" w:space="0" w:color="auto"/>
            </w:tcBorders>
            <w:vAlign w:val="center"/>
            <w:hideMark/>
          </w:tcPr>
          <w:p w14:paraId="567BA1B5" w14:textId="77777777" w:rsidR="00313816" w:rsidRPr="005332D7" w:rsidRDefault="00313816">
            <w:pPr>
              <w:rPr>
                <w:rFonts w:eastAsia="Times New Roman" w:cs="Arial"/>
                <w:color w:val="000000"/>
                <w:sz w:val="20"/>
                <w:szCs w:val="20"/>
                <w:lang w:eastAsia="en-GB"/>
              </w:rPr>
            </w:pPr>
          </w:p>
        </w:tc>
        <w:tc>
          <w:tcPr>
            <w:tcW w:w="1316" w:type="dxa"/>
            <w:tcBorders>
              <w:top w:val="nil"/>
              <w:left w:val="single" w:sz="4" w:space="0" w:color="auto"/>
              <w:bottom w:val="single" w:sz="4" w:space="0" w:color="auto"/>
              <w:right w:val="nil"/>
            </w:tcBorders>
            <w:shd w:val="clear" w:color="auto" w:fill="auto"/>
            <w:vAlign w:val="center"/>
            <w:hideMark/>
          </w:tcPr>
          <w:p w14:paraId="5FF78E1E" w14:textId="77777777" w:rsidR="00313816" w:rsidRPr="005332D7" w:rsidRDefault="00313816">
            <w:pPr>
              <w:jc w:val="center"/>
              <w:rPr>
                <w:rFonts w:eastAsia="Times New Roman" w:cs="Arial"/>
                <w:color w:val="000000" w:themeColor="text1"/>
                <w:sz w:val="20"/>
                <w:szCs w:val="20"/>
                <w:lang w:eastAsia="en-GB"/>
              </w:rPr>
            </w:pPr>
            <w:r w:rsidRPr="522D941E">
              <w:rPr>
                <w:rFonts w:eastAsia="Times New Roman" w:cs="Arial"/>
                <w:color w:val="000000" w:themeColor="text1"/>
                <w:sz w:val="20"/>
                <w:szCs w:val="20"/>
                <w:lang w:eastAsia="en-GB"/>
              </w:rPr>
              <w:t>Unweighted</w:t>
            </w:r>
            <w:r>
              <w:rPr>
                <w:rFonts w:eastAsia="Times New Roman" w:cs="Arial"/>
                <w:color w:val="000000" w:themeColor="text1"/>
                <w:sz w:val="20"/>
                <w:szCs w:val="20"/>
                <w:lang w:eastAsia="en-GB"/>
              </w:rPr>
              <w:t xml:space="preserve"> KS mean</w:t>
            </w:r>
            <w:r w:rsidRPr="522D941E">
              <w:rPr>
                <w:rFonts w:eastAsia="Times New Roman" w:cs="Arial"/>
                <w:color w:val="000000" w:themeColor="text1"/>
                <w:sz w:val="20"/>
                <w:szCs w:val="20"/>
                <w:lang w:eastAsia="en-GB"/>
              </w:rPr>
              <w:t xml:space="preserve"> </w:t>
            </w:r>
          </w:p>
          <w:p w14:paraId="37140E48" w14:textId="77777777" w:rsidR="00313816" w:rsidRPr="005332D7" w:rsidRDefault="00313816">
            <w:pPr>
              <w:jc w:val="center"/>
              <w:rPr>
                <w:rFonts w:eastAsia="Times New Roman" w:cs="Arial"/>
                <w:color w:val="000000"/>
                <w:sz w:val="20"/>
                <w:szCs w:val="20"/>
                <w:lang w:eastAsia="en-GB"/>
              </w:rPr>
            </w:pPr>
            <w:r w:rsidRPr="522D941E">
              <w:rPr>
                <w:rFonts w:eastAsia="Times New Roman" w:cs="Arial"/>
                <w:color w:val="000000" w:themeColor="text1"/>
                <w:sz w:val="20"/>
                <w:szCs w:val="20"/>
                <w:lang w:eastAsia="en-GB"/>
              </w:rPr>
              <w:t>(p-value)</w:t>
            </w:r>
          </w:p>
        </w:tc>
        <w:tc>
          <w:tcPr>
            <w:tcW w:w="1316" w:type="dxa"/>
            <w:tcBorders>
              <w:top w:val="nil"/>
              <w:left w:val="nil"/>
              <w:bottom w:val="single" w:sz="4" w:space="0" w:color="auto"/>
              <w:right w:val="single" w:sz="4" w:space="0" w:color="auto"/>
            </w:tcBorders>
            <w:shd w:val="clear" w:color="auto" w:fill="auto"/>
            <w:vAlign w:val="center"/>
            <w:hideMark/>
          </w:tcPr>
          <w:p w14:paraId="1774C3E3" w14:textId="77777777" w:rsidR="00313816" w:rsidRPr="005332D7" w:rsidRDefault="00313816">
            <w:pPr>
              <w:jc w:val="center"/>
              <w:rPr>
                <w:rFonts w:eastAsia="Times New Roman" w:cs="Arial"/>
                <w:color w:val="000000" w:themeColor="text1"/>
                <w:sz w:val="20"/>
                <w:szCs w:val="20"/>
                <w:lang w:eastAsia="en-GB"/>
              </w:rPr>
            </w:pPr>
            <w:r w:rsidRPr="522D941E">
              <w:rPr>
                <w:rFonts w:eastAsia="Times New Roman" w:cs="Arial"/>
                <w:color w:val="000000" w:themeColor="text1"/>
                <w:sz w:val="20"/>
                <w:szCs w:val="20"/>
                <w:lang w:eastAsia="en-GB"/>
              </w:rPr>
              <w:t xml:space="preserve">Weighted </w:t>
            </w:r>
          </w:p>
          <w:p w14:paraId="758BAC3C" w14:textId="77777777" w:rsidR="00313816" w:rsidRPr="005332D7" w:rsidRDefault="00313816">
            <w:pPr>
              <w:jc w:val="center"/>
              <w:rPr>
                <w:rFonts w:eastAsia="Times New Roman" w:cs="Arial"/>
                <w:color w:val="000000" w:themeColor="text1"/>
                <w:sz w:val="20"/>
                <w:szCs w:val="20"/>
                <w:lang w:eastAsia="en-GB"/>
              </w:rPr>
            </w:pPr>
            <w:r>
              <w:rPr>
                <w:rFonts w:eastAsia="Times New Roman" w:cs="Arial"/>
                <w:color w:val="000000" w:themeColor="text1"/>
                <w:sz w:val="20"/>
                <w:szCs w:val="20"/>
                <w:lang w:eastAsia="en-GB"/>
              </w:rPr>
              <w:t>KS</w:t>
            </w:r>
            <w:r w:rsidRPr="522D941E">
              <w:rPr>
                <w:rFonts w:eastAsia="Times New Roman" w:cs="Arial"/>
                <w:color w:val="000000" w:themeColor="text1"/>
                <w:sz w:val="20"/>
                <w:szCs w:val="20"/>
                <w:lang w:eastAsia="en-GB"/>
              </w:rPr>
              <w:t xml:space="preserve"> </w:t>
            </w:r>
            <w:r>
              <w:rPr>
                <w:rFonts w:eastAsia="Times New Roman" w:cs="Arial"/>
                <w:color w:val="000000" w:themeColor="text1"/>
                <w:sz w:val="20"/>
                <w:szCs w:val="20"/>
                <w:lang w:eastAsia="en-GB"/>
              </w:rPr>
              <w:t>mean</w:t>
            </w:r>
            <w:r w:rsidRPr="522D941E">
              <w:rPr>
                <w:rFonts w:eastAsia="Times New Roman" w:cs="Arial"/>
                <w:color w:val="000000" w:themeColor="text1"/>
                <w:sz w:val="20"/>
                <w:szCs w:val="20"/>
                <w:lang w:eastAsia="en-GB"/>
              </w:rPr>
              <w:t xml:space="preserve"> </w:t>
            </w:r>
          </w:p>
          <w:p w14:paraId="0A5B72A9" w14:textId="77777777" w:rsidR="00313816" w:rsidRPr="005332D7" w:rsidRDefault="00313816">
            <w:pPr>
              <w:jc w:val="center"/>
              <w:rPr>
                <w:rFonts w:eastAsia="Times New Roman" w:cs="Arial"/>
                <w:color w:val="000000"/>
                <w:sz w:val="20"/>
                <w:szCs w:val="20"/>
                <w:lang w:eastAsia="en-GB"/>
              </w:rPr>
            </w:pPr>
            <w:r w:rsidRPr="522D941E">
              <w:rPr>
                <w:rFonts w:eastAsia="Times New Roman" w:cs="Arial"/>
                <w:color w:val="000000" w:themeColor="text1"/>
                <w:sz w:val="20"/>
                <w:szCs w:val="20"/>
                <w:lang w:eastAsia="en-GB"/>
              </w:rPr>
              <w:t>(p-value)</w:t>
            </w:r>
          </w:p>
        </w:tc>
        <w:tc>
          <w:tcPr>
            <w:tcW w:w="1316" w:type="dxa"/>
            <w:tcBorders>
              <w:top w:val="nil"/>
              <w:left w:val="nil"/>
              <w:bottom w:val="single" w:sz="4" w:space="0" w:color="auto"/>
              <w:right w:val="nil"/>
            </w:tcBorders>
            <w:shd w:val="clear" w:color="auto" w:fill="auto"/>
            <w:vAlign w:val="center"/>
            <w:hideMark/>
          </w:tcPr>
          <w:p w14:paraId="714A706B" w14:textId="77777777" w:rsidR="00313816" w:rsidRPr="005332D7" w:rsidRDefault="00313816">
            <w:pPr>
              <w:jc w:val="center"/>
              <w:rPr>
                <w:rFonts w:eastAsia="Times New Roman" w:cs="Arial"/>
                <w:color w:val="000000" w:themeColor="text1"/>
                <w:sz w:val="20"/>
                <w:szCs w:val="20"/>
                <w:lang w:eastAsia="en-GB"/>
              </w:rPr>
            </w:pPr>
            <w:r w:rsidRPr="522D941E">
              <w:rPr>
                <w:rFonts w:eastAsia="Times New Roman" w:cs="Arial"/>
                <w:color w:val="000000" w:themeColor="text1"/>
                <w:sz w:val="20"/>
                <w:szCs w:val="20"/>
                <w:lang w:eastAsia="en-GB"/>
              </w:rPr>
              <w:t>Unweighted</w:t>
            </w:r>
            <w:r>
              <w:rPr>
                <w:rFonts w:eastAsia="Times New Roman" w:cs="Arial"/>
                <w:color w:val="000000" w:themeColor="text1"/>
                <w:sz w:val="20"/>
                <w:szCs w:val="20"/>
                <w:lang w:eastAsia="en-GB"/>
              </w:rPr>
              <w:t xml:space="preserve"> KS mean</w:t>
            </w:r>
            <w:r w:rsidRPr="522D941E">
              <w:rPr>
                <w:rFonts w:eastAsia="Times New Roman" w:cs="Arial"/>
                <w:color w:val="000000" w:themeColor="text1"/>
                <w:sz w:val="20"/>
                <w:szCs w:val="20"/>
                <w:lang w:eastAsia="en-GB"/>
              </w:rPr>
              <w:t xml:space="preserve"> </w:t>
            </w:r>
          </w:p>
          <w:p w14:paraId="4FC7AD75" w14:textId="77777777" w:rsidR="00313816" w:rsidRPr="005332D7" w:rsidRDefault="00313816">
            <w:pPr>
              <w:jc w:val="center"/>
              <w:rPr>
                <w:rFonts w:eastAsia="Times New Roman" w:cs="Arial"/>
                <w:color w:val="000000"/>
                <w:sz w:val="20"/>
                <w:szCs w:val="20"/>
                <w:lang w:eastAsia="en-GB"/>
              </w:rPr>
            </w:pPr>
            <w:r w:rsidRPr="522D941E">
              <w:rPr>
                <w:rFonts w:eastAsia="Times New Roman" w:cs="Arial"/>
                <w:color w:val="000000" w:themeColor="text1"/>
                <w:sz w:val="20"/>
                <w:szCs w:val="20"/>
                <w:lang w:eastAsia="en-GB"/>
              </w:rPr>
              <w:t>(p-value)</w:t>
            </w:r>
          </w:p>
        </w:tc>
        <w:tc>
          <w:tcPr>
            <w:tcW w:w="1316" w:type="dxa"/>
            <w:tcBorders>
              <w:top w:val="nil"/>
              <w:left w:val="nil"/>
              <w:bottom w:val="single" w:sz="4" w:space="0" w:color="auto"/>
              <w:right w:val="single" w:sz="4" w:space="0" w:color="auto"/>
            </w:tcBorders>
            <w:shd w:val="clear" w:color="auto" w:fill="auto"/>
            <w:vAlign w:val="center"/>
            <w:hideMark/>
          </w:tcPr>
          <w:p w14:paraId="3A56539F" w14:textId="77777777" w:rsidR="00313816" w:rsidRPr="005332D7" w:rsidRDefault="00313816">
            <w:pPr>
              <w:jc w:val="center"/>
              <w:rPr>
                <w:rFonts w:eastAsia="Times New Roman" w:cs="Arial"/>
                <w:color w:val="000000" w:themeColor="text1"/>
                <w:sz w:val="20"/>
                <w:szCs w:val="20"/>
                <w:lang w:eastAsia="en-GB"/>
              </w:rPr>
            </w:pPr>
            <w:r w:rsidRPr="522D941E">
              <w:rPr>
                <w:rFonts w:eastAsia="Times New Roman" w:cs="Arial"/>
                <w:color w:val="000000" w:themeColor="text1"/>
                <w:sz w:val="20"/>
                <w:szCs w:val="20"/>
                <w:lang w:eastAsia="en-GB"/>
              </w:rPr>
              <w:t xml:space="preserve">Weighted </w:t>
            </w:r>
          </w:p>
          <w:p w14:paraId="1CD2C6BE" w14:textId="77777777" w:rsidR="00313816" w:rsidRPr="005332D7" w:rsidRDefault="00313816">
            <w:pPr>
              <w:jc w:val="center"/>
              <w:rPr>
                <w:rFonts w:eastAsia="Times New Roman" w:cs="Arial"/>
                <w:color w:val="000000" w:themeColor="text1"/>
                <w:sz w:val="20"/>
                <w:szCs w:val="20"/>
                <w:lang w:eastAsia="en-GB"/>
              </w:rPr>
            </w:pPr>
            <w:r>
              <w:rPr>
                <w:rFonts w:eastAsia="Times New Roman" w:cs="Arial"/>
                <w:color w:val="000000" w:themeColor="text1"/>
                <w:sz w:val="20"/>
                <w:szCs w:val="20"/>
                <w:lang w:eastAsia="en-GB"/>
              </w:rPr>
              <w:t>KS</w:t>
            </w:r>
            <w:r w:rsidRPr="522D941E">
              <w:rPr>
                <w:rFonts w:eastAsia="Times New Roman" w:cs="Arial"/>
                <w:color w:val="000000" w:themeColor="text1"/>
                <w:sz w:val="20"/>
                <w:szCs w:val="20"/>
                <w:lang w:eastAsia="en-GB"/>
              </w:rPr>
              <w:t xml:space="preserve"> </w:t>
            </w:r>
            <w:r>
              <w:rPr>
                <w:rFonts w:eastAsia="Times New Roman" w:cs="Arial"/>
                <w:color w:val="000000" w:themeColor="text1"/>
                <w:sz w:val="20"/>
                <w:szCs w:val="20"/>
                <w:lang w:eastAsia="en-GB"/>
              </w:rPr>
              <w:t>mean</w:t>
            </w:r>
            <w:r w:rsidRPr="522D941E">
              <w:rPr>
                <w:rFonts w:eastAsia="Times New Roman" w:cs="Arial"/>
                <w:color w:val="000000" w:themeColor="text1"/>
                <w:sz w:val="20"/>
                <w:szCs w:val="20"/>
                <w:lang w:eastAsia="en-GB"/>
              </w:rPr>
              <w:t xml:space="preserve"> </w:t>
            </w:r>
          </w:p>
          <w:p w14:paraId="5D1F218A" w14:textId="77777777" w:rsidR="00313816" w:rsidRPr="005332D7" w:rsidRDefault="00313816">
            <w:pPr>
              <w:jc w:val="center"/>
              <w:rPr>
                <w:rFonts w:eastAsia="Times New Roman" w:cs="Arial"/>
                <w:color w:val="000000"/>
                <w:sz w:val="20"/>
                <w:szCs w:val="20"/>
                <w:lang w:eastAsia="en-GB"/>
              </w:rPr>
            </w:pPr>
            <w:r w:rsidRPr="522D941E">
              <w:rPr>
                <w:rFonts w:eastAsia="Times New Roman" w:cs="Arial"/>
                <w:color w:val="000000" w:themeColor="text1"/>
                <w:sz w:val="20"/>
                <w:szCs w:val="20"/>
                <w:lang w:eastAsia="en-GB"/>
              </w:rPr>
              <w:t>(p-value)</w:t>
            </w:r>
          </w:p>
        </w:tc>
        <w:tc>
          <w:tcPr>
            <w:tcW w:w="1316" w:type="dxa"/>
            <w:tcBorders>
              <w:top w:val="nil"/>
              <w:left w:val="nil"/>
              <w:bottom w:val="single" w:sz="4" w:space="0" w:color="auto"/>
              <w:right w:val="nil"/>
            </w:tcBorders>
            <w:shd w:val="clear" w:color="auto" w:fill="auto"/>
            <w:vAlign w:val="center"/>
            <w:hideMark/>
          </w:tcPr>
          <w:p w14:paraId="0E56A605" w14:textId="77777777" w:rsidR="00313816" w:rsidRPr="005332D7" w:rsidRDefault="00313816">
            <w:pPr>
              <w:jc w:val="center"/>
              <w:rPr>
                <w:rFonts w:eastAsia="Times New Roman" w:cs="Arial"/>
                <w:color w:val="000000" w:themeColor="text1"/>
                <w:sz w:val="20"/>
                <w:szCs w:val="20"/>
                <w:lang w:eastAsia="en-GB"/>
              </w:rPr>
            </w:pPr>
            <w:r w:rsidRPr="522D941E">
              <w:rPr>
                <w:rFonts w:eastAsia="Times New Roman" w:cs="Arial"/>
                <w:color w:val="000000" w:themeColor="text1"/>
                <w:sz w:val="20"/>
                <w:szCs w:val="20"/>
                <w:lang w:eastAsia="en-GB"/>
              </w:rPr>
              <w:t>Unweighted</w:t>
            </w:r>
            <w:r>
              <w:rPr>
                <w:rFonts w:eastAsia="Times New Roman" w:cs="Arial"/>
                <w:color w:val="000000" w:themeColor="text1"/>
                <w:sz w:val="20"/>
                <w:szCs w:val="20"/>
                <w:lang w:eastAsia="en-GB"/>
              </w:rPr>
              <w:t xml:space="preserve"> KS mean</w:t>
            </w:r>
            <w:r w:rsidRPr="522D941E">
              <w:rPr>
                <w:rFonts w:eastAsia="Times New Roman" w:cs="Arial"/>
                <w:color w:val="000000" w:themeColor="text1"/>
                <w:sz w:val="20"/>
                <w:szCs w:val="20"/>
                <w:lang w:eastAsia="en-GB"/>
              </w:rPr>
              <w:t xml:space="preserve"> </w:t>
            </w:r>
          </w:p>
          <w:p w14:paraId="2D2BBD19" w14:textId="77777777" w:rsidR="00313816" w:rsidRPr="005332D7" w:rsidRDefault="00313816">
            <w:pPr>
              <w:jc w:val="center"/>
              <w:rPr>
                <w:rFonts w:eastAsia="Times New Roman" w:cs="Arial"/>
                <w:color w:val="000000"/>
                <w:sz w:val="20"/>
                <w:szCs w:val="20"/>
                <w:lang w:eastAsia="en-GB"/>
              </w:rPr>
            </w:pPr>
            <w:r w:rsidRPr="522D941E">
              <w:rPr>
                <w:rFonts w:eastAsia="Times New Roman" w:cs="Arial"/>
                <w:color w:val="000000" w:themeColor="text1"/>
                <w:sz w:val="20"/>
                <w:szCs w:val="20"/>
                <w:lang w:eastAsia="en-GB"/>
              </w:rPr>
              <w:t>(p-value)</w:t>
            </w:r>
          </w:p>
        </w:tc>
        <w:tc>
          <w:tcPr>
            <w:tcW w:w="1316" w:type="dxa"/>
            <w:tcBorders>
              <w:top w:val="nil"/>
              <w:left w:val="nil"/>
              <w:bottom w:val="single" w:sz="4" w:space="0" w:color="auto"/>
              <w:right w:val="single" w:sz="4" w:space="0" w:color="auto"/>
            </w:tcBorders>
            <w:shd w:val="clear" w:color="auto" w:fill="auto"/>
            <w:vAlign w:val="center"/>
            <w:hideMark/>
          </w:tcPr>
          <w:p w14:paraId="0202332A" w14:textId="77777777" w:rsidR="00313816" w:rsidRPr="005332D7" w:rsidRDefault="00313816">
            <w:pPr>
              <w:jc w:val="center"/>
              <w:rPr>
                <w:rFonts w:eastAsia="Times New Roman" w:cs="Arial"/>
                <w:color w:val="000000" w:themeColor="text1"/>
                <w:sz w:val="20"/>
                <w:szCs w:val="20"/>
                <w:lang w:eastAsia="en-GB"/>
              </w:rPr>
            </w:pPr>
            <w:r w:rsidRPr="522D941E">
              <w:rPr>
                <w:rFonts w:eastAsia="Times New Roman" w:cs="Arial"/>
                <w:color w:val="000000" w:themeColor="text1"/>
                <w:sz w:val="20"/>
                <w:szCs w:val="20"/>
                <w:lang w:eastAsia="en-GB"/>
              </w:rPr>
              <w:t xml:space="preserve">Weighted </w:t>
            </w:r>
          </w:p>
          <w:p w14:paraId="297185E3" w14:textId="77777777" w:rsidR="00313816" w:rsidRPr="005332D7" w:rsidRDefault="00313816">
            <w:pPr>
              <w:jc w:val="center"/>
              <w:rPr>
                <w:rFonts w:eastAsia="Times New Roman" w:cs="Arial"/>
                <w:color w:val="000000" w:themeColor="text1"/>
                <w:sz w:val="20"/>
                <w:szCs w:val="20"/>
                <w:lang w:eastAsia="en-GB"/>
              </w:rPr>
            </w:pPr>
            <w:r>
              <w:rPr>
                <w:rFonts w:eastAsia="Times New Roman" w:cs="Arial"/>
                <w:color w:val="000000" w:themeColor="text1"/>
                <w:sz w:val="20"/>
                <w:szCs w:val="20"/>
                <w:lang w:eastAsia="en-GB"/>
              </w:rPr>
              <w:t>KS</w:t>
            </w:r>
            <w:r w:rsidRPr="522D941E">
              <w:rPr>
                <w:rFonts w:eastAsia="Times New Roman" w:cs="Arial"/>
                <w:color w:val="000000" w:themeColor="text1"/>
                <w:sz w:val="20"/>
                <w:szCs w:val="20"/>
                <w:lang w:eastAsia="en-GB"/>
              </w:rPr>
              <w:t xml:space="preserve"> </w:t>
            </w:r>
            <w:r>
              <w:rPr>
                <w:rFonts w:eastAsia="Times New Roman" w:cs="Arial"/>
                <w:color w:val="000000" w:themeColor="text1"/>
                <w:sz w:val="20"/>
                <w:szCs w:val="20"/>
                <w:lang w:eastAsia="en-GB"/>
              </w:rPr>
              <w:t>mean</w:t>
            </w:r>
            <w:r w:rsidRPr="522D941E">
              <w:rPr>
                <w:rFonts w:eastAsia="Times New Roman" w:cs="Arial"/>
                <w:color w:val="000000" w:themeColor="text1"/>
                <w:sz w:val="20"/>
                <w:szCs w:val="20"/>
                <w:lang w:eastAsia="en-GB"/>
              </w:rPr>
              <w:t xml:space="preserve"> </w:t>
            </w:r>
          </w:p>
          <w:p w14:paraId="032A0EB7" w14:textId="77777777" w:rsidR="00313816" w:rsidRPr="005332D7" w:rsidRDefault="00313816">
            <w:pPr>
              <w:jc w:val="center"/>
              <w:rPr>
                <w:rFonts w:eastAsia="Times New Roman" w:cs="Arial"/>
                <w:color w:val="000000"/>
                <w:sz w:val="20"/>
                <w:szCs w:val="20"/>
                <w:lang w:eastAsia="en-GB"/>
              </w:rPr>
            </w:pPr>
            <w:r w:rsidRPr="522D941E">
              <w:rPr>
                <w:rFonts w:eastAsia="Times New Roman" w:cs="Arial"/>
                <w:color w:val="000000" w:themeColor="text1"/>
                <w:sz w:val="20"/>
                <w:szCs w:val="20"/>
                <w:lang w:eastAsia="en-GB"/>
              </w:rPr>
              <w:t>(p-value)</w:t>
            </w:r>
          </w:p>
        </w:tc>
        <w:tc>
          <w:tcPr>
            <w:tcW w:w="1316" w:type="dxa"/>
            <w:tcBorders>
              <w:top w:val="nil"/>
              <w:left w:val="nil"/>
              <w:bottom w:val="single" w:sz="4" w:space="0" w:color="auto"/>
              <w:right w:val="nil"/>
            </w:tcBorders>
            <w:shd w:val="clear" w:color="auto" w:fill="auto"/>
            <w:vAlign w:val="center"/>
            <w:hideMark/>
          </w:tcPr>
          <w:p w14:paraId="7F834444" w14:textId="77777777" w:rsidR="00313816" w:rsidRPr="005332D7" w:rsidRDefault="00313816">
            <w:pPr>
              <w:jc w:val="center"/>
              <w:rPr>
                <w:rFonts w:eastAsia="Times New Roman" w:cs="Arial"/>
                <w:color w:val="000000" w:themeColor="text1"/>
                <w:sz w:val="20"/>
                <w:szCs w:val="20"/>
                <w:lang w:eastAsia="en-GB"/>
              </w:rPr>
            </w:pPr>
            <w:r w:rsidRPr="522D941E">
              <w:rPr>
                <w:rFonts w:eastAsia="Times New Roman" w:cs="Arial"/>
                <w:color w:val="000000" w:themeColor="text1"/>
                <w:sz w:val="20"/>
                <w:szCs w:val="20"/>
                <w:lang w:eastAsia="en-GB"/>
              </w:rPr>
              <w:t>Unweighted</w:t>
            </w:r>
            <w:r>
              <w:rPr>
                <w:rFonts w:eastAsia="Times New Roman" w:cs="Arial"/>
                <w:color w:val="000000" w:themeColor="text1"/>
                <w:sz w:val="20"/>
                <w:szCs w:val="20"/>
                <w:lang w:eastAsia="en-GB"/>
              </w:rPr>
              <w:t xml:space="preserve"> KS mean</w:t>
            </w:r>
            <w:r w:rsidRPr="522D941E">
              <w:rPr>
                <w:rFonts w:eastAsia="Times New Roman" w:cs="Arial"/>
                <w:color w:val="000000" w:themeColor="text1"/>
                <w:sz w:val="20"/>
                <w:szCs w:val="20"/>
                <w:lang w:eastAsia="en-GB"/>
              </w:rPr>
              <w:t xml:space="preserve"> </w:t>
            </w:r>
          </w:p>
          <w:p w14:paraId="69DED0FA" w14:textId="77777777" w:rsidR="00313816" w:rsidRPr="005332D7" w:rsidRDefault="00313816">
            <w:pPr>
              <w:jc w:val="center"/>
              <w:rPr>
                <w:rFonts w:eastAsia="Times New Roman" w:cs="Arial"/>
                <w:color w:val="000000"/>
                <w:sz w:val="20"/>
                <w:szCs w:val="20"/>
                <w:lang w:eastAsia="en-GB"/>
              </w:rPr>
            </w:pPr>
            <w:r w:rsidRPr="522D941E">
              <w:rPr>
                <w:rFonts w:eastAsia="Times New Roman" w:cs="Arial"/>
                <w:color w:val="000000" w:themeColor="text1"/>
                <w:sz w:val="20"/>
                <w:szCs w:val="20"/>
                <w:lang w:eastAsia="en-GB"/>
              </w:rPr>
              <w:t>(p-value)</w:t>
            </w:r>
          </w:p>
        </w:tc>
        <w:tc>
          <w:tcPr>
            <w:tcW w:w="1316" w:type="dxa"/>
            <w:tcBorders>
              <w:top w:val="nil"/>
              <w:left w:val="nil"/>
              <w:bottom w:val="single" w:sz="4" w:space="0" w:color="auto"/>
              <w:right w:val="single" w:sz="4" w:space="0" w:color="auto"/>
            </w:tcBorders>
            <w:shd w:val="clear" w:color="auto" w:fill="auto"/>
            <w:vAlign w:val="center"/>
            <w:hideMark/>
          </w:tcPr>
          <w:p w14:paraId="2403E35C" w14:textId="77777777" w:rsidR="00313816" w:rsidRPr="005332D7" w:rsidRDefault="00313816">
            <w:pPr>
              <w:jc w:val="center"/>
              <w:rPr>
                <w:rFonts w:eastAsia="Times New Roman" w:cs="Arial"/>
                <w:color w:val="000000" w:themeColor="text1"/>
                <w:sz w:val="20"/>
                <w:szCs w:val="20"/>
                <w:lang w:eastAsia="en-GB"/>
              </w:rPr>
            </w:pPr>
            <w:r w:rsidRPr="522D941E">
              <w:rPr>
                <w:rFonts w:eastAsia="Times New Roman" w:cs="Arial"/>
                <w:color w:val="000000" w:themeColor="text1"/>
                <w:sz w:val="20"/>
                <w:szCs w:val="20"/>
                <w:lang w:eastAsia="en-GB"/>
              </w:rPr>
              <w:t xml:space="preserve">Weighted </w:t>
            </w:r>
          </w:p>
          <w:p w14:paraId="44360069" w14:textId="77777777" w:rsidR="00313816" w:rsidRPr="005332D7" w:rsidRDefault="00313816">
            <w:pPr>
              <w:jc w:val="center"/>
              <w:rPr>
                <w:rFonts w:eastAsia="Times New Roman" w:cs="Arial"/>
                <w:color w:val="000000" w:themeColor="text1"/>
                <w:sz w:val="20"/>
                <w:szCs w:val="20"/>
                <w:lang w:eastAsia="en-GB"/>
              </w:rPr>
            </w:pPr>
            <w:r>
              <w:rPr>
                <w:rFonts w:eastAsia="Times New Roman" w:cs="Arial"/>
                <w:color w:val="000000" w:themeColor="text1"/>
                <w:sz w:val="20"/>
                <w:szCs w:val="20"/>
                <w:lang w:eastAsia="en-GB"/>
              </w:rPr>
              <w:t>KS</w:t>
            </w:r>
            <w:r w:rsidRPr="522D941E">
              <w:rPr>
                <w:rFonts w:eastAsia="Times New Roman" w:cs="Arial"/>
                <w:color w:val="000000" w:themeColor="text1"/>
                <w:sz w:val="20"/>
                <w:szCs w:val="20"/>
                <w:lang w:eastAsia="en-GB"/>
              </w:rPr>
              <w:t xml:space="preserve"> </w:t>
            </w:r>
            <w:r>
              <w:rPr>
                <w:rFonts w:eastAsia="Times New Roman" w:cs="Arial"/>
                <w:color w:val="000000" w:themeColor="text1"/>
                <w:sz w:val="20"/>
                <w:szCs w:val="20"/>
                <w:lang w:eastAsia="en-GB"/>
              </w:rPr>
              <w:t>mean</w:t>
            </w:r>
            <w:r w:rsidRPr="522D941E">
              <w:rPr>
                <w:rFonts w:eastAsia="Times New Roman" w:cs="Arial"/>
                <w:color w:val="000000" w:themeColor="text1"/>
                <w:sz w:val="20"/>
                <w:szCs w:val="20"/>
                <w:lang w:eastAsia="en-GB"/>
              </w:rPr>
              <w:t xml:space="preserve"> </w:t>
            </w:r>
          </w:p>
          <w:p w14:paraId="66BA9AA1" w14:textId="77777777" w:rsidR="00313816" w:rsidRPr="005332D7" w:rsidRDefault="00313816">
            <w:pPr>
              <w:jc w:val="center"/>
              <w:rPr>
                <w:rFonts w:eastAsia="Times New Roman" w:cs="Arial"/>
                <w:color w:val="000000"/>
                <w:sz w:val="20"/>
                <w:szCs w:val="20"/>
                <w:lang w:eastAsia="en-GB"/>
              </w:rPr>
            </w:pPr>
            <w:r w:rsidRPr="522D941E">
              <w:rPr>
                <w:rFonts w:eastAsia="Times New Roman" w:cs="Arial"/>
                <w:color w:val="000000" w:themeColor="text1"/>
                <w:sz w:val="20"/>
                <w:szCs w:val="20"/>
                <w:lang w:eastAsia="en-GB"/>
              </w:rPr>
              <w:t>(p-value)</w:t>
            </w:r>
          </w:p>
        </w:tc>
      </w:tr>
      <w:tr w:rsidR="00313816" w:rsidRPr="005332D7" w14:paraId="1D056B55" w14:textId="77777777">
        <w:trPr>
          <w:trHeight w:val="300"/>
        </w:trPr>
        <w:tc>
          <w:tcPr>
            <w:tcW w:w="872" w:type="dxa"/>
            <w:vMerge w:val="restart"/>
            <w:tcBorders>
              <w:top w:val="nil"/>
              <w:left w:val="nil"/>
              <w:bottom w:val="single" w:sz="4" w:space="0" w:color="000000" w:themeColor="text1"/>
              <w:right w:val="nil"/>
            </w:tcBorders>
            <w:shd w:val="clear" w:color="auto" w:fill="auto"/>
            <w:noWrap/>
            <w:vAlign w:val="center"/>
            <w:hideMark/>
          </w:tcPr>
          <w:p w14:paraId="472100F4"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OUs</w:t>
            </w:r>
          </w:p>
        </w:tc>
        <w:tc>
          <w:tcPr>
            <w:tcW w:w="2910" w:type="dxa"/>
            <w:tcBorders>
              <w:top w:val="single" w:sz="4" w:space="0" w:color="auto"/>
              <w:left w:val="nil"/>
              <w:bottom w:val="nil"/>
              <w:right w:val="single" w:sz="4" w:space="0" w:color="auto"/>
            </w:tcBorders>
            <w:shd w:val="clear" w:color="auto" w:fill="auto"/>
            <w:noWrap/>
            <w:vAlign w:val="center"/>
            <w:hideMark/>
          </w:tcPr>
          <w:p w14:paraId="582E7618"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Aged 18-24</w:t>
            </w:r>
          </w:p>
        </w:tc>
        <w:tc>
          <w:tcPr>
            <w:tcW w:w="1316" w:type="dxa"/>
            <w:tcBorders>
              <w:top w:val="single" w:sz="4" w:space="0" w:color="auto"/>
              <w:left w:val="nil"/>
              <w:bottom w:val="nil"/>
              <w:right w:val="nil"/>
            </w:tcBorders>
            <w:shd w:val="clear" w:color="auto" w:fill="auto"/>
            <w:noWrap/>
            <w:vAlign w:val="center"/>
            <w:hideMark/>
          </w:tcPr>
          <w:p w14:paraId="09754E5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0.09 (0.94)</w:t>
            </w:r>
          </w:p>
        </w:tc>
        <w:tc>
          <w:tcPr>
            <w:tcW w:w="1316" w:type="dxa"/>
            <w:tcBorders>
              <w:top w:val="nil"/>
              <w:left w:val="nil"/>
              <w:bottom w:val="nil"/>
              <w:right w:val="single" w:sz="4" w:space="0" w:color="auto"/>
            </w:tcBorders>
            <w:shd w:val="clear" w:color="auto" w:fill="auto"/>
            <w:noWrap/>
            <w:vAlign w:val="center"/>
            <w:hideMark/>
          </w:tcPr>
          <w:p w14:paraId="744A137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58DAF76E"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0.03 (1.00)</w:t>
            </w:r>
          </w:p>
        </w:tc>
        <w:tc>
          <w:tcPr>
            <w:tcW w:w="1316" w:type="dxa"/>
            <w:tcBorders>
              <w:top w:val="nil"/>
              <w:left w:val="nil"/>
              <w:bottom w:val="nil"/>
              <w:right w:val="single" w:sz="4" w:space="0" w:color="auto"/>
            </w:tcBorders>
            <w:shd w:val="clear" w:color="auto" w:fill="auto"/>
            <w:noWrap/>
            <w:vAlign w:val="center"/>
            <w:hideMark/>
          </w:tcPr>
          <w:p w14:paraId="6353206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070E3F4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single" w:sz="4" w:space="0" w:color="auto"/>
            </w:tcBorders>
            <w:shd w:val="clear" w:color="auto" w:fill="auto"/>
            <w:noWrap/>
            <w:vAlign w:val="center"/>
            <w:hideMark/>
          </w:tcPr>
          <w:p w14:paraId="489D201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c>
          <w:tcPr>
            <w:tcW w:w="1316" w:type="dxa"/>
            <w:tcBorders>
              <w:top w:val="nil"/>
              <w:left w:val="nil"/>
              <w:bottom w:val="nil"/>
              <w:right w:val="nil"/>
            </w:tcBorders>
            <w:shd w:val="clear" w:color="auto" w:fill="auto"/>
            <w:noWrap/>
            <w:vAlign w:val="center"/>
            <w:hideMark/>
          </w:tcPr>
          <w:p w14:paraId="4EE4E1C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single" w:sz="4" w:space="0" w:color="auto"/>
            </w:tcBorders>
            <w:shd w:val="clear" w:color="auto" w:fill="auto"/>
            <w:noWrap/>
            <w:vAlign w:val="center"/>
            <w:hideMark/>
          </w:tcPr>
          <w:p w14:paraId="3DB67DD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25DA378A" w14:textId="77777777">
        <w:trPr>
          <w:trHeight w:val="300"/>
        </w:trPr>
        <w:tc>
          <w:tcPr>
            <w:tcW w:w="872" w:type="dxa"/>
            <w:vMerge/>
            <w:vAlign w:val="center"/>
            <w:hideMark/>
          </w:tcPr>
          <w:p w14:paraId="73F35C64"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5A2C513A"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Pregnant</w:t>
            </w:r>
          </w:p>
        </w:tc>
        <w:tc>
          <w:tcPr>
            <w:tcW w:w="1316" w:type="dxa"/>
            <w:tcBorders>
              <w:top w:val="nil"/>
              <w:left w:val="nil"/>
              <w:bottom w:val="nil"/>
              <w:right w:val="nil"/>
            </w:tcBorders>
            <w:shd w:val="clear" w:color="auto" w:fill="auto"/>
            <w:noWrap/>
            <w:vAlign w:val="center"/>
            <w:hideMark/>
          </w:tcPr>
          <w:p w14:paraId="7135034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0.05 (0.95)</w:t>
            </w:r>
          </w:p>
        </w:tc>
        <w:tc>
          <w:tcPr>
            <w:tcW w:w="1316" w:type="dxa"/>
            <w:tcBorders>
              <w:top w:val="nil"/>
              <w:left w:val="nil"/>
              <w:bottom w:val="nil"/>
              <w:right w:val="single" w:sz="4" w:space="0" w:color="auto"/>
            </w:tcBorders>
            <w:shd w:val="clear" w:color="auto" w:fill="auto"/>
            <w:noWrap/>
            <w:vAlign w:val="center"/>
            <w:hideMark/>
          </w:tcPr>
          <w:p w14:paraId="19CC63A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bottom"/>
            <w:hideMark/>
          </w:tcPr>
          <w:p w14:paraId="51181758"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c>
          <w:tcPr>
            <w:tcW w:w="1316" w:type="dxa"/>
            <w:tcBorders>
              <w:top w:val="nil"/>
              <w:left w:val="nil"/>
              <w:bottom w:val="nil"/>
              <w:right w:val="single" w:sz="4" w:space="0" w:color="auto"/>
            </w:tcBorders>
            <w:shd w:val="clear" w:color="auto" w:fill="auto"/>
            <w:noWrap/>
            <w:vAlign w:val="bottom"/>
            <w:hideMark/>
          </w:tcPr>
          <w:p w14:paraId="244479B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c>
          <w:tcPr>
            <w:tcW w:w="1316" w:type="dxa"/>
            <w:tcBorders>
              <w:top w:val="nil"/>
              <w:left w:val="nil"/>
              <w:bottom w:val="nil"/>
              <w:right w:val="nil"/>
            </w:tcBorders>
            <w:shd w:val="clear" w:color="auto" w:fill="auto"/>
            <w:noWrap/>
            <w:vAlign w:val="center"/>
            <w:hideMark/>
          </w:tcPr>
          <w:p w14:paraId="71FE26C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0.09 (0.01)</w:t>
            </w:r>
          </w:p>
        </w:tc>
        <w:tc>
          <w:tcPr>
            <w:tcW w:w="1316" w:type="dxa"/>
            <w:tcBorders>
              <w:top w:val="nil"/>
              <w:left w:val="nil"/>
              <w:bottom w:val="nil"/>
              <w:right w:val="single" w:sz="4" w:space="0" w:color="auto"/>
            </w:tcBorders>
            <w:shd w:val="clear" w:color="auto" w:fill="auto"/>
            <w:noWrap/>
            <w:vAlign w:val="center"/>
            <w:hideMark/>
          </w:tcPr>
          <w:p w14:paraId="3E22EDE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c>
          <w:tcPr>
            <w:tcW w:w="1316" w:type="dxa"/>
            <w:tcBorders>
              <w:top w:val="nil"/>
              <w:left w:val="nil"/>
              <w:bottom w:val="nil"/>
              <w:right w:val="nil"/>
            </w:tcBorders>
            <w:shd w:val="clear" w:color="auto" w:fill="auto"/>
            <w:noWrap/>
            <w:vAlign w:val="bottom"/>
            <w:hideMark/>
          </w:tcPr>
          <w:p w14:paraId="5D0D543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c>
          <w:tcPr>
            <w:tcW w:w="1316" w:type="dxa"/>
            <w:tcBorders>
              <w:top w:val="nil"/>
              <w:left w:val="nil"/>
              <w:bottom w:val="nil"/>
              <w:right w:val="single" w:sz="4" w:space="0" w:color="auto"/>
            </w:tcBorders>
            <w:shd w:val="clear" w:color="auto" w:fill="auto"/>
            <w:noWrap/>
            <w:vAlign w:val="bottom"/>
            <w:hideMark/>
          </w:tcPr>
          <w:p w14:paraId="63649CA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r>
      <w:tr w:rsidR="00313816" w:rsidRPr="005332D7" w14:paraId="16E75C40" w14:textId="77777777">
        <w:trPr>
          <w:trHeight w:val="300"/>
        </w:trPr>
        <w:tc>
          <w:tcPr>
            <w:tcW w:w="872" w:type="dxa"/>
            <w:vMerge/>
            <w:vAlign w:val="center"/>
            <w:hideMark/>
          </w:tcPr>
          <w:p w14:paraId="3F917B8E"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4B3DC8EF"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NEET</w:t>
            </w:r>
          </w:p>
        </w:tc>
        <w:tc>
          <w:tcPr>
            <w:tcW w:w="1316" w:type="dxa"/>
            <w:tcBorders>
              <w:top w:val="nil"/>
              <w:left w:val="nil"/>
              <w:bottom w:val="nil"/>
              <w:right w:val="nil"/>
            </w:tcBorders>
            <w:shd w:val="clear" w:color="auto" w:fill="auto"/>
            <w:noWrap/>
            <w:vAlign w:val="center"/>
            <w:hideMark/>
          </w:tcPr>
          <w:p w14:paraId="1C52443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0.21 (0.00)</w:t>
            </w:r>
          </w:p>
        </w:tc>
        <w:tc>
          <w:tcPr>
            <w:tcW w:w="1316" w:type="dxa"/>
            <w:tcBorders>
              <w:top w:val="nil"/>
              <w:left w:val="nil"/>
              <w:bottom w:val="nil"/>
              <w:right w:val="single" w:sz="4" w:space="0" w:color="auto"/>
            </w:tcBorders>
            <w:shd w:val="clear" w:color="auto" w:fill="auto"/>
            <w:noWrap/>
            <w:vAlign w:val="center"/>
            <w:hideMark/>
          </w:tcPr>
          <w:p w14:paraId="1B0F4E6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0.04 (1.00)</w:t>
            </w:r>
          </w:p>
        </w:tc>
        <w:tc>
          <w:tcPr>
            <w:tcW w:w="1316" w:type="dxa"/>
            <w:tcBorders>
              <w:top w:val="nil"/>
              <w:left w:val="nil"/>
              <w:bottom w:val="nil"/>
              <w:right w:val="nil"/>
            </w:tcBorders>
            <w:shd w:val="clear" w:color="auto" w:fill="auto"/>
            <w:noWrap/>
            <w:vAlign w:val="center"/>
            <w:hideMark/>
          </w:tcPr>
          <w:p w14:paraId="353F217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0.28 (0.00)</w:t>
            </w:r>
          </w:p>
        </w:tc>
        <w:tc>
          <w:tcPr>
            <w:tcW w:w="1316" w:type="dxa"/>
            <w:tcBorders>
              <w:top w:val="nil"/>
              <w:left w:val="nil"/>
              <w:bottom w:val="nil"/>
              <w:right w:val="single" w:sz="4" w:space="0" w:color="auto"/>
            </w:tcBorders>
            <w:shd w:val="clear" w:color="auto" w:fill="auto"/>
            <w:noWrap/>
            <w:vAlign w:val="center"/>
            <w:hideMark/>
          </w:tcPr>
          <w:p w14:paraId="51F331C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79C9D34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0.04 (0.45)</w:t>
            </w:r>
          </w:p>
        </w:tc>
        <w:tc>
          <w:tcPr>
            <w:tcW w:w="1316" w:type="dxa"/>
            <w:tcBorders>
              <w:top w:val="nil"/>
              <w:left w:val="nil"/>
              <w:bottom w:val="nil"/>
              <w:right w:val="single" w:sz="4" w:space="0" w:color="auto"/>
            </w:tcBorders>
            <w:shd w:val="clear" w:color="auto" w:fill="auto"/>
            <w:noWrap/>
            <w:vAlign w:val="center"/>
            <w:hideMark/>
          </w:tcPr>
          <w:p w14:paraId="4EBAE37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72B45D1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0.09 (0.06)</w:t>
            </w:r>
          </w:p>
        </w:tc>
        <w:tc>
          <w:tcPr>
            <w:tcW w:w="1316" w:type="dxa"/>
            <w:tcBorders>
              <w:top w:val="nil"/>
              <w:left w:val="nil"/>
              <w:bottom w:val="nil"/>
              <w:right w:val="single" w:sz="4" w:space="0" w:color="auto"/>
            </w:tcBorders>
            <w:shd w:val="clear" w:color="auto" w:fill="auto"/>
            <w:noWrap/>
            <w:vAlign w:val="center"/>
            <w:hideMark/>
          </w:tcPr>
          <w:p w14:paraId="0C64ED1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1C9DD7CB" w14:textId="77777777">
        <w:trPr>
          <w:trHeight w:val="300"/>
        </w:trPr>
        <w:tc>
          <w:tcPr>
            <w:tcW w:w="872" w:type="dxa"/>
            <w:vMerge/>
            <w:vAlign w:val="center"/>
            <w:hideMark/>
          </w:tcPr>
          <w:p w14:paraId="44CACA22"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32B94DBF"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Housing problem</w:t>
            </w:r>
          </w:p>
        </w:tc>
        <w:tc>
          <w:tcPr>
            <w:tcW w:w="1316" w:type="dxa"/>
            <w:tcBorders>
              <w:top w:val="nil"/>
              <w:left w:val="nil"/>
              <w:bottom w:val="nil"/>
              <w:right w:val="nil"/>
            </w:tcBorders>
            <w:shd w:val="clear" w:color="auto" w:fill="auto"/>
            <w:noWrap/>
            <w:vAlign w:val="center"/>
            <w:hideMark/>
          </w:tcPr>
          <w:p w14:paraId="09E8789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0.21 (0.08)</w:t>
            </w:r>
          </w:p>
        </w:tc>
        <w:tc>
          <w:tcPr>
            <w:tcW w:w="1316" w:type="dxa"/>
            <w:tcBorders>
              <w:top w:val="nil"/>
              <w:left w:val="nil"/>
              <w:bottom w:val="nil"/>
              <w:right w:val="single" w:sz="4" w:space="0" w:color="auto"/>
            </w:tcBorders>
            <w:shd w:val="clear" w:color="auto" w:fill="auto"/>
            <w:noWrap/>
            <w:vAlign w:val="center"/>
            <w:hideMark/>
          </w:tcPr>
          <w:p w14:paraId="366741C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3252371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0.21 (0.18)</w:t>
            </w:r>
          </w:p>
        </w:tc>
        <w:tc>
          <w:tcPr>
            <w:tcW w:w="1316" w:type="dxa"/>
            <w:tcBorders>
              <w:top w:val="nil"/>
              <w:left w:val="nil"/>
              <w:bottom w:val="nil"/>
              <w:right w:val="single" w:sz="4" w:space="0" w:color="auto"/>
            </w:tcBorders>
            <w:shd w:val="clear" w:color="auto" w:fill="auto"/>
            <w:noWrap/>
            <w:vAlign w:val="center"/>
            <w:hideMark/>
          </w:tcPr>
          <w:p w14:paraId="171967F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0.04 (1.00)</w:t>
            </w:r>
          </w:p>
        </w:tc>
        <w:tc>
          <w:tcPr>
            <w:tcW w:w="1316" w:type="dxa"/>
            <w:tcBorders>
              <w:top w:val="nil"/>
              <w:left w:val="nil"/>
              <w:bottom w:val="nil"/>
              <w:right w:val="nil"/>
            </w:tcBorders>
            <w:shd w:val="clear" w:color="auto" w:fill="auto"/>
            <w:noWrap/>
            <w:vAlign w:val="center"/>
            <w:hideMark/>
          </w:tcPr>
          <w:p w14:paraId="44B6686A"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0.09 (0.02)</w:t>
            </w:r>
          </w:p>
        </w:tc>
        <w:tc>
          <w:tcPr>
            <w:tcW w:w="1316" w:type="dxa"/>
            <w:tcBorders>
              <w:top w:val="nil"/>
              <w:left w:val="nil"/>
              <w:bottom w:val="nil"/>
              <w:right w:val="single" w:sz="4" w:space="0" w:color="auto"/>
            </w:tcBorders>
            <w:shd w:val="clear" w:color="auto" w:fill="auto"/>
            <w:noWrap/>
            <w:vAlign w:val="center"/>
            <w:hideMark/>
          </w:tcPr>
          <w:p w14:paraId="24D083C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6E5B1D0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0.11 (0.00)</w:t>
            </w:r>
          </w:p>
        </w:tc>
        <w:tc>
          <w:tcPr>
            <w:tcW w:w="1316" w:type="dxa"/>
            <w:tcBorders>
              <w:top w:val="nil"/>
              <w:left w:val="nil"/>
              <w:bottom w:val="nil"/>
              <w:right w:val="single" w:sz="4" w:space="0" w:color="auto"/>
            </w:tcBorders>
            <w:shd w:val="clear" w:color="auto" w:fill="auto"/>
            <w:noWrap/>
            <w:vAlign w:val="center"/>
            <w:hideMark/>
          </w:tcPr>
          <w:p w14:paraId="3875DCA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r>
      <w:tr w:rsidR="00313816" w:rsidRPr="005332D7" w14:paraId="52DCDFBD" w14:textId="77777777">
        <w:trPr>
          <w:trHeight w:val="300"/>
        </w:trPr>
        <w:tc>
          <w:tcPr>
            <w:tcW w:w="872" w:type="dxa"/>
            <w:vMerge/>
            <w:vAlign w:val="center"/>
            <w:hideMark/>
          </w:tcPr>
          <w:p w14:paraId="6E6C4F46"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4C2A2A0A"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Mental health treatment need</w:t>
            </w:r>
          </w:p>
        </w:tc>
        <w:tc>
          <w:tcPr>
            <w:tcW w:w="1316" w:type="dxa"/>
            <w:tcBorders>
              <w:top w:val="nil"/>
              <w:left w:val="nil"/>
              <w:bottom w:val="nil"/>
              <w:right w:val="nil"/>
            </w:tcBorders>
            <w:shd w:val="clear" w:color="auto" w:fill="auto"/>
            <w:noWrap/>
            <w:vAlign w:val="center"/>
            <w:hideMark/>
          </w:tcPr>
          <w:p w14:paraId="089B93F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0.08 (0.33)</w:t>
            </w:r>
          </w:p>
        </w:tc>
        <w:tc>
          <w:tcPr>
            <w:tcW w:w="1316" w:type="dxa"/>
            <w:tcBorders>
              <w:top w:val="nil"/>
              <w:left w:val="nil"/>
              <w:bottom w:val="nil"/>
              <w:right w:val="single" w:sz="4" w:space="0" w:color="auto"/>
            </w:tcBorders>
            <w:shd w:val="clear" w:color="auto" w:fill="auto"/>
            <w:noWrap/>
            <w:vAlign w:val="center"/>
            <w:hideMark/>
          </w:tcPr>
          <w:p w14:paraId="5388CF9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0.05 (0.99)</w:t>
            </w:r>
          </w:p>
        </w:tc>
        <w:tc>
          <w:tcPr>
            <w:tcW w:w="1316" w:type="dxa"/>
            <w:tcBorders>
              <w:top w:val="nil"/>
              <w:left w:val="nil"/>
              <w:bottom w:val="nil"/>
              <w:right w:val="nil"/>
            </w:tcBorders>
            <w:shd w:val="clear" w:color="auto" w:fill="auto"/>
            <w:noWrap/>
            <w:vAlign w:val="center"/>
            <w:hideMark/>
          </w:tcPr>
          <w:p w14:paraId="428F96D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0.22 (0.37)</w:t>
            </w:r>
          </w:p>
        </w:tc>
        <w:tc>
          <w:tcPr>
            <w:tcW w:w="1316" w:type="dxa"/>
            <w:tcBorders>
              <w:top w:val="nil"/>
              <w:left w:val="nil"/>
              <w:bottom w:val="nil"/>
              <w:right w:val="single" w:sz="4" w:space="0" w:color="auto"/>
            </w:tcBorders>
            <w:shd w:val="clear" w:color="auto" w:fill="auto"/>
            <w:noWrap/>
            <w:vAlign w:val="center"/>
            <w:hideMark/>
          </w:tcPr>
          <w:p w14:paraId="199978B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0.03 (1.00)</w:t>
            </w:r>
          </w:p>
        </w:tc>
        <w:tc>
          <w:tcPr>
            <w:tcW w:w="1316" w:type="dxa"/>
            <w:tcBorders>
              <w:top w:val="nil"/>
              <w:left w:val="nil"/>
              <w:bottom w:val="nil"/>
              <w:right w:val="nil"/>
            </w:tcBorders>
            <w:shd w:val="clear" w:color="auto" w:fill="auto"/>
            <w:noWrap/>
            <w:vAlign w:val="center"/>
            <w:hideMark/>
          </w:tcPr>
          <w:p w14:paraId="2FB7CA9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0.09 (0.04)</w:t>
            </w:r>
          </w:p>
        </w:tc>
        <w:tc>
          <w:tcPr>
            <w:tcW w:w="1316" w:type="dxa"/>
            <w:tcBorders>
              <w:top w:val="nil"/>
              <w:left w:val="nil"/>
              <w:bottom w:val="nil"/>
              <w:right w:val="single" w:sz="4" w:space="0" w:color="auto"/>
            </w:tcBorders>
            <w:shd w:val="clear" w:color="auto" w:fill="auto"/>
            <w:noWrap/>
            <w:vAlign w:val="center"/>
            <w:hideMark/>
          </w:tcPr>
          <w:p w14:paraId="38E39D6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c>
          <w:tcPr>
            <w:tcW w:w="1316" w:type="dxa"/>
            <w:tcBorders>
              <w:top w:val="nil"/>
              <w:left w:val="nil"/>
              <w:bottom w:val="nil"/>
              <w:right w:val="nil"/>
            </w:tcBorders>
            <w:shd w:val="clear" w:color="auto" w:fill="auto"/>
            <w:noWrap/>
            <w:vAlign w:val="center"/>
            <w:hideMark/>
          </w:tcPr>
          <w:p w14:paraId="0F19779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0.09 (0.00)</w:t>
            </w:r>
          </w:p>
        </w:tc>
        <w:tc>
          <w:tcPr>
            <w:tcW w:w="1316" w:type="dxa"/>
            <w:tcBorders>
              <w:top w:val="nil"/>
              <w:left w:val="nil"/>
              <w:bottom w:val="nil"/>
              <w:right w:val="single" w:sz="4" w:space="0" w:color="auto"/>
            </w:tcBorders>
            <w:shd w:val="clear" w:color="auto" w:fill="auto"/>
            <w:noWrap/>
            <w:vAlign w:val="center"/>
            <w:hideMark/>
          </w:tcPr>
          <w:p w14:paraId="5F0EB905"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r>
      <w:tr w:rsidR="00313816" w:rsidRPr="005332D7" w14:paraId="46B93EC0" w14:textId="77777777">
        <w:trPr>
          <w:trHeight w:val="300"/>
        </w:trPr>
        <w:tc>
          <w:tcPr>
            <w:tcW w:w="872" w:type="dxa"/>
            <w:vMerge/>
            <w:vAlign w:val="center"/>
            <w:hideMark/>
          </w:tcPr>
          <w:p w14:paraId="7E803737"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17D325DB"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Criminal justice referral</w:t>
            </w:r>
          </w:p>
        </w:tc>
        <w:tc>
          <w:tcPr>
            <w:tcW w:w="1316" w:type="dxa"/>
            <w:tcBorders>
              <w:top w:val="nil"/>
              <w:left w:val="nil"/>
              <w:bottom w:val="nil"/>
              <w:right w:val="nil"/>
            </w:tcBorders>
            <w:shd w:val="clear" w:color="auto" w:fill="auto"/>
            <w:noWrap/>
            <w:vAlign w:val="center"/>
            <w:hideMark/>
          </w:tcPr>
          <w:p w14:paraId="1A5FF33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0.20 (0.15)</w:t>
            </w:r>
          </w:p>
        </w:tc>
        <w:tc>
          <w:tcPr>
            <w:tcW w:w="1316" w:type="dxa"/>
            <w:tcBorders>
              <w:top w:val="nil"/>
              <w:left w:val="nil"/>
              <w:bottom w:val="nil"/>
              <w:right w:val="single" w:sz="4" w:space="0" w:color="auto"/>
            </w:tcBorders>
            <w:shd w:val="clear" w:color="auto" w:fill="auto"/>
            <w:noWrap/>
            <w:vAlign w:val="center"/>
            <w:hideMark/>
          </w:tcPr>
          <w:p w14:paraId="6E014DDA"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4314A718"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0.09 (0.90)</w:t>
            </w:r>
          </w:p>
        </w:tc>
        <w:tc>
          <w:tcPr>
            <w:tcW w:w="1316" w:type="dxa"/>
            <w:tcBorders>
              <w:top w:val="nil"/>
              <w:left w:val="nil"/>
              <w:bottom w:val="nil"/>
              <w:right w:val="single" w:sz="4" w:space="0" w:color="auto"/>
            </w:tcBorders>
            <w:shd w:val="clear" w:color="auto" w:fill="auto"/>
            <w:noWrap/>
            <w:vAlign w:val="center"/>
            <w:hideMark/>
          </w:tcPr>
          <w:p w14:paraId="0A5B2A2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0.10 (1.00)</w:t>
            </w:r>
          </w:p>
        </w:tc>
        <w:tc>
          <w:tcPr>
            <w:tcW w:w="1316" w:type="dxa"/>
            <w:tcBorders>
              <w:top w:val="nil"/>
              <w:left w:val="nil"/>
              <w:bottom w:val="nil"/>
              <w:right w:val="nil"/>
            </w:tcBorders>
            <w:shd w:val="clear" w:color="auto" w:fill="auto"/>
            <w:noWrap/>
            <w:vAlign w:val="center"/>
            <w:hideMark/>
          </w:tcPr>
          <w:p w14:paraId="666CB2E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0.10 (0.05)</w:t>
            </w:r>
          </w:p>
        </w:tc>
        <w:tc>
          <w:tcPr>
            <w:tcW w:w="1316" w:type="dxa"/>
            <w:tcBorders>
              <w:top w:val="nil"/>
              <w:left w:val="nil"/>
              <w:bottom w:val="nil"/>
              <w:right w:val="single" w:sz="4" w:space="0" w:color="auto"/>
            </w:tcBorders>
            <w:shd w:val="clear" w:color="auto" w:fill="auto"/>
            <w:noWrap/>
            <w:vAlign w:val="center"/>
            <w:hideMark/>
          </w:tcPr>
          <w:p w14:paraId="7317D2C8"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73FE297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0.22 (0.00)</w:t>
            </w:r>
          </w:p>
        </w:tc>
        <w:tc>
          <w:tcPr>
            <w:tcW w:w="1316" w:type="dxa"/>
            <w:tcBorders>
              <w:top w:val="nil"/>
              <w:left w:val="nil"/>
              <w:bottom w:val="nil"/>
              <w:right w:val="single" w:sz="4" w:space="0" w:color="auto"/>
            </w:tcBorders>
            <w:shd w:val="clear" w:color="auto" w:fill="auto"/>
            <w:noWrap/>
            <w:vAlign w:val="center"/>
            <w:hideMark/>
          </w:tcPr>
          <w:p w14:paraId="78894F6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06398D6C" w14:textId="77777777">
        <w:trPr>
          <w:trHeight w:val="300"/>
        </w:trPr>
        <w:tc>
          <w:tcPr>
            <w:tcW w:w="872" w:type="dxa"/>
            <w:vMerge/>
            <w:vAlign w:val="center"/>
            <w:hideMark/>
          </w:tcPr>
          <w:p w14:paraId="4BA9151B"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single" w:sz="4" w:space="0" w:color="auto"/>
              <w:right w:val="single" w:sz="4" w:space="0" w:color="auto"/>
            </w:tcBorders>
            <w:shd w:val="clear" w:color="auto" w:fill="auto"/>
            <w:noWrap/>
            <w:vAlign w:val="center"/>
            <w:hideMark/>
          </w:tcPr>
          <w:p w14:paraId="309B7FFB"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Multiple treatment journeys</w:t>
            </w:r>
          </w:p>
        </w:tc>
        <w:tc>
          <w:tcPr>
            <w:tcW w:w="1316" w:type="dxa"/>
            <w:tcBorders>
              <w:top w:val="nil"/>
              <w:left w:val="nil"/>
              <w:bottom w:val="single" w:sz="4" w:space="0" w:color="auto"/>
              <w:right w:val="nil"/>
            </w:tcBorders>
            <w:shd w:val="clear" w:color="auto" w:fill="auto"/>
            <w:noWrap/>
            <w:vAlign w:val="center"/>
            <w:hideMark/>
          </w:tcPr>
          <w:p w14:paraId="58898B7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0.12 (0.16)</w:t>
            </w:r>
          </w:p>
        </w:tc>
        <w:tc>
          <w:tcPr>
            <w:tcW w:w="1316" w:type="dxa"/>
            <w:tcBorders>
              <w:top w:val="nil"/>
              <w:left w:val="nil"/>
              <w:bottom w:val="single" w:sz="4" w:space="0" w:color="auto"/>
              <w:right w:val="single" w:sz="4" w:space="0" w:color="auto"/>
            </w:tcBorders>
            <w:shd w:val="clear" w:color="auto" w:fill="auto"/>
            <w:noWrap/>
            <w:vAlign w:val="center"/>
            <w:hideMark/>
          </w:tcPr>
          <w:p w14:paraId="2FB902F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0.07 (1.00)</w:t>
            </w:r>
          </w:p>
        </w:tc>
        <w:tc>
          <w:tcPr>
            <w:tcW w:w="1316" w:type="dxa"/>
            <w:tcBorders>
              <w:top w:val="nil"/>
              <w:left w:val="nil"/>
              <w:bottom w:val="single" w:sz="4" w:space="0" w:color="auto"/>
              <w:right w:val="nil"/>
            </w:tcBorders>
            <w:shd w:val="clear" w:color="auto" w:fill="auto"/>
            <w:noWrap/>
            <w:vAlign w:val="center"/>
            <w:hideMark/>
          </w:tcPr>
          <w:p w14:paraId="67B2AACB"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0.34 (0.03)</w:t>
            </w:r>
          </w:p>
        </w:tc>
        <w:tc>
          <w:tcPr>
            <w:tcW w:w="1316" w:type="dxa"/>
            <w:tcBorders>
              <w:top w:val="nil"/>
              <w:left w:val="nil"/>
              <w:bottom w:val="single" w:sz="4" w:space="0" w:color="auto"/>
              <w:right w:val="single" w:sz="4" w:space="0" w:color="auto"/>
            </w:tcBorders>
            <w:shd w:val="clear" w:color="auto" w:fill="auto"/>
            <w:noWrap/>
            <w:vAlign w:val="center"/>
            <w:hideMark/>
          </w:tcPr>
          <w:p w14:paraId="4C4F266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0.05 (1.00)</w:t>
            </w:r>
          </w:p>
        </w:tc>
        <w:tc>
          <w:tcPr>
            <w:tcW w:w="1316" w:type="dxa"/>
            <w:tcBorders>
              <w:top w:val="nil"/>
              <w:left w:val="nil"/>
              <w:bottom w:val="single" w:sz="4" w:space="0" w:color="auto"/>
              <w:right w:val="nil"/>
            </w:tcBorders>
            <w:shd w:val="clear" w:color="auto" w:fill="auto"/>
            <w:noWrap/>
            <w:vAlign w:val="center"/>
            <w:hideMark/>
          </w:tcPr>
          <w:p w14:paraId="1380420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0.16 (0.00)</w:t>
            </w:r>
          </w:p>
        </w:tc>
        <w:tc>
          <w:tcPr>
            <w:tcW w:w="1316" w:type="dxa"/>
            <w:tcBorders>
              <w:top w:val="nil"/>
              <w:left w:val="nil"/>
              <w:bottom w:val="single" w:sz="4" w:space="0" w:color="auto"/>
              <w:right w:val="single" w:sz="4" w:space="0" w:color="auto"/>
            </w:tcBorders>
            <w:shd w:val="clear" w:color="auto" w:fill="auto"/>
            <w:noWrap/>
            <w:vAlign w:val="center"/>
            <w:hideMark/>
          </w:tcPr>
          <w:p w14:paraId="3A7140B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0.03 (1.00)</w:t>
            </w:r>
          </w:p>
        </w:tc>
        <w:tc>
          <w:tcPr>
            <w:tcW w:w="1316" w:type="dxa"/>
            <w:tcBorders>
              <w:top w:val="nil"/>
              <w:left w:val="nil"/>
              <w:bottom w:val="single" w:sz="4" w:space="0" w:color="auto"/>
              <w:right w:val="nil"/>
            </w:tcBorders>
            <w:shd w:val="clear" w:color="auto" w:fill="auto"/>
            <w:noWrap/>
            <w:vAlign w:val="center"/>
            <w:hideMark/>
          </w:tcPr>
          <w:p w14:paraId="25CC54DE"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0.18 (0.00)</w:t>
            </w:r>
          </w:p>
        </w:tc>
        <w:tc>
          <w:tcPr>
            <w:tcW w:w="1316" w:type="dxa"/>
            <w:tcBorders>
              <w:top w:val="nil"/>
              <w:left w:val="nil"/>
              <w:bottom w:val="single" w:sz="4" w:space="0" w:color="auto"/>
              <w:right w:val="single" w:sz="4" w:space="0" w:color="auto"/>
            </w:tcBorders>
            <w:shd w:val="clear" w:color="auto" w:fill="auto"/>
            <w:noWrap/>
            <w:vAlign w:val="center"/>
            <w:hideMark/>
          </w:tcPr>
          <w:p w14:paraId="2AE09ED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7A974446" w14:textId="77777777">
        <w:trPr>
          <w:trHeight w:val="300"/>
        </w:trPr>
        <w:tc>
          <w:tcPr>
            <w:tcW w:w="872" w:type="dxa"/>
            <w:vMerge w:val="restart"/>
            <w:tcBorders>
              <w:top w:val="nil"/>
              <w:left w:val="nil"/>
              <w:bottom w:val="single" w:sz="4" w:space="0" w:color="000000" w:themeColor="text1"/>
              <w:right w:val="nil"/>
            </w:tcBorders>
            <w:shd w:val="clear" w:color="auto" w:fill="auto"/>
            <w:noWrap/>
            <w:vAlign w:val="center"/>
            <w:hideMark/>
          </w:tcPr>
          <w:p w14:paraId="68F32560"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Non-OUs</w:t>
            </w:r>
          </w:p>
        </w:tc>
        <w:tc>
          <w:tcPr>
            <w:tcW w:w="2910" w:type="dxa"/>
            <w:tcBorders>
              <w:top w:val="nil"/>
              <w:left w:val="nil"/>
              <w:bottom w:val="nil"/>
              <w:right w:val="single" w:sz="4" w:space="0" w:color="auto"/>
            </w:tcBorders>
            <w:shd w:val="clear" w:color="auto" w:fill="auto"/>
            <w:noWrap/>
            <w:vAlign w:val="center"/>
            <w:hideMark/>
          </w:tcPr>
          <w:p w14:paraId="52EDB61B"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Aged 18-24</w:t>
            </w:r>
          </w:p>
        </w:tc>
        <w:tc>
          <w:tcPr>
            <w:tcW w:w="1316" w:type="dxa"/>
            <w:tcBorders>
              <w:top w:val="nil"/>
              <w:left w:val="nil"/>
              <w:bottom w:val="nil"/>
              <w:right w:val="nil"/>
            </w:tcBorders>
            <w:shd w:val="clear" w:color="auto" w:fill="auto"/>
            <w:noWrap/>
            <w:vAlign w:val="center"/>
            <w:hideMark/>
          </w:tcPr>
          <w:p w14:paraId="047008A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0.10 (0.00)</w:t>
            </w:r>
          </w:p>
        </w:tc>
        <w:tc>
          <w:tcPr>
            <w:tcW w:w="1316" w:type="dxa"/>
            <w:tcBorders>
              <w:top w:val="nil"/>
              <w:left w:val="nil"/>
              <w:bottom w:val="nil"/>
              <w:right w:val="single" w:sz="4" w:space="0" w:color="auto"/>
            </w:tcBorders>
            <w:shd w:val="clear" w:color="auto" w:fill="auto"/>
            <w:noWrap/>
            <w:vAlign w:val="center"/>
            <w:hideMark/>
          </w:tcPr>
          <w:p w14:paraId="5909604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57C0AEE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0.11 (0.07)</w:t>
            </w:r>
          </w:p>
        </w:tc>
        <w:tc>
          <w:tcPr>
            <w:tcW w:w="1316" w:type="dxa"/>
            <w:tcBorders>
              <w:top w:val="nil"/>
              <w:left w:val="nil"/>
              <w:bottom w:val="nil"/>
              <w:right w:val="single" w:sz="4" w:space="0" w:color="auto"/>
            </w:tcBorders>
            <w:shd w:val="clear" w:color="auto" w:fill="auto"/>
            <w:noWrap/>
            <w:vAlign w:val="center"/>
            <w:hideMark/>
          </w:tcPr>
          <w:p w14:paraId="1601FB6E"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651770F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0.11 (0.00)</w:t>
            </w:r>
          </w:p>
        </w:tc>
        <w:tc>
          <w:tcPr>
            <w:tcW w:w="1316" w:type="dxa"/>
            <w:tcBorders>
              <w:top w:val="nil"/>
              <w:left w:val="nil"/>
              <w:bottom w:val="nil"/>
              <w:right w:val="single" w:sz="4" w:space="0" w:color="auto"/>
            </w:tcBorders>
            <w:shd w:val="clear" w:color="auto" w:fill="auto"/>
            <w:noWrap/>
            <w:vAlign w:val="center"/>
            <w:hideMark/>
          </w:tcPr>
          <w:p w14:paraId="4F54C06A"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01668DC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0.12 (0.00)</w:t>
            </w:r>
          </w:p>
        </w:tc>
        <w:tc>
          <w:tcPr>
            <w:tcW w:w="1316" w:type="dxa"/>
            <w:tcBorders>
              <w:top w:val="nil"/>
              <w:left w:val="nil"/>
              <w:bottom w:val="nil"/>
              <w:right w:val="single" w:sz="4" w:space="0" w:color="auto"/>
            </w:tcBorders>
            <w:shd w:val="clear" w:color="auto" w:fill="auto"/>
            <w:noWrap/>
            <w:vAlign w:val="center"/>
            <w:hideMark/>
          </w:tcPr>
          <w:p w14:paraId="565AF5D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01F8592A" w14:textId="77777777">
        <w:trPr>
          <w:trHeight w:val="300"/>
        </w:trPr>
        <w:tc>
          <w:tcPr>
            <w:tcW w:w="872" w:type="dxa"/>
            <w:vMerge/>
            <w:vAlign w:val="center"/>
            <w:hideMark/>
          </w:tcPr>
          <w:p w14:paraId="18233C0D"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1AC373B3"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Pregnant</w:t>
            </w:r>
          </w:p>
        </w:tc>
        <w:tc>
          <w:tcPr>
            <w:tcW w:w="1316" w:type="dxa"/>
            <w:tcBorders>
              <w:top w:val="nil"/>
              <w:left w:val="nil"/>
              <w:bottom w:val="nil"/>
              <w:right w:val="nil"/>
            </w:tcBorders>
            <w:shd w:val="clear" w:color="auto" w:fill="auto"/>
            <w:noWrap/>
            <w:vAlign w:val="center"/>
            <w:hideMark/>
          </w:tcPr>
          <w:p w14:paraId="573A5D9D"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0.04 (0.71)</w:t>
            </w:r>
          </w:p>
        </w:tc>
        <w:tc>
          <w:tcPr>
            <w:tcW w:w="1316" w:type="dxa"/>
            <w:tcBorders>
              <w:top w:val="nil"/>
              <w:left w:val="nil"/>
              <w:bottom w:val="nil"/>
              <w:right w:val="single" w:sz="4" w:space="0" w:color="auto"/>
            </w:tcBorders>
            <w:shd w:val="clear" w:color="auto" w:fill="auto"/>
            <w:noWrap/>
            <w:vAlign w:val="center"/>
            <w:hideMark/>
          </w:tcPr>
          <w:p w14:paraId="752623BA"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c>
          <w:tcPr>
            <w:tcW w:w="1316" w:type="dxa"/>
            <w:tcBorders>
              <w:top w:val="nil"/>
              <w:left w:val="nil"/>
              <w:bottom w:val="nil"/>
              <w:right w:val="nil"/>
            </w:tcBorders>
            <w:shd w:val="clear" w:color="auto" w:fill="auto"/>
            <w:noWrap/>
            <w:vAlign w:val="bottom"/>
            <w:hideMark/>
          </w:tcPr>
          <w:p w14:paraId="533592A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c>
          <w:tcPr>
            <w:tcW w:w="1316" w:type="dxa"/>
            <w:tcBorders>
              <w:top w:val="nil"/>
              <w:left w:val="nil"/>
              <w:bottom w:val="nil"/>
              <w:right w:val="single" w:sz="4" w:space="0" w:color="auto"/>
            </w:tcBorders>
            <w:shd w:val="clear" w:color="auto" w:fill="auto"/>
            <w:noWrap/>
            <w:vAlign w:val="bottom"/>
            <w:hideMark/>
          </w:tcPr>
          <w:p w14:paraId="4947E2B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c>
          <w:tcPr>
            <w:tcW w:w="1316" w:type="dxa"/>
            <w:tcBorders>
              <w:top w:val="nil"/>
              <w:left w:val="nil"/>
              <w:bottom w:val="nil"/>
              <w:right w:val="nil"/>
            </w:tcBorders>
            <w:shd w:val="clear" w:color="auto" w:fill="auto"/>
            <w:noWrap/>
            <w:vAlign w:val="center"/>
            <w:hideMark/>
          </w:tcPr>
          <w:p w14:paraId="65D15C5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0.13 (0.01)</w:t>
            </w:r>
          </w:p>
        </w:tc>
        <w:tc>
          <w:tcPr>
            <w:tcW w:w="1316" w:type="dxa"/>
            <w:tcBorders>
              <w:top w:val="nil"/>
              <w:left w:val="nil"/>
              <w:bottom w:val="nil"/>
              <w:right w:val="single" w:sz="4" w:space="0" w:color="auto"/>
            </w:tcBorders>
            <w:shd w:val="clear" w:color="auto" w:fill="auto"/>
            <w:noWrap/>
            <w:vAlign w:val="center"/>
            <w:hideMark/>
          </w:tcPr>
          <w:p w14:paraId="2BD0A25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bottom"/>
            <w:hideMark/>
          </w:tcPr>
          <w:p w14:paraId="7DEFCB0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c>
          <w:tcPr>
            <w:tcW w:w="1316" w:type="dxa"/>
            <w:tcBorders>
              <w:top w:val="nil"/>
              <w:left w:val="nil"/>
              <w:bottom w:val="nil"/>
              <w:right w:val="single" w:sz="4" w:space="0" w:color="auto"/>
            </w:tcBorders>
            <w:shd w:val="clear" w:color="auto" w:fill="auto"/>
            <w:noWrap/>
            <w:vAlign w:val="bottom"/>
            <w:hideMark/>
          </w:tcPr>
          <w:p w14:paraId="734D927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r>
      <w:tr w:rsidR="00313816" w:rsidRPr="005332D7" w14:paraId="2C3BF1AE" w14:textId="77777777">
        <w:trPr>
          <w:trHeight w:val="300"/>
        </w:trPr>
        <w:tc>
          <w:tcPr>
            <w:tcW w:w="872" w:type="dxa"/>
            <w:vMerge/>
            <w:vAlign w:val="center"/>
            <w:hideMark/>
          </w:tcPr>
          <w:p w14:paraId="2F815ED3"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111F91D6"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NEET</w:t>
            </w:r>
          </w:p>
        </w:tc>
        <w:tc>
          <w:tcPr>
            <w:tcW w:w="1316" w:type="dxa"/>
            <w:tcBorders>
              <w:top w:val="nil"/>
              <w:left w:val="nil"/>
              <w:bottom w:val="nil"/>
              <w:right w:val="nil"/>
            </w:tcBorders>
            <w:shd w:val="clear" w:color="auto" w:fill="auto"/>
            <w:noWrap/>
            <w:vAlign w:val="center"/>
            <w:hideMark/>
          </w:tcPr>
          <w:p w14:paraId="032A664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0.25 (0.00)</w:t>
            </w:r>
          </w:p>
        </w:tc>
        <w:tc>
          <w:tcPr>
            <w:tcW w:w="1316" w:type="dxa"/>
            <w:tcBorders>
              <w:top w:val="nil"/>
              <w:left w:val="nil"/>
              <w:bottom w:val="nil"/>
              <w:right w:val="single" w:sz="4" w:space="0" w:color="auto"/>
            </w:tcBorders>
            <w:shd w:val="clear" w:color="auto" w:fill="auto"/>
            <w:noWrap/>
            <w:vAlign w:val="center"/>
            <w:hideMark/>
          </w:tcPr>
          <w:p w14:paraId="0CA39495"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0.04 (1.00)</w:t>
            </w:r>
          </w:p>
        </w:tc>
        <w:tc>
          <w:tcPr>
            <w:tcW w:w="1316" w:type="dxa"/>
            <w:tcBorders>
              <w:top w:val="nil"/>
              <w:left w:val="nil"/>
              <w:bottom w:val="nil"/>
              <w:right w:val="nil"/>
            </w:tcBorders>
            <w:shd w:val="clear" w:color="auto" w:fill="auto"/>
            <w:noWrap/>
            <w:vAlign w:val="center"/>
            <w:hideMark/>
          </w:tcPr>
          <w:p w14:paraId="7A87CE3A"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0.38 (0.00)</w:t>
            </w:r>
          </w:p>
        </w:tc>
        <w:tc>
          <w:tcPr>
            <w:tcW w:w="1316" w:type="dxa"/>
            <w:tcBorders>
              <w:top w:val="nil"/>
              <w:left w:val="nil"/>
              <w:bottom w:val="nil"/>
              <w:right w:val="single" w:sz="4" w:space="0" w:color="auto"/>
            </w:tcBorders>
            <w:shd w:val="clear" w:color="auto" w:fill="auto"/>
            <w:noWrap/>
            <w:vAlign w:val="center"/>
            <w:hideMark/>
          </w:tcPr>
          <w:p w14:paraId="46FF7D73"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0.07 (1.00)</w:t>
            </w:r>
          </w:p>
        </w:tc>
        <w:tc>
          <w:tcPr>
            <w:tcW w:w="1316" w:type="dxa"/>
            <w:tcBorders>
              <w:top w:val="nil"/>
              <w:left w:val="nil"/>
              <w:bottom w:val="nil"/>
              <w:right w:val="nil"/>
            </w:tcBorders>
            <w:shd w:val="clear" w:color="auto" w:fill="auto"/>
            <w:noWrap/>
            <w:vAlign w:val="center"/>
            <w:hideMark/>
          </w:tcPr>
          <w:p w14:paraId="527C6F2E"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0.06 (0.57)</w:t>
            </w:r>
          </w:p>
        </w:tc>
        <w:tc>
          <w:tcPr>
            <w:tcW w:w="1316" w:type="dxa"/>
            <w:tcBorders>
              <w:top w:val="nil"/>
              <w:left w:val="nil"/>
              <w:bottom w:val="nil"/>
              <w:right w:val="single" w:sz="4" w:space="0" w:color="auto"/>
            </w:tcBorders>
            <w:shd w:val="clear" w:color="auto" w:fill="auto"/>
            <w:noWrap/>
            <w:vAlign w:val="center"/>
            <w:hideMark/>
          </w:tcPr>
          <w:p w14:paraId="0AC21FB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54476773"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0.12 (0.00)</w:t>
            </w:r>
          </w:p>
        </w:tc>
        <w:tc>
          <w:tcPr>
            <w:tcW w:w="1316" w:type="dxa"/>
            <w:tcBorders>
              <w:top w:val="nil"/>
              <w:left w:val="nil"/>
              <w:bottom w:val="nil"/>
              <w:right w:val="single" w:sz="4" w:space="0" w:color="auto"/>
            </w:tcBorders>
            <w:shd w:val="clear" w:color="auto" w:fill="auto"/>
            <w:noWrap/>
            <w:vAlign w:val="center"/>
            <w:hideMark/>
          </w:tcPr>
          <w:p w14:paraId="52589AEA"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7BCEB851" w14:textId="77777777">
        <w:trPr>
          <w:trHeight w:val="300"/>
        </w:trPr>
        <w:tc>
          <w:tcPr>
            <w:tcW w:w="872" w:type="dxa"/>
            <w:vMerge/>
            <w:vAlign w:val="center"/>
            <w:hideMark/>
          </w:tcPr>
          <w:p w14:paraId="12B35E8E"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063F25DC"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Housing problem</w:t>
            </w:r>
          </w:p>
        </w:tc>
        <w:tc>
          <w:tcPr>
            <w:tcW w:w="1316" w:type="dxa"/>
            <w:tcBorders>
              <w:top w:val="nil"/>
              <w:left w:val="nil"/>
              <w:bottom w:val="nil"/>
              <w:right w:val="nil"/>
            </w:tcBorders>
            <w:shd w:val="clear" w:color="auto" w:fill="auto"/>
            <w:noWrap/>
            <w:vAlign w:val="center"/>
            <w:hideMark/>
          </w:tcPr>
          <w:p w14:paraId="3F9C2C35"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0.12 (0.02)</w:t>
            </w:r>
          </w:p>
        </w:tc>
        <w:tc>
          <w:tcPr>
            <w:tcW w:w="1316" w:type="dxa"/>
            <w:tcBorders>
              <w:top w:val="nil"/>
              <w:left w:val="nil"/>
              <w:bottom w:val="nil"/>
              <w:right w:val="single" w:sz="4" w:space="0" w:color="auto"/>
            </w:tcBorders>
            <w:shd w:val="clear" w:color="auto" w:fill="auto"/>
            <w:noWrap/>
            <w:vAlign w:val="center"/>
            <w:hideMark/>
          </w:tcPr>
          <w:p w14:paraId="6558CB7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1A816DE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0.12 (0.01)</w:t>
            </w:r>
          </w:p>
        </w:tc>
        <w:tc>
          <w:tcPr>
            <w:tcW w:w="1316" w:type="dxa"/>
            <w:tcBorders>
              <w:top w:val="nil"/>
              <w:left w:val="nil"/>
              <w:bottom w:val="nil"/>
              <w:right w:val="single" w:sz="4" w:space="0" w:color="auto"/>
            </w:tcBorders>
            <w:shd w:val="clear" w:color="auto" w:fill="auto"/>
            <w:noWrap/>
            <w:vAlign w:val="center"/>
            <w:hideMark/>
          </w:tcPr>
          <w:p w14:paraId="7261946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0.06 (1.00)</w:t>
            </w:r>
          </w:p>
        </w:tc>
        <w:tc>
          <w:tcPr>
            <w:tcW w:w="1316" w:type="dxa"/>
            <w:tcBorders>
              <w:top w:val="nil"/>
              <w:left w:val="nil"/>
              <w:bottom w:val="nil"/>
              <w:right w:val="nil"/>
            </w:tcBorders>
            <w:shd w:val="clear" w:color="auto" w:fill="auto"/>
            <w:noWrap/>
            <w:vAlign w:val="center"/>
            <w:hideMark/>
          </w:tcPr>
          <w:p w14:paraId="24860AD5"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0.13 (0.01)</w:t>
            </w:r>
          </w:p>
        </w:tc>
        <w:tc>
          <w:tcPr>
            <w:tcW w:w="1316" w:type="dxa"/>
            <w:tcBorders>
              <w:top w:val="nil"/>
              <w:left w:val="nil"/>
              <w:bottom w:val="nil"/>
              <w:right w:val="single" w:sz="4" w:space="0" w:color="auto"/>
            </w:tcBorders>
            <w:shd w:val="clear" w:color="auto" w:fill="auto"/>
            <w:noWrap/>
            <w:vAlign w:val="center"/>
            <w:hideMark/>
          </w:tcPr>
          <w:p w14:paraId="455A4CD8"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3442CE8A"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0.07 (0.02)</w:t>
            </w:r>
          </w:p>
        </w:tc>
        <w:tc>
          <w:tcPr>
            <w:tcW w:w="1316" w:type="dxa"/>
            <w:tcBorders>
              <w:top w:val="nil"/>
              <w:left w:val="nil"/>
              <w:bottom w:val="nil"/>
              <w:right w:val="single" w:sz="4" w:space="0" w:color="auto"/>
            </w:tcBorders>
            <w:shd w:val="clear" w:color="auto" w:fill="auto"/>
            <w:noWrap/>
            <w:vAlign w:val="center"/>
            <w:hideMark/>
          </w:tcPr>
          <w:p w14:paraId="01FA5655"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15B43B8C" w14:textId="77777777">
        <w:trPr>
          <w:trHeight w:val="300"/>
        </w:trPr>
        <w:tc>
          <w:tcPr>
            <w:tcW w:w="872" w:type="dxa"/>
            <w:vMerge/>
            <w:vAlign w:val="center"/>
            <w:hideMark/>
          </w:tcPr>
          <w:p w14:paraId="4481F988"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494EBBC9"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Mental health treatment need</w:t>
            </w:r>
          </w:p>
        </w:tc>
        <w:tc>
          <w:tcPr>
            <w:tcW w:w="1316" w:type="dxa"/>
            <w:tcBorders>
              <w:top w:val="nil"/>
              <w:left w:val="nil"/>
              <w:bottom w:val="nil"/>
              <w:right w:val="nil"/>
            </w:tcBorders>
            <w:shd w:val="clear" w:color="auto" w:fill="auto"/>
            <w:noWrap/>
            <w:vAlign w:val="center"/>
            <w:hideMark/>
          </w:tcPr>
          <w:p w14:paraId="6C86DEA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0.12 (0.02)</w:t>
            </w:r>
          </w:p>
        </w:tc>
        <w:tc>
          <w:tcPr>
            <w:tcW w:w="1316" w:type="dxa"/>
            <w:tcBorders>
              <w:top w:val="nil"/>
              <w:left w:val="nil"/>
              <w:bottom w:val="nil"/>
              <w:right w:val="single" w:sz="4" w:space="0" w:color="auto"/>
            </w:tcBorders>
            <w:shd w:val="clear" w:color="auto" w:fill="auto"/>
            <w:noWrap/>
            <w:vAlign w:val="center"/>
            <w:hideMark/>
          </w:tcPr>
          <w:p w14:paraId="0D18248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0.03 (1.00)</w:t>
            </w:r>
          </w:p>
        </w:tc>
        <w:tc>
          <w:tcPr>
            <w:tcW w:w="1316" w:type="dxa"/>
            <w:tcBorders>
              <w:top w:val="nil"/>
              <w:left w:val="nil"/>
              <w:bottom w:val="nil"/>
              <w:right w:val="nil"/>
            </w:tcBorders>
            <w:shd w:val="clear" w:color="auto" w:fill="auto"/>
            <w:noWrap/>
            <w:vAlign w:val="center"/>
            <w:hideMark/>
          </w:tcPr>
          <w:p w14:paraId="723D242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0.22 (0.24)</w:t>
            </w:r>
          </w:p>
        </w:tc>
        <w:tc>
          <w:tcPr>
            <w:tcW w:w="1316" w:type="dxa"/>
            <w:tcBorders>
              <w:top w:val="nil"/>
              <w:left w:val="nil"/>
              <w:bottom w:val="nil"/>
              <w:right w:val="single" w:sz="4" w:space="0" w:color="auto"/>
            </w:tcBorders>
            <w:shd w:val="clear" w:color="auto" w:fill="auto"/>
            <w:noWrap/>
            <w:vAlign w:val="center"/>
            <w:hideMark/>
          </w:tcPr>
          <w:p w14:paraId="2E9FF9D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0.14 (0.93)</w:t>
            </w:r>
          </w:p>
        </w:tc>
        <w:tc>
          <w:tcPr>
            <w:tcW w:w="1316" w:type="dxa"/>
            <w:tcBorders>
              <w:top w:val="nil"/>
              <w:left w:val="nil"/>
              <w:bottom w:val="nil"/>
              <w:right w:val="nil"/>
            </w:tcBorders>
            <w:shd w:val="clear" w:color="auto" w:fill="auto"/>
            <w:noWrap/>
            <w:vAlign w:val="center"/>
            <w:hideMark/>
          </w:tcPr>
          <w:p w14:paraId="4A400CF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0.11 (0.12)</w:t>
            </w:r>
          </w:p>
        </w:tc>
        <w:tc>
          <w:tcPr>
            <w:tcW w:w="1316" w:type="dxa"/>
            <w:tcBorders>
              <w:top w:val="nil"/>
              <w:left w:val="nil"/>
              <w:bottom w:val="nil"/>
              <w:right w:val="single" w:sz="4" w:space="0" w:color="auto"/>
            </w:tcBorders>
            <w:shd w:val="clear" w:color="auto" w:fill="auto"/>
            <w:noWrap/>
            <w:vAlign w:val="center"/>
            <w:hideMark/>
          </w:tcPr>
          <w:p w14:paraId="163E162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c>
          <w:tcPr>
            <w:tcW w:w="1316" w:type="dxa"/>
            <w:tcBorders>
              <w:top w:val="nil"/>
              <w:left w:val="nil"/>
              <w:bottom w:val="nil"/>
              <w:right w:val="nil"/>
            </w:tcBorders>
            <w:shd w:val="clear" w:color="auto" w:fill="auto"/>
            <w:noWrap/>
            <w:vAlign w:val="center"/>
            <w:hideMark/>
          </w:tcPr>
          <w:p w14:paraId="66E3C4E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0.07 (0.27)</w:t>
            </w:r>
          </w:p>
        </w:tc>
        <w:tc>
          <w:tcPr>
            <w:tcW w:w="1316" w:type="dxa"/>
            <w:tcBorders>
              <w:top w:val="nil"/>
              <w:left w:val="nil"/>
              <w:bottom w:val="nil"/>
              <w:right w:val="single" w:sz="4" w:space="0" w:color="auto"/>
            </w:tcBorders>
            <w:shd w:val="clear" w:color="auto" w:fill="auto"/>
            <w:noWrap/>
            <w:vAlign w:val="center"/>
            <w:hideMark/>
          </w:tcPr>
          <w:p w14:paraId="4B04E43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5B275846" w14:textId="77777777">
        <w:trPr>
          <w:trHeight w:val="300"/>
        </w:trPr>
        <w:tc>
          <w:tcPr>
            <w:tcW w:w="872" w:type="dxa"/>
            <w:vMerge/>
            <w:vAlign w:val="center"/>
            <w:hideMark/>
          </w:tcPr>
          <w:p w14:paraId="3E5D1F5C"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1588DA6D"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Criminal justice referral</w:t>
            </w:r>
          </w:p>
        </w:tc>
        <w:tc>
          <w:tcPr>
            <w:tcW w:w="1316" w:type="dxa"/>
            <w:tcBorders>
              <w:top w:val="nil"/>
              <w:left w:val="nil"/>
              <w:bottom w:val="nil"/>
              <w:right w:val="nil"/>
            </w:tcBorders>
            <w:shd w:val="clear" w:color="auto" w:fill="auto"/>
            <w:noWrap/>
            <w:vAlign w:val="center"/>
            <w:hideMark/>
          </w:tcPr>
          <w:p w14:paraId="3E303E7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single" w:sz="4" w:space="0" w:color="auto"/>
            </w:tcBorders>
            <w:shd w:val="clear" w:color="auto" w:fill="auto"/>
            <w:noWrap/>
            <w:vAlign w:val="center"/>
            <w:hideMark/>
          </w:tcPr>
          <w:p w14:paraId="5BD873C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c>
          <w:tcPr>
            <w:tcW w:w="1316" w:type="dxa"/>
            <w:tcBorders>
              <w:top w:val="nil"/>
              <w:left w:val="nil"/>
              <w:bottom w:val="nil"/>
              <w:right w:val="nil"/>
            </w:tcBorders>
            <w:shd w:val="clear" w:color="auto" w:fill="auto"/>
            <w:noWrap/>
            <w:vAlign w:val="center"/>
            <w:hideMark/>
          </w:tcPr>
          <w:p w14:paraId="19DD92E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0.07 (0.50)</w:t>
            </w:r>
          </w:p>
        </w:tc>
        <w:tc>
          <w:tcPr>
            <w:tcW w:w="1316" w:type="dxa"/>
            <w:tcBorders>
              <w:top w:val="nil"/>
              <w:left w:val="nil"/>
              <w:bottom w:val="nil"/>
              <w:right w:val="single" w:sz="4" w:space="0" w:color="auto"/>
            </w:tcBorders>
            <w:shd w:val="clear" w:color="auto" w:fill="auto"/>
            <w:noWrap/>
            <w:vAlign w:val="center"/>
            <w:hideMark/>
          </w:tcPr>
          <w:p w14:paraId="64585418"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0.07 (1.00)</w:t>
            </w:r>
          </w:p>
        </w:tc>
        <w:tc>
          <w:tcPr>
            <w:tcW w:w="1316" w:type="dxa"/>
            <w:tcBorders>
              <w:top w:val="nil"/>
              <w:left w:val="nil"/>
              <w:bottom w:val="nil"/>
              <w:right w:val="nil"/>
            </w:tcBorders>
            <w:shd w:val="clear" w:color="auto" w:fill="auto"/>
            <w:noWrap/>
            <w:vAlign w:val="center"/>
            <w:hideMark/>
          </w:tcPr>
          <w:p w14:paraId="2B9F09D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0.04 (0.99)</w:t>
            </w:r>
          </w:p>
        </w:tc>
        <w:tc>
          <w:tcPr>
            <w:tcW w:w="1316" w:type="dxa"/>
            <w:tcBorders>
              <w:top w:val="nil"/>
              <w:left w:val="nil"/>
              <w:bottom w:val="nil"/>
              <w:right w:val="single" w:sz="4" w:space="0" w:color="auto"/>
            </w:tcBorders>
            <w:shd w:val="clear" w:color="auto" w:fill="auto"/>
            <w:noWrap/>
            <w:vAlign w:val="center"/>
            <w:hideMark/>
          </w:tcPr>
          <w:p w14:paraId="0F485C63"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660D040D"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0.07 (0.23)</w:t>
            </w:r>
          </w:p>
        </w:tc>
        <w:tc>
          <w:tcPr>
            <w:tcW w:w="1316" w:type="dxa"/>
            <w:tcBorders>
              <w:top w:val="nil"/>
              <w:left w:val="nil"/>
              <w:bottom w:val="nil"/>
              <w:right w:val="single" w:sz="4" w:space="0" w:color="auto"/>
            </w:tcBorders>
            <w:shd w:val="clear" w:color="auto" w:fill="auto"/>
            <w:noWrap/>
            <w:vAlign w:val="center"/>
            <w:hideMark/>
          </w:tcPr>
          <w:p w14:paraId="1C61488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r>
      <w:tr w:rsidR="00313816" w:rsidRPr="005332D7" w14:paraId="09E9A5F0" w14:textId="77777777">
        <w:trPr>
          <w:trHeight w:val="300"/>
        </w:trPr>
        <w:tc>
          <w:tcPr>
            <w:tcW w:w="872" w:type="dxa"/>
            <w:vMerge/>
            <w:vAlign w:val="center"/>
            <w:hideMark/>
          </w:tcPr>
          <w:p w14:paraId="0F72665A"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single" w:sz="4" w:space="0" w:color="auto"/>
              <w:right w:val="single" w:sz="4" w:space="0" w:color="auto"/>
            </w:tcBorders>
            <w:shd w:val="clear" w:color="auto" w:fill="auto"/>
            <w:noWrap/>
            <w:vAlign w:val="center"/>
            <w:hideMark/>
          </w:tcPr>
          <w:p w14:paraId="32CD33E8"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Multiple treatment journeys</w:t>
            </w:r>
          </w:p>
        </w:tc>
        <w:tc>
          <w:tcPr>
            <w:tcW w:w="1316" w:type="dxa"/>
            <w:tcBorders>
              <w:top w:val="nil"/>
              <w:left w:val="nil"/>
              <w:bottom w:val="single" w:sz="4" w:space="0" w:color="auto"/>
              <w:right w:val="nil"/>
            </w:tcBorders>
            <w:shd w:val="clear" w:color="auto" w:fill="auto"/>
            <w:noWrap/>
            <w:vAlign w:val="center"/>
            <w:hideMark/>
          </w:tcPr>
          <w:p w14:paraId="054D216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0.13 (0.04)</w:t>
            </w:r>
          </w:p>
        </w:tc>
        <w:tc>
          <w:tcPr>
            <w:tcW w:w="1316" w:type="dxa"/>
            <w:tcBorders>
              <w:top w:val="nil"/>
              <w:left w:val="nil"/>
              <w:bottom w:val="single" w:sz="4" w:space="0" w:color="auto"/>
              <w:right w:val="single" w:sz="4" w:space="0" w:color="auto"/>
            </w:tcBorders>
            <w:shd w:val="clear" w:color="auto" w:fill="auto"/>
            <w:noWrap/>
            <w:vAlign w:val="center"/>
            <w:hideMark/>
          </w:tcPr>
          <w:p w14:paraId="7B062E6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single" w:sz="4" w:space="0" w:color="auto"/>
              <w:right w:val="nil"/>
            </w:tcBorders>
            <w:shd w:val="clear" w:color="auto" w:fill="auto"/>
            <w:noWrap/>
            <w:vAlign w:val="center"/>
            <w:hideMark/>
          </w:tcPr>
          <w:p w14:paraId="372EE6AE"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0.04 (0.98)</w:t>
            </w:r>
          </w:p>
        </w:tc>
        <w:tc>
          <w:tcPr>
            <w:tcW w:w="1316" w:type="dxa"/>
            <w:tcBorders>
              <w:top w:val="nil"/>
              <w:left w:val="nil"/>
              <w:bottom w:val="single" w:sz="4" w:space="0" w:color="auto"/>
              <w:right w:val="single" w:sz="4" w:space="0" w:color="auto"/>
            </w:tcBorders>
            <w:shd w:val="clear" w:color="auto" w:fill="auto"/>
            <w:noWrap/>
            <w:vAlign w:val="center"/>
            <w:hideMark/>
          </w:tcPr>
          <w:p w14:paraId="1D548325"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single" w:sz="4" w:space="0" w:color="auto"/>
              <w:right w:val="nil"/>
            </w:tcBorders>
            <w:shd w:val="clear" w:color="auto" w:fill="auto"/>
            <w:noWrap/>
            <w:vAlign w:val="center"/>
            <w:hideMark/>
          </w:tcPr>
          <w:p w14:paraId="4E37E56D"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0.09 (0.10)</w:t>
            </w:r>
          </w:p>
        </w:tc>
        <w:tc>
          <w:tcPr>
            <w:tcW w:w="1316" w:type="dxa"/>
            <w:tcBorders>
              <w:top w:val="nil"/>
              <w:left w:val="nil"/>
              <w:bottom w:val="single" w:sz="4" w:space="0" w:color="auto"/>
              <w:right w:val="single" w:sz="4" w:space="0" w:color="auto"/>
            </w:tcBorders>
            <w:shd w:val="clear" w:color="auto" w:fill="auto"/>
            <w:noWrap/>
            <w:vAlign w:val="center"/>
            <w:hideMark/>
          </w:tcPr>
          <w:p w14:paraId="51696F4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single" w:sz="4" w:space="0" w:color="auto"/>
              <w:right w:val="nil"/>
            </w:tcBorders>
            <w:shd w:val="clear" w:color="auto" w:fill="auto"/>
            <w:noWrap/>
            <w:vAlign w:val="center"/>
            <w:hideMark/>
          </w:tcPr>
          <w:p w14:paraId="54DEA0C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0.03 (1.00)</w:t>
            </w:r>
          </w:p>
        </w:tc>
        <w:tc>
          <w:tcPr>
            <w:tcW w:w="1316" w:type="dxa"/>
            <w:tcBorders>
              <w:top w:val="nil"/>
              <w:left w:val="nil"/>
              <w:bottom w:val="single" w:sz="4" w:space="0" w:color="auto"/>
              <w:right w:val="single" w:sz="4" w:space="0" w:color="auto"/>
            </w:tcBorders>
            <w:shd w:val="clear" w:color="auto" w:fill="auto"/>
            <w:noWrap/>
            <w:vAlign w:val="center"/>
            <w:hideMark/>
          </w:tcPr>
          <w:p w14:paraId="7BC9DB2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19928F04" w14:textId="77777777">
        <w:trPr>
          <w:trHeight w:val="300"/>
        </w:trPr>
        <w:tc>
          <w:tcPr>
            <w:tcW w:w="872" w:type="dxa"/>
            <w:vMerge w:val="restart"/>
            <w:tcBorders>
              <w:top w:val="nil"/>
              <w:left w:val="nil"/>
              <w:bottom w:val="single" w:sz="4" w:space="0" w:color="000000" w:themeColor="text1"/>
              <w:right w:val="nil"/>
            </w:tcBorders>
            <w:shd w:val="clear" w:color="auto" w:fill="auto"/>
            <w:noWrap/>
            <w:vAlign w:val="center"/>
            <w:hideMark/>
          </w:tcPr>
          <w:p w14:paraId="638FAD58"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Alcohol only</w:t>
            </w:r>
          </w:p>
        </w:tc>
        <w:tc>
          <w:tcPr>
            <w:tcW w:w="2910" w:type="dxa"/>
            <w:tcBorders>
              <w:top w:val="nil"/>
              <w:left w:val="nil"/>
              <w:bottom w:val="nil"/>
              <w:right w:val="single" w:sz="4" w:space="0" w:color="auto"/>
            </w:tcBorders>
            <w:shd w:val="clear" w:color="auto" w:fill="auto"/>
            <w:noWrap/>
            <w:vAlign w:val="center"/>
            <w:hideMark/>
          </w:tcPr>
          <w:p w14:paraId="19F9FBE9"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Aged 18-24</w:t>
            </w:r>
          </w:p>
        </w:tc>
        <w:tc>
          <w:tcPr>
            <w:tcW w:w="1316" w:type="dxa"/>
            <w:tcBorders>
              <w:top w:val="nil"/>
              <w:left w:val="nil"/>
              <w:bottom w:val="nil"/>
              <w:right w:val="nil"/>
            </w:tcBorders>
            <w:shd w:val="clear" w:color="auto" w:fill="auto"/>
            <w:noWrap/>
            <w:vAlign w:val="center"/>
            <w:hideMark/>
          </w:tcPr>
          <w:p w14:paraId="2641E58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0.05 (0.84)</w:t>
            </w:r>
          </w:p>
        </w:tc>
        <w:tc>
          <w:tcPr>
            <w:tcW w:w="1316" w:type="dxa"/>
            <w:tcBorders>
              <w:top w:val="nil"/>
              <w:left w:val="nil"/>
              <w:bottom w:val="nil"/>
              <w:right w:val="single" w:sz="4" w:space="0" w:color="auto"/>
            </w:tcBorders>
            <w:shd w:val="clear" w:color="auto" w:fill="auto"/>
            <w:noWrap/>
            <w:vAlign w:val="center"/>
            <w:hideMark/>
          </w:tcPr>
          <w:p w14:paraId="491005C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06BA5593"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0.03 (1.00)</w:t>
            </w:r>
          </w:p>
        </w:tc>
        <w:tc>
          <w:tcPr>
            <w:tcW w:w="1316" w:type="dxa"/>
            <w:tcBorders>
              <w:top w:val="nil"/>
              <w:left w:val="nil"/>
              <w:bottom w:val="nil"/>
              <w:right w:val="single" w:sz="4" w:space="0" w:color="auto"/>
            </w:tcBorders>
            <w:shd w:val="clear" w:color="auto" w:fill="auto"/>
            <w:noWrap/>
            <w:vAlign w:val="center"/>
            <w:hideMark/>
          </w:tcPr>
          <w:p w14:paraId="3571974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61C6804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0.05 (0.10)</w:t>
            </w:r>
          </w:p>
        </w:tc>
        <w:tc>
          <w:tcPr>
            <w:tcW w:w="1316" w:type="dxa"/>
            <w:tcBorders>
              <w:top w:val="nil"/>
              <w:left w:val="nil"/>
              <w:bottom w:val="nil"/>
              <w:right w:val="single" w:sz="4" w:space="0" w:color="auto"/>
            </w:tcBorders>
            <w:shd w:val="clear" w:color="auto" w:fill="auto"/>
            <w:noWrap/>
            <w:vAlign w:val="center"/>
            <w:hideMark/>
          </w:tcPr>
          <w:p w14:paraId="1734D235"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c>
          <w:tcPr>
            <w:tcW w:w="1316" w:type="dxa"/>
            <w:tcBorders>
              <w:top w:val="nil"/>
              <w:left w:val="nil"/>
              <w:bottom w:val="nil"/>
              <w:right w:val="nil"/>
            </w:tcBorders>
            <w:shd w:val="clear" w:color="auto" w:fill="auto"/>
            <w:noWrap/>
            <w:vAlign w:val="center"/>
            <w:hideMark/>
          </w:tcPr>
          <w:p w14:paraId="6070F2A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0.06 (0.80)</w:t>
            </w:r>
          </w:p>
        </w:tc>
        <w:tc>
          <w:tcPr>
            <w:tcW w:w="1316" w:type="dxa"/>
            <w:tcBorders>
              <w:top w:val="nil"/>
              <w:left w:val="nil"/>
              <w:bottom w:val="nil"/>
              <w:right w:val="single" w:sz="4" w:space="0" w:color="auto"/>
            </w:tcBorders>
            <w:shd w:val="clear" w:color="auto" w:fill="auto"/>
            <w:noWrap/>
            <w:vAlign w:val="center"/>
            <w:hideMark/>
          </w:tcPr>
          <w:p w14:paraId="6818C6E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r>
      <w:tr w:rsidR="00313816" w:rsidRPr="005332D7" w14:paraId="56F19D24" w14:textId="77777777">
        <w:trPr>
          <w:trHeight w:val="300"/>
        </w:trPr>
        <w:tc>
          <w:tcPr>
            <w:tcW w:w="872" w:type="dxa"/>
            <w:vMerge/>
            <w:vAlign w:val="center"/>
            <w:hideMark/>
          </w:tcPr>
          <w:p w14:paraId="268547CC"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6220318D"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Pregnant</w:t>
            </w:r>
          </w:p>
        </w:tc>
        <w:tc>
          <w:tcPr>
            <w:tcW w:w="1316" w:type="dxa"/>
            <w:tcBorders>
              <w:top w:val="nil"/>
              <w:left w:val="nil"/>
              <w:bottom w:val="nil"/>
              <w:right w:val="nil"/>
            </w:tcBorders>
            <w:shd w:val="clear" w:color="auto" w:fill="auto"/>
            <w:noWrap/>
            <w:vAlign w:val="center"/>
            <w:hideMark/>
          </w:tcPr>
          <w:p w14:paraId="0819E34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single" w:sz="4" w:space="0" w:color="auto"/>
            </w:tcBorders>
            <w:shd w:val="clear" w:color="auto" w:fill="auto"/>
            <w:noWrap/>
            <w:vAlign w:val="center"/>
            <w:hideMark/>
          </w:tcPr>
          <w:p w14:paraId="6430508A"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bottom"/>
            <w:hideMark/>
          </w:tcPr>
          <w:p w14:paraId="2C8E97C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c>
          <w:tcPr>
            <w:tcW w:w="1316" w:type="dxa"/>
            <w:tcBorders>
              <w:top w:val="nil"/>
              <w:left w:val="nil"/>
              <w:bottom w:val="nil"/>
              <w:right w:val="single" w:sz="4" w:space="0" w:color="auto"/>
            </w:tcBorders>
            <w:shd w:val="clear" w:color="auto" w:fill="auto"/>
            <w:noWrap/>
            <w:vAlign w:val="bottom"/>
            <w:hideMark/>
          </w:tcPr>
          <w:p w14:paraId="75605D8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c>
          <w:tcPr>
            <w:tcW w:w="1316" w:type="dxa"/>
            <w:tcBorders>
              <w:top w:val="nil"/>
              <w:left w:val="nil"/>
              <w:bottom w:val="nil"/>
              <w:right w:val="nil"/>
            </w:tcBorders>
            <w:shd w:val="clear" w:color="auto" w:fill="auto"/>
            <w:noWrap/>
            <w:vAlign w:val="center"/>
            <w:hideMark/>
          </w:tcPr>
          <w:p w14:paraId="0CF076B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0.04 (0.54)</w:t>
            </w:r>
          </w:p>
        </w:tc>
        <w:tc>
          <w:tcPr>
            <w:tcW w:w="1316" w:type="dxa"/>
            <w:tcBorders>
              <w:top w:val="nil"/>
              <w:left w:val="nil"/>
              <w:bottom w:val="nil"/>
              <w:right w:val="single" w:sz="4" w:space="0" w:color="auto"/>
            </w:tcBorders>
            <w:shd w:val="clear" w:color="auto" w:fill="auto"/>
            <w:noWrap/>
            <w:vAlign w:val="center"/>
            <w:hideMark/>
          </w:tcPr>
          <w:p w14:paraId="0006CB0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c>
          <w:tcPr>
            <w:tcW w:w="1316" w:type="dxa"/>
            <w:tcBorders>
              <w:top w:val="nil"/>
              <w:left w:val="nil"/>
              <w:bottom w:val="nil"/>
              <w:right w:val="nil"/>
            </w:tcBorders>
            <w:shd w:val="clear" w:color="auto" w:fill="auto"/>
            <w:noWrap/>
            <w:vAlign w:val="bottom"/>
            <w:hideMark/>
          </w:tcPr>
          <w:p w14:paraId="1FA6C99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c>
          <w:tcPr>
            <w:tcW w:w="1316" w:type="dxa"/>
            <w:tcBorders>
              <w:top w:val="nil"/>
              <w:left w:val="nil"/>
              <w:bottom w:val="nil"/>
              <w:right w:val="single" w:sz="4" w:space="0" w:color="auto"/>
            </w:tcBorders>
            <w:shd w:val="clear" w:color="auto" w:fill="auto"/>
            <w:noWrap/>
            <w:vAlign w:val="bottom"/>
            <w:hideMark/>
          </w:tcPr>
          <w:p w14:paraId="5C918D96"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w:t>
            </w:r>
          </w:p>
        </w:tc>
      </w:tr>
      <w:tr w:rsidR="00313816" w:rsidRPr="005332D7" w14:paraId="5C35C2DC" w14:textId="77777777">
        <w:trPr>
          <w:trHeight w:val="300"/>
        </w:trPr>
        <w:tc>
          <w:tcPr>
            <w:tcW w:w="872" w:type="dxa"/>
            <w:vMerge/>
            <w:vAlign w:val="center"/>
            <w:hideMark/>
          </w:tcPr>
          <w:p w14:paraId="0E264C44"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6E488C8A"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NEET</w:t>
            </w:r>
          </w:p>
        </w:tc>
        <w:tc>
          <w:tcPr>
            <w:tcW w:w="1316" w:type="dxa"/>
            <w:tcBorders>
              <w:top w:val="nil"/>
              <w:left w:val="nil"/>
              <w:bottom w:val="nil"/>
              <w:right w:val="nil"/>
            </w:tcBorders>
            <w:shd w:val="clear" w:color="auto" w:fill="auto"/>
            <w:noWrap/>
            <w:vAlign w:val="center"/>
            <w:hideMark/>
          </w:tcPr>
          <w:p w14:paraId="7044810B"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0.27 (0.00)</w:t>
            </w:r>
          </w:p>
        </w:tc>
        <w:tc>
          <w:tcPr>
            <w:tcW w:w="1316" w:type="dxa"/>
            <w:tcBorders>
              <w:top w:val="nil"/>
              <w:left w:val="nil"/>
              <w:bottom w:val="nil"/>
              <w:right w:val="single" w:sz="4" w:space="0" w:color="auto"/>
            </w:tcBorders>
            <w:shd w:val="clear" w:color="auto" w:fill="auto"/>
            <w:noWrap/>
            <w:vAlign w:val="center"/>
            <w:hideMark/>
          </w:tcPr>
          <w:p w14:paraId="0F17670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0FD83DE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0.22 (0.00)</w:t>
            </w:r>
          </w:p>
        </w:tc>
        <w:tc>
          <w:tcPr>
            <w:tcW w:w="1316" w:type="dxa"/>
            <w:tcBorders>
              <w:top w:val="nil"/>
              <w:left w:val="nil"/>
              <w:bottom w:val="nil"/>
              <w:right w:val="single" w:sz="4" w:space="0" w:color="auto"/>
            </w:tcBorders>
            <w:shd w:val="clear" w:color="auto" w:fill="auto"/>
            <w:noWrap/>
            <w:vAlign w:val="center"/>
            <w:hideMark/>
          </w:tcPr>
          <w:p w14:paraId="75CB8FE5"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0.03 (1.00)</w:t>
            </w:r>
          </w:p>
        </w:tc>
        <w:tc>
          <w:tcPr>
            <w:tcW w:w="1316" w:type="dxa"/>
            <w:tcBorders>
              <w:top w:val="nil"/>
              <w:left w:val="nil"/>
              <w:bottom w:val="nil"/>
              <w:right w:val="nil"/>
            </w:tcBorders>
            <w:shd w:val="clear" w:color="auto" w:fill="auto"/>
            <w:noWrap/>
            <w:vAlign w:val="center"/>
            <w:hideMark/>
          </w:tcPr>
          <w:p w14:paraId="1D5C4140"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0.19 (0.00)</w:t>
            </w:r>
          </w:p>
        </w:tc>
        <w:tc>
          <w:tcPr>
            <w:tcW w:w="1316" w:type="dxa"/>
            <w:tcBorders>
              <w:top w:val="nil"/>
              <w:left w:val="nil"/>
              <w:bottom w:val="nil"/>
              <w:right w:val="single" w:sz="4" w:space="0" w:color="auto"/>
            </w:tcBorders>
            <w:shd w:val="clear" w:color="auto" w:fill="auto"/>
            <w:noWrap/>
            <w:vAlign w:val="center"/>
            <w:hideMark/>
          </w:tcPr>
          <w:p w14:paraId="773FEDDE"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6A9551A3"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0.20 (0.00)</w:t>
            </w:r>
          </w:p>
        </w:tc>
        <w:tc>
          <w:tcPr>
            <w:tcW w:w="1316" w:type="dxa"/>
            <w:tcBorders>
              <w:top w:val="nil"/>
              <w:left w:val="nil"/>
              <w:bottom w:val="nil"/>
              <w:right w:val="single" w:sz="4" w:space="0" w:color="auto"/>
            </w:tcBorders>
            <w:shd w:val="clear" w:color="auto" w:fill="auto"/>
            <w:noWrap/>
            <w:vAlign w:val="center"/>
            <w:hideMark/>
          </w:tcPr>
          <w:p w14:paraId="7D69BAF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5D98EF29" w14:textId="77777777">
        <w:trPr>
          <w:trHeight w:val="300"/>
        </w:trPr>
        <w:tc>
          <w:tcPr>
            <w:tcW w:w="872" w:type="dxa"/>
            <w:vMerge/>
            <w:vAlign w:val="center"/>
            <w:hideMark/>
          </w:tcPr>
          <w:p w14:paraId="15814FF6"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1CE54246"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Housing problem</w:t>
            </w:r>
          </w:p>
        </w:tc>
        <w:tc>
          <w:tcPr>
            <w:tcW w:w="1316" w:type="dxa"/>
            <w:tcBorders>
              <w:top w:val="nil"/>
              <w:left w:val="nil"/>
              <w:bottom w:val="nil"/>
              <w:right w:val="nil"/>
            </w:tcBorders>
            <w:shd w:val="clear" w:color="auto" w:fill="auto"/>
            <w:noWrap/>
            <w:vAlign w:val="center"/>
            <w:hideMark/>
          </w:tcPr>
          <w:p w14:paraId="222C29D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0.04 (0.34)</w:t>
            </w:r>
          </w:p>
        </w:tc>
        <w:tc>
          <w:tcPr>
            <w:tcW w:w="1316" w:type="dxa"/>
            <w:tcBorders>
              <w:top w:val="nil"/>
              <w:left w:val="nil"/>
              <w:bottom w:val="nil"/>
              <w:right w:val="single" w:sz="4" w:space="0" w:color="auto"/>
            </w:tcBorders>
            <w:shd w:val="clear" w:color="auto" w:fill="auto"/>
            <w:noWrap/>
            <w:vAlign w:val="center"/>
            <w:hideMark/>
          </w:tcPr>
          <w:p w14:paraId="134E99C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496DBA8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0.05 (0.96)</w:t>
            </w:r>
          </w:p>
        </w:tc>
        <w:tc>
          <w:tcPr>
            <w:tcW w:w="1316" w:type="dxa"/>
            <w:tcBorders>
              <w:top w:val="nil"/>
              <w:left w:val="nil"/>
              <w:bottom w:val="nil"/>
              <w:right w:val="single" w:sz="4" w:space="0" w:color="auto"/>
            </w:tcBorders>
            <w:shd w:val="clear" w:color="auto" w:fill="auto"/>
            <w:noWrap/>
            <w:vAlign w:val="center"/>
            <w:hideMark/>
          </w:tcPr>
          <w:p w14:paraId="119AEF4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7FDAE6E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0.09 (0.00)</w:t>
            </w:r>
          </w:p>
        </w:tc>
        <w:tc>
          <w:tcPr>
            <w:tcW w:w="1316" w:type="dxa"/>
            <w:tcBorders>
              <w:top w:val="nil"/>
              <w:left w:val="nil"/>
              <w:bottom w:val="nil"/>
              <w:right w:val="single" w:sz="4" w:space="0" w:color="auto"/>
            </w:tcBorders>
            <w:shd w:val="clear" w:color="auto" w:fill="auto"/>
            <w:noWrap/>
            <w:vAlign w:val="center"/>
            <w:hideMark/>
          </w:tcPr>
          <w:p w14:paraId="0BDA651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c>
          <w:tcPr>
            <w:tcW w:w="1316" w:type="dxa"/>
            <w:tcBorders>
              <w:top w:val="nil"/>
              <w:left w:val="nil"/>
              <w:bottom w:val="nil"/>
              <w:right w:val="nil"/>
            </w:tcBorders>
            <w:shd w:val="clear" w:color="auto" w:fill="auto"/>
            <w:noWrap/>
            <w:vAlign w:val="center"/>
            <w:hideMark/>
          </w:tcPr>
          <w:p w14:paraId="546536BD"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0.14 (0.01)</w:t>
            </w:r>
          </w:p>
        </w:tc>
        <w:tc>
          <w:tcPr>
            <w:tcW w:w="1316" w:type="dxa"/>
            <w:tcBorders>
              <w:top w:val="nil"/>
              <w:left w:val="nil"/>
              <w:bottom w:val="nil"/>
              <w:right w:val="single" w:sz="4" w:space="0" w:color="auto"/>
            </w:tcBorders>
            <w:shd w:val="clear" w:color="auto" w:fill="auto"/>
            <w:noWrap/>
            <w:vAlign w:val="center"/>
            <w:hideMark/>
          </w:tcPr>
          <w:p w14:paraId="49F1D583"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30233C6B" w14:textId="77777777">
        <w:trPr>
          <w:trHeight w:val="300"/>
        </w:trPr>
        <w:tc>
          <w:tcPr>
            <w:tcW w:w="872" w:type="dxa"/>
            <w:vMerge/>
            <w:vAlign w:val="center"/>
            <w:hideMark/>
          </w:tcPr>
          <w:p w14:paraId="4F1BD94D"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7A6C3DE7"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Mental health treatment need</w:t>
            </w:r>
          </w:p>
        </w:tc>
        <w:tc>
          <w:tcPr>
            <w:tcW w:w="1316" w:type="dxa"/>
            <w:tcBorders>
              <w:top w:val="nil"/>
              <w:left w:val="nil"/>
              <w:bottom w:val="nil"/>
              <w:right w:val="nil"/>
            </w:tcBorders>
            <w:shd w:val="clear" w:color="auto" w:fill="auto"/>
            <w:noWrap/>
            <w:vAlign w:val="center"/>
            <w:hideMark/>
          </w:tcPr>
          <w:p w14:paraId="258FCC7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0.04 (0.21)</w:t>
            </w:r>
          </w:p>
        </w:tc>
        <w:tc>
          <w:tcPr>
            <w:tcW w:w="1316" w:type="dxa"/>
            <w:tcBorders>
              <w:top w:val="nil"/>
              <w:left w:val="nil"/>
              <w:bottom w:val="nil"/>
              <w:right w:val="single" w:sz="4" w:space="0" w:color="auto"/>
            </w:tcBorders>
            <w:shd w:val="clear" w:color="auto" w:fill="auto"/>
            <w:noWrap/>
            <w:vAlign w:val="center"/>
            <w:hideMark/>
          </w:tcPr>
          <w:p w14:paraId="18A2D8E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3A67E53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0.11 (0.06)</w:t>
            </w:r>
          </w:p>
        </w:tc>
        <w:tc>
          <w:tcPr>
            <w:tcW w:w="1316" w:type="dxa"/>
            <w:tcBorders>
              <w:top w:val="nil"/>
              <w:left w:val="nil"/>
              <w:bottom w:val="nil"/>
              <w:right w:val="single" w:sz="4" w:space="0" w:color="auto"/>
            </w:tcBorders>
            <w:shd w:val="clear" w:color="auto" w:fill="auto"/>
            <w:noWrap/>
            <w:vAlign w:val="center"/>
            <w:hideMark/>
          </w:tcPr>
          <w:p w14:paraId="3ED0696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5C67B39C"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0.14 (0.00)</w:t>
            </w:r>
          </w:p>
        </w:tc>
        <w:tc>
          <w:tcPr>
            <w:tcW w:w="1316" w:type="dxa"/>
            <w:tcBorders>
              <w:top w:val="nil"/>
              <w:left w:val="nil"/>
              <w:bottom w:val="nil"/>
              <w:right w:val="single" w:sz="4" w:space="0" w:color="auto"/>
            </w:tcBorders>
            <w:shd w:val="clear" w:color="auto" w:fill="auto"/>
            <w:noWrap/>
            <w:vAlign w:val="center"/>
            <w:hideMark/>
          </w:tcPr>
          <w:p w14:paraId="11624DCD"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034F7B0E"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0.11 (0.35)</w:t>
            </w:r>
          </w:p>
        </w:tc>
        <w:tc>
          <w:tcPr>
            <w:tcW w:w="1316" w:type="dxa"/>
            <w:tcBorders>
              <w:top w:val="nil"/>
              <w:left w:val="nil"/>
              <w:bottom w:val="nil"/>
              <w:right w:val="single" w:sz="4" w:space="0" w:color="auto"/>
            </w:tcBorders>
            <w:shd w:val="clear" w:color="auto" w:fill="auto"/>
            <w:noWrap/>
            <w:vAlign w:val="center"/>
            <w:hideMark/>
          </w:tcPr>
          <w:p w14:paraId="1B3089CD"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46067D79" w14:textId="77777777">
        <w:trPr>
          <w:trHeight w:val="300"/>
        </w:trPr>
        <w:tc>
          <w:tcPr>
            <w:tcW w:w="872" w:type="dxa"/>
            <w:vMerge/>
            <w:vAlign w:val="center"/>
            <w:hideMark/>
          </w:tcPr>
          <w:p w14:paraId="52D18F2A"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nil"/>
              <w:right w:val="single" w:sz="4" w:space="0" w:color="auto"/>
            </w:tcBorders>
            <w:shd w:val="clear" w:color="auto" w:fill="auto"/>
            <w:noWrap/>
            <w:vAlign w:val="center"/>
            <w:hideMark/>
          </w:tcPr>
          <w:p w14:paraId="4C6E243C"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Criminal justice referral</w:t>
            </w:r>
          </w:p>
        </w:tc>
        <w:tc>
          <w:tcPr>
            <w:tcW w:w="1316" w:type="dxa"/>
            <w:tcBorders>
              <w:top w:val="nil"/>
              <w:left w:val="nil"/>
              <w:bottom w:val="nil"/>
              <w:right w:val="nil"/>
            </w:tcBorders>
            <w:shd w:val="clear" w:color="auto" w:fill="auto"/>
            <w:noWrap/>
            <w:vAlign w:val="center"/>
            <w:hideMark/>
          </w:tcPr>
          <w:p w14:paraId="3870F3CE"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0.03 (1.00)</w:t>
            </w:r>
          </w:p>
        </w:tc>
        <w:tc>
          <w:tcPr>
            <w:tcW w:w="1316" w:type="dxa"/>
            <w:tcBorders>
              <w:top w:val="nil"/>
              <w:left w:val="nil"/>
              <w:bottom w:val="nil"/>
              <w:right w:val="single" w:sz="4" w:space="0" w:color="auto"/>
            </w:tcBorders>
            <w:shd w:val="clear" w:color="auto" w:fill="auto"/>
            <w:noWrap/>
            <w:vAlign w:val="center"/>
            <w:hideMark/>
          </w:tcPr>
          <w:p w14:paraId="6045EFCA"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nil"/>
            </w:tcBorders>
            <w:shd w:val="clear" w:color="auto" w:fill="auto"/>
            <w:noWrap/>
            <w:vAlign w:val="center"/>
            <w:hideMark/>
          </w:tcPr>
          <w:p w14:paraId="760CFCEF"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0.02 (1.00)</w:t>
            </w:r>
          </w:p>
        </w:tc>
        <w:tc>
          <w:tcPr>
            <w:tcW w:w="1316" w:type="dxa"/>
            <w:tcBorders>
              <w:top w:val="nil"/>
              <w:left w:val="nil"/>
              <w:bottom w:val="nil"/>
              <w:right w:val="single" w:sz="4" w:space="0" w:color="auto"/>
            </w:tcBorders>
            <w:shd w:val="clear" w:color="auto" w:fill="auto"/>
            <w:noWrap/>
            <w:vAlign w:val="center"/>
            <w:hideMark/>
          </w:tcPr>
          <w:p w14:paraId="6B5053E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nil"/>
              <w:right w:val="nil"/>
            </w:tcBorders>
            <w:shd w:val="clear" w:color="auto" w:fill="auto"/>
            <w:noWrap/>
            <w:vAlign w:val="center"/>
            <w:hideMark/>
          </w:tcPr>
          <w:p w14:paraId="03AEF71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0.05 (0.31)</w:t>
            </w:r>
          </w:p>
        </w:tc>
        <w:tc>
          <w:tcPr>
            <w:tcW w:w="1316" w:type="dxa"/>
            <w:tcBorders>
              <w:top w:val="nil"/>
              <w:left w:val="nil"/>
              <w:bottom w:val="nil"/>
              <w:right w:val="single" w:sz="4" w:space="0" w:color="auto"/>
            </w:tcBorders>
            <w:shd w:val="clear" w:color="auto" w:fill="auto"/>
            <w:noWrap/>
            <w:vAlign w:val="center"/>
            <w:hideMark/>
          </w:tcPr>
          <w:p w14:paraId="6A492BA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0.00 (1.00)</w:t>
            </w:r>
          </w:p>
        </w:tc>
        <w:tc>
          <w:tcPr>
            <w:tcW w:w="1316" w:type="dxa"/>
            <w:tcBorders>
              <w:top w:val="nil"/>
              <w:left w:val="nil"/>
              <w:bottom w:val="nil"/>
              <w:right w:val="nil"/>
            </w:tcBorders>
            <w:shd w:val="clear" w:color="auto" w:fill="auto"/>
            <w:noWrap/>
            <w:vAlign w:val="center"/>
            <w:hideMark/>
          </w:tcPr>
          <w:p w14:paraId="141C95C4"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0.10 (0.06)</w:t>
            </w:r>
          </w:p>
        </w:tc>
        <w:tc>
          <w:tcPr>
            <w:tcW w:w="1316" w:type="dxa"/>
            <w:tcBorders>
              <w:top w:val="nil"/>
              <w:left w:val="nil"/>
              <w:bottom w:val="nil"/>
              <w:right w:val="single" w:sz="4" w:space="0" w:color="auto"/>
            </w:tcBorders>
            <w:shd w:val="clear" w:color="auto" w:fill="auto"/>
            <w:noWrap/>
            <w:vAlign w:val="center"/>
            <w:hideMark/>
          </w:tcPr>
          <w:p w14:paraId="27AA297E"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r w:rsidR="00313816" w:rsidRPr="005332D7" w14:paraId="55FDDE01" w14:textId="77777777">
        <w:trPr>
          <w:trHeight w:val="300"/>
        </w:trPr>
        <w:tc>
          <w:tcPr>
            <w:tcW w:w="872" w:type="dxa"/>
            <w:vMerge/>
            <w:vAlign w:val="center"/>
            <w:hideMark/>
          </w:tcPr>
          <w:p w14:paraId="0208555D" w14:textId="77777777" w:rsidR="00313816" w:rsidRPr="005332D7" w:rsidRDefault="00313816">
            <w:pPr>
              <w:rPr>
                <w:rFonts w:eastAsia="Times New Roman" w:cs="Arial"/>
                <w:color w:val="000000"/>
                <w:sz w:val="20"/>
                <w:szCs w:val="20"/>
                <w:lang w:eastAsia="en-GB"/>
              </w:rPr>
            </w:pPr>
          </w:p>
        </w:tc>
        <w:tc>
          <w:tcPr>
            <w:tcW w:w="2910" w:type="dxa"/>
            <w:tcBorders>
              <w:top w:val="nil"/>
              <w:left w:val="nil"/>
              <w:bottom w:val="single" w:sz="4" w:space="0" w:color="auto"/>
              <w:right w:val="single" w:sz="4" w:space="0" w:color="auto"/>
            </w:tcBorders>
            <w:shd w:val="clear" w:color="auto" w:fill="auto"/>
            <w:noWrap/>
            <w:vAlign w:val="center"/>
            <w:hideMark/>
          </w:tcPr>
          <w:p w14:paraId="14BF926D" w14:textId="77777777" w:rsidR="00313816" w:rsidRPr="005332D7" w:rsidRDefault="00313816">
            <w:pPr>
              <w:rPr>
                <w:rFonts w:eastAsia="Times New Roman" w:cs="Arial"/>
                <w:color w:val="000000"/>
                <w:sz w:val="20"/>
                <w:szCs w:val="20"/>
                <w:lang w:eastAsia="en-GB"/>
              </w:rPr>
            </w:pPr>
            <w:r w:rsidRPr="005332D7">
              <w:rPr>
                <w:rFonts w:eastAsia="Times New Roman" w:cs="Arial"/>
                <w:color w:val="000000"/>
                <w:sz w:val="20"/>
                <w:szCs w:val="20"/>
                <w:lang w:eastAsia="en-GB"/>
              </w:rPr>
              <w:t>Multiple treatment journeys</w:t>
            </w:r>
          </w:p>
        </w:tc>
        <w:tc>
          <w:tcPr>
            <w:tcW w:w="1316" w:type="dxa"/>
            <w:tcBorders>
              <w:top w:val="nil"/>
              <w:left w:val="nil"/>
              <w:bottom w:val="single" w:sz="4" w:space="0" w:color="auto"/>
              <w:right w:val="nil"/>
            </w:tcBorders>
            <w:shd w:val="clear" w:color="auto" w:fill="auto"/>
            <w:noWrap/>
            <w:vAlign w:val="center"/>
            <w:hideMark/>
          </w:tcPr>
          <w:p w14:paraId="14611793"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0.06 (0.18)</w:t>
            </w:r>
          </w:p>
        </w:tc>
        <w:tc>
          <w:tcPr>
            <w:tcW w:w="1316" w:type="dxa"/>
            <w:tcBorders>
              <w:top w:val="nil"/>
              <w:left w:val="nil"/>
              <w:bottom w:val="single" w:sz="4" w:space="0" w:color="auto"/>
              <w:right w:val="single" w:sz="4" w:space="0" w:color="auto"/>
            </w:tcBorders>
            <w:shd w:val="clear" w:color="auto" w:fill="auto"/>
            <w:noWrap/>
            <w:vAlign w:val="center"/>
            <w:hideMark/>
          </w:tcPr>
          <w:p w14:paraId="6BD220D1"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single" w:sz="4" w:space="0" w:color="auto"/>
              <w:right w:val="nil"/>
            </w:tcBorders>
            <w:shd w:val="clear" w:color="auto" w:fill="auto"/>
            <w:noWrap/>
            <w:vAlign w:val="center"/>
            <w:hideMark/>
          </w:tcPr>
          <w:p w14:paraId="7741D787"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0.12 (0.53)</w:t>
            </w:r>
          </w:p>
        </w:tc>
        <w:tc>
          <w:tcPr>
            <w:tcW w:w="1316" w:type="dxa"/>
            <w:tcBorders>
              <w:top w:val="nil"/>
              <w:left w:val="nil"/>
              <w:bottom w:val="single" w:sz="4" w:space="0" w:color="auto"/>
              <w:right w:val="single" w:sz="4" w:space="0" w:color="auto"/>
            </w:tcBorders>
            <w:shd w:val="clear" w:color="auto" w:fill="auto"/>
            <w:noWrap/>
            <w:vAlign w:val="center"/>
            <w:hideMark/>
          </w:tcPr>
          <w:p w14:paraId="33F63B9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0.09 (0.98)</w:t>
            </w:r>
          </w:p>
        </w:tc>
        <w:tc>
          <w:tcPr>
            <w:tcW w:w="1316" w:type="dxa"/>
            <w:tcBorders>
              <w:top w:val="nil"/>
              <w:left w:val="nil"/>
              <w:bottom w:val="single" w:sz="4" w:space="0" w:color="auto"/>
              <w:right w:val="nil"/>
            </w:tcBorders>
            <w:shd w:val="clear" w:color="auto" w:fill="auto"/>
            <w:noWrap/>
            <w:vAlign w:val="center"/>
            <w:hideMark/>
          </w:tcPr>
          <w:p w14:paraId="08582EAD"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0.11 (0.02)</w:t>
            </w:r>
          </w:p>
        </w:tc>
        <w:tc>
          <w:tcPr>
            <w:tcW w:w="1316" w:type="dxa"/>
            <w:tcBorders>
              <w:top w:val="nil"/>
              <w:left w:val="nil"/>
              <w:bottom w:val="single" w:sz="4" w:space="0" w:color="auto"/>
              <w:right w:val="single" w:sz="4" w:space="0" w:color="auto"/>
            </w:tcBorders>
            <w:shd w:val="clear" w:color="auto" w:fill="auto"/>
            <w:noWrap/>
            <w:vAlign w:val="center"/>
            <w:hideMark/>
          </w:tcPr>
          <w:p w14:paraId="3A036622"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c>
          <w:tcPr>
            <w:tcW w:w="1316" w:type="dxa"/>
            <w:tcBorders>
              <w:top w:val="nil"/>
              <w:left w:val="nil"/>
              <w:bottom w:val="single" w:sz="4" w:space="0" w:color="auto"/>
              <w:right w:val="nil"/>
            </w:tcBorders>
            <w:shd w:val="clear" w:color="auto" w:fill="auto"/>
            <w:noWrap/>
            <w:vAlign w:val="center"/>
            <w:hideMark/>
          </w:tcPr>
          <w:p w14:paraId="2F72048A"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0.11 (0.16)</w:t>
            </w:r>
          </w:p>
        </w:tc>
        <w:tc>
          <w:tcPr>
            <w:tcW w:w="1316" w:type="dxa"/>
            <w:tcBorders>
              <w:top w:val="nil"/>
              <w:left w:val="nil"/>
              <w:bottom w:val="single" w:sz="4" w:space="0" w:color="auto"/>
              <w:right w:val="single" w:sz="4" w:space="0" w:color="auto"/>
            </w:tcBorders>
            <w:shd w:val="clear" w:color="auto" w:fill="auto"/>
            <w:noWrap/>
            <w:vAlign w:val="center"/>
            <w:hideMark/>
          </w:tcPr>
          <w:p w14:paraId="4424E1F9" w14:textId="77777777" w:rsidR="00313816" w:rsidRPr="005332D7" w:rsidRDefault="00313816">
            <w:pPr>
              <w:jc w:val="center"/>
              <w:rPr>
                <w:rFonts w:eastAsia="Times New Roman" w:cs="Arial"/>
                <w:color w:val="000000"/>
                <w:sz w:val="20"/>
                <w:szCs w:val="20"/>
                <w:lang w:eastAsia="en-GB"/>
              </w:rPr>
            </w:pPr>
            <w:r w:rsidRPr="005332D7">
              <w:rPr>
                <w:rFonts w:eastAsia="Times New Roman" w:cs="Arial"/>
                <w:color w:val="000000"/>
                <w:sz w:val="20"/>
                <w:szCs w:val="20"/>
                <w:lang w:eastAsia="en-GB"/>
              </w:rPr>
              <w:t>0.01 (1.00)</w:t>
            </w:r>
          </w:p>
        </w:tc>
      </w:tr>
    </w:tbl>
    <w:p w14:paraId="764565FC" w14:textId="258EB436" w:rsidR="00313816" w:rsidRDefault="00313816" w:rsidP="00E9702F">
      <w:pPr>
        <w:pStyle w:val="Caption"/>
        <w:ind w:left="1440" w:hanging="1440"/>
        <w:rPr>
          <w:b w:val="0"/>
          <w:bCs w:val="0"/>
          <w:i/>
          <w:iCs/>
          <w:color w:val="auto"/>
          <w:sz w:val="24"/>
          <w:szCs w:val="24"/>
        </w:rPr>
      </w:pPr>
      <w:bookmarkStart w:id="113" w:name="_Ref177144436"/>
      <w:bookmarkStart w:id="114" w:name="_Toc185844998"/>
      <w:r w:rsidRPr="000E59CB">
        <w:rPr>
          <w:b w:val="0"/>
          <w:bCs w:val="0"/>
          <w:i/>
          <w:iCs/>
          <w:color w:val="auto"/>
          <w:sz w:val="24"/>
          <w:szCs w:val="24"/>
        </w:rPr>
        <w:lastRenderedPageBreak/>
        <w:t xml:space="preserve">Table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4.4</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3</w:t>
      </w:r>
      <w:r w:rsidR="00367870">
        <w:rPr>
          <w:b w:val="0"/>
          <w:bCs w:val="0"/>
          <w:i/>
          <w:iCs/>
          <w:color w:val="auto"/>
          <w:sz w:val="24"/>
          <w:szCs w:val="24"/>
        </w:rPr>
        <w:fldChar w:fldCharType="end"/>
      </w:r>
      <w:bookmarkEnd w:id="113"/>
      <w:r w:rsidR="000E59CB" w:rsidRPr="000E59CB">
        <w:rPr>
          <w:b w:val="0"/>
          <w:bCs w:val="0"/>
          <w:i/>
          <w:iCs/>
          <w:color w:val="auto"/>
          <w:sz w:val="24"/>
          <w:szCs w:val="24"/>
        </w:rPr>
        <w:tab/>
      </w:r>
      <w:r w:rsidRPr="000E59CB">
        <w:rPr>
          <w:b w:val="0"/>
          <w:bCs w:val="0"/>
          <w:i/>
          <w:iCs/>
          <w:color w:val="auto"/>
          <w:sz w:val="24"/>
          <w:szCs w:val="24"/>
        </w:rPr>
        <w:t>Estimating probability of successful completion as the dependent variable to estimate average treatment effect (ATE) and odds ratios (ORs) (n=</w:t>
      </w:r>
      <w:r w:rsidR="00B97B66">
        <w:rPr>
          <w:b w:val="0"/>
          <w:bCs w:val="0"/>
          <w:i/>
          <w:iCs/>
          <w:color w:val="auto"/>
          <w:sz w:val="24"/>
          <w:szCs w:val="24"/>
        </w:rPr>
        <w:t>48,169</w:t>
      </w:r>
      <w:r w:rsidRPr="000E59CB">
        <w:rPr>
          <w:b w:val="0"/>
          <w:bCs w:val="0"/>
          <w:i/>
          <w:iCs/>
          <w:color w:val="auto"/>
          <w:sz w:val="24"/>
          <w:szCs w:val="24"/>
        </w:rPr>
        <w:t>;ESS=</w:t>
      </w:r>
      <w:r w:rsidR="00B97B66">
        <w:rPr>
          <w:b w:val="0"/>
          <w:bCs w:val="0"/>
          <w:i/>
          <w:iCs/>
          <w:color w:val="auto"/>
          <w:sz w:val="24"/>
          <w:szCs w:val="24"/>
        </w:rPr>
        <w:t>47,047</w:t>
      </w:r>
      <w:r w:rsidRPr="000E59CB">
        <w:rPr>
          <w:b w:val="0"/>
          <w:bCs w:val="0"/>
          <w:i/>
          <w:iCs/>
          <w:color w:val="auto"/>
          <w:sz w:val="24"/>
          <w:szCs w:val="24"/>
        </w:rPr>
        <w:t>)</w:t>
      </w:r>
      <w:bookmarkEnd w:id="114"/>
    </w:p>
    <w:p w14:paraId="4947A99E" w14:textId="77777777" w:rsidR="00D749E8" w:rsidRPr="00D749E8" w:rsidRDefault="00D749E8" w:rsidP="00D749E8"/>
    <w:tbl>
      <w:tblPr>
        <w:tblW w:w="4774" w:type="pct"/>
        <w:tblLayout w:type="fixed"/>
        <w:tblLook w:val="04A0" w:firstRow="1" w:lastRow="0" w:firstColumn="1" w:lastColumn="0" w:noHBand="0" w:noVBand="1"/>
      </w:tblPr>
      <w:tblGrid>
        <w:gridCol w:w="1415"/>
        <w:gridCol w:w="1146"/>
        <w:gridCol w:w="709"/>
        <w:gridCol w:w="2689"/>
        <w:gridCol w:w="712"/>
        <w:gridCol w:w="989"/>
        <w:gridCol w:w="1133"/>
        <w:gridCol w:w="850"/>
        <w:gridCol w:w="1562"/>
        <w:gridCol w:w="989"/>
        <w:gridCol w:w="1133"/>
      </w:tblGrid>
      <w:tr w:rsidR="00313816" w:rsidRPr="00F338A4" w14:paraId="5F829375" w14:textId="77777777" w:rsidTr="003C060B">
        <w:trPr>
          <w:cantSplit/>
          <w:trHeight w:val="1120"/>
          <w:tblHeader/>
        </w:trPr>
        <w:tc>
          <w:tcPr>
            <w:tcW w:w="531" w:type="pct"/>
            <w:tcBorders>
              <w:bottom w:val="single" w:sz="4" w:space="0" w:color="auto"/>
            </w:tcBorders>
            <w:shd w:val="clear" w:color="auto" w:fill="auto"/>
            <w:vAlign w:val="center"/>
            <w:hideMark/>
          </w:tcPr>
          <w:p w14:paraId="5F667E0A"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Sex and c</w:t>
            </w:r>
            <w:r w:rsidRPr="00F338A4">
              <w:rPr>
                <w:rFonts w:eastAsia="Times New Roman" w:cs="Arial"/>
                <w:color w:val="000000"/>
                <w:sz w:val="18"/>
                <w:szCs w:val="18"/>
                <w:lang w:eastAsia="en-GB"/>
              </w:rPr>
              <w:t>hild living arrangements</w:t>
            </w:r>
          </w:p>
        </w:tc>
        <w:tc>
          <w:tcPr>
            <w:tcW w:w="430" w:type="pct"/>
            <w:tcBorders>
              <w:bottom w:val="single" w:sz="4" w:space="0" w:color="auto"/>
            </w:tcBorders>
            <w:shd w:val="clear" w:color="auto" w:fill="auto"/>
            <w:vAlign w:val="center"/>
            <w:hideMark/>
          </w:tcPr>
          <w:p w14:paraId="79FE2B75" w14:textId="77777777" w:rsidR="00313816" w:rsidRPr="00F338A4" w:rsidRDefault="00313816">
            <w:pPr>
              <w:rPr>
                <w:rFonts w:eastAsia="Times New Roman" w:cs="Arial"/>
                <w:color w:val="000000"/>
                <w:sz w:val="18"/>
                <w:szCs w:val="18"/>
                <w:lang w:eastAsia="en-GB"/>
              </w:rPr>
            </w:pPr>
            <w:r w:rsidRPr="00F338A4">
              <w:rPr>
                <w:rFonts w:eastAsia="Times New Roman" w:cs="Arial"/>
                <w:color w:val="000000"/>
                <w:sz w:val="18"/>
                <w:szCs w:val="18"/>
                <w:lang w:eastAsia="en-GB"/>
              </w:rPr>
              <w:t>Substance</w:t>
            </w:r>
          </w:p>
        </w:tc>
        <w:tc>
          <w:tcPr>
            <w:tcW w:w="266" w:type="pct"/>
            <w:tcBorders>
              <w:bottom w:val="single" w:sz="4" w:space="0" w:color="auto"/>
              <w:right w:val="single" w:sz="4" w:space="0" w:color="auto"/>
            </w:tcBorders>
            <w:vAlign w:val="center"/>
          </w:tcPr>
          <w:p w14:paraId="26D621F0"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Sub-group</w:t>
            </w:r>
          </w:p>
        </w:tc>
        <w:tc>
          <w:tcPr>
            <w:tcW w:w="1009" w:type="pct"/>
            <w:tcBorders>
              <w:left w:val="single" w:sz="4" w:space="0" w:color="auto"/>
              <w:bottom w:val="single" w:sz="4" w:space="0" w:color="auto"/>
            </w:tcBorders>
            <w:shd w:val="clear" w:color="auto" w:fill="auto"/>
            <w:vAlign w:val="center"/>
            <w:hideMark/>
          </w:tcPr>
          <w:p w14:paraId="7FE0C688" w14:textId="77777777" w:rsidR="00313816" w:rsidRPr="00F338A4" w:rsidRDefault="00313816">
            <w:pPr>
              <w:rPr>
                <w:rFonts w:eastAsia="Times New Roman" w:cs="Arial"/>
                <w:color w:val="000000"/>
                <w:sz w:val="18"/>
                <w:szCs w:val="18"/>
                <w:lang w:eastAsia="en-GB"/>
              </w:rPr>
            </w:pPr>
            <w:r w:rsidRPr="00F338A4">
              <w:rPr>
                <w:rFonts w:eastAsia="Times New Roman" w:cs="Arial"/>
                <w:color w:val="000000"/>
                <w:sz w:val="18"/>
                <w:szCs w:val="18"/>
                <w:lang w:eastAsia="en-GB"/>
              </w:rPr>
              <w:t>Strategy</w:t>
            </w:r>
          </w:p>
        </w:tc>
        <w:tc>
          <w:tcPr>
            <w:tcW w:w="267" w:type="pct"/>
            <w:tcBorders>
              <w:bottom w:val="single" w:sz="4" w:space="0" w:color="auto"/>
            </w:tcBorders>
            <w:shd w:val="clear" w:color="auto" w:fill="auto"/>
            <w:vAlign w:val="center"/>
            <w:hideMark/>
          </w:tcPr>
          <w:p w14:paraId="6D2D4125"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N</w:t>
            </w:r>
          </w:p>
        </w:tc>
        <w:tc>
          <w:tcPr>
            <w:tcW w:w="371" w:type="pct"/>
            <w:tcBorders>
              <w:bottom w:val="single" w:sz="4" w:space="0" w:color="auto"/>
            </w:tcBorders>
            <w:shd w:val="clear" w:color="auto" w:fill="auto"/>
            <w:vAlign w:val="center"/>
            <w:hideMark/>
          </w:tcPr>
          <w:p w14:paraId="7C291E7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Effective sample size (mean)</w:t>
            </w:r>
          </w:p>
        </w:tc>
        <w:tc>
          <w:tcPr>
            <w:tcW w:w="425" w:type="pct"/>
            <w:tcBorders>
              <w:bottom w:val="single" w:sz="4" w:space="0" w:color="auto"/>
            </w:tcBorders>
            <w:shd w:val="clear" w:color="auto" w:fill="auto"/>
            <w:vAlign w:val="center"/>
            <w:hideMark/>
          </w:tcPr>
          <w:p w14:paraId="5082254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Estimated outcome (%)</w:t>
            </w:r>
          </w:p>
        </w:tc>
        <w:tc>
          <w:tcPr>
            <w:tcW w:w="319" w:type="pct"/>
            <w:tcBorders>
              <w:bottom w:val="single" w:sz="4" w:space="0" w:color="auto"/>
            </w:tcBorders>
            <w:shd w:val="clear" w:color="auto" w:fill="auto"/>
            <w:vAlign w:val="center"/>
            <w:hideMark/>
          </w:tcPr>
          <w:p w14:paraId="2BDCE63E"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ATE</w:t>
            </w:r>
          </w:p>
        </w:tc>
        <w:tc>
          <w:tcPr>
            <w:tcW w:w="586" w:type="pct"/>
            <w:tcBorders>
              <w:bottom w:val="single" w:sz="4" w:space="0" w:color="auto"/>
            </w:tcBorders>
            <w:shd w:val="clear" w:color="auto" w:fill="auto"/>
            <w:vAlign w:val="center"/>
            <w:hideMark/>
          </w:tcPr>
          <w:p w14:paraId="54799D02"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OR (95% CI)</w:t>
            </w:r>
          </w:p>
        </w:tc>
        <w:tc>
          <w:tcPr>
            <w:tcW w:w="371" w:type="pct"/>
            <w:tcBorders>
              <w:bottom w:val="single" w:sz="4" w:space="0" w:color="auto"/>
            </w:tcBorders>
            <w:shd w:val="clear" w:color="auto" w:fill="auto"/>
            <w:vAlign w:val="center"/>
            <w:hideMark/>
          </w:tcPr>
          <w:p w14:paraId="58893050"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Sig</w:t>
            </w:r>
          </w:p>
        </w:tc>
        <w:tc>
          <w:tcPr>
            <w:tcW w:w="425" w:type="pct"/>
            <w:tcBorders>
              <w:bottom w:val="single" w:sz="4" w:space="0" w:color="auto"/>
            </w:tcBorders>
            <w:shd w:val="clear" w:color="auto" w:fill="auto"/>
            <w:vAlign w:val="center"/>
            <w:hideMark/>
          </w:tcPr>
          <w:p w14:paraId="220F5E0E" w14:textId="77777777" w:rsidR="00313816"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 xml:space="preserve">E-value </w:t>
            </w:r>
          </w:p>
          <w:p w14:paraId="429815A1"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(CI limit)</w:t>
            </w:r>
          </w:p>
        </w:tc>
      </w:tr>
      <w:tr w:rsidR="00313816" w:rsidRPr="00F338A4" w14:paraId="4BA4B730" w14:textId="77777777" w:rsidTr="003C060B">
        <w:trPr>
          <w:trHeight w:hRule="exact" w:val="289"/>
        </w:trPr>
        <w:tc>
          <w:tcPr>
            <w:tcW w:w="531" w:type="pct"/>
            <w:vMerge w:val="restart"/>
            <w:tcBorders>
              <w:top w:val="single" w:sz="4" w:space="0" w:color="auto"/>
            </w:tcBorders>
            <w:shd w:val="clear" w:color="auto" w:fill="auto"/>
            <w:vAlign w:val="center"/>
            <w:hideMark/>
          </w:tcPr>
          <w:p w14:paraId="2F5FE4C5"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Mothers</w:t>
            </w:r>
            <w:r w:rsidRPr="00F338A4">
              <w:rPr>
                <w:rFonts w:eastAsia="Times New Roman" w:cs="Arial"/>
                <w:color w:val="000000"/>
                <w:sz w:val="18"/>
                <w:szCs w:val="18"/>
                <w:lang w:eastAsia="en-GB"/>
              </w:rPr>
              <w:t xml:space="preserve"> living with children</w:t>
            </w:r>
          </w:p>
        </w:tc>
        <w:tc>
          <w:tcPr>
            <w:tcW w:w="430" w:type="pct"/>
            <w:vMerge w:val="restart"/>
            <w:tcBorders>
              <w:top w:val="single" w:sz="4" w:space="0" w:color="auto"/>
            </w:tcBorders>
            <w:shd w:val="clear" w:color="auto" w:fill="auto"/>
            <w:vAlign w:val="center"/>
            <w:hideMark/>
          </w:tcPr>
          <w:p w14:paraId="0CD81750" w14:textId="77777777" w:rsidR="00313816" w:rsidRPr="00F338A4" w:rsidRDefault="00313816">
            <w:pPr>
              <w:rPr>
                <w:rFonts w:eastAsia="Times New Roman" w:cs="Arial"/>
                <w:color w:val="000000"/>
                <w:sz w:val="18"/>
                <w:szCs w:val="18"/>
                <w:lang w:eastAsia="en-GB"/>
              </w:rPr>
            </w:pPr>
            <w:r w:rsidRPr="00F338A4">
              <w:rPr>
                <w:rFonts w:eastAsia="Times New Roman" w:cs="Arial"/>
                <w:color w:val="000000"/>
                <w:sz w:val="18"/>
                <w:szCs w:val="18"/>
                <w:lang w:eastAsia="en-GB"/>
              </w:rPr>
              <w:t>Opiate Users (OUs)</w:t>
            </w:r>
          </w:p>
        </w:tc>
        <w:tc>
          <w:tcPr>
            <w:tcW w:w="266" w:type="pct"/>
            <w:vMerge w:val="restart"/>
            <w:tcBorders>
              <w:top w:val="single" w:sz="4" w:space="0" w:color="auto"/>
              <w:right w:val="single" w:sz="4" w:space="0" w:color="auto"/>
            </w:tcBorders>
            <w:vAlign w:val="center"/>
          </w:tcPr>
          <w:p w14:paraId="5902FEF3" w14:textId="77777777" w:rsidR="00313816" w:rsidRPr="00F338A4" w:rsidRDefault="00313816">
            <w:pPr>
              <w:jc w:val="center"/>
              <w:rPr>
                <w:rFonts w:eastAsia="Times New Roman" w:cs="Arial"/>
                <w:color w:val="000000"/>
                <w:sz w:val="18"/>
                <w:szCs w:val="18"/>
                <w:lang w:eastAsia="en-GB"/>
              </w:rPr>
            </w:pPr>
            <w:r>
              <w:rPr>
                <w:rFonts w:eastAsia="Times New Roman" w:cs="Arial"/>
                <w:color w:val="000000"/>
                <w:sz w:val="18"/>
                <w:szCs w:val="18"/>
                <w:lang w:eastAsia="en-GB"/>
              </w:rPr>
              <w:t>1</w:t>
            </w:r>
          </w:p>
        </w:tc>
        <w:tc>
          <w:tcPr>
            <w:tcW w:w="1009" w:type="pct"/>
            <w:tcBorders>
              <w:top w:val="single" w:sz="4" w:space="0" w:color="auto"/>
              <w:left w:val="single" w:sz="4" w:space="0" w:color="auto"/>
            </w:tcBorders>
            <w:shd w:val="clear" w:color="auto" w:fill="auto"/>
            <w:noWrap/>
            <w:vAlign w:val="center"/>
            <w:hideMark/>
          </w:tcPr>
          <w:p w14:paraId="62FB9488" w14:textId="77777777" w:rsidR="00313816" w:rsidRPr="009C26B6" w:rsidRDefault="00313816">
            <w:pPr>
              <w:pStyle w:val="ListParagraph"/>
              <w:spacing w:after="0" w:line="240" w:lineRule="auto"/>
              <w:ind w:left="0"/>
              <w:rPr>
                <w:rFonts w:eastAsia="Times New Roman" w:cs="Arial"/>
                <w:color w:val="000000"/>
                <w:sz w:val="18"/>
                <w:szCs w:val="18"/>
                <w:lang w:eastAsia="en-GB"/>
              </w:rPr>
            </w:pPr>
            <w:r w:rsidRPr="009C26B6">
              <w:rPr>
                <w:rFonts w:eastAsia="Times New Roman" w:cs="Arial"/>
                <w:color w:val="000000"/>
                <w:sz w:val="18"/>
                <w:szCs w:val="18"/>
                <w:lang w:eastAsia="en-GB"/>
              </w:rPr>
              <w:t>Treatment only (Trt)</w:t>
            </w:r>
          </w:p>
        </w:tc>
        <w:tc>
          <w:tcPr>
            <w:tcW w:w="267" w:type="pct"/>
            <w:tcBorders>
              <w:top w:val="single" w:sz="4" w:space="0" w:color="auto"/>
            </w:tcBorders>
            <w:shd w:val="clear" w:color="auto" w:fill="auto"/>
            <w:noWrap/>
            <w:vAlign w:val="center"/>
            <w:hideMark/>
          </w:tcPr>
          <w:p w14:paraId="687E0098"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938</w:t>
            </w:r>
          </w:p>
        </w:tc>
        <w:tc>
          <w:tcPr>
            <w:tcW w:w="371" w:type="pct"/>
            <w:tcBorders>
              <w:top w:val="single" w:sz="4" w:space="0" w:color="auto"/>
            </w:tcBorders>
            <w:shd w:val="clear" w:color="auto" w:fill="auto"/>
            <w:noWrap/>
            <w:vAlign w:val="center"/>
            <w:hideMark/>
          </w:tcPr>
          <w:p w14:paraId="44E9A33B"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880</w:t>
            </w:r>
          </w:p>
        </w:tc>
        <w:tc>
          <w:tcPr>
            <w:tcW w:w="425" w:type="pct"/>
            <w:tcBorders>
              <w:top w:val="single" w:sz="4" w:space="0" w:color="auto"/>
            </w:tcBorders>
            <w:shd w:val="clear" w:color="auto" w:fill="auto"/>
            <w:noWrap/>
            <w:vAlign w:val="center"/>
            <w:hideMark/>
          </w:tcPr>
          <w:p w14:paraId="5227EA5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33.6%</w:t>
            </w:r>
          </w:p>
        </w:tc>
        <w:tc>
          <w:tcPr>
            <w:tcW w:w="319" w:type="pct"/>
            <w:tcBorders>
              <w:top w:val="single" w:sz="4" w:space="0" w:color="auto"/>
            </w:tcBorders>
            <w:shd w:val="clear" w:color="auto" w:fill="auto"/>
            <w:noWrap/>
            <w:vAlign w:val="center"/>
            <w:hideMark/>
          </w:tcPr>
          <w:p w14:paraId="6057137B" w14:textId="77777777" w:rsidR="00313816" w:rsidRPr="00F338A4" w:rsidRDefault="00313816">
            <w:pPr>
              <w:jc w:val="center"/>
              <w:rPr>
                <w:rFonts w:eastAsia="Times New Roman" w:cs="Arial"/>
                <w:color w:val="000000"/>
                <w:sz w:val="18"/>
                <w:szCs w:val="18"/>
                <w:lang w:eastAsia="en-GB"/>
              </w:rPr>
            </w:pPr>
          </w:p>
        </w:tc>
        <w:tc>
          <w:tcPr>
            <w:tcW w:w="586" w:type="pct"/>
            <w:tcBorders>
              <w:top w:val="single" w:sz="4" w:space="0" w:color="auto"/>
            </w:tcBorders>
            <w:shd w:val="clear" w:color="auto" w:fill="auto"/>
            <w:noWrap/>
            <w:vAlign w:val="center"/>
            <w:hideMark/>
          </w:tcPr>
          <w:p w14:paraId="07932EC7" w14:textId="77777777" w:rsidR="00313816" w:rsidRPr="00F338A4" w:rsidRDefault="00313816">
            <w:pPr>
              <w:jc w:val="center"/>
              <w:rPr>
                <w:rFonts w:eastAsia="Times New Roman" w:cs="Arial"/>
                <w:color w:val="000000"/>
                <w:sz w:val="18"/>
                <w:szCs w:val="18"/>
                <w:lang w:eastAsia="en-GB"/>
              </w:rPr>
            </w:pPr>
          </w:p>
        </w:tc>
        <w:tc>
          <w:tcPr>
            <w:tcW w:w="371" w:type="pct"/>
            <w:tcBorders>
              <w:top w:val="single" w:sz="4" w:space="0" w:color="auto"/>
            </w:tcBorders>
            <w:shd w:val="clear" w:color="auto" w:fill="auto"/>
            <w:noWrap/>
            <w:vAlign w:val="center"/>
            <w:hideMark/>
          </w:tcPr>
          <w:p w14:paraId="34763AA5" w14:textId="77777777" w:rsidR="00313816" w:rsidRPr="00F338A4" w:rsidRDefault="00313816">
            <w:pPr>
              <w:jc w:val="center"/>
              <w:rPr>
                <w:rFonts w:eastAsia="Times New Roman" w:cs="Arial"/>
                <w:color w:val="000000"/>
                <w:sz w:val="18"/>
                <w:szCs w:val="18"/>
                <w:lang w:eastAsia="en-GB"/>
              </w:rPr>
            </w:pPr>
          </w:p>
        </w:tc>
        <w:tc>
          <w:tcPr>
            <w:tcW w:w="425" w:type="pct"/>
            <w:tcBorders>
              <w:top w:val="single" w:sz="4" w:space="0" w:color="auto"/>
            </w:tcBorders>
            <w:shd w:val="clear" w:color="auto" w:fill="auto"/>
            <w:noWrap/>
            <w:vAlign w:val="center"/>
            <w:hideMark/>
          </w:tcPr>
          <w:p w14:paraId="36B4A82E" w14:textId="77777777" w:rsidR="00313816" w:rsidRPr="00F338A4" w:rsidRDefault="00313816">
            <w:pPr>
              <w:jc w:val="center"/>
              <w:rPr>
                <w:rFonts w:eastAsia="Times New Roman" w:cs="Arial"/>
                <w:color w:val="000000"/>
                <w:sz w:val="18"/>
                <w:szCs w:val="18"/>
                <w:lang w:eastAsia="en-GB"/>
              </w:rPr>
            </w:pPr>
          </w:p>
        </w:tc>
      </w:tr>
      <w:tr w:rsidR="00313816" w:rsidRPr="00F338A4" w14:paraId="18D209E2" w14:textId="77777777" w:rsidTr="003C060B">
        <w:trPr>
          <w:trHeight w:hRule="exact" w:val="289"/>
        </w:trPr>
        <w:tc>
          <w:tcPr>
            <w:tcW w:w="531" w:type="pct"/>
            <w:vMerge/>
            <w:vAlign w:val="center"/>
            <w:hideMark/>
          </w:tcPr>
          <w:p w14:paraId="09149B69"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769ABEFE"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299E0ACA"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FFE599"/>
            <w:noWrap/>
            <w:vAlign w:val="center"/>
            <w:hideMark/>
          </w:tcPr>
          <w:p w14:paraId="2F10AC3E" w14:textId="77777777" w:rsidR="00313816" w:rsidRPr="005202DF" w:rsidRDefault="00313816">
            <w:pPr>
              <w:pStyle w:val="ListParagraph"/>
              <w:spacing w:after="0" w:line="240" w:lineRule="auto"/>
              <w:ind w:left="0"/>
              <w:rPr>
                <w:rFonts w:eastAsia="Times New Roman" w:cs="Arial"/>
                <w:sz w:val="18"/>
                <w:szCs w:val="18"/>
                <w:lang w:eastAsia="en-GB"/>
              </w:rPr>
            </w:pPr>
            <w:r w:rsidRPr="005202DF">
              <w:rPr>
                <w:rFonts w:eastAsia="Times New Roman" w:cs="Arial"/>
                <w:sz w:val="18"/>
                <w:szCs w:val="18"/>
                <w:lang w:eastAsia="en-GB"/>
              </w:rPr>
              <w:t>Trt + parenting/family support</w:t>
            </w:r>
          </w:p>
        </w:tc>
        <w:tc>
          <w:tcPr>
            <w:tcW w:w="267" w:type="pct"/>
            <w:shd w:val="clear" w:color="auto" w:fill="FFE599"/>
            <w:noWrap/>
            <w:vAlign w:val="center"/>
            <w:hideMark/>
          </w:tcPr>
          <w:p w14:paraId="2DAC9D97" w14:textId="77777777" w:rsidR="00313816" w:rsidRPr="005202DF" w:rsidRDefault="00313816">
            <w:pPr>
              <w:jc w:val="center"/>
              <w:rPr>
                <w:rFonts w:eastAsia="Times New Roman" w:cs="Arial"/>
                <w:sz w:val="18"/>
                <w:szCs w:val="18"/>
                <w:lang w:eastAsia="en-GB"/>
              </w:rPr>
            </w:pPr>
            <w:r w:rsidRPr="005202DF">
              <w:rPr>
                <w:rFonts w:eastAsia="Times New Roman" w:cs="Arial"/>
                <w:sz w:val="18"/>
                <w:szCs w:val="18"/>
                <w:lang w:eastAsia="en-GB"/>
              </w:rPr>
              <w:t>128</w:t>
            </w:r>
          </w:p>
        </w:tc>
        <w:tc>
          <w:tcPr>
            <w:tcW w:w="371" w:type="pct"/>
            <w:shd w:val="clear" w:color="auto" w:fill="FFE599"/>
            <w:noWrap/>
            <w:vAlign w:val="center"/>
            <w:hideMark/>
          </w:tcPr>
          <w:p w14:paraId="5226863E" w14:textId="77777777" w:rsidR="00313816" w:rsidRPr="005202DF" w:rsidRDefault="00313816">
            <w:pPr>
              <w:jc w:val="center"/>
              <w:rPr>
                <w:rFonts w:eastAsia="Times New Roman" w:cs="Arial"/>
                <w:sz w:val="18"/>
                <w:szCs w:val="18"/>
                <w:lang w:eastAsia="en-GB"/>
              </w:rPr>
            </w:pPr>
            <w:r w:rsidRPr="005202DF">
              <w:rPr>
                <w:rFonts w:eastAsia="Times New Roman" w:cs="Arial"/>
                <w:sz w:val="18"/>
                <w:szCs w:val="18"/>
                <w:lang w:eastAsia="en-GB"/>
              </w:rPr>
              <w:t>106</w:t>
            </w:r>
          </w:p>
        </w:tc>
        <w:tc>
          <w:tcPr>
            <w:tcW w:w="425" w:type="pct"/>
            <w:shd w:val="clear" w:color="auto" w:fill="FFE599"/>
            <w:noWrap/>
            <w:vAlign w:val="center"/>
            <w:hideMark/>
          </w:tcPr>
          <w:p w14:paraId="2AF8D0F1" w14:textId="77777777" w:rsidR="00313816" w:rsidRPr="005202DF" w:rsidRDefault="00313816">
            <w:pPr>
              <w:jc w:val="center"/>
              <w:rPr>
                <w:rFonts w:eastAsia="Times New Roman" w:cs="Arial"/>
                <w:sz w:val="18"/>
                <w:szCs w:val="18"/>
                <w:lang w:eastAsia="en-GB"/>
              </w:rPr>
            </w:pPr>
            <w:r w:rsidRPr="005202DF">
              <w:rPr>
                <w:rFonts w:eastAsia="Times New Roman" w:cs="Arial"/>
                <w:sz w:val="18"/>
                <w:szCs w:val="18"/>
                <w:lang w:eastAsia="en-GB"/>
              </w:rPr>
              <w:t>42.2%</w:t>
            </w:r>
          </w:p>
        </w:tc>
        <w:tc>
          <w:tcPr>
            <w:tcW w:w="319" w:type="pct"/>
            <w:shd w:val="clear" w:color="auto" w:fill="FFE599"/>
            <w:noWrap/>
            <w:vAlign w:val="center"/>
            <w:hideMark/>
          </w:tcPr>
          <w:p w14:paraId="26746DEB" w14:textId="77777777" w:rsidR="00313816" w:rsidRPr="005202DF" w:rsidRDefault="00313816">
            <w:pPr>
              <w:jc w:val="center"/>
              <w:rPr>
                <w:rFonts w:eastAsia="Times New Roman" w:cs="Arial"/>
                <w:sz w:val="18"/>
                <w:szCs w:val="18"/>
                <w:lang w:eastAsia="en-GB"/>
              </w:rPr>
            </w:pPr>
            <w:r w:rsidRPr="005202DF">
              <w:rPr>
                <w:rFonts w:eastAsia="Times New Roman" w:cs="Arial"/>
                <w:sz w:val="18"/>
                <w:szCs w:val="18"/>
                <w:lang w:eastAsia="en-GB"/>
              </w:rPr>
              <w:t>0.086</w:t>
            </w:r>
          </w:p>
        </w:tc>
        <w:tc>
          <w:tcPr>
            <w:tcW w:w="586" w:type="pct"/>
            <w:shd w:val="clear" w:color="auto" w:fill="FFE599"/>
            <w:noWrap/>
            <w:vAlign w:val="center"/>
            <w:hideMark/>
          </w:tcPr>
          <w:p w14:paraId="5BA984F8" w14:textId="77777777" w:rsidR="00313816" w:rsidRPr="005202DF" w:rsidRDefault="00313816">
            <w:pPr>
              <w:jc w:val="center"/>
              <w:rPr>
                <w:rFonts w:eastAsia="Times New Roman" w:cs="Arial"/>
                <w:sz w:val="18"/>
                <w:szCs w:val="18"/>
                <w:lang w:eastAsia="en-GB"/>
              </w:rPr>
            </w:pPr>
            <w:r w:rsidRPr="005202DF">
              <w:rPr>
                <w:rFonts w:eastAsia="Times New Roman" w:cs="Arial"/>
                <w:sz w:val="18"/>
                <w:szCs w:val="18"/>
                <w:lang w:eastAsia="en-GB"/>
              </w:rPr>
              <w:t>1.58 (0.99-2.53)</w:t>
            </w:r>
          </w:p>
        </w:tc>
        <w:tc>
          <w:tcPr>
            <w:tcW w:w="371" w:type="pct"/>
            <w:shd w:val="clear" w:color="auto" w:fill="FFE599"/>
            <w:noWrap/>
            <w:vAlign w:val="center"/>
            <w:hideMark/>
          </w:tcPr>
          <w:p w14:paraId="115F0B91" w14:textId="77777777" w:rsidR="00313816" w:rsidRPr="005202DF" w:rsidRDefault="00313816">
            <w:pPr>
              <w:jc w:val="center"/>
              <w:rPr>
                <w:rFonts w:eastAsia="Times New Roman" w:cs="Arial"/>
                <w:sz w:val="18"/>
                <w:szCs w:val="18"/>
                <w:lang w:eastAsia="en-GB"/>
              </w:rPr>
            </w:pPr>
            <w:r w:rsidRPr="005202DF">
              <w:rPr>
                <w:rFonts w:eastAsia="Times New Roman" w:cs="Arial"/>
                <w:sz w:val="18"/>
                <w:szCs w:val="18"/>
                <w:lang w:eastAsia="en-GB"/>
              </w:rPr>
              <w:t>p&lt;0.05</w:t>
            </w:r>
          </w:p>
        </w:tc>
        <w:tc>
          <w:tcPr>
            <w:tcW w:w="425" w:type="pct"/>
            <w:shd w:val="clear" w:color="auto" w:fill="FFE599"/>
            <w:noWrap/>
            <w:vAlign w:val="center"/>
            <w:hideMark/>
          </w:tcPr>
          <w:p w14:paraId="064B7B9E" w14:textId="77777777" w:rsidR="00313816" w:rsidRPr="005202DF" w:rsidRDefault="00313816">
            <w:pPr>
              <w:jc w:val="center"/>
              <w:rPr>
                <w:rFonts w:eastAsia="Times New Roman" w:cs="Arial"/>
                <w:sz w:val="18"/>
                <w:szCs w:val="18"/>
                <w:lang w:eastAsia="en-GB"/>
              </w:rPr>
            </w:pPr>
            <w:r w:rsidRPr="005202DF">
              <w:rPr>
                <w:rFonts w:eastAsia="Times New Roman" w:cs="Arial"/>
                <w:sz w:val="18"/>
                <w:szCs w:val="18"/>
                <w:lang w:eastAsia="en-GB"/>
              </w:rPr>
              <w:t>1.00</w:t>
            </w:r>
          </w:p>
        </w:tc>
      </w:tr>
      <w:tr w:rsidR="00313816" w:rsidRPr="00F338A4" w14:paraId="0AAB9C3B" w14:textId="77777777" w:rsidTr="003C060B">
        <w:trPr>
          <w:trHeight w:hRule="exact" w:val="289"/>
        </w:trPr>
        <w:tc>
          <w:tcPr>
            <w:tcW w:w="531" w:type="pct"/>
            <w:vMerge/>
            <w:vAlign w:val="center"/>
            <w:hideMark/>
          </w:tcPr>
          <w:p w14:paraId="4CD1E064"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2A9A4C7F"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7C757AC0"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auto"/>
            <w:noWrap/>
            <w:vAlign w:val="center"/>
            <w:hideMark/>
          </w:tcPr>
          <w:p w14:paraId="41F3170E"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shd w:val="clear" w:color="auto" w:fill="auto"/>
            <w:noWrap/>
            <w:vAlign w:val="center"/>
            <w:hideMark/>
          </w:tcPr>
          <w:p w14:paraId="25C83EF1"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112</w:t>
            </w:r>
          </w:p>
        </w:tc>
        <w:tc>
          <w:tcPr>
            <w:tcW w:w="371" w:type="pct"/>
            <w:shd w:val="clear" w:color="auto" w:fill="auto"/>
            <w:noWrap/>
            <w:vAlign w:val="center"/>
            <w:hideMark/>
          </w:tcPr>
          <w:p w14:paraId="0E2368A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94</w:t>
            </w:r>
          </w:p>
        </w:tc>
        <w:tc>
          <w:tcPr>
            <w:tcW w:w="425" w:type="pct"/>
            <w:shd w:val="clear" w:color="auto" w:fill="auto"/>
            <w:noWrap/>
            <w:vAlign w:val="center"/>
            <w:hideMark/>
          </w:tcPr>
          <w:p w14:paraId="7F71FAD2"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38.1%</w:t>
            </w:r>
          </w:p>
        </w:tc>
        <w:tc>
          <w:tcPr>
            <w:tcW w:w="319" w:type="pct"/>
            <w:shd w:val="clear" w:color="auto" w:fill="auto"/>
            <w:noWrap/>
            <w:vAlign w:val="center"/>
            <w:hideMark/>
          </w:tcPr>
          <w:p w14:paraId="52B040AD"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0.045</w:t>
            </w:r>
          </w:p>
        </w:tc>
        <w:tc>
          <w:tcPr>
            <w:tcW w:w="586" w:type="pct"/>
            <w:shd w:val="clear" w:color="auto" w:fill="auto"/>
            <w:noWrap/>
            <w:vAlign w:val="center"/>
            <w:hideMark/>
          </w:tcPr>
          <w:p w14:paraId="4EAE066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1.28 (0.78-2.13)</w:t>
            </w:r>
          </w:p>
        </w:tc>
        <w:tc>
          <w:tcPr>
            <w:tcW w:w="371" w:type="pct"/>
            <w:shd w:val="clear" w:color="auto" w:fill="auto"/>
            <w:noWrap/>
            <w:vAlign w:val="center"/>
            <w:hideMark/>
          </w:tcPr>
          <w:p w14:paraId="0537E021"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ns</w:t>
            </w:r>
          </w:p>
        </w:tc>
        <w:tc>
          <w:tcPr>
            <w:tcW w:w="425" w:type="pct"/>
            <w:shd w:val="clear" w:color="auto" w:fill="auto"/>
            <w:noWrap/>
            <w:vAlign w:val="center"/>
            <w:hideMark/>
          </w:tcPr>
          <w:p w14:paraId="4B9E1580" w14:textId="77777777" w:rsidR="00313816" w:rsidRPr="00F338A4" w:rsidRDefault="00313816">
            <w:pPr>
              <w:jc w:val="center"/>
              <w:rPr>
                <w:rFonts w:eastAsia="Times New Roman" w:cs="Arial"/>
                <w:color w:val="000000"/>
                <w:sz w:val="18"/>
                <w:szCs w:val="18"/>
                <w:lang w:eastAsia="en-GB"/>
              </w:rPr>
            </w:pPr>
          </w:p>
        </w:tc>
      </w:tr>
      <w:tr w:rsidR="00313816" w:rsidRPr="00F338A4" w14:paraId="29FBCA5A" w14:textId="77777777" w:rsidTr="003C060B">
        <w:trPr>
          <w:trHeight w:hRule="exact" w:val="289"/>
        </w:trPr>
        <w:tc>
          <w:tcPr>
            <w:tcW w:w="531" w:type="pct"/>
            <w:vMerge/>
            <w:vAlign w:val="center"/>
            <w:hideMark/>
          </w:tcPr>
          <w:p w14:paraId="322BBABB" w14:textId="77777777" w:rsidR="00313816" w:rsidRPr="00F338A4" w:rsidRDefault="00313816">
            <w:pPr>
              <w:rPr>
                <w:rFonts w:eastAsia="Times New Roman" w:cs="Arial"/>
                <w:color w:val="000000"/>
                <w:sz w:val="18"/>
                <w:szCs w:val="18"/>
                <w:lang w:eastAsia="en-GB"/>
              </w:rPr>
            </w:pPr>
          </w:p>
        </w:tc>
        <w:tc>
          <w:tcPr>
            <w:tcW w:w="430" w:type="pct"/>
            <w:vMerge w:val="restart"/>
            <w:shd w:val="clear" w:color="auto" w:fill="auto"/>
            <w:vAlign w:val="center"/>
            <w:hideMark/>
          </w:tcPr>
          <w:p w14:paraId="52A75DFE" w14:textId="77777777" w:rsidR="00313816" w:rsidRPr="00F338A4" w:rsidRDefault="00313816">
            <w:pPr>
              <w:rPr>
                <w:rFonts w:eastAsia="Times New Roman" w:cs="Arial"/>
                <w:color w:val="000000"/>
                <w:sz w:val="18"/>
                <w:szCs w:val="18"/>
                <w:lang w:eastAsia="en-GB"/>
              </w:rPr>
            </w:pPr>
            <w:r w:rsidRPr="00F338A4">
              <w:rPr>
                <w:rFonts w:eastAsia="Times New Roman" w:cs="Arial"/>
                <w:color w:val="000000"/>
                <w:sz w:val="18"/>
                <w:szCs w:val="18"/>
                <w:lang w:eastAsia="en-GB"/>
              </w:rPr>
              <w:t>Non-OUs</w:t>
            </w:r>
          </w:p>
        </w:tc>
        <w:tc>
          <w:tcPr>
            <w:tcW w:w="266" w:type="pct"/>
            <w:vMerge w:val="restart"/>
            <w:tcBorders>
              <w:right w:val="single" w:sz="4" w:space="0" w:color="auto"/>
            </w:tcBorders>
            <w:vAlign w:val="center"/>
          </w:tcPr>
          <w:p w14:paraId="79CDACBE" w14:textId="77777777" w:rsidR="00313816" w:rsidRPr="00F338A4" w:rsidRDefault="00313816">
            <w:pPr>
              <w:jc w:val="center"/>
              <w:rPr>
                <w:rFonts w:eastAsia="Times New Roman" w:cs="Arial"/>
                <w:color w:val="000000"/>
                <w:sz w:val="18"/>
                <w:szCs w:val="18"/>
                <w:lang w:eastAsia="en-GB"/>
              </w:rPr>
            </w:pPr>
            <w:r>
              <w:rPr>
                <w:rFonts w:eastAsia="Times New Roman" w:cs="Arial"/>
                <w:color w:val="000000"/>
                <w:sz w:val="18"/>
                <w:szCs w:val="18"/>
                <w:lang w:eastAsia="en-GB"/>
              </w:rPr>
              <w:t>2</w:t>
            </w:r>
          </w:p>
        </w:tc>
        <w:tc>
          <w:tcPr>
            <w:tcW w:w="1009" w:type="pct"/>
            <w:tcBorders>
              <w:left w:val="single" w:sz="4" w:space="0" w:color="auto"/>
            </w:tcBorders>
            <w:shd w:val="clear" w:color="auto" w:fill="auto"/>
            <w:noWrap/>
            <w:vAlign w:val="center"/>
            <w:hideMark/>
          </w:tcPr>
          <w:p w14:paraId="6268DC33"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p>
        </w:tc>
        <w:tc>
          <w:tcPr>
            <w:tcW w:w="267" w:type="pct"/>
            <w:shd w:val="clear" w:color="auto" w:fill="auto"/>
            <w:noWrap/>
            <w:vAlign w:val="center"/>
            <w:hideMark/>
          </w:tcPr>
          <w:p w14:paraId="6BD46F02"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1,132</w:t>
            </w:r>
          </w:p>
        </w:tc>
        <w:tc>
          <w:tcPr>
            <w:tcW w:w="371" w:type="pct"/>
            <w:shd w:val="clear" w:color="auto" w:fill="auto"/>
            <w:noWrap/>
            <w:vAlign w:val="center"/>
            <w:hideMark/>
          </w:tcPr>
          <w:p w14:paraId="4FB3A1CD"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1,038</w:t>
            </w:r>
          </w:p>
        </w:tc>
        <w:tc>
          <w:tcPr>
            <w:tcW w:w="425" w:type="pct"/>
            <w:shd w:val="clear" w:color="auto" w:fill="auto"/>
            <w:noWrap/>
            <w:vAlign w:val="center"/>
            <w:hideMark/>
          </w:tcPr>
          <w:p w14:paraId="39531BE6"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61.5%</w:t>
            </w:r>
          </w:p>
        </w:tc>
        <w:tc>
          <w:tcPr>
            <w:tcW w:w="319" w:type="pct"/>
            <w:shd w:val="clear" w:color="auto" w:fill="auto"/>
            <w:noWrap/>
            <w:vAlign w:val="center"/>
            <w:hideMark/>
          </w:tcPr>
          <w:p w14:paraId="44622C02" w14:textId="77777777" w:rsidR="00313816" w:rsidRPr="00F338A4" w:rsidRDefault="00313816">
            <w:pPr>
              <w:jc w:val="center"/>
              <w:rPr>
                <w:rFonts w:eastAsia="Times New Roman" w:cs="Arial"/>
                <w:color w:val="000000"/>
                <w:sz w:val="18"/>
                <w:szCs w:val="18"/>
                <w:lang w:eastAsia="en-GB"/>
              </w:rPr>
            </w:pPr>
          </w:p>
        </w:tc>
        <w:tc>
          <w:tcPr>
            <w:tcW w:w="586" w:type="pct"/>
            <w:shd w:val="clear" w:color="auto" w:fill="auto"/>
            <w:noWrap/>
            <w:vAlign w:val="center"/>
            <w:hideMark/>
          </w:tcPr>
          <w:p w14:paraId="053F2052" w14:textId="77777777" w:rsidR="00313816" w:rsidRPr="00F338A4" w:rsidRDefault="00313816">
            <w:pPr>
              <w:jc w:val="center"/>
              <w:rPr>
                <w:rFonts w:eastAsia="Times New Roman" w:cs="Arial"/>
                <w:color w:val="000000"/>
                <w:sz w:val="18"/>
                <w:szCs w:val="18"/>
                <w:lang w:eastAsia="en-GB"/>
              </w:rPr>
            </w:pPr>
          </w:p>
        </w:tc>
        <w:tc>
          <w:tcPr>
            <w:tcW w:w="371" w:type="pct"/>
            <w:shd w:val="clear" w:color="auto" w:fill="auto"/>
            <w:noWrap/>
            <w:vAlign w:val="center"/>
            <w:hideMark/>
          </w:tcPr>
          <w:p w14:paraId="61C7AA3A" w14:textId="77777777" w:rsidR="00313816" w:rsidRPr="00F338A4" w:rsidRDefault="00313816">
            <w:pPr>
              <w:jc w:val="center"/>
              <w:rPr>
                <w:rFonts w:eastAsia="Times New Roman" w:cs="Arial"/>
                <w:color w:val="000000"/>
                <w:sz w:val="18"/>
                <w:szCs w:val="18"/>
                <w:lang w:eastAsia="en-GB"/>
              </w:rPr>
            </w:pPr>
          </w:p>
        </w:tc>
        <w:tc>
          <w:tcPr>
            <w:tcW w:w="425" w:type="pct"/>
            <w:shd w:val="clear" w:color="auto" w:fill="auto"/>
            <w:noWrap/>
            <w:vAlign w:val="center"/>
            <w:hideMark/>
          </w:tcPr>
          <w:p w14:paraId="43DA5500" w14:textId="77777777" w:rsidR="00313816" w:rsidRPr="00F338A4" w:rsidRDefault="00313816">
            <w:pPr>
              <w:jc w:val="center"/>
              <w:rPr>
                <w:rFonts w:eastAsia="Times New Roman" w:cs="Arial"/>
                <w:color w:val="000000"/>
                <w:sz w:val="18"/>
                <w:szCs w:val="18"/>
                <w:lang w:eastAsia="en-GB"/>
              </w:rPr>
            </w:pPr>
          </w:p>
        </w:tc>
      </w:tr>
      <w:tr w:rsidR="00313816" w:rsidRPr="00F338A4" w14:paraId="3FD79CAF" w14:textId="77777777" w:rsidTr="003C060B">
        <w:trPr>
          <w:trHeight w:hRule="exact" w:val="289"/>
        </w:trPr>
        <w:tc>
          <w:tcPr>
            <w:tcW w:w="531" w:type="pct"/>
            <w:vMerge/>
            <w:vAlign w:val="center"/>
            <w:hideMark/>
          </w:tcPr>
          <w:p w14:paraId="3B8EA102"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69C39A0C"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0FF9B3C6"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79727E9B"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parenting/family </w:t>
            </w:r>
            <w:r>
              <w:rPr>
                <w:rFonts w:eastAsia="Times New Roman" w:cs="Arial"/>
                <w:color w:val="000000"/>
                <w:sz w:val="18"/>
                <w:szCs w:val="18"/>
                <w:lang w:eastAsia="en-GB"/>
              </w:rPr>
              <w:t>support</w:t>
            </w:r>
          </w:p>
        </w:tc>
        <w:tc>
          <w:tcPr>
            <w:tcW w:w="267" w:type="pct"/>
            <w:shd w:val="clear" w:color="auto" w:fill="C5E0B3"/>
            <w:noWrap/>
            <w:vAlign w:val="center"/>
            <w:hideMark/>
          </w:tcPr>
          <w:p w14:paraId="386FEBAE"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149</w:t>
            </w:r>
          </w:p>
        </w:tc>
        <w:tc>
          <w:tcPr>
            <w:tcW w:w="371" w:type="pct"/>
            <w:shd w:val="clear" w:color="auto" w:fill="C5E0B3"/>
            <w:noWrap/>
            <w:vAlign w:val="center"/>
            <w:hideMark/>
          </w:tcPr>
          <w:p w14:paraId="38B1574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137</w:t>
            </w:r>
          </w:p>
        </w:tc>
        <w:tc>
          <w:tcPr>
            <w:tcW w:w="425" w:type="pct"/>
            <w:shd w:val="clear" w:color="auto" w:fill="C5E0B3"/>
            <w:noWrap/>
            <w:vAlign w:val="center"/>
            <w:hideMark/>
          </w:tcPr>
          <w:p w14:paraId="066E8D00"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77.5%</w:t>
            </w:r>
          </w:p>
        </w:tc>
        <w:tc>
          <w:tcPr>
            <w:tcW w:w="319" w:type="pct"/>
            <w:shd w:val="clear" w:color="auto" w:fill="C5E0B3"/>
            <w:noWrap/>
            <w:vAlign w:val="center"/>
            <w:hideMark/>
          </w:tcPr>
          <w:p w14:paraId="5A23E7AE"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0.160</w:t>
            </w:r>
          </w:p>
        </w:tc>
        <w:tc>
          <w:tcPr>
            <w:tcW w:w="586" w:type="pct"/>
            <w:shd w:val="clear" w:color="auto" w:fill="C5E0B3"/>
            <w:noWrap/>
            <w:vAlign w:val="center"/>
            <w:hideMark/>
          </w:tcPr>
          <w:p w14:paraId="2E7BDE45"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2.08 (1.39-3.13)</w:t>
            </w:r>
          </w:p>
        </w:tc>
        <w:tc>
          <w:tcPr>
            <w:tcW w:w="371" w:type="pct"/>
            <w:shd w:val="clear" w:color="auto" w:fill="C5E0B3"/>
            <w:noWrap/>
            <w:vAlign w:val="center"/>
            <w:hideMark/>
          </w:tcPr>
          <w:p w14:paraId="610AD1A9"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p=0.000</w:t>
            </w:r>
          </w:p>
        </w:tc>
        <w:tc>
          <w:tcPr>
            <w:tcW w:w="425" w:type="pct"/>
            <w:shd w:val="clear" w:color="auto" w:fill="C5E0B3"/>
            <w:noWrap/>
            <w:vAlign w:val="center"/>
            <w:hideMark/>
          </w:tcPr>
          <w:p w14:paraId="771A1D01"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2.24 (1.64)</w:t>
            </w:r>
          </w:p>
        </w:tc>
      </w:tr>
      <w:tr w:rsidR="00313816" w:rsidRPr="00F338A4" w14:paraId="5D0ABC2E" w14:textId="77777777" w:rsidTr="003C060B">
        <w:trPr>
          <w:trHeight w:hRule="exact" w:val="289"/>
        </w:trPr>
        <w:tc>
          <w:tcPr>
            <w:tcW w:w="531" w:type="pct"/>
            <w:vMerge/>
            <w:vAlign w:val="center"/>
            <w:hideMark/>
          </w:tcPr>
          <w:p w14:paraId="4DA2C003"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77AD1624"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4637683A"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auto"/>
            <w:noWrap/>
            <w:vAlign w:val="center"/>
            <w:hideMark/>
          </w:tcPr>
          <w:p w14:paraId="56A64A5E"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shd w:val="clear" w:color="auto" w:fill="auto"/>
            <w:noWrap/>
            <w:vAlign w:val="center"/>
            <w:hideMark/>
          </w:tcPr>
          <w:p w14:paraId="447FD50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257</w:t>
            </w:r>
          </w:p>
        </w:tc>
        <w:tc>
          <w:tcPr>
            <w:tcW w:w="371" w:type="pct"/>
            <w:shd w:val="clear" w:color="auto" w:fill="auto"/>
            <w:noWrap/>
            <w:vAlign w:val="center"/>
            <w:hideMark/>
          </w:tcPr>
          <w:p w14:paraId="771D834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223</w:t>
            </w:r>
          </w:p>
        </w:tc>
        <w:tc>
          <w:tcPr>
            <w:tcW w:w="425" w:type="pct"/>
            <w:shd w:val="clear" w:color="auto" w:fill="auto"/>
            <w:noWrap/>
            <w:vAlign w:val="center"/>
            <w:hideMark/>
          </w:tcPr>
          <w:p w14:paraId="42422B09"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56.8%</w:t>
            </w:r>
          </w:p>
        </w:tc>
        <w:tc>
          <w:tcPr>
            <w:tcW w:w="319" w:type="pct"/>
            <w:shd w:val="clear" w:color="auto" w:fill="auto"/>
            <w:noWrap/>
            <w:vAlign w:val="center"/>
            <w:hideMark/>
          </w:tcPr>
          <w:p w14:paraId="7F79D600"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-0.047</w:t>
            </w:r>
          </w:p>
        </w:tc>
        <w:tc>
          <w:tcPr>
            <w:tcW w:w="586" w:type="pct"/>
            <w:shd w:val="clear" w:color="auto" w:fill="auto"/>
            <w:noWrap/>
            <w:vAlign w:val="center"/>
            <w:hideMark/>
          </w:tcPr>
          <w:p w14:paraId="0013C71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0.82 (0.61-1.11)</w:t>
            </w:r>
          </w:p>
        </w:tc>
        <w:tc>
          <w:tcPr>
            <w:tcW w:w="371" w:type="pct"/>
            <w:shd w:val="clear" w:color="auto" w:fill="auto"/>
            <w:noWrap/>
            <w:vAlign w:val="center"/>
            <w:hideMark/>
          </w:tcPr>
          <w:p w14:paraId="11CAB35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ns</w:t>
            </w:r>
          </w:p>
        </w:tc>
        <w:tc>
          <w:tcPr>
            <w:tcW w:w="425" w:type="pct"/>
            <w:shd w:val="clear" w:color="auto" w:fill="auto"/>
            <w:noWrap/>
            <w:vAlign w:val="center"/>
            <w:hideMark/>
          </w:tcPr>
          <w:p w14:paraId="284E406F" w14:textId="77777777" w:rsidR="00313816" w:rsidRPr="00F338A4" w:rsidRDefault="00313816">
            <w:pPr>
              <w:jc w:val="center"/>
              <w:rPr>
                <w:rFonts w:eastAsia="Times New Roman" w:cs="Arial"/>
                <w:color w:val="000000"/>
                <w:sz w:val="18"/>
                <w:szCs w:val="18"/>
                <w:lang w:eastAsia="en-GB"/>
              </w:rPr>
            </w:pPr>
          </w:p>
        </w:tc>
      </w:tr>
      <w:tr w:rsidR="00313816" w:rsidRPr="00F338A4" w14:paraId="7D059110" w14:textId="77777777" w:rsidTr="003C060B">
        <w:trPr>
          <w:trHeight w:hRule="exact" w:val="289"/>
        </w:trPr>
        <w:tc>
          <w:tcPr>
            <w:tcW w:w="531" w:type="pct"/>
            <w:vMerge/>
            <w:vAlign w:val="center"/>
            <w:hideMark/>
          </w:tcPr>
          <w:p w14:paraId="759AFB74" w14:textId="77777777" w:rsidR="00313816" w:rsidRPr="00F338A4" w:rsidRDefault="00313816">
            <w:pPr>
              <w:rPr>
                <w:rFonts w:eastAsia="Times New Roman" w:cs="Arial"/>
                <w:color w:val="000000"/>
                <w:sz w:val="18"/>
                <w:szCs w:val="18"/>
                <w:lang w:eastAsia="en-GB"/>
              </w:rPr>
            </w:pPr>
          </w:p>
        </w:tc>
        <w:tc>
          <w:tcPr>
            <w:tcW w:w="430" w:type="pct"/>
            <w:vMerge w:val="restart"/>
            <w:shd w:val="clear" w:color="auto" w:fill="auto"/>
            <w:vAlign w:val="center"/>
            <w:hideMark/>
          </w:tcPr>
          <w:p w14:paraId="55AD78D7" w14:textId="77777777" w:rsidR="00313816" w:rsidRPr="00F338A4" w:rsidRDefault="00313816">
            <w:pPr>
              <w:rPr>
                <w:rFonts w:eastAsia="Times New Roman" w:cs="Arial"/>
                <w:color w:val="000000"/>
                <w:sz w:val="18"/>
                <w:szCs w:val="18"/>
                <w:lang w:eastAsia="en-GB"/>
              </w:rPr>
            </w:pPr>
            <w:r w:rsidRPr="00F338A4">
              <w:rPr>
                <w:rFonts w:eastAsia="Times New Roman" w:cs="Arial"/>
                <w:color w:val="000000"/>
                <w:sz w:val="18"/>
                <w:szCs w:val="18"/>
                <w:lang w:eastAsia="en-GB"/>
              </w:rPr>
              <w:t>Alcohol only</w:t>
            </w:r>
          </w:p>
        </w:tc>
        <w:tc>
          <w:tcPr>
            <w:tcW w:w="266" w:type="pct"/>
            <w:vMerge w:val="restart"/>
            <w:tcBorders>
              <w:right w:val="single" w:sz="4" w:space="0" w:color="auto"/>
            </w:tcBorders>
            <w:vAlign w:val="center"/>
          </w:tcPr>
          <w:p w14:paraId="7B01B8ED" w14:textId="77777777" w:rsidR="00313816" w:rsidRPr="00F338A4" w:rsidRDefault="00313816">
            <w:pPr>
              <w:jc w:val="center"/>
              <w:rPr>
                <w:rFonts w:eastAsia="Times New Roman" w:cs="Arial"/>
                <w:color w:val="000000"/>
                <w:sz w:val="18"/>
                <w:szCs w:val="18"/>
                <w:lang w:eastAsia="en-GB"/>
              </w:rPr>
            </w:pPr>
            <w:r>
              <w:rPr>
                <w:rFonts w:eastAsia="Times New Roman" w:cs="Arial"/>
                <w:color w:val="000000"/>
                <w:sz w:val="18"/>
                <w:szCs w:val="18"/>
                <w:lang w:eastAsia="en-GB"/>
              </w:rPr>
              <w:t>3</w:t>
            </w:r>
          </w:p>
        </w:tc>
        <w:tc>
          <w:tcPr>
            <w:tcW w:w="1009" w:type="pct"/>
            <w:tcBorders>
              <w:left w:val="single" w:sz="4" w:space="0" w:color="auto"/>
            </w:tcBorders>
            <w:shd w:val="clear" w:color="auto" w:fill="auto"/>
            <w:noWrap/>
            <w:vAlign w:val="center"/>
            <w:hideMark/>
          </w:tcPr>
          <w:p w14:paraId="0C2060B9"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p>
        </w:tc>
        <w:tc>
          <w:tcPr>
            <w:tcW w:w="267" w:type="pct"/>
            <w:shd w:val="clear" w:color="auto" w:fill="auto"/>
            <w:noWrap/>
            <w:vAlign w:val="center"/>
            <w:hideMark/>
          </w:tcPr>
          <w:p w14:paraId="512B602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3,165</w:t>
            </w:r>
          </w:p>
        </w:tc>
        <w:tc>
          <w:tcPr>
            <w:tcW w:w="371" w:type="pct"/>
            <w:shd w:val="clear" w:color="auto" w:fill="auto"/>
            <w:noWrap/>
            <w:vAlign w:val="center"/>
            <w:hideMark/>
          </w:tcPr>
          <w:p w14:paraId="081505A0"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3,052</w:t>
            </w:r>
          </w:p>
        </w:tc>
        <w:tc>
          <w:tcPr>
            <w:tcW w:w="425" w:type="pct"/>
            <w:shd w:val="clear" w:color="auto" w:fill="auto"/>
            <w:noWrap/>
            <w:vAlign w:val="center"/>
            <w:hideMark/>
          </w:tcPr>
          <w:p w14:paraId="298580D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65.5%</w:t>
            </w:r>
          </w:p>
        </w:tc>
        <w:tc>
          <w:tcPr>
            <w:tcW w:w="319" w:type="pct"/>
            <w:shd w:val="clear" w:color="auto" w:fill="auto"/>
            <w:noWrap/>
            <w:vAlign w:val="center"/>
            <w:hideMark/>
          </w:tcPr>
          <w:p w14:paraId="01ACE7BE" w14:textId="77777777" w:rsidR="00313816" w:rsidRPr="00F338A4" w:rsidRDefault="00313816">
            <w:pPr>
              <w:jc w:val="center"/>
              <w:rPr>
                <w:rFonts w:eastAsia="Times New Roman" w:cs="Arial"/>
                <w:color w:val="000000"/>
                <w:sz w:val="18"/>
                <w:szCs w:val="18"/>
                <w:lang w:eastAsia="en-GB"/>
              </w:rPr>
            </w:pPr>
          </w:p>
        </w:tc>
        <w:tc>
          <w:tcPr>
            <w:tcW w:w="586" w:type="pct"/>
            <w:shd w:val="clear" w:color="auto" w:fill="auto"/>
            <w:noWrap/>
            <w:vAlign w:val="center"/>
            <w:hideMark/>
          </w:tcPr>
          <w:p w14:paraId="61430E82" w14:textId="77777777" w:rsidR="00313816" w:rsidRPr="00F338A4" w:rsidRDefault="00313816">
            <w:pPr>
              <w:jc w:val="center"/>
              <w:rPr>
                <w:rFonts w:eastAsia="Times New Roman" w:cs="Arial"/>
                <w:color w:val="000000"/>
                <w:sz w:val="18"/>
                <w:szCs w:val="18"/>
                <w:lang w:eastAsia="en-GB"/>
              </w:rPr>
            </w:pPr>
          </w:p>
        </w:tc>
        <w:tc>
          <w:tcPr>
            <w:tcW w:w="371" w:type="pct"/>
            <w:shd w:val="clear" w:color="auto" w:fill="auto"/>
            <w:noWrap/>
            <w:vAlign w:val="center"/>
            <w:hideMark/>
          </w:tcPr>
          <w:p w14:paraId="64906AB1" w14:textId="77777777" w:rsidR="00313816" w:rsidRPr="00F338A4" w:rsidRDefault="00313816">
            <w:pPr>
              <w:jc w:val="center"/>
              <w:rPr>
                <w:rFonts w:eastAsia="Times New Roman" w:cs="Arial"/>
                <w:color w:val="000000"/>
                <w:sz w:val="18"/>
                <w:szCs w:val="18"/>
                <w:lang w:eastAsia="en-GB"/>
              </w:rPr>
            </w:pPr>
          </w:p>
        </w:tc>
        <w:tc>
          <w:tcPr>
            <w:tcW w:w="425" w:type="pct"/>
            <w:shd w:val="clear" w:color="auto" w:fill="auto"/>
            <w:noWrap/>
            <w:vAlign w:val="center"/>
            <w:hideMark/>
          </w:tcPr>
          <w:p w14:paraId="1359F480" w14:textId="77777777" w:rsidR="00313816" w:rsidRPr="00F338A4" w:rsidRDefault="00313816">
            <w:pPr>
              <w:jc w:val="center"/>
              <w:rPr>
                <w:rFonts w:eastAsia="Times New Roman" w:cs="Arial"/>
                <w:color w:val="000000"/>
                <w:sz w:val="18"/>
                <w:szCs w:val="18"/>
                <w:lang w:eastAsia="en-GB"/>
              </w:rPr>
            </w:pPr>
          </w:p>
        </w:tc>
      </w:tr>
      <w:tr w:rsidR="00313816" w:rsidRPr="00F338A4" w14:paraId="1507627A" w14:textId="77777777" w:rsidTr="003C060B">
        <w:trPr>
          <w:trHeight w:hRule="exact" w:val="289"/>
        </w:trPr>
        <w:tc>
          <w:tcPr>
            <w:tcW w:w="531" w:type="pct"/>
            <w:vMerge/>
            <w:vAlign w:val="center"/>
            <w:hideMark/>
          </w:tcPr>
          <w:p w14:paraId="599B065A"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2B4F8822"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2526473C"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48879C31"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parenting/family </w:t>
            </w:r>
            <w:r>
              <w:rPr>
                <w:rFonts w:eastAsia="Times New Roman" w:cs="Arial"/>
                <w:color w:val="000000"/>
                <w:sz w:val="18"/>
                <w:szCs w:val="18"/>
                <w:lang w:eastAsia="en-GB"/>
              </w:rPr>
              <w:t>support</w:t>
            </w:r>
          </w:p>
        </w:tc>
        <w:tc>
          <w:tcPr>
            <w:tcW w:w="267" w:type="pct"/>
            <w:shd w:val="clear" w:color="auto" w:fill="C5E0B3"/>
            <w:noWrap/>
            <w:vAlign w:val="center"/>
            <w:hideMark/>
          </w:tcPr>
          <w:p w14:paraId="157FE40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293</w:t>
            </w:r>
          </w:p>
        </w:tc>
        <w:tc>
          <w:tcPr>
            <w:tcW w:w="371" w:type="pct"/>
            <w:shd w:val="clear" w:color="auto" w:fill="C5E0B3"/>
            <w:noWrap/>
            <w:vAlign w:val="center"/>
            <w:hideMark/>
          </w:tcPr>
          <w:p w14:paraId="665B0341"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278</w:t>
            </w:r>
          </w:p>
        </w:tc>
        <w:tc>
          <w:tcPr>
            <w:tcW w:w="425" w:type="pct"/>
            <w:shd w:val="clear" w:color="auto" w:fill="C5E0B3"/>
            <w:noWrap/>
            <w:vAlign w:val="center"/>
            <w:hideMark/>
          </w:tcPr>
          <w:p w14:paraId="4C98CF58"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78.5%</w:t>
            </w:r>
          </w:p>
        </w:tc>
        <w:tc>
          <w:tcPr>
            <w:tcW w:w="319" w:type="pct"/>
            <w:shd w:val="clear" w:color="auto" w:fill="C5E0B3"/>
            <w:noWrap/>
            <w:vAlign w:val="center"/>
            <w:hideMark/>
          </w:tcPr>
          <w:p w14:paraId="1D57510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0.130</w:t>
            </w:r>
          </w:p>
        </w:tc>
        <w:tc>
          <w:tcPr>
            <w:tcW w:w="586" w:type="pct"/>
            <w:shd w:val="clear" w:color="auto" w:fill="C5E0B3"/>
            <w:noWrap/>
            <w:vAlign w:val="center"/>
            <w:hideMark/>
          </w:tcPr>
          <w:p w14:paraId="39CCBFF4"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1.84 (1.39-2.43)</w:t>
            </w:r>
          </w:p>
        </w:tc>
        <w:tc>
          <w:tcPr>
            <w:tcW w:w="371" w:type="pct"/>
            <w:shd w:val="clear" w:color="auto" w:fill="C5E0B3"/>
            <w:noWrap/>
            <w:vAlign w:val="center"/>
            <w:hideMark/>
          </w:tcPr>
          <w:p w14:paraId="7EECCCE0"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p=0.000</w:t>
            </w:r>
          </w:p>
        </w:tc>
        <w:tc>
          <w:tcPr>
            <w:tcW w:w="425" w:type="pct"/>
            <w:shd w:val="clear" w:color="auto" w:fill="C5E0B3"/>
            <w:noWrap/>
            <w:vAlign w:val="center"/>
            <w:hideMark/>
          </w:tcPr>
          <w:p w14:paraId="5D7CBA6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2.05 (1.63)</w:t>
            </w:r>
          </w:p>
        </w:tc>
      </w:tr>
      <w:tr w:rsidR="00313816" w:rsidRPr="00F338A4" w14:paraId="6D60125E" w14:textId="77777777" w:rsidTr="003C060B">
        <w:trPr>
          <w:trHeight w:hRule="exact" w:val="289"/>
        </w:trPr>
        <w:tc>
          <w:tcPr>
            <w:tcW w:w="531" w:type="pct"/>
            <w:vMerge/>
            <w:vAlign w:val="center"/>
            <w:hideMark/>
          </w:tcPr>
          <w:p w14:paraId="5759951F"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22BAA5F2"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6D7D0D07"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auto"/>
            <w:noWrap/>
            <w:vAlign w:val="center"/>
            <w:hideMark/>
          </w:tcPr>
          <w:p w14:paraId="7169B6C2"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shd w:val="clear" w:color="auto" w:fill="auto"/>
            <w:noWrap/>
            <w:vAlign w:val="center"/>
            <w:hideMark/>
          </w:tcPr>
          <w:p w14:paraId="7F951BF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414</w:t>
            </w:r>
          </w:p>
        </w:tc>
        <w:tc>
          <w:tcPr>
            <w:tcW w:w="371" w:type="pct"/>
            <w:shd w:val="clear" w:color="auto" w:fill="auto"/>
            <w:noWrap/>
            <w:vAlign w:val="center"/>
            <w:hideMark/>
          </w:tcPr>
          <w:p w14:paraId="165FF8A8"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391</w:t>
            </w:r>
          </w:p>
        </w:tc>
        <w:tc>
          <w:tcPr>
            <w:tcW w:w="425" w:type="pct"/>
            <w:shd w:val="clear" w:color="auto" w:fill="auto"/>
            <w:noWrap/>
            <w:vAlign w:val="center"/>
            <w:hideMark/>
          </w:tcPr>
          <w:p w14:paraId="7AD2F19C"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62.8%</w:t>
            </w:r>
          </w:p>
        </w:tc>
        <w:tc>
          <w:tcPr>
            <w:tcW w:w="319" w:type="pct"/>
            <w:shd w:val="clear" w:color="auto" w:fill="auto"/>
            <w:noWrap/>
            <w:vAlign w:val="center"/>
            <w:hideMark/>
          </w:tcPr>
          <w:p w14:paraId="098BF0CD"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-0.027</w:t>
            </w:r>
          </w:p>
        </w:tc>
        <w:tc>
          <w:tcPr>
            <w:tcW w:w="586" w:type="pct"/>
            <w:shd w:val="clear" w:color="auto" w:fill="auto"/>
            <w:noWrap/>
            <w:vAlign w:val="center"/>
            <w:hideMark/>
          </w:tcPr>
          <w:p w14:paraId="58A1972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0.89 (0.72-1.11)</w:t>
            </w:r>
          </w:p>
        </w:tc>
        <w:tc>
          <w:tcPr>
            <w:tcW w:w="371" w:type="pct"/>
            <w:shd w:val="clear" w:color="auto" w:fill="auto"/>
            <w:noWrap/>
            <w:vAlign w:val="center"/>
            <w:hideMark/>
          </w:tcPr>
          <w:p w14:paraId="4A30933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ns</w:t>
            </w:r>
          </w:p>
        </w:tc>
        <w:tc>
          <w:tcPr>
            <w:tcW w:w="425" w:type="pct"/>
            <w:shd w:val="clear" w:color="auto" w:fill="auto"/>
            <w:noWrap/>
            <w:vAlign w:val="center"/>
            <w:hideMark/>
          </w:tcPr>
          <w:p w14:paraId="448CECAA" w14:textId="77777777" w:rsidR="00313816" w:rsidRPr="00F338A4" w:rsidRDefault="00313816">
            <w:pPr>
              <w:jc w:val="center"/>
              <w:rPr>
                <w:rFonts w:eastAsia="Times New Roman" w:cs="Arial"/>
                <w:color w:val="000000"/>
                <w:sz w:val="18"/>
                <w:szCs w:val="18"/>
                <w:lang w:eastAsia="en-GB"/>
              </w:rPr>
            </w:pPr>
          </w:p>
        </w:tc>
      </w:tr>
      <w:tr w:rsidR="00313816" w:rsidRPr="00F338A4" w14:paraId="15E0369F" w14:textId="77777777" w:rsidTr="003C060B">
        <w:trPr>
          <w:trHeight w:hRule="exact" w:val="289"/>
        </w:trPr>
        <w:tc>
          <w:tcPr>
            <w:tcW w:w="531" w:type="pct"/>
            <w:vMerge w:val="restart"/>
            <w:tcBorders>
              <w:top w:val="single" w:sz="4" w:space="0" w:color="auto"/>
            </w:tcBorders>
            <w:shd w:val="clear" w:color="auto" w:fill="auto"/>
            <w:vAlign w:val="center"/>
            <w:hideMark/>
          </w:tcPr>
          <w:p w14:paraId="397813F6" w14:textId="77777777" w:rsidR="00313816" w:rsidRPr="00F338A4" w:rsidRDefault="00313816">
            <w:pPr>
              <w:rPr>
                <w:rFonts w:eastAsia="Times New Roman" w:cs="Arial"/>
                <w:sz w:val="18"/>
                <w:szCs w:val="18"/>
                <w:lang w:eastAsia="en-GB"/>
              </w:rPr>
            </w:pPr>
            <w:r>
              <w:rPr>
                <w:rFonts w:eastAsia="Times New Roman" w:cs="Arial"/>
                <w:sz w:val="18"/>
                <w:szCs w:val="18"/>
                <w:lang w:eastAsia="en-GB"/>
              </w:rPr>
              <w:t>Mothers</w:t>
            </w:r>
            <w:r w:rsidRPr="00F338A4">
              <w:rPr>
                <w:rFonts w:eastAsia="Times New Roman" w:cs="Arial"/>
                <w:sz w:val="18"/>
                <w:szCs w:val="18"/>
                <w:lang w:eastAsia="en-GB"/>
              </w:rPr>
              <w:t xml:space="preserve"> not living with</w:t>
            </w:r>
            <w:r>
              <w:rPr>
                <w:rFonts w:eastAsia="Times New Roman" w:cs="Arial"/>
                <w:sz w:val="18"/>
                <w:szCs w:val="18"/>
                <w:lang w:eastAsia="en-GB"/>
              </w:rPr>
              <w:t xml:space="preserve"> their </w:t>
            </w:r>
            <w:r w:rsidRPr="00F338A4">
              <w:rPr>
                <w:rFonts w:eastAsia="Times New Roman" w:cs="Arial"/>
                <w:sz w:val="18"/>
                <w:szCs w:val="18"/>
                <w:lang w:eastAsia="en-GB"/>
              </w:rPr>
              <w:t>children</w:t>
            </w:r>
          </w:p>
        </w:tc>
        <w:tc>
          <w:tcPr>
            <w:tcW w:w="430" w:type="pct"/>
            <w:vMerge w:val="restart"/>
            <w:tcBorders>
              <w:top w:val="single" w:sz="4" w:space="0" w:color="auto"/>
            </w:tcBorders>
            <w:shd w:val="clear" w:color="auto" w:fill="auto"/>
            <w:vAlign w:val="center"/>
            <w:hideMark/>
          </w:tcPr>
          <w:p w14:paraId="4EA28987" w14:textId="77777777" w:rsidR="00313816" w:rsidRPr="00F338A4" w:rsidRDefault="00313816">
            <w:pPr>
              <w:rPr>
                <w:rFonts w:eastAsia="Times New Roman" w:cs="Arial"/>
                <w:sz w:val="18"/>
                <w:szCs w:val="18"/>
                <w:lang w:eastAsia="en-GB"/>
              </w:rPr>
            </w:pPr>
            <w:r w:rsidRPr="00F338A4">
              <w:rPr>
                <w:rFonts w:eastAsia="Times New Roman" w:cs="Arial"/>
                <w:sz w:val="18"/>
                <w:szCs w:val="18"/>
                <w:lang w:eastAsia="en-GB"/>
              </w:rPr>
              <w:t>OUs</w:t>
            </w:r>
          </w:p>
        </w:tc>
        <w:tc>
          <w:tcPr>
            <w:tcW w:w="266" w:type="pct"/>
            <w:vMerge w:val="restart"/>
            <w:tcBorders>
              <w:top w:val="single" w:sz="4" w:space="0" w:color="auto"/>
              <w:right w:val="single" w:sz="4" w:space="0" w:color="auto"/>
            </w:tcBorders>
            <w:vAlign w:val="center"/>
          </w:tcPr>
          <w:p w14:paraId="4C82CC9F" w14:textId="77777777" w:rsidR="00313816" w:rsidRPr="00F338A4" w:rsidRDefault="00313816">
            <w:pPr>
              <w:jc w:val="center"/>
              <w:rPr>
                <w:rFonts w:eastAsia="Times New Roman" w:cs="Arial"/>
                <w:sz w:val="18"/>
                <w:szCs w:val="18"/>
                <w:lang w:eastAsia="en-GB"/>
              </w:rPr>
            </w:pPr>
            <w:r>
              <w:rPr>
                <w:rFonts w:eastAsia="Times New Roman" w:cs="Arial"/>
                <w:sz w:val="18"/>
                <w:szCs w:val="18"/>
                <w:lang w:eastAsia="en-GB"/>
              </w:rPr>
              <w:t>4</w:t>
            </w:r>
          </w:p>
        </w:tc>
        <w:tc>
          <w:tcPr>
            <w:tcW w:w="1009" w:type="pct"/>
            <w:tcBorders>
              <w:top w:val="single" w:sz="4" w:space="0" w:color="auto"/>
              <w:left w:val="single" w:sz="4" w:space="0" w:color="auto"/>
            </w:tcBorders>
            <w:shd w:val="clear" w:color="auto" w:fill="auto"/>
            <w:noWrap/>
            <w:vAlign w:val="center"/>
            <w:hideMark/>
          </w:tcPr>
          <w:p w14:paraId="50F0BBAA" w14:textId="77777777" w:rsidR="00313816" w:rsidRPr="00F338A4" w:rsidRDefault="00313816">
            <w:pPr>
              <w:rPr>
                <w:rFonts w:eastAsia="Times New Roman" w:cs="Arial"/>
                <w:sz w:val="18"/>
                <w:szCs w:val="18"/>
                <w:lang w:eastAsia="en-GB"/>
              </w:rPr>
            </w:pPr>
            <w:r>
              <w:rPr>
                <w:rFonts w:eastAsia="Times New Roman" w:cs="Arial"/>
                <w:color w:val="000000"/>
                <w:sz w:val="18"/>
                <w:szCs w:val="18"/>
                <w:lang w:eastAsia="en-GB"/>
              </w:rPr>
              <w:t>Trt</w:t>
            </w:r>
          </w:p>
        </w:tc>
        <w:tc>
          <w:tcPr>
            <w:tcW w:w="267" w:type="pct"/>
            <w:tcBorders>
              <w:top w:val="single" w:sz="4" w:space="0" w:color="auto"/>
            </w:tcBorders>
            <w:shd w:val="clear" w:color="auto" w:fill="auto"/>
            <w:noWrap/>
            <w:vAlign w:val="center"/>
            <w:hideMark/>
          </w:tcPr>
          <w:p w14:paraId="3E5C42AC"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3,367</w:t>
            </w:r>
          </w:p>
        </w:tc>
        <w:tc>
          <w:tcPr>
            <w:tcW w:w="371" w:type="pct"/>
            <w:tcBorders>
              <w:top w:val="single" w:sz="4" w:space="0" w:color="auto"/>
            </w:tcBorders>
            <w:shd w:val="clear" w:color="auto" w:fill="auto"/>
            <w:noWrap/>
            <w:vAlign w:val="center"/>
            <w:hideMark/>
          </w:tcPr>
          <w:p w14:paraId="7476991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3,329</w:t>
            </w:r>
          </w:p>
        </w:tc>
        <w:tc>
          <w:tcPr>
            <w:tcW w:w="425" w:type="pct"/>
            <w:tcBorders>
              <w:top w:val="single" w:sz="4" w:space="0" w:color="auto"/>
            </w:tcBorders>
            <w:shd w:val="clear" w:color="auto" w:fill="auto"/>
            <w:noWrap/>
            <w:vAlign w:val="center"/>
            <w:hideMark/>
          </w:tcPr>
          <w:p w14:paraId="04DD35E6"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7.9%</w:t>
            </w:r>
          </w:p>
        </w:tc>
        <w:tc>
          <w:tcPr>
            <w:tcW w:w="319" w:type="pct"/>
            <w:tcBorders>
              <w:top w:val="single" w:sz="4" w:space="0" w:color="auto"/>
            </w:tcBorders>
            <w:shd w:val="clear" w:color="auto" w:fill="auto"/>
            <w:noWrap/>
            <w:vAlign w:val="center"/>
            <w:hideMark/>
          </w:tcPr>
          <w:p w14:paraId="356960F1" w14:textId="77777777" w:rsidR="00313816" w:rsidRPr="00F338A4" w:rsidRDefault="00313816">
            <w:pPr>
              <w:jc w:val="center"/>
              <w:rPr>
                <w:rFonts w:eastAsia="Times New Roman" w:cs="Arial"/>
                <w:sz w:val="18"/>
                <w:szCs w:val="18"/>
                <w:lang w:eastAsia="en-GB"/>
              </w:rPr>
            </w:pPr>
          </w:p>
        </w:tc>
        <w:tc>
          <w:tcPr>
            <w:tcW w:w="586" w:type="pct"/>
            <w:tcBorders>
              <w:top w:val="single" w:sz="4" w:space="0" w:color="auto"/>
            </w:tcBorders>
            <w:shd w:val="clear" w:color="auto" w:fill="auto"/>
            <w:noWrap/>
            <w:vAlign w:val="center"/>
            <w:hideMark/>
          </w:tcPr>
          <w:p w14:paraId="26B8D3B8" w14:textId="77777777" w:rsidR="00313816" w:rsidRPr="00F338A4" w:rsidRDefault="00313816">
            <w:pPr>
              <w:jc w:val="center"/>
              <w:rPr>
                <w:rFonts w:ascii="Times New Roman" w:eastAsia="Times New Roman" w:hAnsi="Times New Roman" w:cs="Times New Roman"/>
                <w:sz w:val="18"/>
                <w:szCs w:val="18"/>
                <w:lang w:eastAsia="en-GB"/>
              </w:rPr>
            </w:pPr>
          </w:p>
        </w:tc>
        <w:tc>
          <w:tcPr>
            <w:tcW w:w="371" w:type="pct"/>
            <w:tcBorders>
              <w:top w:val="single" w:sz="4" w:space="0" w:color="auto"/>
            </w:tcBorders>
            <w:shd w:val="clear" w:color="auto" w:fill="auto"/>
            <w:noWrap/>
            <w:vAlign w:val="center"/>
            <w:hideMark/>
          </w:tcPr>
          <w:p w14:paraId="1B9F0F57" w14:textId="77777777" w:rsidR="00313816" w:rsidRPr="00F338A4" w:rsidRDefault="00313816">
            <w:pPr>
              <w:jc w:val="center"/>
              <w:rPr>
                <w:rFonts w:ascii="Times New Roman" w:eastAsia="Times New Roman" w:hAnsi="Times New Roman" w:cs="Times New Roman"/>
                <w:sz w:val="18"/>
                <w:szCs w:val="18"/>
                <w:lang w:eastAsia="en-GB"/>
              </w:rPr>
            </w:pPr>
          </w:p>
        </w:tc>
        <w:tc>
          <w:tcPr>
            <w:tcW w:w="425" w:type="pct"/>
            <w:tcBorders>
              <w:top w:val="single" w:sz="4" w:space="0" w:color="auto"/>
            </w:tcBorders>
            <w:shd w:val="clear" w:color="auto" w:fill="auto"/>
            <w:noWrap/>
            <w:vAlign w:val="center"/>
            <w:hideMark/>
          </w:tcPr>
          <w:p w14:paraId="401C39BF" w14:textId="77777777" w:rsidR="00313816" w:rsidRPr="00F338A4" w:rsidRDefault="00313816">
            <w:pPr>
              <w:jc w:val="center"/>
              <w:rPr>
                <w:rFonts w:eastAsia="Times New Roman" w:cs="Arial"/>
                <w:sz w:val="18"/>
                <w:szCs w:val="18"/>
                <w:lang w:eastAsia="en-GB"/>
              </w:rPr>
            </w:pPr>
          </w:p>
        </w:tc>
      </w:tr>
      <w:tr w:rsidR="00313816" w:rsidRPr="00F338A4" w14:paraId="33E2F46D" w14:textId="77777777" w:rsidTr="003C060B">
        <w:trPr>
          <w:trHeight w:hRule="exact" w:val="289"/>
        </w:trPr>
        <w:tc>
          <w:tcPr>
            <w:tcW w:w="531" w:type="pct"/>
            <w:vMerge/>
            <w:vAlign w:val="center"/>
            <w:hideMark/>
          </w:tcPr>
          <w:p w14:paraId="559C2A42" w14:textId="77777777" w:rsidR="00313816" w:rsidRPr="00F338A4" w:rsidRDefault="00313816">
            <w:pPr>
              <w:rPr>
                <w:rFonts w:eastAsia="Times New Roman" w:cs="Arial"/>
                <w:sz w:val="18"/>
                <w:szCs w:val="18"/>
                <w:lang w:eastAsia="en-GB"/>
              </w:rPr>
            </w:pPr>
          </w:p>
        </w:tc>
        <w:tc>
          <w:tcPr>
            <w:tcW w:w="430" w:type="pct"/>
            <w:vMerge/>
            <w:vAlign w:val="center"/>
            <w:hideMark/>
          </w:tcPr>
          <w:p w14:paraId="630DFE2A" w14:textId="77777777" w:rsidR="00313816" w:rsidRPr="00F338A4" w:rsidRDefault="00313816">
            <w:pPr>
              <w:rPr>
                <w:rFonts w:eastAsia="Times New Roman" w:cs="Arial"/>
                <w:sz w:val="18"/>
                <w:szCs w:val="18"/>
                <w:lang w:eastAsia="en-GB"/>
              </w:rPr>
            </w:pPr>
          </w:p>
        </w:tc>
        <w:tc>
          <w:tcPr>
            <w:tcW w:w="266" w:type="pct"/>
            <w:vMerge/>
            <w:tcBorders>
              <w:right w:val="single" w:sz="4" w:space="0" w:color="auto"/>
            </w:tcBorders>
            <w:vAlign w:val="center"/>
          </w:tcPr>
          <w:p w14:paraId="2ADC8972"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auto"/>
            <w:noWrap/>
            <w:vAlign w:val="center"/>
            <w:hideMark/>
          </w:tcPr>
          <w:p w14:paraId="69919B60" w14:textId="77777777" w:rsidR="00313816" w:rsidRPr="00C0772B" w:rsidRDefault="00313816">
            <w:pPr>
              <w:rPr>
                <w:rFonts w:eastAsia="Times New Roman" w:cs="Arial"/>
                <w:sz w:val="18"/>
                <w:szCs w:val="18"/>
                <w:lang w:eastAsia="en-GB"/>
              </w:rPr>
            </w:pPr>
            <w:r w:rsidRPr="00C0772B">
              <w:rPr>
                <w:rFonts w:eastAsia="Times New Roman" w:cs="Arial"/>
                <w:sz w:val="18"/>
                <w:szCs w:val="18"/>
                <w:lang w:eastAsia="en-GB"/>
              </w:rPr>
              <w:t>Trt + parenting/family support</w:t>
            </w:r>
          </w:p>
        </w:tc>
        <w:tc>
          <w:tcPr>
            <w:tcW w:w="267" w:type="pct"/>
            <w:shd w:val="clear" w:color="auto" w:fill="auto"/>
            <w:noWrap/>
            <w:vAlign w:val="center"/>
            <w:hideMark/>
          </w:tcPr>
          <w:p w14:paraId="12029E39" w14:textId="77777777" w:rsidR="00313816" w:rsidRPr="00C0772B" w:rsidRDefault="00313816">
            <w:pPr>
              <w:jc w:val="center"/>
              <w:rPr>
                <w:rFonts w:eastAsia="Times New Roman" w:cs="Arial"/>
                <w:sz w:val="18"/>
                <w:szCs w:val="18"/>
                <w:lang w:eastAsia="en-GB"/>
              </w:rPr>
            </w:pPr>
            <w:r w:rsidRPr="00C0772B">
              <w:rPr>
                <w:rFonts w:eastAsia="Times New Roman" w:cs="Arial"/>
                <w:sz w:val="18"/>
                <w:szCs w:val="18"/>
                <w:lang w:eastAsia="en-GB"/>
              </w:rPr>
              <w:t>196</w:t>
            </w:r>
          </w:p>
        </w:tc>
        <w:tc>
          <w:tcPr>
            <w:tcW w:w="371" w:type="pct"/>
            <w:shd w:val="clear" w:color="auto" w:fill="auto"/>
            <w:noWrap/>
            <w:vAlign w:val="center"/>
            <w:hideMark/>
          </w:tcPr>
          <w:p w14:paraId="097CBD36" w14:textId="77777777" w:rsidR="00313816" w:rsidRPr="00C0772B" w:rsidRDefault="00313816">
            <w:pPr>
              <w:jc w:val="center"/>
              <w:rPr>
                <w:rFonts w:eastAsia="Times New Roman" w:cs="Arial"/>
                <w:sz w:val="18"/>
                <w:szCs w:val="18"/>
                <w:lang w:eastAsia="en-GB"/>
              </w:rPr>
            </w:pPr>
            <w:r w:rsidRPr="00C0772B">
              <w:rPr>
                <w:rFonts w:eastAsia="Times New Roman" w:cs="Arial"/>
                <w:sz w:val="18"/>
                <w:szCs w:val="18"/>
                <w:lang w:eastAsia="en-GB"/>
              </w:rPr>
              <w:t>151</w:t>
            </w:r>
          </w:p>
        </w:tc>
        <w:tc>
          <w:tcPr>
            <w:tcW w:w="425" w:type="pct"/>
            <w:shd w:val="clear" w:color="auto" w:fill="auto"/>
            <w:noWrap/>
            <w:vAlign w:val="center"/>
            <w:hideMark/>
          </w:tcPr>
          <w:p w14:paraId="1173858E" w14:textId="77777777" w:rsidR="00313816" w:rsidRPr="00C0772B" w:rsidRDefault="00313816">
            <w:pPr>
              <w:jc w:val="center"/>
              <w:rPr>
                <w:rFonts w:eastAsia="Times New Roman" w:cs="Arial"/>
                <w:sz w:val="18"/>
                <w:szCs w:val="18"/>
                <w:lang w:eastAsia="en-GB"/>
              </w:rPr>
            </w:pPr>
            <w:r w:rsidRPr="00C0772B">
              <w:rPr>
                <w:rFonts w:eastAsia="Times New Roman" w:cs="Arial"/>
                <w:sz w:val="18"/>
                <w:szCs w:val="18"/>
                <w:lang w:eastAsia="en-GB"/>
              </w:rPr>
              <w:t>10.1%</w:t>
            </w:r>
          </w:p>
        </w:tc>
        <w:tc>
          <w:tcPr>
            <w:tcW w:w="319" w:type="pct"/>
            <w:shd w:val="clear" w:color="auto" w:fill="auto"/>
            <w:noWrap/>
            <w:vAlign w:val="center"/>
            <w:hideMark/>
          </w:tcPr>
          <w:p w14:paraId="17D75043" w14:textId="77777777" w:rsidR="00313816" w:rsidRPr="00C0772B" w:rsidRDefault="00313816">
            <w:pPr>
              <w:jc w:val="center"/>
              <w:rPr>
                <w:rFonts w:eastAsia="Times New Roman" w:cs="Arial"/>
                <w:sz w:val="18"/>
                <w:szCs w:val="18"/>
                <w:lang w:eastAsia="en-GB"/>
              </w:rPr>
            </w:pPr>
            <w:r w:rsidRPr="00C0772B">
              <w:rPr>
                <w:rFonts w:eastAsia="Times New Roman" w:cs="Arial"/>
                <w:sz w:val="18"/>
                <w:szCs w:val="18"/>
                <w:lang w:eastAsia="en-GB"/>
              </w:rPr>
              <w:t>0.022</w:t>
            </w:r>
          </w:p>
        </w:tc>
        <w:tc>
          <w:tcPr>
            <w:tcW w:w="586" w:type="pct"/>
            <w:shd w:val="clear" w:color="auto" w:fill="auto"/>
            <w:noWrap/>
            <w:vAlign w:val="center"/>
            <w:hideMark/>
          </w:tcPr>
          <w:p w14:paraId="3A2ECC3E" w14:textId="77777777" w:rsidR="00313816" w:rsidRPr="00C0772B" w:rsidRDefault="00313816">
            <w:pPr>
              <w:jc w:val="center"/>
              <w:rPr>
                <w:rFonts w:eastAsia="Times New Roman" w:cs="Arial"/>
                <w:sz w:val="18"/>
                <w:szCs w:val="18"/>
                <w:lang w:eastAsia="en-GB"/>
              </w:rPr>
            </w:pPr>
            <w:r w:rsidRPr="00C0772B">
              <w:rPr>
                <w:rFonts w:eastAsia="Times New Roman" w:cs="Arial"/>
                <w:sz w:val="18"/>
                <w:szCs w:val="18"/>
                <w:lang w:eastAsia="en-GB"/>
              </w:rPr>
              <w:t>1.31 (0.75-2.26)</w:t>
            </w:r>
          </w:p>
        </w:tc>
        <w:tc>
          <w:tcPr>
            <w:tcW w:w="371" w:type="pct"/>
            <w:shd w:val="clear" w:color="auto" w:fill="auto"/>
            <w:noWrap/>
            <w:vAlign w:val="center"/>
            <w:hideMark/>
          </w:tcPr>
          <w:p w14:paraId="305E3F51" w14:textId="77777777" w:rsidR="00313816" w:rsidRPr="00C0772B" w:rsidRDefault="00313816">
            <w:pPr>
              <w:jc w:val="center"/>
              <w:rPr>
                <w:rFonts w:eastAsia="Times New Roman" w:cs="Arial"/>
                <w:sz w:val="18"/>
                <w:szCs w:val="18"/>
                <w:lang w:eastAsia="en-GB"/>
              </w:rPr>
            </w:pPr>
            <w:r w:rsidRPr="00C0772B">
              <w:rPr>
                <w:rFonts w:eastAsia="Times New Roman" w:cs="Arial"/>
                <w:sz w:val="18"/>
                <w:szCs w:val="18"/>
                <w:lang w:eastAsia="en-GB"/>
              </w:rPr>
              <w:t>ns</w:t>
            </w:r>
          </w:p>
        </w:tc>
        <w:tc>
          <w:tcPr>
            <w:tcW w:w="425" w:type="pct"/>
            <w:shd w:val="clear" w:color="auto" w:fill="auto"/>
            <w:noWrap/>
            <w:vAlign w:val="center"/>
            <w:hideMark/>
          </w:tcPr>
          <w:p w14:paraId="2AAFC345" w14:textId="77777777" w:rsidR="00313816" w:rsidRPr="00C0772B" w:rsidRDefault="00313816">
            <w:pPr>
              <w:jc w:val="center"/>
              <w:rPr>
                <w:rFonts w:eastAsia="Times New Roman" w:cs="Arial"/>
                <w:sz w:val="18"/>
                <w:szCs w:val="18"/>
                <w:lang w:eastAsia="en-GB"/>
              </w:rPr>
            </w:pPr>
          </w:p>
        </w:tc>
      </w:tr>
      <w:tr w:rsidR="00313816" w:rsidRPr="00F338A4" w14:paraId="2CF9FA27" w14:textId="77777777" w:rsidTr="003C060B">
        <w:trPr>
          <w:trHeight w:hRule="exact" w:val="289"/>
        </w:trPr>
        <w:tc>
          <w:tcPr>
            <w:tcW w:w="531" w:type="pct"/>
            <w:vMerge/>
            <w:vAlign w:val="center"/>
            <w:hideMark/>
          </w:tcPr>
          <w:p w14:paraId="24C7C294" w14:textId="77777777" w:rsidR="00313816" w:rsidRPr="00F338A4" w:rsidRDefault="00313816">
            <w:pPr>
              <w:rPr>
                <w:rFonts w:eastAsia="Times New Roman" w:cs="Arial"/>
                <w:sz w:val="18"/>
                <w:szCs w:val="18"/>
                <w:lang w:eastAsia="en-GB"/>
              </w:rPr>
            </w:pPr>
          </w:p>
        </w:tc>
        <w:tc>
          <w:tcPr>
            <w:tcW w:w="430" w:type="pct"/>
            <w:vMerge/>
            <w:vAlign w:val="center"/>
            <w:hideMark/>
          </w:tcPr>
          <w:p w14:paraId="1E807E76" w14:textId="77777777" w:rsidR="00313816" w:rsidRPr="00F338A4" w:rsidRDefault="00313816">
            <w:pPr>
              <w:rPr>
                <w:rFonts w:eastAsia="Times New Roman" w:cs="Arial"/>
                <w:sz w:val="18"/>
                <w:szCs w:val="18"/>
                <w:lang w:eastAsia="en-GB"/>
              </w:rPr>
            </w:pPr>
          </w:p>
        </w:tc>
        <w:tc>
          <w:tcPr>
            <w:tcW w:w="266" w:type="pct"/>
            <w:vMerge/>
            <w:tcBorders>
              <w:right w:val="single" w:sz="4" w:space="0" w:color="auto"/>
            </w:tcBorders>
            <w:vAlign w:val="center"/>
          </w:tcPr>
          <w:p w14:paraId="42802E6A"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4A815F2A"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shd w:val="clear" w:color="auto" w:fill="C5E0B3"/>
            <w:noWrap/>
            <w:vAlign w:val="center"/>
            <w:hideMark/>
          </w:tcPr>
          <w:p w14:paraId="602CB31C"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46</w:t>
            </w:r>
          </w:p>
        </w:tc>
        <w:tc>
          <w:tcPr>
            <w:tcW w:w="371" w:type="pct"/>
            <w:shd w:val="clear" w:color="auto" w:fill="C5E0B3"/>
            <w:noWrap/>
            <w:vAlign w:val="center"/>
            <w:hideMark/>
          </w:tcPr>
          <w:p w14:paraId="2DE025B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31</w:t>
            </w:r>
          </w:p>
        </w:tc>
        <w:tc>
          <w:tcPr>
            <w:tcW w:w="425" w:type="pct"/>
            <w:shd w:val="clear" w:color="auto" w:fill="C5E0B3"/>
            <w:noWrap/>
            <w:vAlign w:val="center"/>
            <w:hideMark/>
          </w:tcPr>
          <w:p w14:paraId="0B14CB6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19.4%</w:t>
            </w:r>
          </w:p>
        </w:tc>
        <w:tc>
          <w:tcPr>
            <w:tcW w:w="319" w:type="pct"/>
            <w:shd w:val="clear" w:color="auto" w:fill="C5E0B3"/>
            <w:noWrap/>
            <w:vAlign w:val="center"/>
            <w:hideMark/>
          </w:tcPr>
          <w:p w14:paraId="37CD19E5"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0.115</w:t>
            </w:r>
          </w:p>
        </w:tc>
        <w:tc>
          <w:tcPr>
            <w:tcW w:w="586" w:type="pct"/>
            <w:shd w:val="clear" w:color="auto" w:fill="C5E0B3"/>
            <w:noWrap/>
            <w:vAlign w:val="center"/>
            <w:hideMark/>
          </w:tcPr>
          <w:p w14:paraId="52674559"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2.91 (1.34-6.29)</w:t>
            </w:r>
          </w:p>
        </w:tc>
        <w:tc>
          <w:tcPr>
            <w:tcW w:w="371" w:type="pct"/>
            <w:shd w:val="clear" w:color="auto" w:fill="C5E0B3"/>
            <w:noWrap/>
            <w:vAlign w:val="center"/>
            <w:hideMark/>
          </w:tcPr>
          <w:p w14:paraId="5EDC5B65"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p&lt;0.01</w:t>
            </w:r>
          </w:p>
        </w:tc>
        <w:tc>
          <w:tcPr>
            <w:tcW w:w="425" w:type="pct"/>
            <w:shd w:val="clear" w:color="auto" w:fill="C5E0B3"/>
            <w:noWrap/>
            <w:vAlign w:val="center"/>
            <w:hideMark/>
          </w:tcPr>
          <w:p w14:paraId="46AB1964"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2.80 (1.58)</w:t>
            </w:r>
          </w:p>
        </w:tc>
      </w:tr>
      <w:tr w:rsidR="00313816" w:rsidRPr="00F338A4" w14:paraId="16578688" w14:textId="77777777" w:rsidTr="003C060B">
        <w:trPr>
          <w:trHeight w:hRule="exact" w:val="289"/>
        </w:trPr>
        <w:tc>
          <w:tcPr>
            <w:tcW w:w="531" w:type="pct"/>
            <w:vMerge/>
            <w:vAlign w:val="center"/>
            <w:hideMark/>
          </w:tcPr>
          <w:p w14:paraId="2BFD6059" w14:textId="77777777" w:rsidR="00313816" w:rsidRPr="00F338A4" w:rsidRDefault="00313816">
            <w:pPr>
              <w:rPr>
                <w:rFonts w:eastAsia="Times New Roman" w:cs="Arial"/>
                <w:sz w:val="18"/>
                <w:szCs w:val="18"/>
                <w:lang w:eastAsia="en-GB"/>
              </w:rPr>
            </w:pPr>
          </w:p>
        </w:tc>
        <w:tc>
          <w:tcPr>
            <w:tcW w:w="430" w:type="pct"/>
            <w:vMerge w:val="restart"/>
            <w:shd w:val="clear" w:color="auto" w:fill="auto"/>
            <w:vAlign w:val="center"/>
            <w:hideMark/>
          </w:tcPr>
          <w:p w14:paraId="32660BD4" w14:textId="77777777" w:rsidR="00313816" w:rsidRPr="00F338A4" w:rsidRDefault="00313816">
            <w:pPr>
              <w:rPr>
                <w:rFonts w:eastAsia="Times New Roman" w:cs="Arial"/>
                <w:sz w:val="18"/>
                <w:szCs w:val="18"/>
                <w:lang w:eastAsia="en-GB"/>
              </w:rPr>
            </w:pPr>
            <w:r w:rsidRPr="00F338A4">
              <w:rPr>
                <w:rFonts w:eastAsia="Times New Roman" w:cs="Arial"/>
                <w:sz w:val="18"/>
                <w:szCs w:val="18"/>
                <w:lang w:eastAsia="en-GB"/>
              </w:rPr>
              <w:t>Non-OUs</w:t>
            </w:r>
          </w:p>
        </w:tc>
        <w:tc>
          <w:tcPr>
            <w:tcW w:w="266" w:type="pct"/>
            <w:vMerge w:val="restart"/>
            <w:tcBorders>
              <w:right w:val="single" w:sz="4" w:space="0" w:color="auto"/>
            </w:tcBorders>
            <w:vAlign w:val="center"/>
          </w:tcPr>
          <w:p w14:paraId="0FE08129" w14:textId="77777777" w:rsidR="00313816" w:rsidRPr="00F338A4" w:rsidRDefault="00313816">
            <w:pPr>
              <w:jc w:val="center"/>
              <w:rPr>
                <w:rFonts w:eastAsia="Times New Roman" w:cs="Arial"/>
                <w:sz w:val="18"/>
                <w:szCs w:val="18"/>
                <w:lang w:eastAsia="en-GB"/>
              </w:rPr>
            </w:pPr>
            <w:r>
              <w:rPr>
                <w:rFonts w:eastAsia="Times New Roman" w:cs="Arial"/>
                <w:sz w:val="18"/>
                <w:szCs w:val="18"/>
                <w:lang w:eastAsia="en-GB"/>
              </w:rPr>
              <w:t>5</w:t>
            </w:r>
          </w:p>
        </w:tc>
        <w:tc>
          <w:tcPr>
            <w:tcW w:w="1009" w:type="pct"/>
            <w:tcBorders>
              <w:left w:val="single" w:sz="4" w:space="0" w:color="auto"/>
            </w:tcBorders>
            <w:shd w:val="clear" w:color="auto" w:fill="auto"/>
            <w:noWrap/>
            <w:vAlign w:val="center"/>
            <w:hideMark/>
          </w:tcPr>
          <w:p w14:paraId="32C7BDC3" w14:textId="77777777" w:rsidR="00313816" w:rsidRPr="00F338A4" w:rsidRDefault="00313816">
            <w:pPr>
              <w:rPr>
                <w:rFonts w:eastAsia="Times New Roman" w:cs="Arial"/>
                <w:sz w:val="18"/>
                <w:szCs w:val="18"/>
                <w:lang w:eastAsia="en-GB"/>
              </w:rPr>
            </w:pPr>
            <w:r>
              <w:rPr>
                <w:rFonts w:eastAsia="Times New Roman" w:cs="Arial"/>
                <w:color w:val="000000"/>
                <w:sz w:val="18"/>
                <w:szCs w:val="18"/>
                <w:lang w:eastAsia="en-GB"/>
              </w:rPr>
              <w:t>Trt</w:t>
            </w:r>
          </w:p>
        </w:tc>
        <w:tc>
          <w:tcPr>
            <w:tcW w:w="267" w:type="pct"/>
            <w:shd w:val="clear" w:color="auto" w:fill="auto"/>
            <w:noWrap/>
            <w:vAlign w:val="center"/>
            <w:hideMark/>
          </w:tcPr>
          <w:p w14:paraId="33C7C0B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1,188</w:t>
            </w:r>
          </w:p>
        </w:tc>
        <w:tc>
          <w:tcPr>
            <w:tcW w:w="371" w:type="pct"/>
            <w:shd w:val="clear" w:color="auto" w:fill="auto"/>
            <w:noWrap/>
            <w:vAlign w:val="center"/>
            <w:hideMark/>
          </w:tcPr>
          <w:p w14:paraId="11386B39"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1,115</w:t>
            </w:r>
          </w:p>
        </w:tc>
        <w:tc>
          <w:tcPr>
            <w:tcW w:w="425" w:type="pct"/>
            <w:shd w:val="clear" w:color="auto" w:fill="auto"/>
            <w:noWrap/>
            <w:vAlign w:val="center"/>
            <w:hideMark/>
          </w:tcPr>
          <w:p w14:paraId="3C76152A"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52.5%</w:t>
            </w:r>
          </w:p>
        </w:tc>
        <w:tc>
          <w:tcPr>
            <w:tcW w:w="319" w:type="pct"/>
            <w:shd w:val="clear" w:color="auto" w:fill="auto"/>
            <w:noWrap/>
            <w:vAlign w:val="center"/>
            <w:hideMark/>
          </w:tcPr>
          <w:p w14:paraId="1916D396" w14:textId="77777777" w:rsidR="00313816" w:rsidRPr="00F338A4" w:rsidRDefault="00313816">
            <w:pPr>
              <w:jc w:val="center"/>
              <w:rPr>
                <w:rFonts w:eastAsia="Times New Roman" w:cs="Arial"/>
                <w:color w:val="000000"/>
                <w:sz w:val="18"/>
                <w:szCs w:val="18"/>
                <w:lang w:eastAsia="en-GB"/>
              </w:rPr>
            </w:pPr>
          </w:p>
        </w:tc>
        <w:tc>
          <w:tcPr>
            <w:tcW w:w="586" w:type="pct"/>
            <w:shd w:val="clear" w:color="auto" w:fill="auto"/>
            <w:noWrap/>
            <w:vAlign w:val="center"/>
            <w:hideMark/>
          </w:tcPr>
          <w:p w14:paraId="1BBFE77A" w14:textId="77777777" w:rsidR="00313816" w:rsidRPr="00F338A4" w:rsidRDefault="00313816">
            <w:pPr>
              <w:jc w:val="center"/>
              <w:rPr>
                <w:rFonts w:eastAsia="Times New Roman" w:cs="Arial"/>
                <w:color w:val="000000"/>
                <w:sz w:val="18"/>
                <w:szCs w:val="18"/>
                <w:lang w:eastAsia="en-GB"/>
              </w:rPr>
            </w:pPr>
          </w:p>
        </w:tc>
        <w:tc>
          <w:tcPr>
            <w:tcW w:w="371" w:type="pct"/>
            <w:shd w:val="clear" w:color="auto" w:fill="auto"/>
            <w:noWrap/>
            <w:vAlign w:val="center"/>
            <w:hideMark/>
          </w:tcPr>
          <w:p w14:paraId="2C1FFFD3" w14:textId="77777777" w:rsidR="00313816" w:rsidRPr="00F338A4" w:rsidRDefault="00313816">
            <w:pPr>
              <w:jc w:val="center"/>
              <w:rPr>
                <w:rFonts w:eastAsia="Times New Roman" w:cs="Arial"/>
                <w:sz w:val="18"/>
                <w:szCs w:val="18"/>
                <w:lang w:eastAsia="en-GB"/>
              </w:rPr>
            </w:pPr>
          </w:p>
        </w:tc>
        <w:tc>
          <w:tcPr>
            <w:tcW w:w="425" w:type="pct"/>
            <w:shd w:val="clear" w:color="auto" w:fill="auto"/>
            <w:noWrap/>
            <w:vAlign w:val="center"/>
            <w:hideMark/>
          </w:tcPr>
          <w:p w14:paraId="62A60696" w14:textId="77777777" w:rsidR="00313816" w:rsidRPr="00F338A4" w:rsidRDefault="00313816">
            <w:pPr>
              <w:jc w:val="center"/>
              <w:rPr>
                <w:rFonts w:eastAsia="Times New Roman" w:cs="Arial"/>
                <w:sz w:val="18"/>
                <w:szCs w:val="18"/>
                <w:lang w:eastAsia="en-GB"/>
              </w:rPr>
            </w:pPr>
          </w:p>
        </w:tc>
      </w:tr>
      <w:tr w:rsidR="00313816" w:rsidRPr="00F338A4" w14:paraId="2459D1BE" w14:textId="77777777" w:rsidTr="003C060B">
        <w:trPr>
          <w:trHeight w:hRule="exact" w:val="289"/>
        </w:trPr>
        <w:tc>
          <w:tcPr>
            <w:tcW w:w="531" w:type="pct"/>
            <w:vMerge/>
            <w:vAlign w:val="center"/>
            <w:hideMark/>
          </w:tcPr>
          <w:p w14:paraId="36D0C14F" w14:textId="77777777" w:rsidR="00313816" w:rsidRPr="00F338A4" w:rsidRDefault="00313816">
            <w:pPr>
              <w:rPr>
                <w:rFonts w:eastAsia="Times New Roman" w:cs="Arial"/>
                <w:sz w:val="18"/>
                <w:szCs w:val="18"/>
                <w:lang w:eastAsia="en-GB"/>
              </w:rPr>
            </w:pPr>
          </w:p>
        </w:tc>
        <w:tc>
          <w:tcPr>
            <w:tcW w:w="430" w:type="pct"/>
            <w:vMerge/>
            <w:vAlign w:val="center"/>
            <w:hideMark/>
          </w:tcPr>
          <w:p w14:paraId="0194CC7E" w14:textId="77777777" w:rsidR="00313816" w:rsidRPr="00F338A4" w:rsidRDefault="00313816">
            <w:pPr>
              <w:rPr>
                <w:rFonts w:eastAsia="Times New Roman" w:cs="Arial"/>
                <w:sz w:val="18"/>
                <w:szCs w:val="18"/>
                <w:lang w:eastAsia="en-GB"/>
              </w:rPr>
            </w:pPr>
          </w:p>
        </w:tc>
        <w:tc>
          <w:tcPr>
            <w:tcW w:w="266" w:type="pct"/>
            <w:vMerge/>
            <w:tcBorders>
              <w:right w:val="single" w:sz="4" w:space="0" w:color="auto"/>
            </w:tcBorders>
            <w:vAlign w:val="center"/>
          </w:tcPr>
          <w:p w14:paraId="4475BA9E"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738505C1"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parenting/family </w:t>
            </w:r>
            <w:r>
              <w:rPr>
                <w:rFonts w:eastAsia="Times New Roman" w:cs="Arial"/>
                <w:color w:val="000000"/>
                <w:sz w:val="18"/>
                <w:szCs w:val="18"/>
                <w:lang w:eastAsia="en-GB"/>
              </w:rPr>
              <w:t>support</w:t>
            </w:r>
          </w:p>
        </w:tc>
        <w:tc>
          <w:tcPr>
            <w:tcW w:w="267" w:type="pct"/>
            <w:shd w:val="clear" w:color="auto" w:fill="C5E0B3"/>
            <w:noWrap/>
            <w:vAlign w:val="center"/>
            <w:hideMark/>
          </w:tcPr>
          <w:p w14:paraId="513AB7EC"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95</w:t>
            </w:r>
          </w:p>
        </w:tc>
        <w:tc>
          <w:tcPr>
            <w:tcW w:w="371" w:type="pct"/>
            <w:shd w:val="clear" w:color="auto" w:fill="C5E0B3"/>
            <w:noWrap/>
            <w:vAlign w:val="center"/>
            <w:hideMark/>
          </w:tcPr>
          <w:p w14:paraId="54AEA77C"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70</w:t>
            </w:r>
          </w:p>
        </w:tc>
        <w:tc>
          <w:tcPr>
            <w:tcW w:w="425" w:type="pct"/>
            <w:shd w:val="clear" w:color="auto" w:fill="C5E0B3"/>
            <w:noWrap/>
            <w:vAlign w:val="center"/>
            <w:hideMark/>
          </w:tcPr>
          <w:p w14:paraId="4B5C163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73.3%</w:t>
            </w:r>
          </w:p>
        </w:tc>
        <w:tc>
          <w:tcPr>
            <w:tcW w:w="319" w:type="pct"/>
            <w:shd w:val="clear" w:color="auto" w:fill="C5E0B3"/>
            <w:noWrap/>
            <w:vAlign w:val="center"/>
            <w:hideMark/>
          </w:tcPr>
          <w:p w14:paraId="26CD117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0.207</w:t>
            </w:r>
          </w:p>
        </w:tc>
        <w:tc>
          <w:tcPr>
            <w:tcW w:w="586" w:type="pct"/>
            <w:shd w:val="clear" w:color="auto" w:fill="C5E0B3"/>
            <w:noWrap/>
            <w:vAlign w:val="center"/>
            <w:hideMark/>
          </w:tcPr>
          <w:p w14:paraId="2424327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2.41 (1.40-4.13)</w:t>
            </w:r>
          </w:p>
        </w:tc>
        <w:tc>
          <w:tcPr>
            <w:tcW w:w="371" w:type="pct"/>
            <w:shd w:val="clear" w:color="auto" w:fill="C5E0B3"/>
            <w:noWrap/>
            <w:vAlign w:val="center"/>
            <w:hideMark/>
          </w:tcPr>
          <w:p w14:paraId="1BB0BB1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p=0.000</w:t>
            </w:r>
          </w:p>
        </w:tc>
        <w:tc>
          <w:tcPr>
            <w:tcW w:w="425" w:type="pct"/>
            <w:shd w:val="clear" w:color="auto" w:fill="C5E0B3"/>
            <w:noWrap/>
            <w:vAlign w:val="center"/>
            <w:hideMark/>
          </w:tcPr>
          <w:p w14:paraId="66068CF0"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2.48 (1.65)</w:t>
            </w:r>
          </w:p>
        </w:tc>
      </w:tr>
      <w:tr w:rsidR="00313816" w:rsidRPr="00F338A4" w14:paraId="6761E858" w14:textId="77777777" w:rsidTr="003C060B">
        <w:trPr>
          <w:trHeight w:hRule="exact" w:val="289"/>
        </w:trPr>
        <w:tc>
          <w:tcPr>
            <w:tcW w:w="531" w:type="pct"/>
            <w:vMerge/>
            <w:vAlign w:val="center"/>
            <w:hideMark/>
          </w:tcPr>
          <w:p w14:paraId="24D037D9" w14:textId="77777777" w:rsidR="00313816" w:rsidRPr="00F338A4" w:rsidRDefault="00313816">
            <w:pPr>
              <w:rPr>
                <w:rFonts w:eastAsia="Times New Roman" w:cs="Arial"/>
                <w:sz w:val="18"/>
                <w:szCs w:val="18"/>
                <w:lang w:eastAsia="en-GB"/>
              </w:rPr>
            </w:pPr>
          </w:p>
        </w:tc>
        <w:tc>
          <w:tcPr>
            <w:tcW w:w="430" w:type="pct"/>
            <w:vMerge/>
            <w:vAlign w:val="center"/>
            <w:hideMark/>
          </w:tcPr>
          <w:p w14:paraId="62FB40CB" w14:textId="77777777" w:rsidR="00313816" w:rsidRPr="00F338A4" w:rsidRDefault="00313816">
            <w:pPr>
              <w:rPr>
                <w:rFonts w:eastAsia="Times New Roman" w:cs="Arial"/>
                <w:sz w:val="18"/>
                <w:szCs w:val="18"/>
                <w:lang w:eastAsia="en-GB"/>
              </w:rPr>
            </w:pPr>
          </w:p>
        </w:tc>
        <w:tc>
          <w:tcPr>
            <w:tcW w:w="266" w:type="pct"/>
            <w:vMerge/>
            <w:tcBorders>
              <w:right w:val="single" w:sz="4" w:space="0" w:color="auto"/>
            </w:tcBorders>
            <w:vAlign w:val="center"/>
          </w:tcPr>
          <w:p w14:paraId="5BF19817"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auto"/>
            <w:noWrap/>
            <w:vAlign w:val="center"/>
            <w:hideMark/>
          </w:tcPr>
          <w:p w14:paraId="5E649D38"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shd w:val="clear" w:color="auto" w:fill="auto"/>
            <w:noWrap/>
            <w:vAlign w:val="center"/>
            <w:hideMark/>
          </w:tcPr>
          <w:p w14:paraId="54F058A4"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64</w:t>
            </w:r>
          </w:p>
        </w:tc>
        <w:tc>
          <w:tcPr>
            <w:tcW w:w="371" w:type="pct"/>
            <w:shd w:val="clear" w:color="auto" w:fill="auto"/>
            <w:noWrap/>
            <w:vAlign w:val="center"/>
            <w:hideMark/>
          </w:tcPr>
          <w:p w14:paraId="2385699D"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49</w:t>
            </w:r>
          </w:p>
        </w:tc>
        <w:tc>
          <w:tcPr>
            <w:tcW w:w="425" w:type="pct"/>
            <w:shd w:val="clear" w:color="auto" w:fill="auto"/>
            <w:noWrap/>
            <w:vAlign w:val="center"/>
            <w:hideMark/>
          </w:tcPr>
          <w:p w14:paraId="5031844D"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49.0%</w:t>
            </w:r>
          </w:p>
        </w:tc>
        <w:tc>
          <w:tcPr>
            <w:tcW w:w="319" w:type="pct"/>
            <w:shd w:val="clear" w:color="auto" w:fill="auto"/>
            <w:noWrap/>
            <w:vAlign w:val="center"/>
            <w:hideMark/>
          </w:tcPr>
          <w:p w14:paraId="16AD56C4"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-0.035</w:t>
            </w:r>
          </w:p>
        </w:tc>
        <w:tc>
          <w:tcPr>
            <w:tcW w:w="586" w:type="pct"/>
            <w:shd w:val="clear" w:color="auto" w:fill="auto"/>
            <w:noWrap/>
            <w:vAlign w:val="center"/>
            <w:hideMark/>
          </w:tcPr>
          <w:p w14:paraId="12E65A0C"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0.87 (0.49-1.54)</w:t>
            </w:r>
          </w:p>
        </w:tc>
        <w:tc>
          <w:tcPr>
            <w:tcW w:w="371" w:type="pct"/>
            <w:shd w:val="clear" w:color="auto" w:fill="auto"/>
            <w:noWrap/>
            <w:vAlign w:val="center"/>
            <w:hideMark/>
          </w:tcPr>
          <w:p w14:paraId="2A1944B8"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ns</w:t>
            </w:r>
          </w:p>
        </w:tc>
        <w:tc>
          <w:tcPr>
            <w:tcW w:w="425" w:type="pct"/>
            <w:shd w:val="clear" w:color="auto" w:fill="auto"/>
            <w:noWrap/>
            <w:vAlign w:val="center"/>
            <w:hideMark/>
          </w:tcPr>
          <w:p w14:paraId="266E0FD3" w14:textId="77777777" w:rsidR="00313816" w:rsidRPr="00F338A4" w:rsidRDefault="00313816">
            <w:pPr>
              <w:jc w:val="center"/>
              <w:rPr>
                <w:rFonts w:eastAsia="Times New Roman" w:cs="Arial"/>
                <w:sz w:val="18"/>
                <w:szCs w:val="18"/>
                <w:lang w:eastAsia="en-GB"/>
              </w:rPr>
            </w:pPr>
          </w:p>
        </w:tc>
      </w:tr>
      <w:tr w:rsidR="00313816" w:rsidRPr="00F338A4" w14:paraId="2BF8DC3F" w14:textId="77777777" w:rsidTr="003C060B">
        <w:trPr>
          <w:trHeight w:hRule="exact" w:val="289"/>
        </w:trPr>
        <w:tc>
          <w:tcPr>
            <w:tcW w:w="531" w:type="pct"/>
            <w:vMerge/>
            <w:vAlign w:val="center"/>
            <w:hideMark/>
          </w:tcPr>
          <w:p w14:paraId="0F656AFD" w14:textId="77777777" w:rsidR="00313816" w:rsidRPr="00F338A4" w:rsidRDefault="00313816">
            <w:pPr>
              <w:rPr>
                <w:rFonts w:eastAsia="Times New Roman" w:cs="Arial"/>
                <w:sz w:val="18"/>
                <w:szCs w:val="18"/>
                <w:lang w:eastAsia="en-GB"/>
              </w:rPr>
            </w:pPr>
          </w:p>
        </w:tc>
        <w:tc>
          <w:tcPr>
            <w:tcW w:w="430" w:type="pct"/>
            <w:vMerge w:val="restart"/>
            <w:shd w:val="clear" w:color="auto" w:fill="auto"/>
            <w:vAlign w:val="center"/>
            <w:hideMark/>
          </w:tcPr>
          <w:p w14:paraId="40C62AC6" w14:textId="77777777" w:rsidR="00313816" w:rsidRPr="00F338A4" w:rsidRDefault="00313816">
            <w:pPr>
              <w:rPr>
                <w:rFonts w:eastAsia="Times New Roman" w:cs="Arial"/>
                <w:sz w:val="18"/>
                <w:szCs w:val="18"/>
                <w:lang w:eastAsia="en-GB"/>
              </w:rPr>
            </w:pPr>
            <w:r w:rsidRPr="00F338A4">
              <w:rPr>
                <w:rFonts w:eastAsia="Times New Roman" w:cs="Arial"/>
                <w:sz w:val="18"/>
                <w:szCs w:val="18"/>
                <w:lang w:eastAsia="en-GB"/>
              </w:rPr>
              <w:t>Alcohol only</w:t>
            </w:r>
          </w:p>
        </w:tc>
        <w:tc>
          <w:tcPr>
            <w:tcW w:w="266" w:type="pct"/>
            <w:vMerge w:val="restart"/>
            <w:tcBorders>
              <w:right w:val="single" w:sz="4" w:space="0" w:color="auto"/>
            </w:tcBorders>
            <w:vAlign w:val="center"/>
          </w:tcPr>
          <w:p w14:paraId="0D63D6FC" w14:textId="77777777" w:rsidR="00313816" w:rsidRPr="00F338A4" w:rsidRDefault="00313816">
            <w:pPr>
              <w:jc w:val="center"/>
              <w:rPr>
                <w:rFonts w:eastAsia="Times New Roman" w:cs="Arial"/>
                <w:sz w:val="18"/>
                <w:szCs w:val="18"/>
                <w:lang w:eastAsia="en-GB"/>
              </w:rPr>
            </w:pPr>
            <w:r>
              <w:rPr>
                <w:rFonts w:eastAsia="Times New Roman" w:cs="Arial"/>
                <w:color w:val="000000"/>
                <w:sz w:val="18"/>
                <w:szCs w:val="18"/>
                <w:lang w:eastAsia="en-GB"/>
              </w:rPr>
              <w:t>6</w:t>
            </w:r>
          </w:p>
        </w:tc>
        <w:tc>
          <w:tcPr>
            <w:tcW w:w="1009" w:type="pct"/>
            <w:tcBorders>
              <w:left w:val="single" w:sz="4" w:space="0" w:color="auto"/>
            </w:tcBorders>
            <w:shd w:val="clear" w:color="auto" w:fill="auto"/>
            <w:noWrap/>
            <w:vAlign w:val="center"/>
            <w:hideMark/>
          </w:tcPr>
          <w:p w14:paraId="4A3B27FC" w14:textId="77777777" w:rsidR="00313816" w:rsidRPr="00F338A4" w:rsidRDefault="00313816">
            <w:pPr>
              <w:rPr>
                <w:rFonts w:eastAsia="Times New Roman" w:cs="Arial"/>
                <w:sz w:val="18"/>
                <w:szCs w:val="18"/>
                <w:lang w:eastAsia="en-GB"/>
              </w:rPr>
            </w:pPr>
            <w:r>
              <w:rPr>
                <w:rFonts w:eastAsia="Times New Roman" w:cs="Arial"/>
                <w:color w:val="000000"/>
                <w:sz w:val="18"/>
                <w:szCs w:val="18"/>
                <w:lang w:eastAsia="en-GB"/>
              </w:rPr>
              <w:t>Trt</w:t>
            </w:r>
          </w:p>
        </w:tc>
        <w:tc>
          <w:tcPr>
            <w:tcW w:w="267" w:type="pct"/>
            <w:shd w:val="clear" w:color="auto" w:fill="auto"/>
            <w:noWrap/>
            <w:vAlign w:val="center"/>
            <w:hideMark/>
          </w:tcPr>
          <w:p w14:paraId="5A79CF5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3,259</w:t>
            </w:r>
          </w:p>
        </w:tc>
        <w:tc>
          <w:tcPr>
            <w:tcW w:w="371" w:type="pct"/>
            <w:shd w:val="clear" w:color="auto" w:fill="auto"/>
            <w:noWrap/>
            <w:vAlign w:val="center"/>
            <w:hideMark/>
          </w:tcPr>
          <w:p w14:paraId="0E14A39D"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3,184</w:t>
            </w:r>
          </w:p>
        </w:tc>
        <w:tc>
          <w:tcPr>
            <w:tcW w:w="425" w:type="pct"/>
            <w:shd w:val="clear" w:color="auto" w:fill="auto"/>
            <w:noWrap/>
            <w:vAlign w:val="center"/>
            <w:hideMark/>
          </w:tcPr>
          <w:p w14:paraId="48D57170"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69.1%</w:t>
            </w:r>
          </w:p>
        </w:tc>
        <w:tc>
          <w:tcPr>
            <w:tcW w:w="319" w:type="pct"/>
            <w:shd w:val="clear" w:color="auto" w:fill="auto"/>
            <w:noWrap/>
            <w:vAlign w:val="center"/>
            <w:hideMark/>
          </w:tcPr>
          <w:p w14:paraId="3F6DA064" w14:textId="77777777" w:rsidR="00313816" w:rsidRPr="00F338A4" w:rsidRDefault="00313816">
            <w:pPr>
              <w:jc w:val="center"/>
              <w:rPr>
                <w:rFonts w:eastAsia="Times New Roman" w:cs="Arial"/>
                <w:color w:val="000000"/>
                <w:sz w:val="18"/>
                <w:szCs w:val="18"/>
                <w:lang w:eastAsia="en-GB"/>
              </w:rPr>
            </w:pPr>
          </w:p>
        </w:tc>
        <w:tc>
          <w:tcPr>
            <w:tcW w:w="586" w:type="pct"/>
            <w:shd w:val="clear" w:color="auto" w:fill="auto"/>
            <w:noWrap/>
            <w:vAlign w:val="center"/>
            <w:hideMark/>
          </w:tcPr>
          <w:p w14:paraId="6BAEF9D6" w14:textId="77777777" w:rsidR="00313816" w:rsidRPr="00F338A4" w:rsidRDefault="00313816">
            <w:pPr>
              <w:jc w:val="center"/>
              <w:rPr>
                <w:rFonts w:eastAsia="Times New Roman" w:cs="Arial"/>
                <w:color w:val="000000"/>
                <w:sz w:val="18"/>
                <w:szCs w:val="18"/>
                <w:lang w:eastAsia="en-GB"/>
              </w:rPr>
            </w:pPr>
          </w:p>
        </w:tc>
        <w:tc>
          <w:tcPr>
            <w:tcW w:w="371" w:type="pct"/>
            <w:shd w:val="clear" w:color="auto" w:fill="auto"/>
            <w:noWrap/>
            <w:vAlign w:val="center"/>
            <w:hideMark/>
          </w:tcPr>
          <w:p w14:paraId="32B37AF5" w14:textId="77777777" w:rsidR="00313816" w:rsidRPr="00F338A4" w:rsidRDefault="00313816">
            <w:pPr>
              <w:jc w:val="center"/>
              <w:rPr>
                <w:rFonts w:eastAsia="Times New Roman" w:cs="Arial"/>
                <w:sz w:val="18"/>
                <w:szCs w:val="18"/>
                <w:lang w:eastAsia="en-GB"/>
              </w:rPr>
            </w:pPr>
          </w:p>
        </w:tc>
        <w:tc>
          <w:tcPr>
            <w:tcW w:w="425" w:type="pct"/>
            <w:shd w:val="clear" w:color="auto" w:fill="auto"/>
            <w:noWrap/>
            <w:vAlign w:val="center"/>
            <w:hideMark/>
          </w:tcPr>
          <w:p w14:paraId="2A80D85B" w14:textId="77777777" w:rsidR="00313816" w:rsidRPr="00F338A4" w:rsidRDefault="00313816">
            <w:pPr>
              <w:jc w:val="center"/>
              <w:rPr>
                <w:rFonts w:eastAsia="Times New Roman" w:cs="Arial"/>
                <w:sz w:val="18"/>
                <w:szCs w:val="18"/>
                <w:lang w:eastAsia="en-GB"/>
              </w:rPr>
            </w:pPr>
          </w:p>
        </w:tc>
      </w:tr>
      <w:tr w:rsidR="00313816" w:rsidRPr="00F338A4" w14:paraId="6E16DCAC" w14:textId="77777777" w:rsidTr="003C060B">
        <w:trPr>
          <w:trHeight w:hRule="exact" w:val="289"/>
        </w:trPr>
        <w:tc>
          <w:tcPr>
            <w:tcW w:w="531" w:type="pct"/>
            <w:vMerge/>
            <w:vAlign w:val="center"/>
            <w:hideMark/>
          </w:tcPr>
          <w:p w14:paraId="052637C7" w14:textId="77777777" w:rsidR="00313816" w:rsidRPr="00F338A4" w:rsidRDefault="00313816">
            <w:pPr>
              <w:rPr>
                <w:rFonts w:eastAsia="Times New Roman" w:cs="Arial"/>
                <w:sz w:val="18"/>
                <w:szCs w:val="18"/>
                <w:lang w:eastAsia="en-GB"/>
              </w:rPr>
            </w:pPr>
          </w:p>
        </w:tc>
        <w:tc>
          <w:tcPr>
            <w:tcW w:w="430" w:type="pct"/>
            <w:vMerge/>
            <w:vAlign w:val="center"/>
            <w:hideMark/>
          </w:tcPr>
          <w:p w14:paraId="26368D6F" w14:textId="77777777" w:rsidR="00313816" w:rsidRPr="00F338A4" w:rsidRDefault="00313816">
            <w:pPr>
              <w:rPr>
                <w:rFonts w:eastAsia="Times New Roman" w:cs="Arial"/>
                <w:sz w:val="18"/>
                <w:szCs w:val="18"/>
                <w:lang w:eastAsia="en-GB"/>
              </w:rPr>
            </w:pPr>
          </w:p>
        </w:tc>
        <w:tc>
          <w:tcPr>
            <w:tcW w:w="266" w:type="pct"/>
            <w:vMerge/>
            <w:tcBorders>
              <w:right w:val="single" w:sz="4" w:space="0" w:color="auto"/>
            </w:tcBorders>
            <w:vAlign w:val="center"/>
          </w:tcPr>
          <w:p w14:paraId="15DCA163"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4C280012"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parenting/family </w:t>
            </w:r>
            <w:r>
              <w:rPr>
                <w:rFonts w:eastAsia="Times New Roman" w:cs="Arial"/>
                <w:color w:val="000000"/>
                <w:sz w:val="18"/>
                <w:szCs w:val="18"/>
                <w:lang w:eastAsia="en-GB"/>
              </w:rPr>
              <w:t>support</w:t>
            </w:r>
          </w:p>
        </w:tc>
        <w:tc>
          <w:tcPr>
            <w:tcW w:w="267" w:type="pct"/>
            <w:shd w:val="clear" w:color="auto" w:fill="C5E0B3"/>
            <w:noWrap/>
            <w:vAlign w:val="center"/>
            <w:hideMark/>
          </w:tcPr>
          <w:p w14:paraId="359799B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242</w:t>
            </w:r>
          </w:p>
        </w:tc>
        <w:tc>
          <w:tcPr>
            <w:tcW w:w="371" w:type="pct"/>
            <w:shd w:val="clear" w:color="auto" w:fill="C5E0B3"/>
            <w:noWrap/>
            <w:vAlign w:val="center"/>
            <w:hideMark/>
          </w:tcPr>
          <w:p w14:paraId="13F0DFE5"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225</w:t>
            </w:r>
          </w:p>
        </w:tc>
        <w:tc>
          <w:tcPr>
            <w:tcW w:w="425" w:type="pct"/>
            <w:shd w:val="clear" w:color="auto" w:fill="C5E0B3"/>
            <w:noWrap/>
            <w:vAlign w:val="center"/>
            <w:hideMark/>
          </w:tcPr>
          <w:p w14:paraId="1ACA029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82.5%</w:t>
            </w:r>
          </w:p>
        </w:tc>
        <w:tc>
          <w:tcPr>
            <w:tcW w:w="319" w:type="pct"/>
            <w:shd w:val="clear" w:color="auto" w:fill="C5E0B3"/>
            <w:noWrap/>
            <w:vAlign w:val="center"/>
            <w:hideMark/>
          </w:tcPr>
          <w:p w14:paraId="52D18596"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0.134</w:t>
            </w:r>
          </w:p>
        </w:tc>
        <w:tc>
          <w:tcPr>
            <w:tcW w:w="586" w:type="pct"/>
            <w:shd w:val="clear" w:color="auto" w:fill="C5E0B3"/>
            <w:noWrap/>
            <w:vAlign w:val="center"/>
            <w:hideMark/>
          </w:tcPr>
          <w:p w14:paraId="4AFEB092"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1.79 (1.33-2.41)</w:t>
            </w:r>
          </w:p>
        </w:tc>
        <w:tc>
          <w:tcPr>
            <w:tcW w:w="371" w:type="pct"/>
            <w:shd w:val="clear" w:color="auto" w:fill="C5E0B3"/>
            <w:noWrap/>
            <w:vAlign w:val="center"/>
            <w:hideMark/>
          </w:tcPr>
          <w:p w14:paraId="27C8AC2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p=0.000</w:t>
            </w:r>
          </w:p>
        </w:tc>
        <w:tc>
          <w:tcPr>
            <w:tcW w:w="425" w:type="pct"/>
            <w:shd w:val="clear" w:color="auto" w:fill="C5E0B3"/>
            <w:noWrap/>
            <w:vAlign w:val="center"/>
            <w:hideMark/>
          </w:tcPr>
          <w:p w14:paraId="58812936"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2.01 (1.57)</w:t>
            </w:r>
          </w:p>
        </w:tc>
      </w:tr>
      <w:tr w:rsidR="00313816" w:rsidRPr="00F338A4" w14:paraId="655EA5DF" w14:textId="77777777" w:rsidTr="003C060B">
        <w:trPr>
          <w:trHeight w:hRule="exact" w:val="289"/>
        </w:trPr>
        <w:tc>
          <w:tcPr>
            <w:tcW w:w="531" w:type="pct"/>
            <w:vMerge/>
            <w:vAlign w:val="center"/>
            <w:hideMark/>
          </w:tcPr>
          <w:p w14:paraId="7E1CAD70" w14:textId="77777777" w:rsidR="00313816" w:rsidRPr="00F338A4" w:rsidRDefault="00313816">
            <w:pPr>
              <w:rPr>
                <w:rFonts w:eastAsia="Times New Roman" w:cs="Arial"/>
                <w:sz w:val="18"/>
                <w:szCs w:val="18"/>
                <w:lang w:eastAsia="en-GB"/>
              </w:rPr>
            </w:pPr>
          </w:p>
        </w:tc>
        <w:tc>
          <w:tcPr>
            <w:tcW w:w="430" w:type="pct"/>
            <w:vMerge/>
            <w:vAlign w:val="center"/>
            <w:hideMark/>
          </w:tcPr>
          <w:p w14:paraId="2D36A4BD" w14:textId="77777777" w:rsidR="00313816" w:rsidRPr="00F338A4" w:rsidRDefault="00313816">
            <w:pPr>
              <w:rPr>
                <w:rFonts w:eastAsia="Times New Roman" w:cs="Arial"/>
                <w:sz w:val="18"/>
                <w:szCs w:val="18"/>
                <w:lang w:eastAsia="en-GB"/>
              </w:rPr>
            </w:pPr>
          </w:p>
        </w:tc>
        <w:tc>
          <w:tcPr>
            <w:tcW w:w="266" w:type="pct"/>
            <w:vMerge/>
            <w:tcBorders>
              <w:right w:val="single" w:sz="4" w:space="0" w:color="auto"/>
            </w:tcBorders>
            <w:vAlign w:val="center"/>
          </w:tcPr>
          <w:p w14:paraId="245AB4AA"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auto"/>
            <w:noWrap/>
            <w:vAlign w:val="center"/>
            <w:hideMark/>
          </w:tcPr>
          <w:p w14:paraId="46D1949B"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shd w:val="clear" w:color="auto" w:fill="auto"/>
            <w:noWrap/>
            <w:vAlign w:val="center"/>
            <w:hideMark/>
          </w:tcPr>
          <w:p w14:paraId="713ED6A5"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84</w:t>
            </w:r>
          </w:p>
        </w:tc>
        <w:tc>
          <w:tcPr>
            <w:tcW w:w="371" w:type="pct"/>
            <w:shd w:val="clear" w:color="auto" w:fill="auto"/>
            <w:noWrap/>
            <w:vAlign w:val="center"/>
            <w:hideMark/>
          </w:tcPr>
          <w:p w14:paraId="12BD7E11"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70</w:t>
            </w:r>
          </w:p>
        </w:tc>
        <w:tc>
          <w:tcPr>
            <w:tcW w:w="425" w:type="pct"/>
            <w:shd w:val="clear" w:color="auto" w:fill="auto"/>
            <w:noWrap/>
            <w:vAlign w:val="center"/>
            <w:hideMark/>
          </w:tcPr>
          <w:p w14:paraId="0A9A0B0D"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72.5%</w:t>
            </w:r>
          </w:p>
        </w:tc>
        <w:tc>
          <w:tcPr>
            <w:tcW w:w="319" w:type="pct"/>
            <w:shd w:val="clear" w:color="auto" w:fill="auto"/>
            <w:noWrap/>
            <w:vAlign w:val="center"/>
            <w:hideMark/>
          </w:tcPr>
          <w:p w14:paraId="52A6A00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0.034</w:t>
            </w:r>
          </w:p>
        </w:tc>
        <w:tc>
          <w:tcPr>
            <w:tcW w:w="586" w:type="pct"/>
            <w:shd w:val="clear" w:color="auto" w:fill="auto"/>
            <w:noWrap/>
            <w:vAlign w:val="center"/>
            <w:hideMark/>
          </w:tcPr>
          <w:p w14:paraId="5D56101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1.16 (0.72-1.85)</w:t>
            </w:r>
          </w:p>
        </w:tc>
        <w:tc>
          <w:tcPr>
            <w:tcW w:w="371" w:type="pct"/>
            <w:shd w:val="clear" w:color="auto" w:fill="auto"/>
            <w:noWrap/>
            <w:vAlign w:val="center"/>
            <w:hideMark/>
          </w:tcPr>
          <w:p w14:paraId="49B55E76"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ns</w:t>
            </w:r>
          </w:p>
        </w:tc>
        <w:tc>
          <w:tcPr>
            <w:tcW w:w="425" w:type="pct"/>
            <w:shd w:val="clear" w:color="auto" w:fill="auto"/>
            <w:noWrap/>
            <w:vAlign w:val="center"/>
            <w:hideMark/>
          </w:tcPr>
          <w:p w14:paraId="4DF5AF9B" w14:textId="77777777" w:rsidR="00313816" w:rsidRPr="00F338A4" w:rsidRDefault="00313816">
            <w:pPr>
              <w:jc w:val="center"/>
              <w:rPr>
                <w:rFonts w:eastAsia="Times New Roman" w:cs="Arial"/>
                <w:sz w:val="18"/>
                <w:szCs w:val="18"/>
                <w:lang w:eastAsia="en-GB"/>
              </w:rPr>
            </w:pPr>
          </w:p>
        </w:tc>
      </w:tr>
      <w:tr w:rsidR="00313816" w:rsidRPr="00F338A4" w14:paraId="13E8EDAD" w14:textId="77777777" w:rsidTr="003C060B">
        <w:trPr>
          <w:trHeight w:hRule="exact" w:val="289"/>
        </w:trPr>
        <w:tc>
          <w:tcPr>
            <w:tcW w:w="531" w:type="pct"/>
            <w:vMerge w:val="restart"/>
            <w:tcBorders>
              <w:top w:val="single" w:sz="4" w:space="0" w:color="auto"/>
            </w:tcBorders>
            <w:shd w:val="clear" w:color="auto" w:fill="auto"/>
            <w:vAlign w:val="center"/>
            <w:hideMark/>
          </w:tcPr>
          <w:p w14:paraId="42DEB10C"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Fathers living</w:t>
            </w:r>
            <w:r w:rsidRPr="00F338A4">
              <w:rPr>
                <w:rFonts w:eastAsia="Times New Roman" w:cs="Arial"/>
                <w:color w:val="000000"/>
                <w:sz w:val="18"/>
                <w:szCs w:val="18"/>
                <w:lang w:eastAsia="en-GB"/>
              </w:rPr>
              <w:t xml:space="preserve"> with children</w:t>
            </w:r>
          </w:p>
        </w:tc>
        <w:tc>
          <w:tcPr>
            <w:tcW w:w="430" w:type="pct"/>
            <w:vMerge w:val="restart"/>
            <w:tcBorders>
              <w:top w:val="single" w:sz="4" w:space="0" w:color="auto"/>
            </w:tcBorders>
            <w:shd w:val="clear" w:color="auto" w:fill="auto"/>
            <w:vAlign w:val="center"/>
            <w:hideMark/>
          </w:tcPr>
          <w:p w14:paraId="743AF4D8" w14:textId="77777777" w:rsidR="00313816" w:rsidRPr="00F338A4" w:rsidRDefault="00313816">
            <w:pPr>
              <w:rPr>
                <w:rFonts w:eastAsia="Times New Roman" w:cs="Arial"/>
                <w:color w:val="000000"/>
                <w:sz w:val="18"/>
                <w:szCs w:val="18"/>
                <w:lang w:eastAsia="en-GB"/>
              </w:rPr>
            </w:pPr>
            <w:r w:rsidRPr="00F338A4">
              <w:rPr>
                <w:rFonts w:eastAsia="Times New Roman" w:cs="Arial"/>
                <w:color w:val="000000"/>
                <w:sz w:val="18"/>
                <w:szCs w:val="18"/>
                <w:lang w:eastAsia="en-GB"/>
              </w:rPr>
              <w:t xml:space="preserve"> OUs</w:t>
            </w:r>
          </w:p>
        </w:tc>
        <w:tc>
          <w:tcPr>
            <w:tcW w:w="266" w:type="pct"/>
            <w:vMerge w:val="restart"/>
            <w:tcBorders>
              <w:top w:val="single" w:sz="4" w:space="0" w:color="auto"/>
              <w:right w:val="single" w:sz="4" w:space="0" w:color="auto"/>
            </w:tcBorders>
            <w:vAlign w:val="center"/>
          </w:tcPr>
          <w:p w14:paraId="14CFFA5B" w14:textId="77777777" w:rsidR="00313816" w:rsidRPr="00F338A4" w:rsidRDefault="00313816">
            <w:pPr>
              <w:jc w:val="center"/>
              <w:rPr>
                <w:rFonts w:eastAsia="Times New Roman" w:cs="Arial"/>
                <w:color w:val="000000"/>
                <w:sz w:val="18"/>
                <w:szCs w:val="18"/>
                <w:lang w:eastAsia="en-GB"/>
              </w:rPr>
            </w:pPr>
            <w:r>
              <w:rPr>
                <w:rFonts w:eastAsia="Times New Roman" w:cs="Arial"/>
                <w:color w:val="000000"/>
                <w:sz w:val="18"/>
                <w:szCs w:val="18"/>
                <w:lang w:eastAsia="en-GB"/>
              </w:rPr>
              <w:t>7</w:t>
            </w:r>
          </w:p>
        </w:tc>
        <w:tc>
          <w:tcPr>
            <w:tcW w:w="1009" w:type="pct"/>
            <w:tcBorders>
              <w:top w:val="single" w:sz="4" w:space="0" w:color="auto"/>
              <w:left w:val="single" w:sz="4" w:space="0" w:color="auto"/>
            </w:tcBorders>
            <w:shd w:val="clear" w:color="auto" w:fill="auto"/>
            <w:noWrap/>
            <w:vAlign w:val="center"/>
            <w:hideMark/>
          </w:tcPr>
          <w:p w14:paraId="09C44084"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p>
        </w:tc>
        <w:tc>
          <w:tcPr>
            <w:tcW w:w="267" w:type="pct"/>
            <w:tcBorders>
              <w:top w:val="single" w:sz="4" w:space="0" w:color="auto"/>
            </w:tcBorders>
            <w:shd w:val="clear" w:color="auto" w:fill="auto"/>
            <w:noWrap/>
            <w:vAlign w:val="center"/>
            <w:hideMark/>
          </w:tcPr>
          <w:p w14:paraId="48EBB80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1,546</w:t>
            </w:r>
          </w:p>
        </w:tc>
        <w:tc>
          <w:tcPr>
            <w:tcW w:w="371" w:type="pct"/>
            <w:tcBorders>
              <w:top w:val="single" w:sz="4" w:space="0" w:color="auto"/>
            </w:tcBorders>
            <w:shd w:val="clear" w:color="auto" w:fill="auto"/>
            <w:noWrap/>
            <w:vAlign w:val="center"/>
            <w:hideMark/>
          </w:tcPr>
          <w:p w14:paraId="1600E275"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1,537</w:t>
            </w:r>
          </w:p>
        </w:tc>
        <w:tc>
          <w:tcPr>
            <w:tcW w:w="425" w:type="pct"/>
            <w:tcBorders>
              <w:top w:val="single" w:sz="4" w:space="0" w:color="auto"/>
            </w:tcBorders>
            <w:shd w:val="clear" w:color="auto" w:fill="auto"/>
            <w:noWrap/>
            <w:vAlign w:val="center"/>
            <w:hideMark/>
          </w:tcPr>
          <w:p w14:paraId="3AFC4F29"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22.5%</w:t>
            </w:r>
          </w:p>
        </w:tc>
        <w:tc>
          <w:tcPr>
            <w:tcW w:w="319" w:type="pct"/>
            <w:tcBorders>
              <w:top w:val="single" w:sz="4" w:space="0" w:color="auto"/>
            </w:tcBorders>
            <w:shd w:val="clear" w:color="auto" w:fill="auto"/>
            <w:noWrap/>
            <w:vAlign w:val="center"/>
            <w:hideMark/>
          </w:tcPr>
          <w:p w14:paraId="7C75BB9F" w14:textId="77777777" w:rsidR="00313816" w:rsidRPr="00F338A4" w:rsidRDefault="00313816">
            <w:pPr>
              <w:jc w:val="center"/>
              <w:rPr>
                <w:rFonts w:eastAsia="Times New Roman" w:cs="Arial"/>
                <w:color w:val="000000"/>
                <w:sz w:val="18"/>
                <w:szCs w:val="18"/>
                <w:lang w:eastAsia="en-GB"/>
              </w:rPr>
            </w:pPr>
          </w:p>
        </w:tc>
        <w:tc>
          <w:tcPr>
            <w:tcW w:w="586" w:type="pct"/>
            <w:tcBorders>
              <w:top w:val="single" w:sz="4" w:space="0" w:color="auto"/>
            </w:tcBorders>
            <w:shd w:val="clear" w:color="auto" w:fill="auto"/>
            <w:noWrap/>
            <w:vAlign w:val="center"/>
            <w:hideMark/>
          </w:tcPr>
          <w:p w14:paraId="4BABB9E6" w14:textId="77777777" w:rsidR="00313816" w:rsidRPr="00F338A4" w:rsidRDefault="00313816">
            <w:pPr>
              <w:jc w:val="center"/>
              <w:rPr>
                <w:rFonts w:eastAsia="Times New Roman" w:cs="Arial"/>
                <w:color w:val="000000"/>
                <w:sz w:val="18"/>
                <w:szCs w:val="18"/>
                <w:lang w:eastAsia="en-GB"/>
              </w:rPr>
            </w:pPr>
          </w:p>
        </w:tc>
        <w:tc>
          <w:tcPr>
            <w:tcW w:w="371" w:type="pct"/>
            <w:tcBorders>
              <w:top w:val="single" w:sz="4" w:space="0" w:color="auto"/>
            </w:tcBorders>
            <w:shd w:val="clear" w:color="auto" w:fill="auto"/>
            <w:noWrap/>
            <w:vAlign w:val="center"/>
            <w:hideMark/>
          </w:tcPr>
          <w:p w14:paraId="16077F34" w14:textId="77777777" w:rsidR="00313816" w:rsidRPr="00F338A4" w:rsidRDefault="00313816">
            <w:pPr>
              <w:jc w:val="center"/>
              <w:rPr>
                <w:rFonts w:eastAsia="Times New Roman" w:cs="Arial"/>
                <w:sz w:val="18"/>
                <w:szCs w:val="18"/>
                <w:lang w:eastAsia="en-GB"/>
              </w:rPr>
            </w:pPr>
          </w:p>
        </w:tc>
        <w:tc>
          <w:tcPr>
            <w:tcW w:w="425" w:type="pct"/>
            <w:tcBorders>
              <w:top w:val="single" w:sz="4" w:space="0" w:color="auto"/>
            </w:tcBorders>
            <w:shd w:val="clear" w:color="auto" w:fill="auto"/>
            <w:noWrap/>
            <w:vAlign w:val="center"/>
            <w:hideMark/>
          </w:tcPr>
          <w:p w14:paraId="38A7AEC8" w14:textId="77777777" w:rsidR="00313816" w:rsidRPr="00F338A4" w:rsidRDefault="00313816">
            <w:pPr>
              <w:jc w:val="center"/>
              <w:rPr>
                <w:rFonts w:eastAsia="Times New Roman" w:cs="Arial"/>
                <w:sz w:val="18"/>
                <w:szCs w:val="18"/>
                <w:lang w:eastAsia="en-GB"/>
              </w:rPr>
            </w:pPr>
          </w:p>
        </w:tc>
      </w:tr>
      <w:tr w:rsidR="00313816" w:rsidRPr="00F338A4" w14:paraId="043E7211" w14:textId="77777777" w:rsidTr="003C060B">
        <w:trPr>
          <w:trHeight w:hRule="exact" w:val="289"/>
        </w:trPr>
        <w:tc>
          <w:tcPr>
            <w:tcW w:w="531" w:type="pct"/>
            <w:vMerge/>
            <w:vAlign w:val="center"/>
            <w:hideMark/>
          </w:tcPr>
          <w:p w14:paraId="69F2B01B"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1E5AE6BC"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2052757E"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auto"/>
            <w:noWrap/>
            <w:vAlign w:val="center"/>
            <w:hideMark/>
          </w:tcPr>
          <w:p w14:paraId="16722949"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parenting/family </w:t>
            </w:r>
            <w:r>
              <w:rPr>
                <w:rFonts w:eastAsia="Times New Roman" w:cs="Arial"/>
                <w:color w:val="000000"/>
                <w:sz w:val="18"/>
                <w:szCs w:val="18"/>
                <w:lang w:eastAsia="en-GB"/>
              </w:rPr>
              <w:t>support</w:t>
            </w:r>
          </w:p>
        </w:tc>
        <w:tc>
          <w:tcPr>
            <w:tcW w:w="267" w:type="pct"/>
            <w:shd w:val="clear" w:color="auto" w:fill="auto"/>
            <w:noWrap/>
            <w:vAlign w:val="center"/>
            <w:hideMark/>
          </w:tcPr>
          <w:p w14:paraId="34A68613" w14:textId="77777777" w:rsidR="00313816" w:rsidRPr="00956F70" w:rsidRDefault="00313816">
            <w:pPr>
              <w:jc w:val="center"/>
              <w:rPr>
                <w:rFonts w:eastAsia="Times New Roman" w:cs="Arial"/>
                <w:sz w:val="18"/>
                <w:szCs w:val="18"/>
                <w:lang w:eastAsia="en-GB"/>
              </w:rPr>
            </w:pPr>
            <w:r w:rsidRPr="00956F70">
              <w:rPr>
                <w:rFonts w:eastAsia="Times New Roman" w:cs="Arial"/>
                <w:sz w:val="18"/>
                <w:szCs w:val="18"/>
                <w:lang w:eastAsia="en-GB"/>
              </w:rPr>
              <w:t>127</w:t>
            </w:r>
          </w:p>
        </w:tc>
        <w:tc>
          <w:tcPr>
            <w:tcW w:w="371" w:type="pct"/>
            <w:shd w:val="clear" w:color="auto" w:fill="auto"/>
            <w:noWrap/>
            <w:vAlign w:val="center"/>
            <w:hideMark/>
          </w:tcPr>
          <w:p w14:paraId="73725559" w14:textId="77777777" w:rsidR="00313816" w:rsidRPr="00956F70" w:rsidRDefault="00313816">
            <w:pPr>
              <w:jc w:val="center"/>
              <w:rPr>
                <w:rFonts w:eastAsia="Times New Roman" w:cs="Arial"/>
                <w:sz w:val="18"/>
                <w:szCs w:val="18"/>
                <w:lang w:eastAsia="en-GB"/>
              </w:rPr>
            </w:pPr>
            <w:r w:rsidRPr="00956F70">
              <w:rPr>
                <w:rFonts w:eastAsia="Times New Roman" w:cs="Arial"/>
                <w:sz w:val="18"/>
                <w:szCs w:val="18"/>
                <w:lang w:eastAsia="en-GB"/>
              </w:rPr>
              <w:t>99</w:t>
            </w:r>
          </w:p>
        </w:tc>
        <w:tc>
          <w:tcPr>
            <w:tcW w:w="425" w:type="pct"/>
            <w:shd w:val="clear" w:color="auto" w:fill="auto"/>
            <w:noWrap/>
            <w:vAlign w:val="center"/>
            <w:hideMark/>
          </w:tcPr>
          <w:p w14:paraId="04413E5B" w14:textId="77777777" w:rsidR="00313816" w:rsidRPr="00956F70" w:rsidRDefault="00313816">
            <w:pPr>
              <w:jc w:val="center"/>
              <w:rPr>
                <w:rFonts w:eastAsia="Times New Roman" w:cs="Arial"/>
                <w:sz w:val="18"/>
                <w:szCs w:val="18"/>
                <w:lang w:eastAsia="en-GB"/>
              </w:rPr>
            </w:pPr>
            <w:r w:rsidRPr="00956F70">
              <w:rPr>
                <w:rFonts w:eastAsia="Times New Roman" w:cs="Arial"/>
                <w:sz w:val="18"/>
                <w:szCs w:val="18"/>
                <w:lang w:eastAsia="en-GB"/>
              </w:rPr>
              <w:t>25.0%</w:t>
            </w:r>
          </w:p>
        </w:tc>
        <w:tc>
          <w:tcPr>
            <w:tcW w:w="319" w:type="pct"/>
            <w:shd w:val="clear" w:color="auto" w:fill="auto"/>
            <w:noWrap/>
            <w:vAlign w:val="center"/>
            <w:hideMark/>
          </w:tcPr>
          <w:p w14:paraId="5601E8D2" w14:textId="77777777" w:rsidR="00313816" w:rsidRPr="00956F70" w:rsidRDefault="00313816">
            <w:pPr>
              <w:jc w:val="center"/>
              <w:rPr>
                <w:rFonts w:eastAsia="Times New Roman" w:cs="Arial"/>
                <w:sz w:val="18"/>
                <w:szCs w:val="18"/>
                <w:lang w:eastAsia="en-GB"/>
              </w:rPr>
            </w:pPr>
            <w:r w:rsidRPr="00956F70">
              <w:rPr>
                <w:rFonts w:eastAsia="Times New Roman" w:cs="Arial"/>
                <w:sz w:val="18"/>
                <w:szCs w:val="18"/>
                <w:lang w:eastAsia="en-GB"/>
              </w:rPr>
              <w:t>0.025</w:t>
            </w:r>
          </w:p>
        </w:tc>
        <w:tc>
          <w:tcPr>
            <w:tcW w:w="586" w:type="pct"/>
            <w:shd w:val="clear" w:color="auto" w:fill="auto"/>
            <w:noWrap/>
            <w:vAlign w:val="center"/>
            <w:hideMark/>
          </w:tcPr>
          <w:p w14:paraId="224DB03C" w14:textId="77777777" w:rsidR="00313816" w:rsidRPr="00956F70" w:rsidRDefault="00313816">
            <w:pPr>
              <w:jc w:val="center"/>
              <w:rPr>
                <w:rFonts w:eastAsia="Times New Roman" w:cs="Arial"/>
                <w:sz w:val="18"/>
                <w:szCs w:val="18"/>
                <w:lang w:eastAsia="en-GB"/>
              </w:rPr>
            </w:pPr>
            <w:r w:rsidRPr="00956F70">
              <w:rPr>
                <w:rFonts w:eastAsia="Times New Roman" w:cs="Arial"/>
                <w:sz w:val="18"/>
                <w:szCs w:val="18"/>
                <w:lang w:eastAsia="en-GB"/>
              </w:rPr>
              <w:t>1.17 (0.72-1.90)</w:t>
            </w:r>
          </w:p>
        </w:tc>
        <w:tc>
          <w:tcPr>
            <w:tcW w:w="371" w:type="pct"/>
            <w:shd w:val="clear" w:color="auto" w:fill="auto"/>
            <w:noWrap/>
            <w:vAlign w:val="center"/>
            <w:hideMark/>
          </w:tcPr>
          <w:p w14:paraId="196EAF83" w14:textId="77777777" w:rsidR="00313816" w:rsidRPr="00956F70" w:rsidRDefault="00313816">
            <w:pPr>
              <w:jc w:val="center"/>
              <w:rPr>
                <w:rFonts w:eastAsia="Times New Roman" w:cs="Arial"/>
                <w:sz w:val="18"/>
                <w:szCs w:val="18"/>
                <w:lang w:eastAsia="en-GB"/>
              </w:rPr>
            </w:pPr>
            <w:r w:rsidRPr="00956F70">
              <w:rPr>
                <w:rFonts w:eastAsia="Times New Roman" w:cs="Arial"/>
                <w:sz w:val="18"/>
                <w:szCs w:val="18"/>
                <w:lang w:eastAsia="en-GB"/>
              </w:rPr>
              <w:t>ns</w:t>
            </w:r>
          </w:p>
        </w:tc>
        <w:tc>
          <w:tcPr>
            <w:tcW w:w="425" w:type="pct"/>
            <w:shd w:val="clear" w:color="auto" w:fill="auto"/>
            <w:noWrap/>
            <w:vAlign w:val="center"/>
            <w:hideMark/>
          </w:tcPr>
          <w:p w14:paraId="464FF388" w14:textId="77777777" w:rsidR="00313816" w:rsidRPr="00956F70" w:rsidRDefault="00313816">
            <w:pPr>
              <w:jc w:val="center"/>
              <w:rPr>
                <w:rFonts w:eastAsia="Times New Roman" w:cs="Arial"/>
                <w:sz w:val="18"/>
                <w:szCs w:val="18"/>
                <w:lang w:eastAsia="en-GB"/>
              </w:rPr>
            </w:pPr>
          </w:p>
        </w:tc>
      </w:tr>
      <w:tr w:rsidR="00313816" w:rsidRPr="00F338A4" w14:paraId="4E39B003" w14:textId="77777777" w:rsidTr="003C060B">
        <w:trPr>
          <w:trHeight w:hRule="exact" w:val="289"/>
        </w:trPr>
        <w:tc>
          <w:tcPr>
            <w:tcW w:w="531" w:type="pct"/>
            <w:vMerge/>
            <w:vAlign w:val="center"/>
            <w:hideMark/>
          </w:tcPr>
          <w:p w14:paraId="6AAA987E"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2DA8FAF5"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46B05308"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auto"/>
            <w:noWrap/>
            <w:vAlign w:val="center"/>
            <w:hideMark/>
          </w:tcPr>
          <w:p w14:paraId="756E456D"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shd w:val="clear" w:color="auto" w:fill="auto"/>
            <w:noWrap/>
            <w:vAlign w:val="center"/>
            <w:hideMark/>
          </w:tcPr>
          <w:p w14:paraId="226A598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63</w:t>
            </w:r>
          </w:p>
        </w:tc>
        <w:tc>
          <w:tcPr>
            <w:tcW w:w="371" w:type="pct"/>
            <w:shd w:val="clear" w:color="auto" w:fill="auto"/>
            <w:noWrap/>
            <w:vAlign w:val="center"/>
            <w:hideMark/>
          </w:tcPr>
          <w:p w14:paraId="64F9CF2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55</w:t>
            </w:r>
          </w:p>
        </w:tc>
        <w:tc>
          <w:tcPr>
            <w:tcW w:w="425" w:type="pct"/>
            <w:shd w:val="clear" w:color="auto" w:fill="auto"/>
            <w:noWrap/>
            <w:vAlign w:val="center"/>
            <w:hideMark/>
          </w:tcPr>
          <w:p w14:paraId="5E8E25EC"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17.5%</w:t>
            </w:r>
          </w:p>
        </w:tc>
        <w:tc>
          <w:tcPr>
            <w:tcW w:w="319" w:type="pct"/>
            <w:shd w:val="clear" w:color="auto" w:fill="auto"/>
            <w:noWrap/>
            <w:vAlign w:val="center"/>
            <w:hideMark/>
          </w:tcPr>
          <w:p w14:paraId="0E51C580"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-0.050</w:t>
            </w:r>
          </w:p>
        </w:tc>
        <w:tc>
          <w:tcPr>
            <w:tcW w:w="586" w:type="pct"/>
            <w:shd w:val="clear" w:color="auto" w:fill="auto"/>
            <w:noWrap/>
            <w:vAlign w:val="center"/>
            <w:hideMark/>
          </w:tcPr>
          <w:p w14:paraId="72126F2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0.68 (0.32-1.48)</w:t>
            </w:r>
          </w:p>
        </w:tc>
        <w:tc>
          <w:tcPr>
            <w:tcW w:w="371" w:type="pct"/>
            <w:shd w:val="clear" w:color="auto" w:fill="auto"/>
            <w:noWrap/>
            <w:vAlign w:val="center"/>
            <w:hideMark/>
          </w:tcPr>
          <w:p w14:paraId="483F1916"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ns</w:t>
            </w:r>
          </w:p>
        </w:tc>
        <w:tc>
          <w:tcPr>
            <w:tcW w:w="425" w:type="pct"/>
            <w:shd w:val="clear" w:color="auto" w:fill="auto"/>
            <w:noWrap/>
            <w:vAlign w:val="center"/>
            <w:hideMark/>
          </w:tcPr>
          <w:p w14:paraId="37B24CD1" w14:textId="77777777" w:rsidR="00313816" w:rsidRPr="00F338A4" w:rsidRDefault="00313816">
            <w:pPr>
              <w:jc w:val="center"/>
              <w:rPr>
                <w:rFonts w:eastAsia="Times New Roman" w:cs="Arial"/>
                <w:sz w:val="18"/>
                <w:szCs w:val="18"/>
                <w:lang w:eastAsia="en-GB"/>
              </w:rPr>
            </w:pPr>
          </w:p>
        </w:tc>
      </w:tr>
      <w:tr w:rsidR="00313816" w:rsidRPr="00F338A4" w14:paraId="553B1F76" w14:textId="77777777" w:rsidTr="003C060B">
        <w:trPr>
          <w:trHeight w:hRule="exact" w:val="289"/>
        </w:trPr>
        <w:tc>
          <w:tcPr>
            <w:tcW w:w="531" w:type="pct"/>
            <w:vMerge/>
            <w:vAlign w:val="center"/>
            <w:hideMark/>
          </w:tcPr>
          <w:p w14:paraId="4484EC65" w14:textId="77777777" w:rsidR="00313816" w:rsidRPr="00F338A4" w:rsidRDefault="00313816">
            <w:pPr>
              <w:rPr>
                <w:rFonts w:eastAsia="Times New Roman" w:cs="Arial"/>
                <w:color w:val="000000"/>
                <w:sz w:val="18"/>
                <w:szCs w:val="18"/>
                <w:lang w:eastAsia="en-GB"/>
              </w:rPr>
            </w:pPr>
          </w:p>
        </w:tc>
        <w:tc>
          <w:tcPr>
            <w:tcW w:w="430" w:type="pct"/>
            <w:vMerge w:val="restart"/>
            <w:shd w:val="clear" w:color="auto" w:fill="auto"/>
            <w:vAlign w:val="center"/>
            <w:hideMark/>
          </w:tcPr>
          <w:p w14:paraId="3A6DBE86" w14:textId="77777777" w:rsidR="00313816" w:rsidRPr="00F338A4" w:rsidRDefault="00313816">
            <w:pPr>
              <w:rPr>
                <w:rFonts w:eastAsia="Times New Roman" w:cs="Arial"/>
                <w:color w:val="000000"/>
                <w:sz w:val="18"/>
                <w:szCs w:val="18"/>
                <w:lang w:eastAsia="en-GB"/>
              </w:rPr>
            </w:pPr>
            <w:r w:rsidRPr="00F338A4">
              <w:rPr>
                <w:rFonts w:eastAsia="Times New Roman" w:cs="Arial"/>
                <w:color w:val="000000"/>
                <w:sz w:val="18"/>
                <w:szCs w:val="18"/>
                <w:lang w:eastAsia="en-GB"/>
              </w:rPr>
              <w:t>Non-OUs</w:t>
            </w:r>
          </w:p>
        </w:tc>
        <w:tc>
          <w:tcPr>
            <w:tcW w:w="266" w:type="pct"/>
            <w:vMerge w:val="restart"/>
            <w:tcBorders>
              <w:right w:val="single" w:sz="4" w:space="0" w:color="auto"/>
            </w:tcBorders>
            <w:vAlign w:val="center"/>
          </w:tcPr>
          <w:p w14:paraId="1F3300BC" w14:textId="77777777" w:rsidR="00313816" w:rsidRPr="00F338A4" w:rsidRDefault="00313816">
            <w:pPr>
              <w:jc w:val="center"/>
              <w:rPr>
                <w:rFonts w:eastAsia="Times New Roman" w:cs="Arial"/>
                <w:color w:val="000000"/>
                <w:sz w:val="18"/>
                <w:szCs w:val="18"/>
                <w:lang w:eastAsia="en-GB"/>
              </w:rPr>
            </w:pPr>
            <w:r>
              <w:rPr>
                <w:rFonts w:eastAsia="Times New Roman" w:cs="Arial"/>
                <w:color w:val="000000"/>
                <w:sz w:val="18"/>
                <w:szCs w:val="18"/>
                <w:lang w:eastAsia="en-GB"/>
              </w:rPr>
              <w:t>8</w:t>
            </w:r>
          </w:p>
        </w:tc>
        <w:tc>
          <w:tcPr>
            <w:tcW w:w="1009" w:type="pct"/>
            <w:tcBorders>
              <w:left w:val="single" w:sz="4" w:space="0" w:color="auto"/>
            </w:tcBorders>
            <w:shd w:val="clear" w:color="auto" w:fill="auto"/>
            <w:noWrap/>
            <w:vAlign w:val="center"/>
            <w:hideMark/>
          </w:tcPr>
          <w:p w14:paraId="02AFEEEA"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p>
        </w:tc>
        <w:tc>
          <w:tcPr>
            <w:tcW w:w="267" w:type="pct"/>
            <w:shd w:val="clear" w:color="auto" w:fill="auto"/>
            <w:noWrap/>
            <w:vAlign w:val="center"/>
            <w:hideMark/>
          </w:tcPr>
          <w:p w14:paraId="326D267B"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2,350</w:t>
            </w:r>
          </w:p>
        </w:tc>
        <w:tc>
          <w:tcPr>
            <w:tcW w:w="371" w:type="pct"/>
            <w:shd w:val="clear" w:color="auto" w:fill="auto"/>
            <w:noWrap/>
            <w:vAlign w:val="center"/>
            <w:hideMark/>
          </w:tcPr>
          <w:p w14:paraId="2069FB41"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2,262</w:t>
            </w:r>
          </w:p>
        </w:tc>
        <w:tc>
          <w:tcPr>
            <w:tcW w:w="425" w:type="pct"/>
            <w:shd w:val="clear" w:color="auto" w:fill="auto"/>
            <w:noWrap/>
            <w:vAlign w:val="center"/>
            <w:hideMark/>
          </w:tcPr>
          <w:p w14:paraId="1CD8AA6E" w14:textId="77777777" w:rsidR="00313816" w:rsidRPr="007F6485" w:rsidRDefault="00313816">
            <w:pPr>
              <w:jc w:val="center"/>
              <w:rPr>
                <w:rFonts w:eastAsia="Times New Roman" w:cs="Arial"/>
                <w:sz w:val="18"/>
                <w:szCs w:val="18"/>
                <w:lang w:eastAsia="en-GB"/>
              </w:rPr>
            </w:pPr>
            <w:r w:rsidRPr="007F6485">
              <w:rPr>
                <w:rFonts w:cs="Arial"/>
                <w:sz w:val="18"/>
                <w:szCs w:val="18"/>
              </w:rPr>
              <w:t>63.3%</w:t>
            </w:r>
          </w:p>
        </w:tc>
        <w:tc>
          <w:tcPr>
            <w:tcW w:w="319" w:type="pct"/>
            <w:shd w:val="clear" w:color="auto" w:fill="auto"/>
            <w:noWrap/>
            <w:vAlign w:val="center"/>
            <w:hideMark/>
          </w:tcPr>
          <w:p w14:paraId="3F0F122E" w14:textId="77777777" w:rsidR="00313816" w:rsidRPr="007F6485" w:rsidRDefault="00313816">
            <w:pPr>
              <w:jc w:val="center"/>
              <w:rPr>
                <w:rFonts w:eastAsia="Times New Roman" w:cs="Arial"/>
                <w:color w:val="000000"/>
                <w:sz w:val="18"/>
                <w:szCs w:val="18"/>
                <w:lang w:eastAsia="en-GB"/>
              </w:rPr>
            </w:pPr>
          </w:p>
        </w:tc>
        <w:tc>
          <w:tcPr>
            <w:tcW w:w="586" w:type="pct"/>
            <w:shd w:val="clear" w:color="auto" w:fill="auto"/>
            <w:noWrap/>
            <w:vAlign w:val="center"/>
            <w:hideMark/>
          </w:tcPr>
          <w:p w14:paraId="40394ED8" w14:textId="77777777" w:rsidR="00313816" w:rsidRPr="007F6485" w:rsidRDefault="00313816">
            <w:pPr>
              <w:jc w:val="center"/>
              <w:rPr>
                <w:rFonts w:eastAsia="Times New Roman" w:cs="Arial"/>
                <w:color w:val="000000"/>
                <w:sz w:val="18"/>
                <w:szCs w:val="18"/>
                <w:lang w:eastAsia="en-GB"/>
              </w:rPr>
            </w:pPr>
          </w:p>
        </w:tc>
        <w:tc>
          <w:tcPr>
            <w:tcW w:w="371" w:type="pct"/>
            <w:shd w:val="clear" w:color="auto" w:fill="auto"/>
            <w:noWrap/>
            <w:vAlign w:val="center"/>
            <w:hideMark/>
          </w:tcPr>
          <w:p w14:paraId="71929007" w14:textId="77777777" w:rsidR="00313816" w:rsidRPr="007F6485" w:rsidRDefault="00313816">
            <w:pPr>
              <w:jc w:val="center"/>
              <w:rPr>
                <w:rFonts w:eastAsia="Times New Roman" w:cs="Arial"/>
                <w:sz w:val="18"/>
                <w:szCs w:val="18"/>
                <w:lang w:eastAsia="en-GB"/>
              </w:rPr>
            </w:pPr>
          </w:p>
        </w:tc>
        <w:tc>
          <w:tcPr>
            <w:tcW w:w="425" w:type="pct"/>
            <w:shd w:val="clear" w:color="auto" w:fill="auto"/>
            <w:noWrap/>
            <w:vAlign w:val="center"/>
            <w:hideMark/>
          </w:tcPr>
          <w:p w14:paraId="1EAC5B66" w14:textId="77777777" w:rsidR="00313816" w:rsidRPr="007F6485" w:rsidRDefault="00313816">
            <w:pPr>
              <w:jc w:val="center"/>
              <w:rPr>
                <w:rFonts w:eastAsia="Times New Roman" w:cs="Arial"/>
                <w:sz w:val="18"/>
                <w:szCs w:val="18"/>
                <w:lang w:eastAsia="en-GB"/>
              </w:rPr>
            </w:pPr>
          </w:p>
        </w:tc>
      </w:tr>
      <w:tr w:rsidR="00313816" w:rsidRPr="00F338A4" w14:paraId="1DFE2654" w14:textId="77777777" w:rsidTr="003C060B">
        <w:trPr>
          <w:trHeight w:hRule="exact" w:val="289"/>
        </w:trPr>
        <w:tc>
          <w:tcPr>
            <w:tcW w:w="531" w:type="pct"/>
            <w:vMerge/>
            <w:vAlign w:val="center"/>
            <w:hideMark/>
          </w:tcPr>
          <w:p w14:paraId="5832CFAD"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30560993"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6FBA0B31"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4F4C38E2"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parenting/family </w:t>
            </w:r>
            <w:r>
              <w:rPr>
                <w:rFonts w:eastAsia="Times New Roman" w:cs="Arial"/>
                <w:color w:val="000000"/>
                <w:sz w:val="18"/>
                <w:szCs w:val="18"/>
                <w:lang w:eastAsia="en-GB"/>
              </w:rPr>
              <w:t>support</w:t>
            </w:r>
          </w:p>
        </w:tc>
        <w:tc>
          <w:tcPr>
            <w:tcW w:w="267" w:type="pct"/>
            <w:shd w:val="clear" w:color="auto" w:fill="C5E0B3"/>
            <w:noWrap/>
            <w:vAlign w:val="center"/>
            <w:hideMark/>
          </w:tcPr>
          <w:p w14:paraId="3A2F071A"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141</w:t>
            </w:r>
          </w:p>
        </w:tc>
        <w:tc>
          <w:tcPr>
            <w:tcW w:w="371" w:type="pct"/>
            <w:shd w:val="clear" w:color="auto" w:fill="C5E0B3"/>
            <w:noWrap/>
            <w:vAlign w:val="center"/>
            <w:hideMark/>
          </w:tcPr>
          <w:p w14:paraId="3930317C"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135</w:t>
            </w:r>
          </w:p>
        </w:tc>
        <w:tc>
          <w:tcPr>
            <w:tcW w:w="425" w:type="pct"/>
            <w:shd w:val="clear" w:color="auto" w:fill="C5E0B3"/>
            <w:noWrap/>
            <w:vAlign w:val="center"/>
            <w:hideMark/>
          </w:tcPr>
          <w:p w14:paraId="08E72F00"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67.4%</w:t>
            </w:r>
          </w:p>
        </w:tc>
        <w:tc>
          <w:tcPr>
            <w:tcW w:w="319" w:type="pct"/>
            <w:shd w:val="clear" w:color="auto" w:fill="C5E0B3"/>
            <w:noWrap/>
            <w:vAlign w:val="center"/>
            <w:hideMark/>
          </w:tcPr>
          <w:p w14:paraId="2802DB62"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0.041</w:t>
            </w:r>
          </w:p>
        </w:tc>
        <w:tc>
          <w:tcPr>
            <w:tcW w:w="586" w:type="pct"/>
            <w:shd w:val="clear" w:color="auto" w:fill="C5E0B3"/>
            <w:noWrap/>
            <w:vAlign w:val="center"/>
            <w:hideMark/>
          </w:tcPr>
          <w:p w14:paraId="10A703EA"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1.60 (1.09-2.34)</w:t>
            </w:r>
          </w:p>
        </w:tc>
        <w:tc>
          <w:tcPr>
            <w:tcW w:w="371" w:type="pct"/>
            <w:shd w:val="clear" w:color="auto" w:fill="C5E0B3"/>
            <w:noWrap/>
            <w:vAlign w:val="center"/>
            <w:hideMark/>
          </w:tcPr>
          <w:p w14:paraId="724DDC28"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p&lt;0.01</w:t>
            </w:r>
          </w:p>
        </w:tc>
        <w:tc>
          <w:tcPr>
            <w:tcW w:w="425" w:type="pct"/>
            <w:shd w:val="clear" w:color="auto" w:fill="C5E0B3"/>
            <w:noWrap/>
            <w:vAlign w:val="center"/>
            <w:hideMark/>
          </w:tcPr>
          <w:p w14:paraId="3003D48E" w14:textId="77777777" w:rsidR="00313816" w:rsidRPr="007F6485" w:rsidRDefault="00313816">
            <w:pPr>
              <w:jc w:val="center"/>
              <w:rPr>
                <w:rFonts w:eastAsia="Times New Roman" w:cs="Arial"/>
                <w:sz w:val="18"/>
                <w:szCs w:val="18"/>
                <w:lang w:eastAsia="en-GB"/>
              </w:rPr>
            </w:pPr>
            <w:r w:rsidRPr="007F6485">
              <w:rPr>
                <w:rFonts w:cs="Arial"/>
                <w:sz w:val="18"/>
                <w:szCs w:val="18"/>
              </w:rPr>
              <w:t>1.84 (1.26)</w:t>
            </w:r>
          </w:p>
        </w:tc>
      </w:tr>
      <w:tr w:rsidR="00313816" w:rsidRPr="00F338A4" w14:paraId="526CEEDF" w14:textId="77777777" w:rsidTr="003C060B">
        <w:trPr>
          <w:trHeight w:hRule="exact" w:val="289"/>
        </w:trPr>
        <w:tc>
          <w:tcPr>
            <w:tcW w:w="531" w:type="pct"/>
            <w:vMerge/>
            <w:vAlign w:val="center"/>
            <w:hideMark/>
          </w:tcPr>
          <w:p w14:paraId="3A1116B8"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3CA15F25"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15CBE12A"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auto"/>
            <w:noWrap/>
            <w:vAlign w:val="center"/>
            <w:hideMark/>
          </w:tcPr>
          <w:p w14:paraId="4989D01D"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shd w:val="clear" w:color="auto" w:fill="auto"/>
            <w:noWrap/>
            <w:vAlign w:val="center"/>
            <w:hideMark/>
          </w:tcPr>
          <w:p w14:paraId="4701C9CB"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135</w:t>
            </w:r>
          </w:p>
        </w:tc>
        <w:tc>
          <w:tcPr>
            <w:tcW w:w="371" w:type="pct"/>
            <w:shd w:val="clear" w:color="auto" w:fill="auto"/>
            <w:noWrap/>
            <w:vAlign w:val="center"/>
            <w:hideMark/>
          </w:tcPr>
          <w:p w14:paraId="2AA741BF"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102</w:t>
            </w:r>
          </w:p>
        </w:tc>
        <w:tc>
          <w:tcPr>
            <w:tcW w:w="425" w:type="pct"/>
            <w:shd w:val="clear" w:color="auto" w:fill="auto"/>
            <w:noWrap/>
            <w:vAlign w:val="center"/>
            <w:hideMark/>
          </w:tcPr>
          <w:p w14:paraId="6D91FD6C"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68.1%</w:t>
            </w:r>
          </w:p>
        </w:tc>
        <w:tc>
          <w:tcPr>
            <w:tcW w:w="319" w:type="pct"/>
            <w:shd w:val="clear" w:color="auto" w:fill="auto"/>
            <w:noWrap/>
            <w:vAlign w:val="center"/>
            <w:hideMark/>
          </w:tcPr>
          <w:p w14:paraId="14B40B8D"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0.048</w:t>
            </w:r>
          </w:p>
        </w:tc>
        <w:tc>
          <w:tcPr>
            <w:tcW w:w="586" w:type="pct"/>
            <w:shd w:val="clear" w:color="auto" w:fill="auto"/>
            <w:noWrap/>
            <w:vAlign w:val="center"/>
            <w:hideMark/>
          </w:tcPr>
          <w:p w14:paraId="5A2BE8AD"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1.06 (0.71-1.58)</w:t>
            </w:r>
          </w:p>
        </w:tc>
        <w:tc>
          <w:tcPr>
            <w:tcW w:w="371" w:type="pct"/>
            <w:shd w:val="clear" w:color="auto" w:fill="auto"/>
            <w:noWrap/>
            <w:vAlign w:val="center"/>
            <w:hideMark/>
          </w:tcPr>
          <w:p w14:paraId="618A277C"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ns</w:t>
            </w:r>
          </w:p>
        </w:tc>
        <w:tc>
          <w:tcPr>
            <w:tcW w:w="425" w:type="pct"/>
            <w:shd w:val="clear" w:color="auto" w:fill="auto"/>
            <w:noWrap/>
            <w:vAlign w:val="center"/>
            <w:hideMark/>
          </w:tcPr>
          <w:p w14:paraId="0C19BCCE" w14:textId="77777777" w:rsidR="00313816" w:rsidRPr="007F6485" w:rsidRDefault="00313816">
            <w:pPr>
              <w:jc w:val="center"/>
              <w:rPr>
                <w:rFonts w:eastAsia="Times New Roman" w:cs="Arial"/>
                <w:sz w:val="18"/>
                <w:szCs w:val="18"/>
                <w:lang w:eastAsia="en-GB"/>
              </w:rPr>
            </w:pPr>
          </w:p>
        </w:tc>
      </w:tr>
      <w:tr w:rsidR="00313816" w:rsidRPr="00F338A4" w14:paraId="793F5CDA" w14:textId="77777777" w:rsidTr="003C060B">
        <w:trPr>
          <w:trHeight w:hRule="exact" w:val="289"/>
        </w:trPr>
        <w:tc>
          <w:tcPr>
            <w:tcW w:w="531" w:type="pct"/>
            <w:vMerge/>
            <w:vAlign w:val="center"/>
            <w:hideMark/>
          </w:tcPr>
          <w:p w14:paraId="092B20E3" w14:textId="77777777" w:rsidR="00313816" w:rsidRPr="00F338A4" w:rsidRDefault="00313816">
            <w:pPr>
              <w:rPr>
                <w:rFonts w:eastAsia="Times New Roman" w:cs="Arial"/>
                <w:color w:val="000000"/>
                <w:sz w:val="18"/>
                <w:szCs w:val="18"/>
                <w:lang w:eastAsia="en-GB"/>
              </w:rPr>
            </w:pPr>
          </w:p>
        </w:tc>
        <w:tc>
          <w:tcPr>
            <w:tcW w:w="430" w:type="pct"/>
            <w:vMerge w:val="restart"/>
            <w:shd w:val="clear" w:color="auto" w:fill="auto"/>
            <w:vAlign w:val="center"/>
            <w:hideMark/>
          </w:tcPr>
          <w:p w14:paraId="56994F66" w14:textId="77777777" w:rsidR="00313816" w:rsidRPr="00F338A4" w:rsidRDefault="00313816">
            <w:pPr>
              <w:rPr>
                <w:rFonts w:eastAsia="Times New Roman" w:cs="Arial"/>
                <w:color w:val="000000"/>
                <w:sz w:val="18"/>
                <w:szCs w:val="18"/>
                <w:lang w:eastAsia="en-GB"/>
              </w:rPr>
            </w:pPr>
            <w:r w:rsidRPr="00F338A4">
              <w:rPr>
                <w:rFonts w:eastAsia="Times New Roman" w:cs="Arial"/>
                <w:color w:val="000000"/>
                <w:sz w:val="18"/>
                <w:szCs w:val="18"/>
                <w:lang w:eastAsia="en-GB"/>
              </w:rPr>
              <w:t>Alcohol only</w:t>
            </w:r>
          </w:p>
        </w:tc>
        <w:tc>
          <w:tcPr>
            <w:tcW w:w="266" w:type="pct"/>
            <w:vMerge w:val="restart"/>
            <w:tcBorders>
              <w:right w:val="single" w:sz="4" w:space="0" w:color="auto"/>
            </w:tcBorders>
            <w:vAlign w:val="center"/>
          </w:tcPr>
          <w:p w14:paraId="5287D8F7" w14:textId="77777777" w:rsidR="00313816" w:rsidRPr="00F338A4" w:rsidRDefault="00313816">
            <w:pPr>
              <w:jc w:val="center"/>
              <w:rPr>
                <w:rFonts w:eastAsia="Times New Roman" w:cs="Arial"/>
                <w:color w:val="000000"/>
                <w:sz w:val="18"/>
                <w:szCs w:val="18"/>
                <w:lang w:eastAsia="en-GB"/>
              </w:rPr>
            </w:pPr>
            <w:r>
              <w:rPr>
                <w:rFonts w:eastAsia="Times New Roman" w:cs="Arial"/>
                <w:color w:val="000000"/>
                <w:sz w:val="18"/>
                <w:szCs w:val="18"/>
                <w:lang w:eastAsia="en-GB"/>
              </w:rPr>
              <w:t>9</w:t>
            </w:r>
          </w:p>
        </w:tc>
        <w:tc>
          <w:tcPr>
            <w:tcW w:w="1009" w:type="pct"/>
            <w:tcBorders>
              <w:left w:val="single" w:sz="4" w:space="0" w:color="auto"/>
            </w:tcBorders>
            <w:shd w:val="clear" w:color="auto" w:fill="auto"/>
            <w:noWrap/>
            <w:vAlign w:val="center"/>
            <w:hideMark/>
          </w:tcPr>
          <w:p w14:paraId="409B5E90"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p>
        </w:tc>
        <w:tc>
          <w:tcPr>
            <w:tcW w:w="267" w:type="pct"/>
            <w:shd w:val="clear" w:color="auto" w:fill="auto"/>
            <w:noWrap/>
            <w:vAlign w:val="center"/>
            <w:hideMark/>
          </w:tcPr>
          <w:p w14:paraId="23878432"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3,167</w:t>
            </w:r>
          </w:p>
        </w:tc>
        <w:tc>
          <w:tcPr>
            <w:tcW w:w="371" w:type="pct"/>
            <w:shd w:val="clear" w:color="auto" w:fill="auto"/>
            <w:noWrap/>
            <w:vAlign w:val="center"/>
            <w:hideMark/>
          </w:tcPr>
          <w:p w14:paraId="20E72963"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3,154</w:t>
            </w:r>
          </w:p>
        </w:tc>
        <w:tc>
          <w:tcPr>
            <w:tcW w:w="425" w:type="pct"/>
            <w:shd w:val="clear" w:color="auto" w:fill="auto"/>
            <w:noWrap/>
            <w:vAlign w:val="center"/>
            <w:hideMark/>
          </w:tcPr>
          <w:p w14:paraId="5F2B8FC8" w14:textId="77777777" w:rsidR="00313816" w:rsidRPr="007F6485" w:rsidRDefault="00313816">
            <w:pPr>
              <w:jc w:val="center"/>
              <w:rPr>
                <w:rFonts w:eastAsia="Times New Roman" w:cs="Arial"/>
                <w:sz w:val="18"/>
                <w:szCs w:val="18"/>
                <w:lang w:eastAsia="en-GB"/>
              </w:rPr>
            </w:pPr>
            <w:r w:rsidRPr="007F6485">
              <w:rPr>
                <w:rFonts w:cs="Arial"/>
                <w:sz w:val="18"/>
                <w:szCs w:val="18"/>
              </w:rPr>
              <w:t>65.2%</w:t>
            </w:r>
          </w:p>
        </w:tc>
        <w:tc>
          <w:tcPr>
            <w:tcW w:w="319" w:type="pct"/>
            <w:shd w:val="clear" w:color="auto" w:fill="auto"/>
            <w:noWrap/>
            <w:vAlign w:val="center"/>
            <w:hideMark/>
          </w:tcPr>
          <w:p w14:paraId="2537DD2D" w14:textId="77777777" w:rsidR="00313816" w:rsidRPr="007F6485" w:rsidRDefault="00313816">
            <w:pPr>
              <w:jc w:val="center"/>
              <w:rPr>
                <w:rFonts w:eastAsia="Times New Roman" w:cs="Arial"/>
                <w:color w:val="000000"/>
                <w:sz w:val="18"/>
                <w:szCs w:val="18"/>
                <w:lang w:eastAsia="en-GB"/>
              </w:rPr>
            </w:pPr>
          </w:p>
        </w:tc>
        <w:tc>
          <w:tcPr>
            <w:tcW w:w="586" w:type="pct"/>
            <w:shd w:val="clear" w:color="auto" w:fill="auto"/>
            <w:noWrap/>
            <w:vAlign w:val="center"/>
            <w:hideMark/>
          </w:tcPr>
          <w:p w14:paraId="6B2CC1F0" w14:textId="77777777" w:rsidR="00313816" w:rsidRPr="007F6485" w:rsidRDefault="00313816">
            <w:pPr>
              <w:jc w:val="center"/>
              <w:rPr>
                <w:rFonts w:eastAsia="Times New Roman" w:cs="Arial"/>
                <w:color w:val="000000"/>
                <w:sz w:val="18"/>
                <w:szCs w:val="18"/>
                <w:lang w:eastAsia="en-GB"/>
              </w:rPr>
            </w:pPr>
          </w:p>
        </w:tc>
        <w:tc>
          <w:tcPr>
            <w:tcW w:w="371" w:type="pct"/>
            <w:shd w:val="clear" w:color="auto" w:fill="auto"/>
            <w:noWrap/>
            <w:vAlign w:val="center"/>
            <w:hideMark/>
          </w:tcPr>
          <w:p w14:paraId="2F19160A" w14:textId="77777777" w:rsidR="00313816" w:rsidRPr="007F6485" w:rsidRDefault="00313816">
            <w:pPr>
              <w:jc w:val="center"/>
              <w:rPr>
                <w:rFonts w:eastAsia="Times New Roman" w:cs="Arial"/>
                <w:sz w:val="18"/>
                <w:szCs w:val="18"/>
                <w:lang w:eastAsia="en-GB"/>
              </w:rPr>
            </w:pPr>
          </w:p>
        </w:tc>
        <w:tc>
          <w:tcPr>
            <w:tcW w:w="425" w:type="pct"/>
            <w:shd w:val="clear" w:color="auto" w:fill="auto"/>
            <w:noWrap/>
            <w:vAlign w:val="center"/>
            <w:hideMark/>
          </w:tcPr>
          <w:p w14:paraId="706F4F3A" w14:textId="77777777" w:rsidR="00313816" w:rsidRPr="007F6485" w:rsidRDefault="00313816">
            <w:pPr>
              <w:jc w:val="center"/>
              <w:rPr>
                <w:rFonts w:eastAsia="Times New Roman" w:cs="Arial"/>
                <w:sz w:val="18"/>
                <w:szCs w:val="18"/>
                <w:lang w:eastAsia="en-GB"/>
              </w:rPr>
            </w:pPr>
          </w:p>
        </w:tc>
      </w:tr>
      <w:tr w:rsidR="00313816" w:rsidRPr="00F338A4" w14:paraId="00254C94" w14:textId="77777777" w:rsidTr="003C060B">
        <w:trPr>
          <w:trHeight w:hRule="exact" w:val="289"/>
        </w:trPr>
        <w:tc>
          <w:tcPr>
            <w:tcW w:w="531" w:type="pct"/>
            <w:vMerge/>
            <w:vAlign w:val="center"/>
            <w:hideMark/>
          </w:tcPr>
          <w:p w14:paraId="0EDA0FE8" w14:textId="77777777" w:rsidR="00313816" w:rsidRPr="00F338A4" w:rsidRDefault="00313816">
            <w:pPr>
              <w:rPr>
                <w:rFonts w:eastAsia="Times New Roman" w:cs="Arial"/>
                <w:color w:val="000000"/>
                <w:sz w:val="18"/>
                <w:szCs w:val="18"/>
                <w:lang w:eastAsia="en-GB"/>
              </w:rPr>
            </w:pPr>
          </w:p>
        </w:tc>
        <w:tc>
          <w:tcPr>
            <w:tcW w:w="430" w:type="pct"/>
            <w:vMerge/>
            <w:vAlign w:val="center"/>
            <w:hideMark/>
          </w:tcPr>
          <w:p w14:paraId="5EA102BC" w14:textId="77777777" w:rsidR="00313816" w:rsidRPr="00F338A4" w:rsidRDefault="00313816">
            <w:pPr>
              <w:rPr>
                <w:rFonts w:eastAsia="Times New Roman" w:cs="Arial"/>
                <w:color w:val="000000"/>
                <w:sz w:val="18"/>
                <w:szCs w:val="18"/>
                <w:lang w:eastAsia="en-GB"/>
              </w:rPr>
            </w:pPr>
          </w:p>
        </w:tc>
        <w:tc>
          <w:tcPr>
            <w:tcW w:w="266" w:type="pct"/>
            <w:vMerge/>
            <w:tcBorders>
              <w:right w:val="single" w:sz="4" w:space="0" w:color="auto"/>
            </w:tcBorders>
            <w:vAlign w:val="center"/>
          </w:tcPr>
          <w:p w14:paraId="61F2BCC3"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38407635"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parenting/family </w:t>
            </w:r>
            <w:r>
              <w:rPr>
                <w:rFonts w:eastAsia="Times New Roman" w:cs="Arial"/>
                <w:color w:val="000000"/>
                <w:sz w:val="18"/>
                <w:szCs w:val="18"/>
                <w:lang w:eastAsia="en-GB"/>
              </w:rPr>
              <w:t>support</w:t>
            </w:r>
          </w:p>
        </w:tc>
        <w:tc>
          <w:tcPr>
            <w:tcW w:w="267" w:type="pct"/>
            <w:shd w:val="clear" w:color="auto" w:fill="C5E0B3"/>
            <w:noWrap/>
            <w:vAlign w:val="center"/>
            <w:hideMark/>
          </w:tcPr>
          <w:p w14:paraId="1C03A247"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195</w:t>
            </w:r>
          </w:p>
        </w:tc>
        <w:tc>
          <w:tcPr>
            <w:tcW w:w="371" w:type="pct"/>
            <w:shd w:val="clear" w:color="auto" w:fill="C5E0B3"/>
            <w:noWrap/>
            <w:vAlign w:val="center"/>
            <w:hideMark/>
          </w:tcPr>
          <w:p w14:paraId="52753B29"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182</w:t>
            </w:r>
          </w:p>
        </w:tc>
        <w:tc>
          <w:tcPr>
            <w:tcW w:w="425" w:type="pct"/>
            <w:shd w:val="clear" w:color="auto" w:fill="C5E0B3"/>
            <w:noWrap/>
            <w:vAlign w:val="center"/>
            <w:hideMark/>
          </w:tcPr>
          <w:p w14:paraId="766B64AA"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75.9%</w:t>
            </w:r>
          </w:p>
        </w:tc>
        <w:tc>
          <w:tcPr>
            <w:tcW w:w="319" w:type="pct"/>
            <w:shd w:val="clear" w:color="auto" w:fill="C5E0B3"/>
            <w:noWrap/>
            <w:vAlign w:val="center"/>
            <w:hideMark/>
          </w:tcPr>
          <w:p w14:paraId="1101C69F"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0.106</w:t>
            </w:r>
          </w:p>
        </w:tc>
        <w:tc>
          <w:tcPr>
            <w:tcW w:w="586" w:type="pct"/>
            <w:shd w:val="clear" w:color="auto" w:fill="C5E0B3"/>
            <w:noWrap/>
            <w:vAlign w:val="center"/>
            <w:hideMark/>
          </w:tcPr>
          <w:p w14:paraId="0C2D74CB"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1.89 (1.55-2.39)</w:t>
            </w:r>
          </w:p>
        </w:tc>
        <w:tc>
          <w:tcPr>
            <w:tcW w:w="371" w:type="pct"/>
            <w:shd w:val="clear" w:color="auto" w:fill="C5E0B3"/>
            <w:noWrap/>
            <w:vAlign w:val="center"/>
            <w:hideMark/>
          </w:tcPr>
          <w:p w14:paraId="46E6379C"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p&lt;0.001</w:t>
            </w:r>
          </w:p>
        </w:tc>
        <w:tc>
          <w:tcPr>
            <w:tcW w:w="425" w:type="pct"/>
            <w:shd w:val="clear" w:color="auto" w:fill="C5E0B3"/>
            <w:noWrap/>
            <w:vAlign w:val="center"/>
            <w:hideMark/>
          </w:tcPr>
          <w:p w14:paraId="08F0276E" w14:textId="77777777" w:rsidR="00313816" w:rsidRPr="007F6485" w:rsidRDefault="00313816">
            <w:pPr>
              <w:jc w:val="center"/>
              <w:rPr>
                <w:rFonts w:eastAsia="Times New Roman" w:cs="Arial"/>
                <w:sz w:val="18"/>
                <w:szCs w:val="18"/>
                <w:lang w:eastAsia="en-GB"/>
              </w:rPr>
            </w:pPr>
            <w:r w:rsidRPr="007F6485">
              <w:rPr>
                <w:rFonts w:cs="Arial"/>
                <w:sz w:val="18"/>
                <w:szCs w:val="18"/>
              </w:rPr>
              <w:t>2.09 (1.78)</w:t>
            </w:r>
          </w:p>
        </w:tc>
      </w:tr>
      <w:tr w:rsidR="00313816" w:rsidRPr="00F338A4" w14:paraId="4974F122" w14:textId="77777777" w:rsidTr="003C060B">
        <w:trPr>
          <w:trHeight w:hRule="exact" w:val="289"/>
        </w:trPr>
        <w:tc>
          <w:tcPr>
            <w:tcW w:w="531" w:type="pct"/>
            <w:vMerge/>
            <w:tcBorders>
              <w:bottom w:val="single" w:sz="4" w:space="0" w:color="auto"/>
            </w:tcBorders>
            <w:vAlign w:val="center"/>
            <w:hideMark/>
          </w:tcPr>
          <w:p w14:paraId="31F78449" w14:textId="77777777" w:rsidR="00313816" w:rsidRPr="00F338A4" w:rsidRDefault="00313816">
            <w:pPr>
              <w:rPr>
                <w:rFonts w:eastAsia="Times New Roman" w:cs="Arial"/>
                <w:color w:val="000000"/>
                <w:sz w:val="18"/>
                <w:szCs w:val="18"/>
                <w:lang w:eastAsia="en-GB"/>
              </w:rPr>
            </w:pPr>
          </w:p>
        </w:tc>
        <w:tc>
          <w:tcPr>
            <w:tcW w:w="430" w:type="pct"/>
            <w:vMerge/>
            <w:tcBorders>
              <w:bottom w:val="single" w:sz="4" w:space="0" w:color="auto"/>
            </w:tcBorders>
            <w:vAlign w:val="center"/>
            <w:hideMark/>
          </w:tcPr>
          <w:p w14:paraId="7F9AB909" w14:textId="77777777" w:rsidR="00313816" w:rsidRPr="00F338A4" w:rsidRDefault="00313816">
            <w:pPr>
              <w:rPr>
                <w:rFonts w:eastAsia="Times New Roman" w:cs="Arial"/>
                <w:color w:val="000000"/>
                <w:sz w:val="18"/>
                <w:szCs w:val="18"/>
                <w:lang w:eastAsia="en-GB"/>
              </w:rPr>
            </w:pPr>
          </w:p>
        </w:tc>
        <w:tc>
          <w:tcPr>
            <w:tcW w:w="266" w:type="pct"/>
            <w:vMerge/>
            <w:tcBorders>
              <w:bottom w:val="single" w:sz="4" w:space="0" w:color="auto"/>
              <w:right w:val="single" w:sz="4" w:space="0" w:color="auto"/>
            </w:tcBorders>
            <w:vAlign w:val="center"/>
          </w:tcPr>
          <w:p w14:paraId="6DB998A9"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bottom w:val="single" w:sz="4" w:space="0" w:color="auto"/>
            </w:tcBorders>
            <w:shd w:val="clear" w:color="auto" w:fill="auto"/>
            <w:noWrap/>
            <w:vAlign w:val="center"/>
            <w:hideMark/>
          </w:tcPr>
          <w:p w14:paraId="0422781F"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tcBorders>
              <w:bottom w:val="single" w:sz="4" w:space="0" w:color="auto"/>
            </w:tcBorders>
            <w:shd w:val="clear" w:color="auto" w:fill="auto"/>
            <w:noWrap/>
            <w:vAlign w:val="center"/>
            <w:hideMark/>
          </w:tcPr>
          <w:p w14:paraId="3966DFF4"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163</w:t>
            </w:r>
          </w:p>
        </w:tc>
        <w:tc>
          <w:tcPr>
            <w:tcW w:w="371" w:type="pct"/>
            <w:tcBorders>
              <w:bottom w:val="single" w:sz="4" w:space="0" w:color="auto"/>
            </w:tcBorders>
            <w:shd w:val="clear" w:color="auto" w:fill="auto"/>
            <w:noWrap/>
            <w:vAlign w:val="center"/>
            <w:hideMark/>
          </w:tcPr>
          <w:p w14:paraId="3AAA714D"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150</w:t>
            </w:r>
          </w:p>
        </w:tc>
        <w:tc>
          <w:tcPr>
            <w:tcW w:w="425" w:type="pct"/>
            <w:tcBorders>
              <w:bottom w:val="single" w:sz="4" w:space="0" w:color="auto"/>
            </w:tcBorders>
            <w:shd w:val="clear" w:color="auto" w:fill="auto"/>
            <w:noWrap/>
            <w:vAlign w:val="center"/>
            <w:hideMark/>
          </w:tcPr>
          <w:p w14:paraId="37C972C3"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63.3%</w:t>
            </w:r>
          </w:p>
        </w:tc>
        <w:tc>
          <w:tcPr>
            <w:tcW w:w="319" w:type="pct"/>
            <w:tcBorders>
              <w:bottom w:val="single" w:sz="4" w:space="0" w:color="auto"/>
            </w:tcBorders>
            <w:shd w:val="clear" w:color="auto" w:fill="auto"/>
            <w:noWrap/>
            <w:vAlign w:val="center"/>
            <w:hideMark/>
          </w:tcPr>
          <w:p w14:paraId="464469DF"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-0.020</w:t>
            </w:r>
          </w:p>
        </w:tc>
        <w:tc>
          <w:tcPr>
            <w:tcW w:w="586" w:type="pct"/>
            <w:tcBorders>
              <w:bottom w:val="single" w:sz="4" w:space="0" w:color="auto"/>
            </w:tcBorders>
            <w:shd w:val="clear" w:color="auto" w:fill="auto"/>
            <w:noWrap/>
            <w:vAlign w:val="center"/>
            <w:hideMark/>
          </w:tcPr>
          <w:p w14:paraId="499E7158"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1.64 (1.18-2.43)</w:t>
            </w:r>
          </w:p>
        </w:tc>
        <w:tc>
          <w:tcPr>
            <w:tcW w:w="371" w:type="pct"/>
            <w:tcBorders>
              <w:bottom w:val="single" w:sz="4" w:space="0" w:color="auto"/>
            </w:tcBorders>
            <w:shd w:val="clear" w:color="auto" w:fill="auto"/>
            <w:noWrap/>
            <w:vAlign w:val="center"/>
            <w:hideMark/>
          </w:tcPr>
          <w:p w14:paraId="5E6F14EF" w14:textId="77777777" w:rsidR="00313816" w:rsidRPr="007F6485" w:rsidRDefault="00313816">
            <w:pPr>
              <w:jc w:val="center"/>
              <w:rPr>
                <w:rFonts w:eastAsia="Times New Roman" w:cs="Arial"/>
                <w:color w:val="000000"/>
                <w:sz w:val="18"/>
                <w:szCs w:val="18"/>
                <w:lang w:eastAsia="en-GB"/>
              </w:rPr>
            </w:pPr>
            <w:r w:rsidRPr="007F6485">
              <w:rPr>
                <w:rFonts w:cs="Arial"/>
                <w:color w:val="000000"/>
                <w:sz w:val="18"/>
                <w:szCs w:val="18"/>
              </w:rPr>
              <w:t>ns</w:t>
            </w:r>
          </w:p>
        </w:tc>
        <w:tc>
          <w:tcPr>
            <w:tcW w:w="425" w:type="pct"/>
            <w:tcBorders>
              <w:bottom w:val="single" w:sz="4" w:space="0" w:color="auto"/>
            </w:tcBorders>
            <w:shd w:val="clear" w:color="auto" w:fill="auto"/>
            <w:noWrap/>
            <w:vAlign w:val="center"/>
            <w:hideMark/>
          </w:tcPr>
          <w:p w14:paraId="6682F81A" w14:textId="77777777" w:rsidR="00313816" w:rsidRPr="007F6485" w:rsidRDefault="00313816">
            <w:pPr>
              <w:jc w:val="center"/>
              <w:rPr>
                <w:rFonts w:eastAsia="Times New Roman" w:cs="Arial"/>
                <w:sz w:val="18"/>
                <w:szCs w:val="18"/>
                <w:lang w:eastAsia="en-GB"/>
              </w:rPr>
            </w:pPr>
          </w:p>
        </w:tc>
      </w:tr>
      <w:tr w:rsidR="00313816" w:rsidRPr="00F338A4" w14:paraId="1C669668" w14:textId="77777777" w:rsidTr="003C060B">
        <w:trPr>
          <w:trHeight w:hRule="exact" w:val="289"/>
        </w:trPr>
        <w:tc>
          <w:tcPr>
            <w:tcW w:w="531" w:type="pct"/>
            <w:vMerge w:val="restart"/>
            <w:tcBorders>
              <w:top w:val="single" w:sz="4" w:space="0" w:color="auto"/>
              <w:bottom w:val="single" w:sz="4" w:space="0" w:color="auto"/>
            </w:tcBorders>
            <w:shd w:val="clear" w:color="auto" w:fill="auto"/>
            <w:vAlign w:val="center"/>
            <w:hideMark/>
          </w:tcPr>
          <w:p w14:paraId="3D4C0AEF" w14:textId="77777777" w:rsidR="00313816" w:rsidRPr="00F338A4" w:rsidRDefault="00313816">
            <w:pPr>
              <w:rPr>
                <w:rFonts w:eastAsia="Times New Roman" w:cs="Arial"/>
                <w:sz w:val="18"/>
                <w:szCs w:val="18"/>
                <w:lang w:eastAsia="en-GB"/>
              </w:rPr>
            </w:pPr>
            <w:r>
              <w:rPr>
                <w:rFonts w:eastAsia="Times New Roman" w:cs="Arial"/>
                <w:sz w:val="18"/>
                <w:szCs w:val="18"/>
                <w:lang w:eastAsia="en-GB"/>
              </w:rPr>
              <w:t>Fathers not living</w:t>
            </w:r>
            <w:r w:rsidRPr="00F338A4">
              <w:rPr>
                <w:rFonts w:eastAsia="Times New Roman" w:cs="Arial"/>
                <w:sz w:val="18"/>
                <w:szCs w:val="18"/>
                <w:lang w:eastAsia="en-GB"/>
              </w:rPr>
              <w:t xml:space="preserve"> with </w:t>
            </w:r>
            <w:r>
              <w:rPr>
                <w:rFonts w:eastAsia="Times New Roman" w:cs="Arial"/>
                <w:sz w:val="18"/>
                <w:szCs w:val="18"/>
                <w:lang w:eastAsia="en-GB"/>
              </w:rPr>
              <w:t xml:space="preserve">their </w:t>
            </w:r>
            <w:r w:rsidRPr="00F338A4">
              <w:rPr>
                <w:rFonts w:eastAsia="Times New Roman" w:cs="Arial"/>
                <w:sz w:val="18"/>
                <w:szCs w:val="18"/>
                <w:lang w:eastAsia="en-GB"/>
              </w:rPr>
              <w:t>children</w:t>
            </w:r>
          </w:p>
        </w:tc>
        <w:tc>
          <w:tcPr>
            <w:tcW w:w="430" w:type="pct"/>
            <w:vMerge w:val="restart"/>
            <w:tcBorders>
              <w:top w:val="single" w:sz="4" w:space="0" w:color="auto"/>
              <w:bottom w:val="single" w:sz="4" w:space="0" w:color="auto"/>
            </w:tcBorders>
            <w:shd w:val="clear" w:color="auto" w:fill="auto"/>
            <w:vAlign w:val="center"/>
            <w:hideMark/>
          </w:tcPr>
          <w:p w14:paraId="294C3F7A" w14:textId="77777777" w:rsidR="00313816" w:rsidRPr="00F338A4" w:rsidRDefault="00313816">
            <w:pPr>
              <w:rPr>
                <w:rFonts w:eastAsia="Times New Roman" w:cs="Arial"/>
                <w:sz w:val="18"/>
                <w:szCs w:val="18"/>
                <w:lang w:eastAsia="en-GB"/>
              </w:rPr>
            </w:pPr>
            <w:r w:rsidRPr="00F338A4">
              <w:rPr>
                <w:rFonts w:eastAsia="Times New Roman" w:cs="Arial"/>
                <w:sz w:val="18"/>
                <w:szCs w:val="18"/>
                <w:lang w:eastAsia="en-GB"/>
              </w:rPr>
              <w:t>OUs</w:t>
            </w:r>
          </w:p>
        </w:tc>
        <w:tc>
          <w:tcPr>
            <w:tcW w:w="266" w:type="pct"/>
            <w:vMerge w:val="restart"/>
            <w:tcBorders>
              <w:top w:val="single" w:sz="4" w:space="0" w:color="auto"/>
              <w:bottom w:val="single" w:sz="4" w:space="0" w:color="auto"/>
              <w:right w:val="single" w:sz="4" w:space="0" w:color="auto"/>
            </w:tcBorders>
            <w:vAlign w:val="center"/>
          </w:tcPr>
          <w:p w14:paraId="6D2BFE30" w14:textId="77777777" w:rsidR="00313816" w:rsidRPr="00F338A4" w:rsidRDefault="00313816">
            <w:pPr>
              <w:jc w:val="center"/>
              <w:rPr>
                <w:rFonts w:eastAsia="Times New Roman" w:cs="Arial"/>
                <w:sz w:val="18"/>
                <w:szCs w:val="18"/>
                <w:lang w:eastAsia="en-GB"/>
              </w:rPr>
            </w:pPr>
            <w:r>
              <w:rPr>
                <w:rFonts w:eastAsia="Times New Roman" w:cs="Arial"/>
                <w:color w:val="000000"/>
                <w:sz w:val="18"/>
                <w:szCs w:val="18"/>
                <w:lang w:eastAsia="en-GB"/>
              </w:rPr>
              <w:t>10</w:t>
            </w:r>
          </w:p>
        </w:tc>
        <w:tc>
          <w:tcPr>
            <w:tcW w:w="1009" w:type="pct"/>
            <w:tcBorders>
              <w:top w:val="single" w:sz="4" w:space="0" w:color="auto"/>
              <w:left w:val="single" w:sz="4" w:space="0" w:color="auto"/>
            </w:tcBorders>
            <w:shd w:val="clear" w:color="auto" w:fill="auto"/>
            <w:noWrap/>
            <w:vAlign w:val="center"/>
            <w:hideMark/>
          </w:tcPr>
          <w:p w14:paraId="4BC37398" w14:textId="77777777" w:rsidR="00313816" w:rsidRPr="00F338A4" w:rsidRDefault="00313816">
            <w:pPr>
              <w:rPr>
                <w:rFonts w:eastAsia="Times New Roman" w:cs="Arial"/>
                <w:sz w:val="18"/>
                <w:szCs w:val="18"/>
                <w:lang w:eastAsia="en-GB"/>
              </w:rPr>
            </w:pPr>
            <w:r>
              <w:rPr>
                <w:rFonts w:eastAsia="Times New Roman" w:cs="Arial"/>
                <w:color w:val="000000"/>
                <w:sz w:val="18"/>
                <w:szCs w:val="18"/>
                <w:lang w:eastAsia="en-GB"/>
              </w:rPr>
              <w:t>Trt</w:t>
            </w:r>
          </w:p>
        </w:tc>
        <w:tc>
          <w:tcPr>
            <w:tcW w:w="267" w:type="pct"/>
            <w:tcBorders>
              <w:top w:val="single" w:sz="4" w:space="0" w:color="auto"/>
            </w:tcBorders>
            <w:shd w:val="clear" w:color="auto" w:fill="auto"/>
            <w:noWrap/>
            <w:vAlign w:val="center"/>
            <w:hideMark/>
          </w:tcPr>
          <w:p w14:paraId="2436674F" w14:textId="77777777" w:rsidR="00313816" w:rsidRPr="00F338A4" w:rsidRDefault="00313816">
            <w:pPr>
              <w:ind w:right="-110"/>
              <w:jc w:val="center"/>
              <w:rPr>
                <w:rFonts w:eastAsia="Times New Roman" w:cs="Arial"/>
                <w:color w:val="000000"/>
                <w:sz w:val="18"/>
                <w:szCs w:val="18"/>
                <w:lang w:eastAsia="en-GB"/>
              </w:rPr>
            </w:pPr>
            <w:r>
              <w:rPr>
                <w:rFonts w:eastAsia="Times New Roman" w:cs="Arial"/>
                <w:color w:val="000000"/>
                <w:sz w:val="18"/>
                <w:szCs w:val="18"/>
                <w:lang w:eastAsia="en-GB"/>
              </w:rPr>
              <w:t>10,036</w:t>
            </w:r>
          </w:p>
        </w:tc>
        <w:tc>
          <w:tcPr>
            <w:tcW w:w="371" w:type="pct"/>
            <w:tcBorders>
              <w:top w:val="single" w:sz="4" w:space="0" w:color="auto"/>
            </w:tcBorders>
            <w:shd w:val="clear" w:color="auto" w:fill="auto"/>
            <w:noWrap/>
            <w:vAlign w:val="center"/>
            <w:hideMark/>
          </w:tcPr>
          <w:p w14:paraId="56261A6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10,029</w:t>
            </w:r>
          </w:p>
        </w:tc>
        <w:tc>
          <w:tcPr>
            <w:tcW w:w="425" w:type="pct"/>
            <w:tcBorders>
              <w:top w:val="single" w:sz="4" w:space="0" w:color="auto"/>
            </w:tcBorders>
            <w:shd w:val="clear" w:color="auto" w:fill="auto"/>
            <w:noWrap/>
            <w:vAlign w:val="center"/>
            <w:hideMark/>
          </w:tcPr>
          <w:p w14:paraId="0ED030BF"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17.6%</w:t>
            </w:r>
          </w:p>
        </w:tc>
        <w:tc>
          <w:tcPr>
            <w:tcW w:w="319" w:type="pct"/>
            <w:tcBorders>
              <w:top w:val="single" w:sz="4" w:space="0" w:color="auto"/>
            </w:tcBorders>
            <w:shd w:val="clear" w:color="auto" w:fill="auto"/>
            <w:noWrap/>
            <w:vAlign w:val="center"/>
            <w:hideMark/>
          </w:tcPr>
          <w:p w14:paraId="63EAD9DD" w14:textId="77777777" w:rsidR="00313816" w:rsidRPr="00F338A4" w:rsidRDefault="00313816">
            <w:pPr>
              <w:jc w:val="center"/>
              <w:rPr>
                <w:rFonts w:eastAsia="Times New Roman" w:cs="Arial"/>
                <w:color w:val="000000"/>
                <w:sz w:val="18"/>
                <w:szCs w:val="18"/>
                <w:lang w:eastAsia="en-GB"/>
              </w:rPr>
            </w:pPr>
          </w:p>
        </w:tc>
        <w:tc>
          <w:tcPr>
            <w:tcW w:w="586" w:type="pct"/>
            <w:tcBorders>
              <w:top w:val="single" w:sz="4" w:space="0" w:color="auto"/>
            </w:tcBorders>
            <w:shd w:val="clear" w:color="auto" w:fill="auto"/>
            <w:noWrap/>
            <w:vAlign w:val="center"/>
            <w:hideMark/>
          </w:tcPr>
          <w:p w14:paraId="43B4E241" w14:textId="77777777" w:rsidR="00313816" w:rsidRPr="00F338A4" w:rsidRDefault="00313816">
            <w:pPr>
              <w:jc w:val="center"/>
              <w:rPr>
                <w:rFonts w:eastAsia="Times New Roman" w:cs="Arial"/>
                <w:color w:val="000000"/>
                <w:sz w:val="18"/>
                <w:szCs w:val="18"/>
                <w:lang w:eastAsia="en-GB"/>
              </w:rPr>
            </w:pPr>
          </w:p>
        </w:tc>
        <w:tc>
          <w:tcPr>
            <w:tcW w:w="371" w:type="pct"/>
            <w:tcBorders>
              <w:top w:val="single" w:sz="4" w:space="0" w:color="auto"/>
            </w:tcBorders>
            <w:shd w:val="clear" w:color="auto" w:fill="auto"/>
            <w:noWrap/>
            <w:vAlign w:val="center"/>
            <w:hideMark/>
          </w:tcPr>
          <w:p w14:paraId="0D58B1D5" w14:textId="77777777" w:rsidR="00313816" w:rsidRPr="00F338A4" w:rsidRDefault="00313816">
            <w:pPr>
              <w:jc w:val="center"/>
              <w:rPr>
                <w:rFonts w:eastAsia="Times New Roman" w:cs="Arial"/>
                <w:sz w:val="18"/>
                <w:szCs w:val="18"/>
                <w:lang w:eastAsia="en-GB"/>
              </w:rPr>
            </w:pPr>
          </w:p>
        </w:tc>
        <w:tc>
          <w:tcPr>
            <w:tcW w:w="425" w:type="pct"/>
            <w:tcBorders>
              <w:top w:val="single" w:sz="4" w:space="0" w:color="auto"/>
            </w:tcBorders>
            <w:shd w:val="clear" w:color="auto" w:fill="auto"/>
            <w:noWrap/>
            <w:vAlign w:val="center"/>
            <w:hideMark/>
          </w:tcPr>
          <w:p w14:paraId="1EAAE02B" w14:textId="77777777" w:rsidR="00313816" w:rsidRPr="00F338A4" w:rsidRDefault="00313816">
            <w:pPr>
              <w:jc w:val="center"/>
              <w:rPr>
                <w:rFonts w:eastAsia="Times New Roman" w:cs="Arial"/>
                <w:sz w:val="18"/>
                <w:szCs w:val="18"/>
                <w:lang w:eastAsia="en-GB"/>
              </w:rPr>
            </w:pPr>
          </w:p>
        </w:tc>
      </w:tr>
      <w:tr w:rsidR="00313816" w:rsidRPr="00F338A4" w14:paraId="6E243D15" w14:textId="77777777" w:rsidTr="003C060B">
        <w:trPr>
          <w:trHeight w:hRule="exact" w:val="289"/>
        </w:trPr>
        <w:tc>
          <w:tcPr>
            <w:tcW w:w="531" w:type="pct"/>
            <w:vMerge/>
            <w:tcBorders>
              <w:bottom w:val="single" w:sz="4" w:space="0" w:color="auto"/>
            </w:tcBorders>
            <w:vAlign w:val="center"/>
            <w:hideMark/>
          </w:tcPr>
          <w:p w14:paraId="26A4E3E2" w14:textId="77777777" w:rsidR="00313816" w:rsidRPr="00F338A4" w:rsidRDefault="00313816">
            <w:pPr>
              <w:rPr>
                <w:rFonts w:eastAsia="Times New Roman" w:cs="Arial"/>
                <w:sz w:val="18"/>
                <w:szCs w:val="18"/>
                <w:lang w:eastAsia="en-GB"/>
              </w:rPr>
            </w:pPr>
          </w:p>
        </w:tc>
        <w:tc>
          <w:tcPr>
            <w:tcW w:w="430" w:type="pct"/>
            <w:vMerge/>
            <w:tcBorders>
              <w:bottom w:val="single" w:sz="4" w:space="0" w:color="auto"/>
            </w:tcBorders>
            <w:vAlign w:val="center"/>
            <w:hideMark/>
          </w:tcPr>
          <w:p w14:paraId="1EC70F40" w14:textId="77777777" w:rsidR="00313816" w:rsidRPr="00F338A4" w:rsidRDefault="00313816">
            <w:pPr>
              <w:rPr>
                <w:rFonts w:eastAsia="Times New Roman" w:cs="Arial"/>
                <w:sz w:val="18"/>
                <w:szCs w:val="18"/>
                <w:lang w:eastAsia="en-GB"/>
              </w:rPr>
            </w:pPr>
          </w:p>
        </w:tc>
        <w:tc>
          <w:tcPr>
            <w:tcW w:w="266" w:type="pct"/>
            <w:vMerge/>
            <w:tcBorders>
              <w:bottom w:val="single" w:sz="4" w:space="0" w:color="auto"/>
              <w:right w:val="single" w:sz="4" w:space="0" w:color="auto"/>
            </w:tcBorders>
            <w:vAlign w:val="center"/>
          </w:tcPr>
          <w:p w14:paraId="55A0BBED"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12565D59"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parenting/family </w:t>
            </w:r>
            <w:r>
              <w:rPr>
                <w:rFonts w:eastAsia="Times New Roman" w:cs="Arial"/>
                <w:color w:val="000000"/>
                <w:sz w:val="18"/>
                <w:szCs w:val="18"/>
                <w:lang w:eastAsia="en-GB"/>
              </w:rPr>
              <w:t>support</w:t>
            </w:r>
          </w:p>
        </w:tc>
        <w:tc>
          <w:tcPr>
            <w:tcW w:w="267" w:type="pct"/>
            <w:shd w:val="clear" w:color="auto" w:fill="C5E0B3"/>
            <w:noWrap/>
            <w:vAlign w:val="center"/>
            <w:hideMark/>
          </w:tcPr>
          <w:p w14:paraId="1647E88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481</w:t>
            </w:r>
          </w:p>
        </w:tc>
        <w:tc>
          <w:tcPr>
            <w:tcW w:w="371" w:type="pct"/>
            <w:shd w:val="clear" w:color="auto" w:fill="C5E0B3"/>
            <w:noWrap/>
            <w:vAlign w:val="center"/>
            <w:hideMark/>
          </w:tcPr>
          <w:p w14:paraId="5FB0BB5D"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419</w:t>
            </w:r>
          </w:p>
        </w:tc>
        <w:tc>
          <w:tcPr>
            <w:tcW w:w="425" w:type="pct"/>
            <w:shd w:val="clear" w:color="auto" w:fill="C5E0B3"/>
            <w:noWrap/>
            <w:vAlign w:val="center"/>
            <w:hideMark/>
          </w:tcPr>
          <w:p w14:paraId="1A10D8B2"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22.8%</w:t>
            </w:r>
          </w:p>
        </w:tc>
        <w:tc>
          <w:tcPr>
            <w:tcW w:w="319" w:type="pct"/>
            <w:shd w:val="clear" w:color="auto" w:fill="C5E0B3"/>
            <w:noWrap/>
            <w:vAlign w:val="center"/>
            <w:hideMark/>
          </w:tcPr>
          <w:p w14:paraId="1355EC7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0.051</w:t>
            </w:r>
          </w:p>
        </w:tc>
        <w:tc>
          <w:tcPr>
            <w:tcW w:w="586" w:type="pct"/>
            <w:shd w:val="clear" w:color="auto" w:fill="C5E0B3"/>
            <w:noWrap/>
            <w:vAlign w:val="center"/>
            <w:hideMark/>
          </w:tcPr>
          <w:p w14:paraId="625CABB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1.64 (1.26-2.12)</w:t>
            </w:r>
          </w:p>
        </w:tc>
        <w:tc>
          <w:tcPr>
            <w:tcW w:w="371" w:type="pct"/>
            <w:shd w:val="clear" w:color="auto" w:fill="C5E0B3"/>
            <w:noWrap/>
            <w:vAlign w:val="center"/>
            <w:hideMark/>
          </w:tcPr>
          <w:p w14:paraId="1833ED8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p&lt;0.001</w:t>
            </w:r>
          </w:p>
        </w:tc>
        <w:tc>
          <w:tcPr>
            <w:tcW w:w="425" w:type="pct"/>
            <w:shd w:val="clear" w:color="auto" w:fill="C5E0B3"/>
            <w:noWrap/>
            <w:vAlign w:val="center"/>
            <w:hideMark/>
          </w:tcPr>
          <w:p w14:paraId="1B2B7B41"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1.88 (1.50)</w:t>
            </w:r>
          </w:p>
        </w:tc>
      </w:tr>
      <w:tr w:rsidR="00313816" w:rsidRPr="00F338A4" w14:paraId="736373C2" w14:textId="77777777" w:rsidTr="003C060B">
        <w:trPr>
          <w:trHeight w:hRule="exact" w:val="289"/>
        </w:trPr>
        <w:tc>
          <w:tcPr>
            <w:tcW w:w="531" w:type="pct"/>
            <w:vMerge/>
            <w:tcBorders>
              <w:bottom w:val="single" w:sz="4" w:space="0" w:color="auto"/>
            </w:tcBorders>
            <w:vAlign w:val="center"/>
            <w:hideMark/>
          </w:tcPr>
          <w:p w14:paraId="7F4851FA" w14:textId="77777777" w:rsidR="00313816" w:rsidRPr="00F338A4" w:rsidRDefault="00313816">
            <w:pPr>
              <w:rPr>
                <w:rFonts w:eastAsia="Times New Roman" w:cs="Arial"/>
                <w:sz w:val="18"/>
                <w:szCs w:val="18"/>
                <w:lang w:eastAsia="en-GB"/>
              </w:rPr>
            </w:pPr>
          </w:p>
        </w:tc>
        <w:tc>
          <w:tcPr>
            <w:tcW w:w="430" w:type="pct"/>
            <w:vMerge/>
            <w:tcBorders>
              <w:bottom w:val="single" w:sz="4" w:space="0" w:color="auto"/>
            </w:tcBorders>
            <w:vAlign w:val="center"/>
            <w:hideMark/>
          </w:tcPr>
          <w:p w14:paraId="147DCDB2" w14:textId="77777777" w:rsidR="00313816" w:rsidRPr="00F338A4" w:rsidRDefault="00313816">
            <w:pPr>
              <w:rPr>
                <w:rFonts w:eastAsia="Times New Roman" w:cs="Arial"/>
                <w:sz w:val="18"/>
                <w:szCs w:val="18"/>
                <w:lang w:eastAsia="en-GB"/>
              </w:rPr>
            </w:pPr>
          </w:p>
        </w:tc>
        <w:tc>
          <w:tcPr>
            <w:tcW w:w="266" w:type="pct"/>
            <w:vMerge/>
            <w:tcBorders>
              <w:bottom w:val="single" w:sz="4" w:space="0" w:color="auto"/>
              <w:right w:val="single" w:sz="4" w:space="0" w:color="auto"/>
            </w:tcBorders>
            <w:vAlign w:val="center"/>
          </w:tcPr>
          <w:p w14:paraId="3948F277"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3E8AA00A"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shd w:val="clear" w:color="auto" w:fill="C5E0B3"/>
            <w:noWrap/>
            <w:vAlign w:val="center"/>
            <w:hideMark/>
          </w:tcPr>
          <w:p w14:paraId="672A6D2E"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91</w:t>
            </w:r>
          </w:p>
        </w:tc>
        <w:tc>
          <w:tcPr>
            <w:tcW w:w="371" w:type="pct"/>
            <w:shd w:val="clear" w:color="auto" w:fill="C5E0B3"/>
            <w:noWrap/>
            <w:vAlign w:val="center"/>
            <w:hideMark/>
          </w:tcPr>
          <w:p w14:paraId="61AB7DD6"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79</w:t>
            </w:r>
          </w:p>
        </w:tc>
        <w:tc>
          <w:tcPr>
            <w:tcW w:w="425" w:type="pct"/>
            <w:shd w:val="clear" w:color="auto" w:fill="C5E0B3"/>
            <w:noWrap/>
            <w:vAlign w:val="center"/>
            <w:hideMark/>
          </w:tcPr>
          <w:p w14:paraId="0B076BD0"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25.9%</w:t>
            </w:r>
          </w:p>
        </w:tc>
        <w:tc>
          <w:tcPr>
            <w:tcW w:w="319" w:type="pct"/>
            <w:shd w:val="clear" w:color="auto" w:fill="C5E0B3"/>
            <w:noWrap/>
            <w:vAlign w:val="center"/>
            <w:hideMark/>
          </w:tcPr>
          <w:p w14:paraId="36BFC1B6"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0.083</w:t>
            </w:r>
          </w:p>
        </w:tc>
        <w:tc>
          <w:tcPr>
            <w:tcW w:w="586" w:type="pct"/>
            <w:shd w:val="clear" w:color="auto" w:fill="C5E0B3"/>
            <w:noWrap/>
            <w:vAlign w:val="center"/>
            <w:hideMark/>
          </w:tcPr>
          <w:p w14:paraId="757730F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2.07 (1.17-3.68)</w:t>
            </w:r>
          </w:p>
        </w:tc>
        <w:tc>
          <w:tcPr>
            <w:tcW w:w="371" w:type="pct"/>
            <w:shd w:val="clear" w:color="auto" w:fill="C5E0B3"/>
            <w:noWrap/>
            <w:vAlign w:val="center"/>
            <w:hideMark/>
          </w:tcPr>
          <w:p w14:paraId="789E695D"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p&lt;0.01</w:t>
            </w:r>
          </w:p>
        </w:tc>
        <w:tc>
          <w:tcPr>
            <w:tcW w:w="425" w:type="pct"/>
            <w:shd w:val="clear" w:color="auto" w:fill="C5E0B3"/>
            <w:noWrap/>
            <w:vAlign w:val="center"/>
            <w:hideMark/>
          </w:tcPr>
          <w:p w14:paraId="703D1BE1"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2.23 (1.38)</w:t>
            </w:r>
          </w:p>
        </w:tc>
      </w:tr>
      <w:tr w:rsidR="00313816" w:rsidRPr="00F338A4" w14:paraId="255BD6E2" w14:textId="77777777" w:rsidTr="003C060B">
        <w:trPr>
          <w:trHeight w:hRule="exact" w:val="289"/>
        </w:trPr>
        <w:tc>
          <w:tcPr>
            <w:tcW w:w="531" w:type="pct"/>
            <w:vMerge/>
            <w:tcBorders>
              <w:bottom w:val="single" w:sz="4" w:space="0" w:color="auto"/>
            </w:tcBorders>
            <w:vAlign w:val="center"/>
            <w:hideMark/>
          </w:tcPr>
          <w:p w14:paraId="7C993EA5" w14:textId="77777777" w:rsidR="00313816" w:rsidRPr="00F338A4" w:rsidRDefault="00313816">
            <w:pPr>
              <w:rPr>
                <w:rFonts w:eastAsia="Times New Roman" w:cs="Arial"/>
                <w:sz w:val="18"/>
                <w:szCs w:val="18"/>
                <w:lang w:eastAsia="en-GB"/>
              </w:rPr>
            </w:pPr>
          </w:p>
        </w:tc>
        <w:tc>
          <w:tcPr>
            <w:tcW w:w="430" w:type="pct"/>
            <w:vMerge w:val="restart"/>
            <w:tcBorders>
              <w:bottom w:val="single" w:sz="4" w:space="0" w:color="auto"/>
            </w:tcBorders>
            <w:shd w:val="clear" w:color="auto" w:fill="auto"/>
            <w:vAlign w:val="center"/>
            <w:hideMark/>
          </w:tcPr>
          <w:p w14:paraId="1E0542B2" w14:textId="77777777" w:rsidR="00313816" w:rsidRPr="00F338A4" w:rsidRDefault="00313816">
            <w:pPr>
              <w:rPr>
                <w:rFonts w:eastAsia="Times New Roman" w:cs="Arial"/>
                <w:sz w:val="18"/>
                <w:szCs w:val="18"/>
                <w:lang w:eastAsia="en-GB"/>
              </w:rPr>
            </w:pPr>
            <w:r w:rsidRPr="00F338A4">
              <w:rPr>
                <w:rFonts w:eastAsia="Times New Roman" w:cs="Arial"/>
                <w:sz w:val="18"/>
                <w:szCs w:val="18"/>
                <w:lang w:eastAsia="en-GB"/>
              </w:rPr>
              <w:t>Non-OUs</w:t>
            </w:r>
          </w:p>
        </w:tc>
        <w:tc>
          <w:tcPr>
            <w:tcW w:w="266" w:type="pct"/>
            <w:vMerge w:val="restart"/>
            <w:tcBorders>
              <w:bottom w:val="single" w:sz="4" w:space="0" w:color="auto"/>
              <w:right w:val="single" w:sz="4" w:space="0" w:color="auto"/>
            </w:tcBorders>
            <w:vAlign w:val="center"/>
          </w:tcPr>
          <w:p w14:paraId="4ADC58CA" w14:textId="77777777" w:rsidR="00313816" w:rsidRPr="00F338A4" w:rsidRDefault="00313816">
            <w:pPr>
              <w:jc w:val="center"/>
              <w:rPr>
                <w:rFonts w:eastAsia="Times New Roman" w:cs="Arial"/>
                <w:sz w:val="18"/>
                <w:szCs w:val="18"/>
                <w:lang w:eastAsia="en-GB"/>
              </w:rPr>
            </w:pPr>
            <w:r>
              <w:rPr>
                <w:rFonts w:eastAsia="Times New Roman" w:cs="Arial"/>
                <w:sz w:val="18"/>
                <w:szCs w:val="18"/>
                <w:lang w:eastAsia="en-GB"/>
              </w:rPr>
              <w:t>11</w:t>
            </w:r>
          </w:p>
        </w:tc>
        <w:tc>
          <w:tcPr>
            <w:tcW w:w="1009" w:type="pct"/>
            <w:tcBorders>
              <w:left w:val="single" w:sz="4" w:space="0" w:color="auto"/>
            </w:tcBorders>
            <w:shd w:val="clear" w:color="auto" w:fill="auto"/>
            <w:noWrap/>
            <w:vAlign w:val="center"/>
            <w:hideMark/>
          </w:tcPr>
          <w:p w14:paraId="02472B15" w14:textId="77777777" w:rsidR="00313816" w:rsidRPr="00F338A4" w:rsidRDefault="00313816">
            <w:pPr>
              <w:rPr>
                <w:rFonts w:eastAsia="Times New Roman" w:cs="Arial"/>
                <w:sz w:val="18"/>
                <w:szCs w:val="18"/>
                <w:lang w:eastAsia="en-GB"/>
              </w:rPr>
            </w:pPr>
            <w:r>
              <w:rPr>
                <w:rFonts w:eastAsia="Times New Roman" w:cs="Arial"/>
                <w:color w:val="000000"/>
                <w:sz w:val="18"/>
                <w:szCs w:val="18"/>
                <w:lang w:eastAsia="en-GB"/>
              </w:rPr>
              <w:t>Trt</w:t>
            </w:r>
          </w:p>
        </w:tc>
        <w:tc>
          <w:tcPr>
            <w:tcW w:w="267" w:type="pct"/>
            <w:shd w:val="clear" w:color="auto" w:fill="auto"/>
            <w:noWrap/>
            <w:vAlign w:val="center"/>
            <w:hideMark/>
          </w:tcPr>
          <w:p w14:paraId="7F4C751B"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6,091</w:t>
            </w:r>
          </w:p>
        </w:tc>
        <w:tc>
          <w:tcPr>
            <w:tcW w:w="371" w:type="pct"/>
            <w:shd w:val="clear" w:color="auto" w:fill="auto"/>
            <w:noWrap/>
            <w:vAlign w:val="center"/>
            <w:hideMark/>
          </w:tcPr>
          <w:p w14:paraId="33357AA8"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6,063</w:t>
            </w:r>
          </w:p>
        </w:tc>
        <w:tc>
          <w:tcPr>
            <w:tcW w:w="425" w:type="pct"/>
            <w:shd w:val="clear" w:color="auto" w:fill="auto"/>
            <w:noWrap/>
            <w:vAlign w:val="center"/>
            <w:hideMark/>
          </w:tcPr>
          <w:p w14:paraId="25AF5487"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55.0%</w:t>
            </w:r>
          </w:p>
        </w:tc>
        <w:tc>
          <w:tcPr>
            <w:tcW w:w="319" w:type="pct"/>
            <w:shd w:val="clear" w:color="auto" w:fill="auto"/>
            <w:noWrap/>
            <w:vAlign w:val="center"/>
            <w:hideMark/>
          </w:tcPr>
          <w:p w14:paraId="524A7C2F" w14:textId="77777777" w:rsidR="00313816" w:rsidRPr="00F338A4" w:rsidRDefault="00313816">
            <w:pPr>
              <w:jc w:val="center"/>
              <w:rPr>
                <w:rFonts w:eastAsia="Times New Roman" w:cs="Arial"/>
                <w:color w:val="000000"/>
                <w:sz w:val="18"/>
                <w:szCs w:val="18"/>
                <w:lang w:eastAsia="en-GB"/>
              </w:rPr>
            </w:pPr>
          </w:p>
        </w:tc>
        <w:tc>
          <w:tcPr>
            <w:tcW w:w="586" w:type="pct"/>
            <w:shd w:val="clear" w:color="auto" w:fill="auto"/>
            <w:noWrap/>
            <w:vAlign w:val="center"/>
            <w:hideMark/>
          </w:tcPr>
          <w:p w14:paraId="0E8AF94F" w14:textId="77777777" w:rsidR="00313816" w:rsidRPr="00F338A4" w:rsidRDefault="00313816">
            <w:pPr>
              <w:jc w:val="center"/>
              <w:rPr>
                <w:rFonts w:eastAsia="Times New Roman" w:cs="Arial"/>
                <w:color w:val="000000"/>
                <w:sz w:val="18"/>
                <w:szCs w:val="18"/>
                <w:lang w:eastAsia="en-GB"/>
              </w:rPr>
            </w:pPr>
          </w:p>
        </w:tc>
        <w:tc>
          <w:tcPr>
            <w:tcW w:w="371" w:type="pct"/>
            <w:shd w:val="clear" w:color="auto" w:fill="auto"/>
            <w:noWrap/>
            <w:vAlign w:val="center"/>
            <w:hideMark/>
          </w:tcPr>
          <w:p w14:paraId="048B0433" w14:textId="77777777" w:rsidR="00313816" w:rsidRPr="00F338A4" w:rsidRDefault="00313816">
            <w:pPr>
              <w:jc w:val="center"/>
              <w:rPr>
                <w:rFonts w:eastAsia="Times New Roman" w:cs="Arial"/>
                <w:sz w:val="18"/>
                <w:szCs w:val="18"/>
                <w:lang w:eastAsia="en-GB"/>
              </w:rPr>
            </w:pPr>
          </w:p>
        </w:tc>
        <w:tc>
          <w:tcPr>
            <w:tcW w:w="425" w:type="pct"/>
            <w:shd w:val="clear" w:color="auto" w:fill="auto"/>
            <w:noWrap/>
            <w:vAlign w:val="center"/>
            <w:hideMark/>
          </w:tcPr>
          <w:p w14:paraId="642CCA5A" w14:textId="77777777" w:rsidR="00313816" w:rsidRPr="00F338A4" w:rsidRDefault="00313816">
            <w:pPr>
              <w:jc w:val="center"/>
              <w:rPr>
                <w:rFonts w:eastAsia="Times New Roman" w:cs="Arial"/>
                <w:sz w:val="18"/>
                <w:szCs w:val="18"/>
                <w:lang w:eastAsia="en-GB"/>
              </w:rPr>
            </w:pPr>
          </w:p>
        </w:tc>
      </w:tr>
      <w:tr w:rsidR="00313816" w:rsidRPr="00F338A4" w14:paraId="7C97FC96" w14:textId="77777777" w:rsidTr="003C060B">
        <w:trPr>
          <w:trHeight w:hRule="exact" w:val="289"/>
        </w:trPr>
        <w:tc>
          <w:tcPr>
            <w:tcW w:w="531" w:type="pct"/>
            <w:vMerge/>
            <w:tcBorders>
              <w:bottom w:val="single" w:sz="4" w:space="0" w:color="auto"/>
            </w:tcBorders>
            <w:vAlign w:val="center"/>
            <w:hideMark/>
          </w:tcPr>
          <w:p w14:paraId="4F4F5D10" w14:textId="77777777" w:rsidR="00313816" w:rsidRPr="00F338A4" w:rsidRDefault="00313816">
            <w:pPr>
              <w:rPr>
                <w:rFonts w:eastAsia="Times New Roman" w:cs="Arial"/>
                <w:sz w:val="18"/>
                <w:szCs w:val="18"/>
                <w:lang w:eastAsia="en-GB"/>
              </w:rPr>
            </w:pPr>
          </w:p>
        </w:tc>
        <w:tc>
          <w:tcPr>
            <w:tcW w:w="430" w:type="pct"/>
            <w:vMerge/>
            <w:tcBorders>
              <w:bottom w:val="single" w:sz="4" w:space="0" w:color="auto"/>
            </w:tcBorders>
            <w:vAlign w:val="center"/>
            <w:hideMark/>
          </w:tcPr>
          <w:p w14:paraId="32B21B29" w14:textId="77777777" w:rsidR="00313816" w:rsidRPr="00F338A4" w:rsidRDefault="00313816">
            <w:pPr>
              <w:rPr>
                <w:rFonts w:eastAsia="Times New Roman" w:cs="Arial"/>
                <w:sz w:val="18"/>
                <w:szCs w:val="18"/>
                <w:lang w:eastAsia="en-GB"/>
              </w:rPr>
            </w:pPr>
          </w:p>
        </w:tc>
        <w:tc>
          <w:tcPr>
            <w:tcW w:w="266" w:type="pct"/>
            <w:vMerge/>
            <w:tcBorders>
              <w:bottom w:val="single" w:sz="4" w:space="0" w:color="auto"/>
              <w:right w:val="single" w:sz="4" w:space="0" w:color="auto"/>
            </w:tcBorders>
            <w:vAlign w:val="center"/>
          </w:tcPr>
          <w:p w14:paraId="75C8C065"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3189CDFD"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parenting/family </w:t>
            </w:r>
            <w:r>
              <w:rPr>
                <w:rFonts w:eastAsia="Times New Roman" w:cs="Arial"/>
                <w:color w:val="000000"/>
                <w:sz w:val="18"/>
                <w:szCs w:val="18"/>
                <w:lang w:eastAsia="en-GB"/>
              </w:rPr>
              <w:t>support</w:t>
            </w:r>
          </w:p>
        </w:tc>
        <w:tc>
          <w:tcPr>
            <w:tcW w:w="267" w:type="pct"/>
            <w:shd w:val="clear" w:color="auto" w:fill="C5E0B3"/>
            <w:noWrap/>
            <w:vAlign w:val="center"/>
            <w:hideMark/>
          </w:tcPr>
          <w:p w14:paraId="0EB040F3"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279</w:t>
            </w:r>
          </w:p>
        </w:tc>
        <w:tc>
          <w:tcPr>
            <w:tcW w:w="371" w:type="pct"/>
            <w:shd w:val="clear" w:color="auto" w:fill="C5E0B3"/>
            <w:noWrap/>
            <w:vAlign w:val="center"/>
            <w:hideMark/>
          </w:tcPr>
          <w:p w14:paraId="1AB85C2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254</w:t>
            </w:r>
          </w:p>
        </w:tc>
        <w:tc>
          <w:tcPr>
            <w:tcW w:w="425" w:type="pct"/>
            <w:shd w:val="clear" w:color="auto" w:fill="C5E0B3"/>
            <w:noWrap/>
            <w:vAlign w:val="center"/>
            <w:hideMark/>
          </w:tcPr>
          <w:p w14:paraId="2DB52981"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66.9%</w:t>
            </w:r>
          </w:p>
        </w:tc>
        <w:tc>
          <w:tcPr>
            <w:tcW w:w="319" w:type="pct"/>
            <w:shd w:val="clear" w:color="auto" w:fill="C5E0B3"/>
            <w:noWrap/>
            <w:vAlign w:val="center"/>
            <w:hideMark/>
          </w:tcPr>
          <w:p w14:paraId="1A05F6B5"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0.119</w:t>
            </w:r>
          </w:p>
        </w:tc>
        <w:tc>
          <w:tcPr>
            <w:tcW w:w="586" w:type="pct"/>
            <w:shd w:val="clear" w:color="auto" w:fill="C5E0B3"/>
            <w:noWrap/>
            <w:vAlign w:val="center"/>
            <w:hideMark/>
          </w:tcPr>
          <w:p w14:paraId="71D6441C"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1.64 (1.27-2.12)</w:t>
            </w:r>
          </w:p>
        </w:tc>
        <w:tc>
          <w:tcPr>
            <w:tcW w:w="371" w:type="pct"/>
            <w:shd w:val="clear" w:color="auto" w:fill="C5E0B3"/>
            <w:noWrap/>
            <w:vAlign w:val="center"/>
            <w:hideMark/>
          </w:tcPr>
          <w:p w14:paraId="43FFD584"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p=0.000</w:t>
            </w:r>
          </w:p>
        </w:tc>
        <w:tc>
          <w:tcPr>
            <w:tcW w:w="425" w:type="pct"/>
            <w:shd w:val="clear" w:color="auto" w:fill="C5E0B3"/>
            <w:noWrap/>
            <w:vAlign w:val="center"/>
            <w:hideMark/>
          </w:tcPr>
          <w:p w14:paraId="48AEFFCB"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1.88 (1.51)</w:t>
            </w:r>
          </w:p>
        </w:tc>
      </w:tr>
      <w:tr w:rsidR="00313816" w:rsidRPr="00F338A4" w14:paraId="77C9E6E0" w14:textId="77777777" w:rsidTr="003C060B">
        <w:trPr>
          <w:trHeight w:hRule="exact" w:val="289"/>
        </w:trPr>
        <w:tc>
          <w:tcPr>
            <w:tcW w:w="531" w:type="pct"/>
            <w:vMerge/>
            <w:tcBorders>
              <w:bottom w:val="single" w:sz="4" w:space="0" w:color="auto"/>
            </w:tcBorders>
            <w:vAlign w:val="center"/>
            <w:hideMark/>
          </w:tcPr>
          <w:p w14:paraId="6DC211A2" w14:textId="77777777" w:rsidR="00313816" w:rsidRPr="00F338A4" w:rsidRDefault="00313816">
            <w:pPr>
              <w:rPr>
                <w:rFonts w:eastAsia="Times New Roman" w:cs="Arial"/>
                <w:sz w:val="18"/>
                <w:szCs w:val="18"/>
                <w:lang w:eastAsia="en-GB"/>
              </w:rPr>
            </w:pPr>
          </w:p>
        </w:tc>
        <w:tc>
          <w:tcPr>
            <w:tcW w:w="430" w:type="pct"/>
            <w:vMerge/>
            <w:tcBorders>
              <w:bottom w:val="single" w:sz="4" w:space="0" w:color="auto"/>
            </w:tcBorders>
            <w:vAlign w:val="center"/>
            <w:hideMark/>
          </w:tcPr>
          <w:p w14:paraId="492B5987" w14:textId="77777777" w:rsidR="00313816" w:rsidRPr="00F338A4" w:rsidRDefault="00313816">
            <w:pPr>
              <w:rPr>
                <w:rFonts w:eastAsia="Times New Roman" w:cs="Arial"/>
                <w:sz w:val="18"/>
                <w:szCs w:val="18"/>
                <w:lang w:eastAsia="en-GB"/>
              </w:rPr>
            </w:pPr>
          </w:p>
        </w:tc>
        <w:tc>
          <w:tcPr>
            <w:tcW w:w="266" w:type="pct"/>
            <w:vMerge/>
            <w:tcBorders>
              <w:bottom w:val="single" w:sz="4" w:space="0" w:color="auto"/>
              <w:right w:val="single" w:sz="4" w:space="0" w:color="auto"/>
            </w:tcBorders>
            <w:vAlign w:val="center"/>
          </w:tcPr>
          <w:p w14:paraId="1F167C9E" w14:textId="77777777" w:rsidR="00313816" w:rsidRPr="00F338A4" w:rsidRDefault="00313816">
            <w:pPr>
              <w:jc w:val="center"/>
              <w:rPr>
                <w:rFonts w:eastAsia="Times New Roman" w:cs="Arial"/>
                <w:color w:val="000000"/>
                <w:sz w:val="18"/>
                <w:szCs w:val="18"/>
                <w:lang w:eastAsia="en-GB"/>
              </w:rPr>
            </w:pPr>
          </w:p>
        </w:tc>
        <w:tc>
          <w:tcPr>
            <w:tcW w:w="1009" w:type="pct"/>
            <w:tcBorders>
              <w:left w:val="single" w:sz="4" w:space="0" w:color="auto"/>
            </w:tcBorders>
            <w:shd w:val="clear" w:color="auto" w:fill="auto"/>
            <w:noWrap/>
            <w:vAlign w:val="center"/>
            <w:hideMark/>
          </w:tcPr>
          <w:p w14:paraId="3CB77471"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shd w:val="clear" w:color="auto" w:fill="auto"/>
            <w:noWrap/>
            <w:vAlign w:val="center"/>
            <w:hideMark/>
          </w:tcPr>
          <w:p w14:paraId="64FAF1FC"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157</w:t>
            </w:r>
          </w:p>
        </w:tc>
        <w:tc>
          <w:tcPr>
            <w:tcW w:w="371" w:type="pct"/>
            <w:shd w:val="clear" w:color="auto" w:fill="auto"/>
            <w:noWrap/>
            <w:vAlign w:val="center"/>
            <w:hideMark/>
          </w:tcPr>
          <w:p w14:paraId="0A222FB6"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148</w:t>
            </w:r>
          </w:p>
        </w:tc>
        <w:tc>
          <w:tcPr>
            <w:tcW w:w="425" w:type="pct"/>
            <w:shd w:val="clear" w:color="auto" w:fill="auto"/>
            <w:noWrap/>
            <w:vAlign w:val="center"/>
            <w:hideMark/>
          </w:tcPr>
          <w:p w14:paraId="5C8D0074"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59.4%</w:t>
            </w:r>
          </w:p>
        </w:tc>
        <w:tc>
          <w:tcPr>
            <w:tcW w:w="319" w:type="pct"/>
            <w:shd w:val="clear" w:color="auto" w:fill="auto"/>
            <w:noWrap/>
            <w:vAlign w:val="center"/>
            <w:hideMark/>
          </w:tcPr>
          <w:p w14:paraId="285749D8"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0.044</w:t>
            </w:r>
          </w:p>
        </w:tc>
        <w:tc>
          <w:tcPr>
            <w:tcW w:w="586" w:type="pct"/>
            <w:shd w:val="clear" w:color="auto" w:fill="auto"/>
            <w:noWrap/>
            <w:vAlign w:val="center"/>
            <w:hideMark/>
          </w:tcPr>
          <w:p w14:paraId="37B8A5EE"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1.20 (0.86-1.68)</w:t>
            </w:r>
          </w:p>
        </w:tc>
        <w:tc>
          <w:tcPr>
            <w:tcW w:w="371" w:type="pct"/>
            <w:shd w:val="clear" w:color="auto" w:fill="auto"/>
            <w:noWrap/>
            <w:vAlign w:val="center"/>
            <w:hideMark/>
          </w:tcPr>
          <w:p w14:paraId="41C279B9"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ns</w:t>
            </w:r>
          </w:p>
        </w:tc>
        <w:tc>
          <w:tcPr>
            <w:tcW w:w="425" w:type="pct"/>
            <w:shd w:val="clear" w:color="auto" w:fill="auto"/>
            <w:noWrap/>
            <w:vAlign w:val="center"/>
            <w:hideMark/>
          </w:tcPr>
          <w:p w14:paraId="5CC47503" w14:textId="77777777" w:rsidR="00313816" w:rsidRPr="00F338A4" w:rsidRDefault="00313816">
            <w:pPr>
              <w:jc w:val="center"/>
              <w:rPr>
                <w:rFonts w:eastAsia="Times New Roman" w:cs="Arial"/>
                <w:sz w:val="18"/>
                <w:szCs w:val="18"/>
                <w:lang w:eastAsia="en-GB"/>
              </w:rPr>
            </w:pPr>
          </w:p>
        </w:tc>
      </w:tr>
      <w:tr w:rsidR="00313816" w:rsidRPr="00F338A4" w14:paraId="06539BA6" w14:textId="77777777" w:rsidTr="003C060B">
        <w:trPr>
          <w:trHeight w:hRule="exact" w:val="289"/>
        </w:trPr>
        <w:tc>
          <w:tcPr>
            <w:tcW w:w="531" w:type="pct"/>
            <w:vMerge/>
            <w:tcBorders>
              <w:bottom w:val="single" w:sz="4" w:space="0" w:color="auto"/>
            </w:tcBorders>
            <w:vAlign w:val="center"/>
            <w:hideMark/>
          </w:tcPr>
          <w:p w14:paraId="543B65DA" w14:textId="77777777" w:rsidR="00313816" w:rsidRPr="00F338A4" w:rsidRDefault="00313816">
            <w:pPr>
              <w:rPr>
                <w:rFonts w:eastAsia="Times New Roman" w:cs="Arial"/>
                <w:sz w:val="18"/>
                <w:szCs w:val="18"/>
                <w:lang w:eastAsia="en-GB"/>
              </w:rPr>
            </w:pPr>
          </w:p>
        </w:tc>
        <w:tc>
          <w:tcPr>
            <w:tcW w:w="430" w:type="pct"/>
            <w:vMerge w:val="restart"/>
            <w:tcBorders>
              <w:bottom w:val="single" w:sz="4" w:space="0" w:color="auto"/>
            </w:tcBorders>
            <w:shd w:val="clear" w:color="auto" w:fill="auto"/>
            <w:vAlign w:val="center"/>
            <w:hideMark/>
          </w:tcPr>
          <w:p w14:paraId="05BF3823" w14:textId="77777777" w:rsidR="00313816" w:rsidRPr="00F338A4" w:rsidRDefault="00313816">
            <w:pPr>
              <w:rPr>
                <w:rFonts w:eastAsia="Times New Roman" w:cs="Arial"/>
                <w:sz w:val="18"/>
                <w:szCs w:val="18"/>
                <w:lang w:eastAsia="en-GB"/>
              </w:rPr>
            </w:pPr>
            <w:r w:rsidRPr="00F338A4">
              <w:rPr>
                <w:rFonts w:eastAsia="Times New Roman" w:cs="Arial"/>
                <w:sz w:val="18"/>
                <w:szCs w:val="18"/>
                <w:lang w:eastAsia="en-GB"/>
              </w:rPr>
              <w:t>Alcohol only</w:t>
            </w:r>
          </w:p>
        </w:tc>
        <w:tc>
          <w:tcPr>
            <w:tcW w:w="266" w:type="pct"/>
            <w:vMerge w:val="restart"/>
            <w:tcBorders>
              <w:bottom w:val="single" w:sz="4" w:space="0" w:color="auto"/>
              <w:right w:val="single" w:sz="4" w:space="0" w:color="auto"/>
            </w:tcBorders>
            <w:vAlign w:val="center"/>
          </w:tcPr>
          <w:p w14:paraId="13D94553" w14:textId="77777777" w:rsidR="00313816" w:rsidRPr="00F338A4" w:rsidRDefault="00313816">
            <w:pPr>
              <w:jc w:val="center"/>
              <w:rPr>
                <w:rFonts w:eastAsia="Times New Roman" w:cs="Arial"/>
                <w:sz w:val="18"/>
                <w:szCs w:val="18"/>
                <w:lang w:eastAsia="en-GB"/>
              </w:rPr>
            </w:pPr>
            <w:r>
              <w:rPr>
                <w:rFonts w:eastAsia="Times New Roman" w:cs="Arial"/>
                <w:sz w:val="18"/>
                <w:szCs w:val="18"/>
                <w:lang w:eastAsia="en-GB"/>
              </w:rPr>
              <w:t>12</w:t>
            </w:r>
          </w:p>
        </w:tc>
        <w:tc>
          <w:tcPr>
            <w:tcW w:w="1009" w:type="pct"/>
            <w:tcBorders>
              <w:left w:val="single" w:sz="4" w:space="0" w:color="auto"/>
            </w:tcBorders>
            <w:shd w:val="clear" w:color="auto" w:fill="auto"/>
            <w:noWrap/>
            <w:vAlign w:val="center"/>
            <w:hideMark/>
          </w:tcPr>
          <w:p w14:paraId="114533E2" w14:textId="77777777" w:rsidR="00313816" w:rsidRPr="00F338A4" w:rsidRDefault="00313816">
            <w:pPr>
              <w:rPr>
                <w:rFonts w:eastAsia="Times New Roman" w:cs="Arial"/>
                <w:sz w:val="18"/>
                <w:szCs w:val="18"/>
                <w:lang w:eastAsia="en-GB"/>
              </w:rPr>
            </w:pPr>
            <w:r>
              <w:rPr>
                <w:rFonts w:eastAsia="Times New Roman" w:cs="Arial"/>
                <w:color w:val="000000"/>
                <w:sz w:val="18"/>
                <w:szCs w:val="18"/>
                <w:lang w:eastAsia="en-GB"/>
              </w:rPr>
              <w:t>Trt</w:t>
            </w:r>
          </w:p>
        </w:tc>
        <w:tc>
          <w:tcPr>
            <w:tcW w:w="267" w:type="pct"/>
            <w:shd w:val="clear" w:color="auto" w:fill="auto"/>
            <w:noWrap/>
            <w:vAlign w:val="center"/>
            <w:hideMark/>
          </w:tcPr>
          <w:p w14:paraId="26E41775"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7,529</w:t>
            </w:r>
          </w:p>
        </w:tc>
        <w:tc>
          <w:tcPr>
            <w:tcW w:w="371" w:type="pct"/>
            <w:shd w:val="clear" w:color="auto" w:fill="auto"/>
            <w:noWrap/>
            <w:vAlign w:val="center"/>
            <w:hideMark/>
          </w:tcPr>
          <w:p w14:paraId="17649961"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7,518</w:t>
            </w:r>
          </w:p>
        </w:tc>
        <w:tc>
          <w:tcPr>
            <w:tcW w:w="425" w:type="pct"/>
            <w:shd w:val="clear" w:color="auto" w:fill="auto"/>
            <w:noWrap/>
            <w:vAlign w:val="center"/>
            <w:hideMark/>
          </w:tcPr>
          <w:p w14:paraId="095CE8B8"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58.5%</w:t>
            </w:r>
          </w:p>
        </w:tc>
        <w:tc>
          <w:tcPr>
            <w:tcW w:w="319" w:type="pct"/>
            <w:shd w:val="clear" w:color="auto" w:fill="auto"/>
            <w:noWrap/>
            <w:vAlign w:val="center"/>
            <w:hideMark/>
          </w:tcPr>
          <w:p w14:paraId="4C58A373" w14:textId="77777777" w:rsidR="00313816" w:rsidRPr="00F338A4" w:rsidRDefault="00313816">
            <w:pPr>
              <w:jc w:val="center"/>
              <w:rPr>
                <w:rFonts w:eastAsia="Times New Roman" w:cs="Arial"/>
                <w:color w:val="000000"/>
                <w:sz w:val="18"/>
                <w:szCs w:val="18"/>
                <w:lang w:eastAsia="en-GB"/>
              </w:rPr>
            </w:pPr>
          </w:p>
        </w:tc>
        <w:tc>
          <w:tcPr>
            <w:tcW w:w="586" w:type="pct"/>
            <w:shd w:val="clear" w:color="auto" w:fill="auto"/>
            <w:noWrap/>
            <w:vAlign w:val="center"/>
            <w:hideMark/>
          </w:tcPr>
          <w:p w14:paraId="7F834CFD" w14:textId="77777777" w:rsidR="00313816" w:rsidRPr="00F338A4" w:rsidRDefault="00313816">
            <w:pPr>
              <w:jc w:val="center"/>
              <w:rPr>
                <w:rFonts w:eastAsia="Times New Roman" w:cs="Arial"/>
                <w:color w:val="000000"/>
                <w:sz w:val="18"/>
                <w:szCs w:val="18"/>
                <w:lang w:eastAsia="en-GB"/>
              </w:rPr>
            </w:pPr>
          </w:p>
        </w:tc>
        <w:tc>
          <w:tcPr>
            <w:tcW w:w="371" w:type="pct"/>
            <w:shd w:val="clear" w:color="auto" w:fill="auto"/>
            <w:noWrap/>
            <w:vAlign w:val="center"/>
            <w:hideMark/>
          </w:tcPr>
          <w:p w14:paraId="6B2D7A6C" w14:textId="77777777" w:rsidR="00313816" w:rsidRPr="00F338A4" w:rsidRDefault="00313816">
            <w:pPr>
              <w:jc w:val="center"/>
              <w:rPr>
                <w:rFonts w:eastAsia="Times New Roman" w:cs="Arial"/>
                <w:sz w:val="18"/>
                <w:szCs w:val="18"/>
                <w:lang w:eastAsia="en-GB"/>
              </w:rPr>
            </w:pPr>
          </w:p>
        </w:tc>
        <w:tc>
          <w:tcPr>
            <w:tcW w:w="425" w:type="pct"/>
            <w:shd w:val="clear" w:color="auto" w:fill="auto"/>
            <w:noWrap/>
            <w:vAlign w:val="center"/>
            <w:hideMark/>
          </w:tcPr>
          <w:p w14:paraId="4ABE6C75" w14:textId="77777777" w:rsidR="00313816" w:rsidRPr="00F338A4" w:rsidRDefault="00313816">
            <w:pPr>
              <w:jc w:val="center"/>
              <w:rPr>
                <w:rFonts w:eastAsia="Times New Roman" w:cs="Arial"/>
                <w:sz w:val="18"/>
                <w:szCs w:val="18"/>
                <w:lang w:eastAsia="en-GB"/>
              </w:rPr>
            </w:pPr>
          </w:p>
        </w:tc>
      </w:tr>
      <w:tr w:rsidR="00313816" w:rsidRPr="00F338A4" w14:paraId="73ACB678" w14:textId="77777777" w:rsidTr="003C060B">
        <w:trPr>
          <w:trHeight w:hRule="exact" w:val="289"/>
        </w:trPr>
        <w:tc>
          <w:tcPr>
            <w:tcW w:w="531" w:type="pct"/>
            <w:vMerge/>
            <w:tcBorders>
              <w:bottom w:val="single" w:sz="4" w:space="0" w:color="auto"/>
            </w:tcBorders>
            <w:vAlign w:val="center"/>
            <w:hideMark/>
          </w:tcPr>
          <w:p w14:paraId="5086EC4C" w14:textId="77777777" w:rsidR="00313816" w:rsidRPr="00F338A4" w:rsidRDefault="00313816">
            <w:pPr>
              <w:rPr>
                <w:rFonts w:eastAsia="Times New Roman" w:cs="Arial"/>
                <w:sz w:val="18"/>
                <w:szCs w:val="18"/>
                <w:lang w:eastAsia="en-GB"/>
              </w:rPr>
            </w:pPr>
          </w:p>
        </w:tc>
        <w:tc>
          <w:tcPr>
            <w:tcW w:w="430" w:type="pct"/>
            <w:vMerge/>
            <w:tcBorders>
              <w:bottom w:val="single" w:sz="4" w:space="0" w:color="auto"/>
            </w:tcBorders>
            <w:vAlign w:val="center"/>
            <w:hideMark/>
          </w:tcPr>
          <w:p w14:paraId="6323F3E7" w14:textId="77777777" w:rsidR="00313816" w:rsidRPr="00F338A4" w:rsidRDefault="00313816">
            <w:pPr>
              <w:rPr>
                <w:rFonts w:eastAsia="Times New Roman" w:cs="Arial"/>
                <w:sz w:val="18"/>
                <w:szCs w:val="18"/>
                <w:lang w:eastAsia="en-GB"/>
              </w:rPr>
            </w:pPr>
          </w:p>
        </w:tc>
        <w:tc>
          <w:tcPr>
            <w:tcW w:w="266" w:type="pct"/>
            <w:vMerge/>
            <w:tcBorders>
              <w:bottom w:val="single" w:sz="4" w:space="0" w:color="auto"/>
              <w:right w:val="single" w:sz="4" w:space="0" w:color="auto"/>
            </w:tcBorders>
          </w:tcPr>
          <w:p w14:paraId="7550CC04" w14:textId="77777777" w:rsidR="00313816" w:rsidRPr="00F338A4" w:rsidRDefault="00313816">
            <w:pPr>
              <w:rPr>
                <w:rFonts w:eastAsia="Times New Roman" w:cs="Arial"/>
                <w:color w:val="000000"/>
                <w:sz w:val="18"/>
                <w:szCs w:val="18"/>
                <w:lang w:eastAsia="en-GB"/>
              </w:rPr>
            </w:pPr>
          </w:p>
        </w:tc>
        <w:tc>
          <w:tcPr>
            <w:tcW w:w="1009" w:type="pct"/>
            <w:tcBorders>
              <w:left w:val="single" w:sz="4" w:space="0" w:color="auto"/>
            </w:tcBorders>
            <w:shd w:val="clear" w:color="auto" w:fill="C5E0B3"/>
            <w:noWrap/>
            <w:vAlign w:val="center"/>
            <w:hideMark/>
          </w:tcPr>
          <w:p w14:paraId="37AFB342"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parenting/family </w:t>
            </w:r>
            <w:r>
              <w:rPr>
                <w:rFonts w:eastAsia="Times New Roman" w:cs="Arial"/>
                <w:color w:val="000000"/>
                <w:sz w:val="18"/>
                <w:szCs w:val="18"/>
                <w:lang w:eastAsia="en-GB"/>
              </w:rPr>
              <w:t>support</w:t>
            </w:r>
          </w:p>
        </w:tc>
        <w:tc>
          <w:tcPr>
            <w:tcW w:w="267" w:type="pct"/>
            <w:shd w:val="clear" w:color="auto" w:fill="C5E0B3"/>
            <w:noWrap/>
            <w:vAlign w:val="center"/>
            <w:hideMark/>
          </w:tcPr>
          <w:p w14:paraId="6A7CC3E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391</w:t>
            </w:r>
          </w:p>
        </w:tc>
        <w:tc>
          <w:tcPr>
            <w:tcW w:w="371" w:type="pct"/>
            <w:shd w:val="clear" w:color="auto" w:fill="C5E0B3"/>
            <w:noWrap/>
            <w:vAlign w:val="center"/>
            <w:hideMark/>
          </w:tcPr>
          <w:p w14:paraId="4F74D926"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360</w:t>
            </w:r>
          </w:p>
        </w:tc>
        <w:tc>
          <w:tcPr>
            <w:tcW w:w="425" w:type="pct"/>
            <w:shd w:val="clear" w:color="auto" w:fill="C5E0B3"/>
            <w:noWrap/>
            <w:vAlign w:val="center"/>
            <w:hideMark/>
          </w:tcPr>
          <w:p w14:paraId="50BB6B48"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69.3%</w:t>
            </w:r>
          </w:p>
        </w:tc>
        <w:tc>
          <w:tcPr>
            <w:tcW w:w="319" w:type="pct"/>
            <w:shd w:val="clear" w:color="auto" w:fill="C5E0B3"/>
            <w:noWrap/>
            <w:vAlign w:val="center"/>
            <w:hideMark/>
          </w:tcPr>
          <w:p w14:paraId="410F9940"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0.108</w:t>
            </w:r>
          </w:p>
        </w:tc>
        <w:tc>
          <w:tcPr>
            <w:tcW w:w="586" w:type="pct"/>
            <w:shd w:val="clear" w:color="auto" w:fill="C5E0B3"/>
            <w:noWrap/>
            <w:vAlign w:val="center"/>
            <w:hideMark/>
          </w:tcPr>
          <w:p w14:paraId="0E76FBE7"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1.58 (1.26-1.98)</w:t>
            </w:r>
          </w:p>
        </w:tc>
        <w:tc>
          <w:tcPr>
            <w:tcW w:w="371" w:type="pct"/>
            <w:shd w:val="clear" w:color="auto" w:fill="C5E0B3"/>
            <w:noWrap/>
            <w:vAlign w:val="center"/>
            <w:hideMark/>
          </w:tcPr>
          <w:p w14:paraId="05AA839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p=0.000</w:t>
            </w:r>
          </w:p>
        </w:tc>
        <w:tc>
          <w:tcPr>
            <w:tcW w:w="425" w:type="pct"/>
            <w:shd w:val="clear" w:color="auto" w:fill="C5E0B3"/>
            <w:noWrap/>
            <w:vAlign w:val="center"/>
            <w:hideMark/>
          </w:tcPr>
          <w:p w14:paraId="79880ECD" w14:textId="77777777" w:rsidR="00313816" w:rsidRPr="00F338A4" w:rsidRDefault="00313816">
            <w:pPr>
              <w:jc w:val="center"/>
              <w:rPr>
                <w:rFonts w:eastAsia="Times New Roman" w:cs="Arial"/>
                <w:sz w:val="18"/>
                <w:szCs w:val="18"/>
                <w:lang w:eastAsia="en-GB"/>
              </w:rPr>
            </w:pPr>
            <w:r w:rsidRPr="00F338A4">
              <w:rPr>
                <w:rFonts w:eastAsia="Times New Roman" w:cs="Arial"/>
                <w:sz w:val="18"/>
                <w:szCs w:val="18"/>
                <w:lang w:eastAsia="en-GB"/>
              </w:rPr>
              <w:t>1.83 (1.49)</w:t>
            </w:r>
          </w:p>
        </w:tc>
      </w:tr>
      <w:tr w:rsidR="00313816" w:rsidRPr="00F338A4" w14:paraId="5DB09CC8" w14:textId="77777777" w:rsidTr="003C060B">
        <w:trPr>
          <w:trHeight w:hRule="exact" w:val="289"/>
        </w:trPr>
        <w:tc>
          <w:tcPr>
            <w:tcW w:w="531" w:type="pct"/>
            <w:vMerge/>
            <w:tcBorders>
              <w:bottom w:val="single" w:sz="4" w:space="0" w:color="auto"/>
            </w:tcBorders>
            <w:vAlign w:val="center"/>
            <w:hideMark/>
          </w:tcPr>
          <w:p w14:paraId="43E11E4B" w14:textId="77777777" w:rsidR="00313816" w:rsidRPr="00F338A4" w:rsidRDefault="00313816">
            <w:pPr>
              <w:rPr>
                <w:rFonts w:eastAsia="Times New Roman" w:cs="Arial"/>
                <w:sz w:val="18"/>
                <w:szCs w:val="18"/>
                <w:lang w:eastAsia="en-GB"/>
              </w:rPr>
            </w:pPr>
          </w:p>
        </w:tc>
        <w:tc>
          <w:tcPr>
            <w:tcW w:w="430" w:type="pct"/>
            <w:vMerge/>
            <w:tcBorders>
              <w:bottom w:val="single" w:sz="4" w:space="0" w:color="auto"/>
            </w:tcBorders>
            <w:vAlign w:val="center"/>
            <w:hideMark/>
          </w:tcPr>
          <w:p w14:paraId="2E53F119" w14:textId="77777777" w:rsidR="00313816" w:rsidRPr="00F338A4" w:rsidRDefault="00313816">
            <w:pPr>
              <w:rPr>
                <w:rFonts w:eastAsia="Times New Roman" w:cs="Arial"/>
                <w:sz w:val="18"/>
                <w:szCs w:val="18"/>
                <w:lang w:eastAsia="en-GB"/>
              </w:rPr>
            </w:pPr>
          </w:p>
        </w:tc>
        <w:tc>
          <w:tcPr>
            <w:tcW w:w="266" w:type="pct"/>
            <w:vMerge/>
            <w:tcBorders>
              <w:bottom w:val="single" w:sz="4" w:space="0" w:color="auto"/>
              <w:right w:val="single" w:sz="4" w:space="0" w:color="auto"/>
            </w:tcBorders>
          </w:tcPr>
          <w:p w14:paraId="65551B5B" w14:textId="77777777" w:rsidR="00313816" w:rsidRPr="00F338A4" w:rsidRDefault="00313816">
            <w:pPr>
              <w:rPr>
                <w:rFonts w:eastAsia="Times New Roman" w:cs="Arial"/>
                <w:color w:val="000000"/>
                <w:sz w:val="18"/>
                <w:szCs w:val="18"/>
                <w:lang w:eastAsia="en-GB"/>
              </w:rPr>
            </w:pPr>
          </w:p>
        </w:tc>
        <w:tc>
          <w:tcPr>
            <w:tcW w:w="1009" w:type="pct"/>
            <w:tcBorders>
              <w:left w:val="single" w:sz="4" w:space="0" w:color="auto"/>
              <w:bottom w:val="single" w:sz="4" w:space="0" w:color="auto"/>
            </w:tcBorders>
            <w:shd w:val="clear" w:color="auto" w:fill="auto"/>
            <w:noWrap/>
            <w:vAlign w:val="center"/>
            <w:hideMark/>
          </w:tcPr>
          <w:p w14:paraId="0D0752A5" w14:textId="77777777" w:rsidR="00313816" w:rsidRPr="00F338A4" w:rsidRDefault="00313816">
            <w:pPr>
              <w:rPr>
                <w:rFonts w:eastAsia="Times New Roman" w:cs="Arial"/>
                <w:color w:val="000000"/>
                <w:sz w:val="18"/>
                <w:szCs w:val="18"/>
                <w:lang w:eastAsia="en-GB"/>
              </w:rPr>
            </w:pPr>
            <w:r>
              <w:rPr>
                <w:rFonts w:eastAsia="Times New Roman" w:cs="Arial"/>
                <w:color w:val="000000"/>
                <w:sz w:val="18"/>
                <w:szCs w:val="18"/>
                <w:lang w:eastAsia="en-GB"/>
              </w:rPr>
              <w:t>Trt</w:t>
            </w:r>
            <w:r w:rsidRPr="00F338A4">
              <w:rPr>
                <w:rFonts w:eastAsia="Times New Roman" w:cs="Arial"/>
                <w:color w:val="000000"/>
                <w:sz w:val="18"/>
                <w:szCs w:val="18"/>
                <w:lang w:eastAsia="en-GB"/>
              </w:rPr>
              <w:t xml:space="preserve"> + early help</w:t>
            </w:r>
          </w:p>
        </w:tc>
        <w:tc>
          <w:tcPr>
            <w:tcW w:w="267" w:type="pct"/>
            <w:tcBorders>
              <w:bottom w:val="single" w:sz="4" w:space="0" w:color="auto"/>
            </w:tcBorders>
            <w:shd w:val="clear" w:color="auto" w:fill="auto"/>
            <w:noWrap/>
            <w:vAlign w:val="center"/>
            <w:hideMark/>
          </w:tcPr>
          <w:p w14:paraId="6CFA3C96"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98</w:t>
            </w:r>
          </w:p>
        </w:tc>
        <w:tc>
          <w:tcPr>
            <w:tcW w:w="371" w:type="pct"/>
            <w:tcBorders>
              <w:bottom w:val="single" w:sz="4" w:space="0" w:color="auto"/>
            </w:tcBorders>
            <w:shd w:val="clear" w:color="auto" w:fill="auto"/>
            <w:noWrap/>
            <w:vAlign w:val="center"/>
            <w:hideMark/>
          </w:tcPr>
          <w:p w14:paraId="56F32C9E"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78</w:t>
            </w:r>
          </w:p>
        </w:tc>
        <w:tc>
          <w:tcPr>
            <w:tcW w:w="425" w:type="pct"/>
            <w:tcBorders>
              <w:bottom w:val="single" w:sz="4" w:space="0" w:color="auto"/>
            </w:tcBorders>
            <w:shd w:val="clear" w:color="auto" w:fill="auto"/>
            <w:noWrap/>
            <w:vAlign w:val="center"/>
            <w:hideMark/>
          </w:tcPr>
          <w:p w14:paraId="4A03996A"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64.9%</w:t>
            </w:r>
          </w:p>
        </w:tc>
        <w:tc>
          <w:tcPr>
            <w:tcW w:w="319" w:type="pct"/>
            <w:tcBorders>
              <w:bottom w:val="single" w:sz="4" w:space="0" w:color="auto"/>
            </w:tcBorders>
            <w:shd w:val="clear" w:color="auto" w:fill="auto"/>
            <w:noWrap/>
            <w:vAlign w:val="center"/>
            <w:hideMark/>
          </w:tcPr>
          <w:p w14:paraId="0721668E"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0.064</w:t>
            </w:r>
          </w:p>
        </w:tc>
        <w:tc>
          <w:tcPr>
            <w:tcW w:w="586" w:type="pct"/>
            <w:tcBorders>
              <w:bottom w:val="single" w:sz="4" w:space="0" w:color="auto"/>
            </w:tcBorders>
            <w:shd w:val="clear" w:color="auto" w:fill="auto"/>
            <w:noWrap/>
            <w:vAlign w:val="center"/>
            <w:hideMark/>
          </w:tcPr>
          <w:p w14:paraId="27681068"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1.31 (0.84-2.03)</w:t>
            </w:r>
          </w:p>
        </w:tc>
        <w:tc>
          <w:tcPr>
            <w:tcW w:w="371" w:type="pct"/>
            <w:tcBorders>
              <w:bottom w:val="single" w:sz="4" w:space="0" w:color="auto"/>
            </w:tcBorders>
            <w:shd w:val="clear" w:color="auto" w:fill="auto"/>
            <w:noWrap/>
            <w:vAlign w:val="center"/>
            <w:hideMark/>
          </w:tcPr>
          <w:p w14:paraId="5E4A2FCF" w14:textId="77777777" w:rsidR="00313816" w:rsidRPr="00F338A4" w:rsidRDefault="00313816">
            <w:pPr>
              <w:jc w:val="center"/>
              <w:rPr>
                <w:rFonts w:eastAsia="Times New Roman" w:cs="Arial"/>
                <w:color w:val="000000"/>
                <w:sz w:val="18"/>
                <w:szCs w:val="18"/>
                <w:lang w:eastAsia="en-GB"/>
              </w:rPr>
            </w:pPr>
            <w:r w:rsidRPr="00F338A4">
              <w:rPr>
                <w:rFonts w:eastAsia="Times New Roman" w:cs="Arial"/>
                <w:color w:val="000000"/>
                <w:sz w:val="18"/>
                <w:szCs w:val="18"/>
                <w:lang w:eastAsia="en-GB"/>
              </w:rPr>
              <w:t>ns</w:t>
            </w:r>
          </w:p>
        </w:tc>
        <w:tc>
          <w:tcPr>
            <w:tcW w:w="425" w:type="pct"/>
            <w:tcBorders>
              <w:bottom w:val="single" w:sz="4" w:space="0" w:color="auto"/>
            </w:tcBorders>
            <w:shd w:val="clear" w:color="auto" w:fill="auto"/>
            <w:noWrap/>
            <w:vAlign w:val="center"/>
            <w:hideMark/>
          </w:tcPr>
          <w:p w14:paraId="5F1903B8" w14:textId="77777777" w:rsidR="00313816" w:rsidRPr="00F338A4" w:rsidRDefault="00313816">
            <w:pPr>
              <w:jc w:val="center"/>
              <w:rPr>
                <w:rFonts w:eastAsia="Times New Roman" w:cs="Arial"/>
                <w:sz w:val="18"/>
                <w:szCs w:val="18"/>
                <w:lang w:eastAsia="en-GB"/>
              </w:rPr>
            </w:pPr>
          </w:p>
        </w:tc>
      </w:tr>
    </w:tbl>
    <w:p w14:paraId="060EA3A1" w14:textId="77777777" w:rsidR="00313816" w:rsidRDefault="00313816" w:rsidP="00313816">
      <w:pPr>
        <w:rPr>
          <w:i/>
          <w:iCs/>
          <w:sz w:val="18"/>
          <w:szCs w:val="18"/>
        </w:rPr>
      </w:pPr>
      <w:r w:rsidRPr="00860897">
        <w:rPr>
          <w:i/>
          <w:iCs/>
          <w:sz w:val="18"/>
          <w:szCs w:val="18"/>
        </w:rPr>
        <w:t>ATE= average treatment effect</w:t>
      </w:r>
      <w:r>
        <w:rPr>
          <w:i/>
          <w:iCs/>
          <w:sz w:val="18"/>
          <w:szCs w:val="18"/>
        </w:rPr>
        <w:t>; OR= odds ratio; Sig=significance value; ns = nonsignificant</w:t>
      </w:r>
      <w:r w:rsidRPr="00860897">
        <w:rPr>
          <w:i/>
          <w:iCs/>
          <w:sz w:val="18"/>
          <w:szCs w:val="18"/>
        </w:rPr>
        <w:t>. Legend: green= p-value &lt;0.05, odds ratios &gt; 1 and e-value &gt;1, amber = p-value &lt;0.05, odds ratios &gt; 1 and e-value =1, red= p-value &lt;0.05, odds ratios &lt; 1 and e-value &gt;1</w:t>
      </w:r>
      <w:r>
        <w:rPr>
          <w:i/>
          <w:iCs/>
          <w:sz w:val="18"/>
          <w:szCs w:val="18"/>
        </w:rPr>
        <w:t>.</w:t>
      </w:r>
    </w:p>
    <w:p w14:paraId="6BF2D892" w14:textId="77777777" w:rsidR="00313816" w:rsidRPr="00313816" w:rsidRDefault="00313816" w:rsidP="00313816">
      <w:pPr>
        <w:sectPr w:rsidR="00313816" w:rsidRPr="00313816" w:rsidSect="00920E16">
          <w:pgSz w:w="16838" w:h="11906" w:orient="landscape"/>
          <w:pgMar w:top="1440" w:right="1440" w:bottom="1440" w:left="1440" w:header="709" w:footer="709" w:gutter="0"/>
          <w:cols w:space="708"/>
          <w:docGrid w:linePitch="360"/>
        </w:sectPr>
      </w:pPr>
    </w:p>
    <w:p w14:paraId="41F17A7F" w14:textId="77777777" w:rsidR="006B0863" w:rsidRDefault="006B0863" w:rsidP="006B0863">
      <w:pPr>
        <w:pStyle w:val="NoSpacing"/>
        <w:spacing w:line="360" w:lineRule="auto"/>
      </w:pPr>
      <w:r>
        <w:lastRenderedPageBreak/>
        <w:t>Similar proportions received strategy 2 (Trt + early help) as strategy 1</w:t>
      </w:r>
      <w:r w:rsidRPr="000D1703">
        <w:t xml:space="preserve"> (3%). Of those </w:t>
      </w:r>
      <w:r>
        <w:t>who</w:t>
      </w:r>
      <w:r w:rsidRPr="000D1703">
        <w:t xml:space="preserve"> d</w:t>
      </w:r>
      <w:r>
        <w:t>id receive strategy 2</w:t>
      </w:r>
      <w:r w:rsidRPr="000D1703">
        <w:t xml:space="preserve">, </w:t>
      </w:r>
      <w:r>
        <w:t>almost half were</w:t>
      </w:r>
      <w:r w:rsidRPr="000D1703">
        <w:t xml:space="preserve"> </w:t>
      </w:r>
      <w:r>
        <w:t>LWC mothers</w:t>
      </w:r>
      <w:r w:rsidRPr="000D1703">
        <w:t xml:space="preserve"> (</w:t>
      </w:r>
      <w:r>
        <w:t>47</w:t>
      </w:r>
      <w:r w:rsidRPr="000D1703">
        <w:t>%)</w:t>
      </w:r>
      <w:r>
        <w:t>. This was a higher proportion than observed for strategy 1. As with strategy 1, a higher proportion of a</w:t>
      </w:r>
      <w:r w:rsidRPr="000D1703">
        <w:t xml:space="preserve">lcohol only using parents </w:t>
      </w:r>
      <w:r>
        <w:t xml:space="preserve">were on strategy 2 </w:t>
      </w:r>
      <w:r w:rsidRPr="000D1703">
        <w:t>(4</w:t>
      </w:r>
      <w:r>
        <w:t>5</w:t>
      </w:r>
      <w:r w:rsidRPr="000D1703">
        <w:t>%)</w:t>
      </w:r>
      <w:r>
        <w:t xml:space="preserve"> than other substance groups</w:t>
      </w:r>
      <w:r w:rsidRPr="000D1703">
        <w:t>.</w:t>
      </w:r>
      <w:r>
        <w:t xml:space="preserve"> </w:t>
      </w:r>
      <w:r w:rsidRPr="522D941E">
        <w:t xml:space="preserve">For ten of the subgroups results were non-significant. </w:t>
      </w:r>
      <w:r>
        <w:t>S</w:t>
      </w:r>
      <w:r w:rsidRPr="522D941E">
        <w:t xml:space="preserve">ignificantly </w:t>
      </w:r>
      <w:r w:rsidRPr="00D4776E">
        <w:t>increase</w:t>
      </w:r>
      <w:r>
        <w:t>s</w:t>
      </w:r>
      <w:r w:rsidRPr="00D4776E">
        <w:t xml:space="preserve"> </w:t>
      </w:r>
      <w:r>
        <w:t xml:space="preserve">were found for </w:t>
      </w:r>
      <w:r w:rsidRPr="522D941E">
        <w:t>subgroup 4</w:t>
      </w:r>
      <w:r>
        <w:t>:</w:t>
      </w:r>
      <w:r w:rsidRPr="522D941E">
        <w:t xml:space="preserve"> </w:t>
      </w:r>
      <w:r>
        <w:t xml:space="preserve">OU mothers who were NWC and </w:t>
      </w:r>
      <w:r w:rsidRPr="522D941E">
        <w:t>subgroup 10</w:t>
      </w:r>
      <w:r>
        <w:t>:</w:t>
      </w:r>
      <w:r w:rsidRPr="522D941E">
        <w:t xml:space="preserve"> </w:t>
      </w:r>
      <w:r>
        <w:t>OU men who were NWC</w:t>
      </w:r>
      <w:r w:rsidRPr="522D941E">
        <w:t xml:space="preserve">. The </w:t>
      </w:r>
      <w:r>
        <w:t>mothers</w:t>
      </w:r>
      <w:r w:rsidRPr="522D941E">
        <w:t xml:space="preserve"> in subgroup 4 were estimated to be</w:t>
      </w:r>
      <w:r>
        <w:t xml:space="preserve"> almost three times </w:t>
      </w:r>
      <w:r w:rsidRPr="522D941E">
        <w:t xml:space="preserve">more </w:t>
      </w:r>
      <w:r>
        <w:t>likely to successfully complete (OR=2.91, 95% CI: 1.34,6.29, p&lt;0.01, E=2.80), while t</w:t>
      </w:r>
      <w:r w:rsidRPr="522D941E">
        <w:t>he men in subgroup 10 were estimated to be around two times more likely (</w:t>
      </w:r>
      <w:r>
        <w:t>OR=2.07, 95% CI: 1.17,3.68, p&lt;0.01, E=2.23).</w:t>
      </w:r>
      <w:r w:rsidRPr="522D941E">
        <w:t xml:space="preserve"> </w:t>
      </w:r>
    </w:p>
    <w:p w14:paraId="19E8D2DA" w14:textId="77777777" w:rsidR="003907D3" w:rsidRDefault="003907D3" w:rsidP="003907D3">
      <w:pPr>
        <w:pStyle w:val="NoSpacing"/>
        <w:spacing w:line="360" w:lineRule="auto"/>
      </w:pPr>
    </w:p>
    <w:p w14:paraId="54FEEC3E" w14:textId="77777777" w:rsidR="00716F08" w:rsidRDefault="00716F08" w:rsidP="009C3BBC">
      <w:pPr>
        <w:pStyle w:val="Heading2"/>
        <w:numPr>
          <w:ilvl w:val="1"/>
          <w:numId w:val="19"/>
        </w:numPr>
        <w:spacing w:line="360" w:lineRule="auto"/>
      </w:pPr>
      <w:bookmarkStart w:id="115" w:name="_Toc189229697"/>
      <w:r>
        <w:t>Discussion</w:t>
      </w:r>
      <w:bookmarkEnd w:id="115"/>
    </w:p>
    <w:p w14:paraId="42156E72" w14:textId="712F4714" w:rsidR="00146703" w:rsidRDefault="003907D3" w:rsidP="00DA5A6A">
      <w:pPr>
        <w:pStyle w:val="NoSpacing"/>
        <w:spacing w:line="360" w:lineRule="auto"/>
      </w:pPr>
      <w:r>
        <w:t xml:space="preserve">This is the first quasi-experimental study in England to estimate the effect of treatment </w:t>
      </w:r>
      <w:r w:rsidR="00545D7B">
        <w:t>plus</w:t>
      </w:r>
      <w:r>
        <w:t xml:space="preserve"> targeted prevention </w:t>
      </w:r>
      <w:r w:rsidR="00BB705B">
        <w:t>for families</w:t>
      </w:r>
      <w:r>
        <w:t xml:space="preserve"> </w:t>
      </w:r>
      <w:r w:rsidR="00563A76">
        <w:t xml:space="preserve">on </w:t>
      </w:r>
      <w:r>
        <w:t xml:space="preserve">the treatment outcomes of parents. Our sample showed multiple vulnerabilities among both </w:t>
      </w:r>
      <w:r w:rsidR="00563A76">
        <w:t xml:space="preserve">fathers </w:t>
      </w:r>
      <w:r>
        <w:t xml:space="preserve">and </w:t>
      </w:r>
      <w:r w:rsidR="00AB7760">
        <w:t>mothers</w:t>
      </w:r>
      <w:r>
        <w:t xml:space="preserve"> living with children and mothers and fathers not living with children</w:t>
      </w:r>
      <w:r w:rsidR="004D018F">
        <w:t>,</w:t>
      </w:r>
      <w:r>
        <w:t xml:space="preserve"> however, on average, their health and social support needs were notably different. Using </w:t>
      </w:r>
      <w:r w:rsidR="00BB4B75">
        <w:t>GBM</w:t>
      </w:r>
      <w:r>
        <w:t xml:space="preserve"> to estimate the average treatment effects of different intervention strategies for different parent populations, we found that </w:t>
      </w:r>
      <w:r w:rsidR="00ED2DCD">
        <w:t xml:space="preserve">few </w:t>
      </w:r>
      <w:r w:rsidR="006548F2">
        <w:t>parents</w:t>
      </w:r>
      <w:r>
        <w:t xml:space="preserve"> were assigned to parenting</w:t>
      </w:r>
      <w:r w:rsidR="00D43892">
        <w:t xml:space="preserve"> and</w:t>
      </w:r>
      <w:r>
        <w:t>/</w:t>
      </w:r>
      <w:r w:rsidR="00D43892">
        <w:t xml:space="preserve">or </w:t>
      </w:r>
      <w:r>
        <w:t xml:space="preserve">family </w:t>
      </w:r>
      <w:r w:rsidR="00D43892">
        <w:t xml:space="preserve">recovery </w:t>
      </w:r>
      <w:r>
        <w:t xml:space="preserve">support </w:t>
      </w:r>
      <w:r w:rsidR="000444B9">
        <w:t>and</w:t>
      </w:r>
      <w:r>
        <w:t xml:space="preserve"> that this strategy seemed to be the most beneficial for </w:t>
      </w:r>
      <w:r w:rsidR="008B390F">
        <w:t xml:space="preserve">the average </w:t>
      </w:r>
      <w:r w:rsidR="007056F9">
        <w:t>non-opiate and alcohol using</w:t>
      </w:r>
      <w:r>
        <w:t xml:space="preserve"> </w:t>
      </w:r>
      <w:r w:rsidR="007056F9">
        <w:t>parent</w:t>
      </w:r>
      <w:r>
        <w:t>, including parents not living with their children</w:t>
      </w:r>
      <w:r w:rsidR="00ED2DCD">
        <w:t>. This findin</w:t>
      </w:r>
      <w:r w:rsidR="00187E8D">
        <w:t xml:space="preserve">g was </w:t>
      </w:r>
      <w:r w:rsidR="007056F9">
        <w:t xml:space="preserve">not </w:t>
      </w:r>
      <w:r w:rsidR="00187E8D">
        <w:t>replicated for</w:t>
      </w:r>
      <w:r w:rsidR="007056F9">
        <w:t xml:space="preserve"> opiate users</w:t>
      </w:r>
      <w:r w:rsidR="00187E8D">
        <w:t>, however</w:t>
      </w:r>
      <w:r w:rsidR="00354752">
        <w:t xml:space="preserve">. </w:t>
      </w:r>
      <w:r w:rsidR="007270BE">
        <w:t>As the study included parents with a statutory child welfare intervention, our findings suggests that on average parents in treatment with a child in care or on a child in need/ child protection plan may also benefit if they received parenting and/or family recovery support.</w:t>
      </w:r>
    </w:p>
    <w:p w14:paraId="6744F248" w14:textId="77777777" w:rsidR="001B77C3" w:rsidRDefault="001B77C3" w:rsidP="00DA5A6A">
      <w:pPr>
        <w:pStyle w:val="NoSpacing"/>
        <w:spacing w:line="360" w:lineRule="auto"/>
      </w:pPr>
    </w:p>
    <w:p w14:paraId="3CFD2184" w14:textId="3DC6C2C0" w:rsidR="001B77C3" w:rsidRDefault="001B77C3" w:rsidP="00DA5A6A">
      <w:pPr>
        <w:pStyle w:val="NoSpacing"/>
        <w:spacing w:line="360" w:lineRule="auto"/>
      </w:pPr>
      <w:r>
        <w:t>In comparison</w:t>
      </w:r>
      <w:r w:rsidR="0012747D">
        <w:t>,</w:t>
      </w:r>
      <w:r>
        <w:t xml:space="preserve"> </w:t>
      </w:r>
      <w:r w:rsidR="0012747D">
        <w:t xml:space="preserve">ATEs for treatment </w:t>
      </w:r>
      <w:r w:rsidR="00545D7B">
        <w:t>plus</w:t>
      </w:r>
      <w:r w:rsidR="0012747D">
        <w:t xml:space="preserve"> </w:t>
      </w:r>
      <w:r>
        <w:t xml:space="preserve">targeted prevention in the </w:t>
      </w:r>
      <w:r w:rsidR="003B117B">
        <w:t>form of</w:t>
      </w:r>
      <w:r>
        <w:t xml:space="preserve"> </w:t>
      </w:r>
      <w:r w:rsidR="007270BE">
        <w:t>‘</w:t>
      </w:r>
      <w:r>
        <w:t>early help</w:t>
      </w:r>
      <w:r w:rsidR="007270BE">
        <w:t>’</w:t>
      </w:r>
      <w:r>
        <w:t xml:space="preserve"> was </w:t>
      </w:r>
      <w:r w:rsidR="0012747D">
        <w:t>not significant</w:t>
      </w:r>
      <w:r w:rsidR="000E11F0">
        <w:t xml:space="preserve">ly associated with </w:t>
      </w:r>
      <w:r w:rsidR="008674F1">
        <w:t xml:space="preserve">higher </w:t>
      </w:r>
      <w:r w:rsidR="000E11F0">
        <w:t>successful completions than treatment only</w:t>
      </w:r>
      <w:r w:rsidR="007270BE">
        <w:t xml:space="preserve"> for most subgroups</w:t>
      </w:r>
      <w:r w:rsidR="000E11F0">
        <w:t>.</w:t>
      </w:r>
      <w:r w:rsidR="00A40C69">
        <w:t xml:space="preserve"> The small number of people on this intervention may be </w:t>
      </w:r>
      <w:r w:rsidR="00A86447">
        <w:t>affecting results. Also, w</w:t>
      </w:r>
      <w:r>
        <w:t xml:space="preserve">hile ‘early help’ can include parenting skills and improving familial relationships, it is not possible to know from the available data what ‘early </w:t>
      </w:r>
      <w:r>
        <w:lastRenderedPageBreak/>
        <w:t>help’ encompassed, and so the reasons for our ‘early help’ findings warrant further investigation.</w:t>
      </w:r>
      <w:r w:rsidR="000E11F0">
        <w:t xml:space="preserve"> </w:t>
      </w:r>
    </w:p>
    <w:p w14:paraId="32C52F60" w14:textId="77777777" w:rsidR="001B77C3" w:rsidRDefault="001B77C3" w:rsidP="00DA5A6A">
      <w:pPr>
        <w:pStyle w:val="NoSpacing"/>
        <w:spacing w:line="360" w:lineRule="auto"/>
      </w:pPr>
    </w:p>
    <w:p w14:paraId="58B436ED" w14:textId="0D2A1C97" w:rsidR="00965CEE" w:rsidRDefault="00F95887" w:rsidP="0001688D">
      <w:pPr>
        <w:pStyle w:val="NoSpacing"/>
        <w:spacing w:line="360" w:lineRule="auto"/>
        <w:rPr>
          <w:rStyle w:val="normaltextrun"/>
          <w:color w:val="000000"/>
          <w:shd w:val="clear" w:color="auto" w:fill="FFFFFF"/>
        </w:rPr>
      </w:pPr>
      <w:r>
        <w:t xml:space="preserve">Using ATEs for each subgroup we could estimate the causal effect of each treatment strategy for the average parent in that subgroup. </w:t>
      </w:r>
      <w:r w:rsidR="005B10DA">
        <w:t xml:space="preserve">Our e-value estimates ranging from 1.83-2.80 provide some confidence that unmeasured confounding would have to be substantial to overturn findings here. </w:t>
      </w:r>
      <w:r>
        <w:t xml:space="preserve">These ATEs can be applied to a future economic analysis on a treatment population wide policy, for example a cost-effectiveness analysis comparing treatment only with treatment </w:t>
      </w:r>
      <w:r w:rsidR="00545D7B">
        <w:t>plus</w:t>
      </w:r>
      <w:r>
        <w:t xml:space="preserve"> parenting and/or family recovery support</w:t>
      </w:r>
      <w:r w:rsidR="005B10DA">
        <w:t>.</w:t>
      </w:r>
      <w:r w:rsidR="00B0640A">
        <w:rPr>
          <w:rStyle w:val="normaltextrun"/>
          <w:color w:val="000000"/>
          <w:shd w:val="clear" w:color="auto" w:fill="FFFFFF"/>
        </w:rPr>
        <w:t xml:space="preserve"> </w:t>
      </w:r>
      <w:r w:rsidR="003907D3">
        <w:rPr>
          <w:rStyle w:val="normaltextrun"/>
          <w:color w:val="000000"/>
          <w:shd w:val="clear" w:color="auto" w:fill="FFFFFF"/>
        </w:rPr>
        <w:t>S</w:t>
      </w:r>
      <w:r w:rsidR="003907D3" w:rsidRPr="000E5310">
        <w:rPr>
          <w:rStyle w:val="normaltextrun"/>
          <w:color w:val="000000"/>
          <w:shd w:val="clear" w:color="auto" w:fill="FFFFFF"/>
        </w:rPr>
        <w:t>tratif</w:t>
      </w:r>
      <w:r w:rsidR="003907D3">
        <w:rPr>
          <w:rStyle w:val="normaltextrun"/>
          <w:color w:val="000000"/>
          <w:shd w:val="clear" w:color="auto" w:fill="FFFFFF"/>
        </w:rPr>
        <w:t xml:space="preserve">ying </w:t>
      </w:r>
      <w:r w:rsidR="00100D1F">
        <w:rPr>
          <w:rStyle w:val="normaltextrun"/>
          <w:color w:val="000000"/>
          <w:shd w:val="clear" w:color="auto" w:fill="FFFFFF"/>
        </w:rPr>
        <w:t>results</w:t>
      </w:r>
      <w:r w:rsidR="008B2103">
        <w:rPr>
          <w:rStyle w:val="normaltextrun"/>
          <w:color w:val="000000"/>
          <w:shd w:val="clear" w:color="auto" w:fill="FFFFFF"/>
        </w:rPr>
        <w:t xml:space="preserve">, as we have done, </w:t>
      </w:r>
      <w:r w:rsidR="003907D3">
        <w:rPr>
          <w:rStyle w:val="normaltextrun"/>
          <w:color w:val="000000"/>
          <w:shd w:val="clear" w:color="auto" w:fill="FFFFFF"/>
        </w:rPr>
        <w:t xml:space="preserve">by </w:t>
      </w:r>
      <w:r w:rsidR="003907D3" w:rsidRPr="000E5310">
        <w:rPr>
          <w:rStyle w:val="normaltextrun"/>
          <w:color w:val="000000"/>
          <w:shd w:val="clear" w:color="auto" w:fill="FFFFFF"/>
        </w:rPr>
        <w:t>known patient characteristics</w:t>
      </w:r>
      <w:r w:rsidR="003907D3">
        <w:rPr>
          <w:rStyle w:val="normaltextrun"/>
          <w:color w:val="000000"/>
          <w:shd w:val="clear" w:color="auto" w:fill="FFFFFF"/>
        </w:rPr>
        <w:t>, i.e. child living arrangements, sex and SUD type,</w:t>
      </w:r>
      <w:r w:rsidR="003907D3" w:rsidRPr="000E5310">
        <w:rPr>
          <w:rStyle w:val="normaltextrun"/>
          <w:color w:val="000000"/>
          <w:shd w:val="clear" w:color="auto" w:fill="FFFFFF"/>
        </w:rPr>
        <w:t xml:space="preserve"> can provide more useful information for clinicians and providers, </w:t>
      </w:r>
      <w:r w:rsidR="003907D3">
        <w:rPr>
          <w:rStyle w:val="normaltextrun"/>
          <w:color w:val="000000"/>
          <w:shd w:val="clear" w:color="auto" w:fill="FFFFFF"/>
        </w:rPr>
        <w:t>as it</w:t>
      </w:r>
      <w:r w:rsidR="003907D3" w:rsidRPr="000E5310">
        <w:rPr>
          <w:rStyle w:val="normaltextrun"/>
          <w:color w:val="000000"/>
          <w:shd w:val="clear" w:color="auto" w:fill="FFFFFF"/>
        </w:rPr>
        <w:t xml:space="preserve"> </w:t>
      </w:r>
      <w:r w:rsidR="003907D3">
        <w:rPr>
          <w:rStyle w:val="normaltextrun"/>
          <w:color w:val="000000"/>
          <w:shd w:val="clear" w:color="auto" w:fill="FFFFFF"/>
        </w:rPr>
        <w:t xml:space="preserve">better </w:t>
      </w:r>
      <w:r w:rsidR="003907D3" w:rsidRPr="000E5310">
        <w:rPr>
          <w:rStyle w:val="normaltextrun"/>
          <w:color w:val="000000"/>
          <w:shd w:val="clear" w:color="auto" w:fill="FFFFFF"/>
        </w:rPr>
        <w:t>reflect</w:t>
      </w:r>
      <w:r w:rsidR="003907D3">
        <w:rPr>
          <w:rStyle w:val="normaltextrun"/>
          <w:color w:val="000000"/>
          <w:shd w:val="clear" w:color="auto" w:fill="FFFFFF"/>
        </w:rPr>
        <w:t>s</w:t>
      </w:r>
      <w:r w:rsidR="003907D3" w:rsidRPr="000E5310">
        <w:rPr>
          <w:rStyle w:val="normaltextrun"/>
          <w:color w:val="000000"/>
          <w:shd w:val="clear" w:color="auto" w:fill="FFFFFF"/>
        </w:rPr>
        <w:t xml:space="preserve"> how </w:t>
      </w:r>
      <w:r w:rsidR="003907D3">
        <w:rPr>
          <w:rStyle w:val="normaltextrun"/>
          <w:color w:val="000000"/>
          <w:shd w:val="clear" w:color="auto" w:fill="FFFFFF"/>
        </w:rPr>
        <w:t>decisions on intervention strategies are made</w:t>
      </w:r>
      <w:r w:rsidR="003907D3" w:rsidRPr="000E5310">
        <w:rPr>
          <w:rStyle w:val="normaltextrun"/>
          <w:color w:val="000000"/>
          <w:shd w:val="clear" w:color="auto" w:fill="FFFFFF"/>
        </w:rPr>
        <w:t xml:space="preserve"> </w:t>
      </w:r>
      <w:r w:rsidR="003907D3" w:rsidRPr="000E5310">
        <w:rPr>
          <w:rStyle w:val="normaltextrun"/>
          <w:color w:val="000000"/>
          <w:shd w:val="clear" w:color="auto" w:fill="FFFFFF"/>
        </w:rPr>
        <w:fldChar w:fldCharType="begin"/>
      </w:r>
      <w:r w:rsidR="00B9334F">
        <w:rPr>
          <w:rStyle w:val="normaltextrun"/>
          <w:color w:val="000000"/>
          <w:shd w:val="clear" w:color="auto" w:fill="FFFFFF"/>
        </w:rPr>
        <w:instrText xml:space="preserve"> ADDIN EN.CITE &lt;EndNote&gt;&lt;Cite&gt;&lt;Author&gt;Greifer&lt;/Author&gt;&lt;Year&gt;2021&lt;/Year&gt;&lt;RecNum&gt;59&lt;/RecNum&gt;&lt;DisplayText&gt;(Greifer &amp;amp; Stuart, 2021)&lt;/DisplayText&gt;&lt;record&gt;&lt;rec-number&gt;59&lt;/rec-number&gt;&lt;foreign-keys&gt;&lt;key app="EN" db-id="ffzvr5fstavwxoe9v04xf0wmp5t50as52da0" timestamp="1731671640" guid="4f0f7681-845c-4289-8c11-6f39de07331b"&gt;59&lt;/key&gt;&lt;/foreign-keys&gt;&lt;ref-type name="Journal Article"&gt;17&lt;/ref-type&gt;&lt;contributors&gt;&lt;authors&gt;&lt;author&gt;Greifer, Noah&lt;/author&gt;&lt;author&gt;Stuart, Elizabeth A.&lt;/author&gt;&lt;/authors&gt;&lt;/contributors&gt;&lt;titles&gt;&lt;title&gt;Choosing the Causal Estimand for Propensity Score Analysis of Observational Studies&lt;/title&gt;&lt;/titles&gt;&lt;keywords&gt;&lt;keyword&gt;Statistics - Methodology&lt;/keyword&gt;&lt;/keywords&gt;&lt;dates&gt;&lt;year&gt;2021&lt;/year&gt;&lt;/dates&gt;&lt;urls&gt;&lt;/urls&gt;&lt;electronic-resource-num&gt;10.48550/arxiv.2106.10577&lt;/electronic-resource-num&gt;&lt;/record&gt;&lt;/Cite&gt;&lt;/EndNote&gt;</w:instrText>
      </w:r>
      <w:r w:rsidR="003907D3" w:rsidRPr="000E5310">
        <w:rPr>
          <w:rStyle w:val="normaltextrun"/>
          <w:color w:val="000000"/>
          <w:shd w:val="clear" w:color="auto" w:fill="FFFFFF"/>
        </w:rPr>
        <w:fldChar w:fldCharType="separate"/>
      </w:r>
      <w:r w:rsidR="003C6F70">
        <w:rPr>
          <w:rStyle w:val="normaltextrun"/>
          <w:noProof/>
          <w:color w:val="000000"/>
          <w:shd w:val="clear" w:color="auto" w:fill="FFFFFF"/>
        </w:rPr>
        <w:t>(Greifer &amp; Stuart, 2021)</w:t>
      </w:r>
      <w:r w:rsidR="003907D3" w:rsidRPr="000E5310">
        <w:rPr>
          <w:rStyle w:val="normaltextrun"/>
          <w:color w:val="000000"/>
          <w:shd w:val="clear" w:color="auto" w:fill="FFFFFF"/>
        </w:rPr>
        <w:fldChar w:fldCharType="end"/>
      </w:r>
      <w:r w:rsidR="003907D3" w:rsidRPr="000E5310">
        <w:rPr>
          <w:rStyle w:val="normaltextrun"/>
          <w:color w:val="000000"/>
          <w:shd w:val="clear" w:color="auto" w:fill="FFFFFF"/>
        </w:rPr>
        <w:t xml:space="preserve"> and have been shown to achieve </w:t>
      </w:r>
      <w:r w:rsidR="003907D3">
        <w:rPr>
          <w:rStyle w:val="normaltextrun"/>
          <w:color w:val="000000"/>
          <w:shd w:val="clear" w:color="auto" w:fill="FFFFFF"/>
        </w:rPr>
        <w:t>optimal</w:t>
      </w:r>
      <w:r w:rsidR="003907D3" w:rsidRPr="000E5310">
        <w:rPr>
          <w:rStyle w:val="normaltextrun"/>
          <w:color w:val="000000"/>
          <w:shd w:val="clear" w:color="auto" w:fill="FFFFFF"/>
        </w:rPr>
        <w:t xml:space="preserve"> balance in </w:t>
      </w:r>
      <w:r w:rsidR="005D7F44">
        <w:rPr>
          <w:rStyle w:val="normaltextrun"/>
          <w:color w:val="000000"/>
          <w:shd w:val="clear" w:color="auto" w:fill="FFFFFF"/>
        </w:rPr>
        <w:t xml:space="preserve">other </w:t>
      </w:r>
      <w:r w:rsidR="003907D3" w:rsidRPr="000E5310">
        <w:rPr>
          <w:rStyle w:val="normaltextrun"/>
          <w:color w:val="000000"/>
          <w:shd w:val="clear" w:color="auto" w:fill="FFFFFF"/>
        </w:rPr>
        <w:t>propensity score</w:t>
      </w:r>
      <w:r w:rsidR="003907D3">
        <w:rPr>
          <w:rStyle w:val="normaltextrun"/>
          <w:color w:val="000000"/>
          <w:shd w:val="clear" w:color="auto" w:fill="FFFFFF"/>
        </w:rPr>
        <w:t xml:space="preserve"> analyses</w:t>
      </w:r>
      <w:r w:rsidR="003907D3" w:rsidRPr="000E5310">
        <w:rPr>
          <w:rStyle w:val="normaltextrun"/>
          <w:color w:val="000000"/>
          <w:shd w:val="clear" w:color="auto" w:fill="FFFFFF"/>
        </w:rPr>
        <w:t xml:space="preserve"> </w:t>
      </w:r>
      <w:r w:rsidR="003907D3" w:rsidRPr="000E5310">
        <w:rPr>
          <w:rStyle w:val="normaltextrun"/>
          <w:color w:val="000000"/>
          <w:shd w:val="clear" w:color="auto" w:fill="FFFFFF"/>
        </w:rPr>
        <w:fldChar w:fldCharType="begin">
          <w:fldData xml:space="preserve">PEVuZE5vdGU+PENpdGU+PEF1dGhvcj5HcmVlbjwvQXV0aG9yPjxZZWFyPjIwMTQ8L1llYXI+PFJl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</w:fldData>
        </w:fldChar>
      </w:r>
      <w:r w:rsidR="00B9334F">
        <w:rPr>
          <w:rStyle w:val="normaltextrun"/>
          <w:color w:val="000000"/>
          <w:shd w:val="clear" w:color="auto" w:fill="FFFFFF"/>
        </w:rPr>
        <w:instrText xml:space="preserve"> ADDIN EN.CITE </w:instrText>
      </w:r>
      <w:r w:rsidR="00B9334F">
        <w:rPr>
          <w:rStyle w:val="normaltextrun"/>
          <w:color w:val="000000"/>
          <w:shd w:val="clear" w:color="auto" w:fill="FFFFFF"/>
        </w:rPr>
        <w:fldChar w:fldCharType="begin">
          <w:fldData xml:space="preserve">PEVuZE5vdGU+PENpdGU+PEF1dGhvcj5HcmVlbjwvQXV0aG9yPjxZZWFyPjIwMTQ8L1llYXI+PFJl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</w:fldData>
        </w:fldChar>
      </w:r>
      <w:r w:rsidR="00B9334F">
        <w:rPr>
          <w:rStyle w:val="normaltextrun"/>
          <w:color w:val="000000"/>
          <w:shd w:val="clear" w:color="auto" w:fill="FFFFFF"/>
        </w:rPr>
        <w:instrText xml:space="preserve"> ADDIN EN.CITE.DATA </w:instrText>
      </w:r>
      <w:r w:rsidR="00B9334F">
        <w:rPr>
          <w:rStyle w:val="normaltextrun"/>
          <w:color w:val="000000"/>
          <w:shd w:val="clear" w:color="auto" w:fill="FFFFFF"/>
        </w:rPr>
      </w:r>
      <w:r w:rsidR="00B9334F">
        <w:rPr>
          <w:rStyle w:val="normaltextrun"/>
          <w:color w:val="000000"/>
          <w:shd w:val="clear" w:color="auto" w:fill="FFFFFF"/>
        </w:rPr>
        <w:fldChar w:fldCharType="end"/>
      </w:r>
      <w:r w:rsidR="003907D3" w:rsidRPr="000E5310">
        <w:rPr>
          <w:rStyle w:val="normaltextrun"/>
          <w:color w:val="000000"/>
          <w:shd w:val="clear" w:color="auto" w:fill="FFFFFF"/>
        </w:rPr>
      </w:r>
      <w:r w:rsidR="003907D3" w:rsidRPr="000E5310">
        <w:rPr>
          <w:rStyle w:val="normaltextrun"/>
          <w:color w:val="000000"/>
          <w:shd w:val="clear" w:color="auto" w:fill="FFFFFF"/>
        </w:rPr>
        <w:fldChar w:fldCharType="separate"/>
      </w:r>
      <w:r w:rsidR="003C6F70">
        <w:rPr>
          <w:rStyle w:val="normaltextrun"/>
          <w:noProof/>
          <w:color w:val="000000"/>
          <w:shd w:val="clear" w:color="auto" w:fill="FFFFFF"/>
        </w:rPr>
        <w:t>(Green &amp; Stuart, 2014)</w:t>
      </w:r>
      <w:r w:rsidR="003907D3" w:rsidRPr="000E5310">
        <w:rPr>
          <w:rStyle w:val="normaltextrun"/>
          <w:color w:val="000000"/>
          <w:shd w:val="clear" w:color="auto" w:fill="FFFFFF"/>
        </w:rPr>
        <w:fldChar w:fldCharType="end"/>
      </w:r>
      <w:r w:rsidR="003907D3" w:rsidRPr="000E5310">
        <w:rPr>
          <w:rStyle w:val="normaltextrun"/>
          <w:color w:val="000000"/>
          <w:shd w:val="clear" w:color="auto" w:fill="FFFFFF"/>
        </w:rPr>
        <w:t>.</w:t>
      </w:r>
      <w:r w:rsidR="003907D3">
        <w:rPr>
          <w:rStyle w:val="normaltextrun"/>
          <w:color w:val="000000"/>
          <w:shd w:val="clear" w:color="auto" w:fill="FFFFFF"/>
        </w:rPr>
        <w:t xml:space="preserve"> </w:t>
      </w:r>
    </w:p>
    <w:p w14:paraId="600617ED" w14:textId="77777777" w:rsidR="00965CEE" w:rsidRDefault="00965CEE" w:rsidP="0001688D">
      <w:pPr>
        <w:pStyle w:val="NoSpacing"/>
        <w:spacing w:line="360" w:lineRule="auto"/>
        <w:rPr>
          <w:rStyle w:val="normaltextrun"/>
          <w:color w:val="000000"/>
          <w:shd w:val="clear" w:color="auto" w:fill="FFFFFF"/>
        </w:rPr>
      </w:pPr>
    </w:p>
    <w:p w14:paraId="604C68D8" w14:textId="2397825B" w:rsidR="003907D3" w:rsidRDefault="00965CEE" w:rsidP="003907D3">
      <w:pPr>
        <w:pStyle w:val="NoSpacing"/>
        <w:spacing w:line="360" w:lineRule="auto"/>
      </w:pPr>
      <w:r>
        <w:rPr>
          <w:rStyle w:val="normaltextrun"/>
          <w:color w:val="000000"/>
          <w:shd w:val="clear" w:color="auto" w:fill="FFFFFF"/>
        </w:rPr>
        <w:t xml:space="preserve">It is useful to compare our findings with previous literature. </w:t>
      </w:r>
      <w:r w:rsidR="00FF7FE8">
        <w:t>W</w:t>
      </w:r>
      <w:r w:rsidR="003907D3">
        <w:t xml:space="preserve">e were able to replicate findings of treatment alongside support </w:t>
      </w:r>
      <w:r w:rsidR="00592E14">
        <w:t>to improve</w:t>
      </w:r>
      <w:r w:rsidR="003907D3">
        <w:t xml:space="preserve"> </w:t>
      </w:r>
      <w:r w:rsidR="003907D3">
        <w:rPr>
          <w:rStyle w:val="normaltextrun"/>
        </w:rPr>
        <w:t xml:space="preserve">parenting </w:t>
      </w:r>
      <w:r w:rsidR="00592E14">
        <w:rPr>
          <w:rStyle w:val="normaltextrun"/>
        </w:rPr>
        <w:t xml:space="preserve">skills and/or family functioning </w:t>
      </w:r>
      <w:r w:rsidR="003907D3">
        <w:rPr>
          <w:rStyle w:val="normaltextrun"/>
        </w:rPr>
        <w:t xml:space="preserve">being </w:t>
      </w:r>
      <w:r w:rsidR="003907D3" w:rsidRPr="00BF5B52">
        <w:rPr>
          <w:rStyle w:val="normaltextrun"/>
        </w:rPr>
        <w:t xml:space="preserve">more effective </w:t>
      </w:r>
      <w:r w:rsidR="003907D3">
        <w:rPr>
          <w:rStyle w:val="normaltextrun"/>
        </w:rPr>
        <w:t xml:space="preserve">than </w:t>
      </w:r>
      <w:r w:rsidR="003907D3" w:rsidRPr="00BF5B52">
        <w:rPr>
          <w:rStyle w:val="normaltextrun"/>
        </w:rPr>
        <w:t>treatment alone</w:t>
      </w:r>
      <w:r w:rsidR="003907D3">
        <w:rPr>
          <w:rStyle w:val="normaltextrun"/>
        </w:rPr>
        <w:t xml:space="preserve"> for most </w:t>
      </w:r>
      <w:r w:rsidR="005F1705">
        <w:rPr>
          <w:rStyle w:val="normaltextrun"/>
        </w:rPr>
        <w:t>parents living</w:t>
      </w:r>
      <w:r w:rsidR="003907D3">
        <w:rPr>
          <w:rStyle w:val="normaltextrun"/>
        </w:rPr>
        <w:t xml:space="preserve"> with children</w:t>
      </w:r>
      <w:r w:rsidR="00592E14">
        <w:rPr>
          <w:rStyle w:val="normaltextrun"/>
        </w:rPr>
        <w:t xml:space="preserve"> </w:t>
      </w:r>
      <w:r w:rsidR="00E21B2E">
        <w:rPr>
          <w:rStyle w:val="normaltextrun"/>
        </w:rPr>
        <w:fldChar w:fldCharType="begin"/>
      </w:r>
      <w:r w:rsidR="00B9334F">
        <w:rPr>
          <w:rStyle w:val="normaltextrun"/>
        </w:rPr>
        <w:instrText xml:space="preserve"> ADDIN EN.CITE &lt;EndNote&gt;&lt;Cite&gt;&lt;Author&gt;McGovern&lt;/Author&gt;&lt;Year&gt;2022&lt;/Year&gt;&lt;RecNum&gt;308&lt;/RecNum&gt;&lt;DisplayText&gt;(McGovern et al., 2022)&lt;/DisplayText&gt;&lt;record&gt;&lt;rec-number&gt;308&lt;/rec-number&gt;&lt;foreign-keys&gt;&lt;key app="EN" db-id="ffzvr5fstavwxoe9v04xf0wmp5t50as52da0" timestamp="1731671657" guid="15065f83-c817-43c0-aa4a-cb6177f78e46"&gt;308&lt;/key&gt;&lt;/foreign-keys&gt;&lt;ref-type name="Journal Article"&gt;17&lt;/ref-type&gt;&lt;contributors&gt;&lt;authors&gt;&lt;author&gt;McGovern, Ruth&lt;/author&gt;&lt;author&gt;Newham, James&lt;/author&gt;&lt;author&gt;Addison, Michelle&lt;/author&gt;&lt;author&gt;Hickman, Matt&lt;/author&gt;&lt;author&gt;Kaner, Eileen&lt;/author&gt;&lt;/authors&gt;&lt;/contributors&gt;&lt;titles&gt;&lt;title&gt;The effectiveness of psychosocial interventions at reducing the frequency of alcohol and drug use in parents: findings of a Cochrane Review and meta-analyses&lt;/title&gt;&lt;secondary-title&gt;Addiction&lt;/secondary-title&gt;&lt;/titles&gt;&lt;periodical&gt;&lt;full-title&gt;Addiction&lt;/full-title&gt;&lt;/periodical&gt;&lt;pages&gt;2571-2582&lt;/pages&gt;&lt;volume&gt;117&lt;/volume&gt;&lt;number&gt;10&lt;/number&gt;&lt;dates&gt;&lt;year&gt;2022&lt;/year&gt;&lt;/dates&gt;&lt;isbn&gt;0965-2140&lt;/isbn&gt;&lt;urls&gt;&lt;related-urls&gt;&lt;url&gt;https://onlinelibrary.wiley.com/doi/abs/10.1111/add.15846&lt;/url&gt;&lt;/related-urls&gt;&lt;/urls&gt;&lt;electronic-resource-num&gt;https://doi.org/10.1111/add.15846&lt;/electronic-resource-num&gt;&lt;/record&gt;&lt;/Cite&gt;&lt;/EndNote&gt;</w:instrText>
      </w:r>
      <w:r w:rsidR="00E21B2E">
        <w:rPr>
          <w:rStyle w:val="normaltextrun"/>
        </w:rPr>
        <w:fldChar w:fldCharType="separate"/>
      </w:r>
      <w:r w:rsidR="00E21B2E">
        <w:rPr>
          <w:rStyle w:val="normaltextrun"/>
          <w:noProof/>
        </w:rPr>
        <w:t>(McGovern et al., 2022)</w:t>
      </w:r>
      <w:r w:rsidR="00E21B2E">
        <w:rPr>
          <w:rStyle w:val="normaltextrun"/>
        </w:rPr>
        <w:fldChar w:fldCharType="end"/>
      </w:r>
      <w:r w:rsidR="00C200B6">
        <w:rPr>
          <w:rStyle w:val="normaltextrun"/>
        </w:rPr>
        <w:t xml:space="preserve">, as well as </w:t>
      </w:r>
      <w:r w:rsidR="00CC0C16">
        <w:rPr>
          <w:rStyle w:val="normaltextrun"/>
        </w:rPr>
        <w:t xml:space="preserve">supporting the idea that </w:t>
      </w:r>
      <w:r w:rsidR="0001688D">
        <w:t xml:space="preserve">family </w:t>
      </w:r>
      <w:r w:rsidR="0001688D">
        <w:rPr>
          <w:lang w:eastAsia="en-GB"/>
        </w:rPr>
        <w:t xml:space="preserve">support networks </w:t>
      </w:r>
      <w:r w:rsidR="00604B8D">
        <w:rPr>
          <w:lang w:eastAsia="en-GB"/>
        </w:rPr>
        <w:t xml:space="preserve">potentially </w:t>
      </w:r>
      <w:r w:rsidR="00604B8D" w:rsidRPr="00891DE0">
        <w:rPr>
          <w:rStyle w:val="normaltextrun"/>
        </w:rPr>
        <w:t xml:space="preserve">play </w:t>
      </w:r>
      <w:r w:rsidR="0001688D" w:rsidRPr="00891DE0">
        <w:rPr>
          <w:rStyle w:val="normaltextrun"/>
        </w:rPr>
        <w:t xml:space="preserve">an important role </w:t>
      </w:r>
      <w:r w:rsidR="00C200B6" w:rsidRPr="00891DE0">
        <w:rPr>
          <w:rStyle w:val="normaltextrun"/>
        </w:rPr>
        <w:t xml:space="preserve">in </w:t>
      </w:r>
      <w:r w:rsidR="0001688D" w:rsidRPr="00891DE0">
        <w:rPr>
          <w:rStyle w:val="normaltextrun"/>
        </w:rPr>
        <w:t xml:space="preserve">a </w:t>
      </w:r>
      <w:r w:rsidR="00C200B6" w:rsidRPr="00891DE0">
        <w:rPr>
          <w:rStyle w:val="normaltextrun"/>
        </w:rPr>
        <w:t>parent’s</w:t>
      </w:r>
      <w:r w:rsidR="0001688D" w:rsidRPr="00891DE0">
        <w:rPr>
          <w:rStyle w:val="normaltextrun"/>
        </w:rPr>
        <w:t xml:space="preserve"> likelihood to recover from dependence </w:t>
      </w:r>
      <w:r w:rsidR="0001688D" w:rsidRPr="00891DE0">
        <w:rPr>
          <w:rStyle w:val="normaltextrun"/>
        </w:rPr>
        <w:fldChar w:fldCharType="begin">
          <w:fldData xml:space="preserve">PEVuZE5vdGU+PENpdGU+PEF1dGhvcj5Db3BlbGxvPC9BdXRob3I+PFllYXI+MjAwNTwvWWVhcj48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</w:fldData>
        </w:fldChar>
      </w:r>
      <w:r w:rsidR="00B9334F">
        <w:rPr>
          <w:rStyle w:val="normaltextrun"/>
        </w:rPr>
        <w:instrText xml:space="preserve"> ADDIN EN.CITE </w:instrText>
      </w:r>
      <w:r w:rsidR="00B9334F">
        <w:rPr>
          <w:rStyle w:val="normaltextrun"/>
        </w:rPr>
        <w:fldChar w:fldCharType="begin">
          <w:fldData xml:space="preserve">PEVuZE5vdGU+PENpdGU+PEF1dGhvcj5Db3BlbGxvPC9BdXRob3I+PFllYXI+MjAwNTwvWWVhcj48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</w:fldData>
        </w:fldChar>
      </w:r>
      <w:r w:rsidR="00B9334F">
        <w:rPr>
          <w:rStyle w:val="normaltextrun"/>
        </w:rPr>
        <w:instrText xml:space="preserve"> ADDIN EN.CITE.DATA </w:instrText>
      </w:r>
      <w:r w:rsidR="00B9334F">
        <w:rPr>
          <w:rStyle w:val="normaltextrun"/>
        </w:rPr>
      </w:r>
      <w:r w:rsidR="00B9334F">
        <w:rPr>
          <w:rStyle w:val="normaltextrun"/>
        </w:rPr>
        <w:fldChar w:fldCharType="end"/>
      </w:r>
      <w:r w:rsidR="0001688D" w:rsidRPr="00891DE0">
        <w:rPr>
          <w:rStyle w:val="normaltextrun"/>
        </w:rPr>
      </w:r>
      <w:r w:rsidR="0001688D" w:rsidRPr="00891DE0">
        <w:rPr>
          <w:rStyle w:val="normaltextrun"/>
        </w:rPr>
        <w:fldChar w:fldCharType="separate"/>
      </w:r>
      <w:r w:rsidR="00E21B2E" w:rsidRPr="00891DE0">
        <w:rPr>
          <w:rStyle w:val="normaltextrun"/>
          <w:noProof/>
        </w:rPr>
        <w:t>(Best &amp; Hennessy, 2022; Copello et al., 2005; Granfield &amp; Cloud, 2001; McGovern et al., 2022)</w:t>
      </w:r>
      <w:r w:rsidR="0001688D" w:rsidRPr="00891DE0">
        <w:rPr>
          <w:rStyle w:val="normaltextrun"/>
        </w:rPr>
        <w:fldChar w:fldCharType="end"/>
      </w:r>
      <w:r w:rsidR="0001688D" w:rsidRPr="00891DE0">
        <w:rPr>
          <w:rStyle w:val="normaltextrun"/>
        </w:rPr>
        <w:t>.</w:t>
      </w:r>
      <w:r w:rsidR="001F0EBF" w:rsidRPr="00891DE0">
        <w:rPr>
          <w:rStyle w:val="normaltextrun"/>
        </w:rPr>
        <w:t xml:space="preserve"> </w:t>
      </w:r>
      <w:r w:rsidR="00B0640A" w:rsidRPr="00891DE0">
        <w:rPr>
          <w:rStyle w:val="normaltextrun"/>
        </w:rPr>
        <w:t>We did not stratify results by whether treatment was pharmacological, psychosocial or both</w:t>
      </w:r>
      <w:r w:rsidR="00891DE0" w:rsidRPr="00891DE0">
        <w:rPr>
          <w:rStyle w:val="normaltextrun"/>
        </w:rPr>
        <w:t>.</w:t>
      </w:r>
      <w:r w:rsidR="00B0640A" w:rsidRPr="00891DE0">
        <w:rPr>
          <w:rStyle w:val="normaltextrun"/>
        </w:rPr>
        <w:t xml:space="preserve"> </w:t>
      </w:r>
      <w:r w:rsidR="00891DE0" w:rsidRPr="00891DE0">
        <w:rPr>
          <w:rStyle w:val="normaltextrun"/>
        </w:rPr>
        <w:t>P</w:t>
      </w:r>
      <w:r w:rsidR="00B0640A" w:rsidRPr="00891DE0">
        <w:rPr>
          <w:rStyle w:val="normaltextrun"/>
        </w:rPr>
        <w:t xml:space="preserve">otential differences in the balance of interventions received </w:t>
      </w:r>
      <w:r w:rsidR="00891DE0" w:rsidRPr="00891DE0">
        <w:rPr>
          <w:rStyle w:val="normaltextrun"/>
        </w:rPr>
        <w:t>among</w:t>
      </w:r>
      <w:r w:rsidR="00B0640A" w:rsidRPr="00891DE0">
        <w:rPr>
          <w:rStyle w:val="normaltextrun"/>
        </w:rPr>
        <w:t xml:space="preserve"> opiate using parents in this study is a possible explanation for our findings for this group not corroborating those of previous research. </w:t>
      </w:r>
      <w:r w:rsidR="00891DE0">
        <w:rPr>
          <w:rStyle w:val="normaltextrun"/>
        </w:rPr>
        <w:t xml:space="preserve"> Further </w:t>
      </w:r>
      <w:r w:rsidR="00D1628A">
        <w:t xml:space="preserve">investigatory </w:t>
      </w:r>
      <w:r w:rsidR="00F93DF9">
        <w:t xml:space="preserve">research </w:t>
      </w:r>
      <w:r w:rsidR="00D1628A">
        <w:t xml:space="preserve">through access of </w:t>
      </w:r>
      <w:r w:rsidR="00172018">
        <w:t xml:space="preserve">local alcohol and drug treatment data could </w:t>
      </w:r>
      <w:r w:rsidR="00F93DF9">
        <w:t>explor</w:t>
      </w:r>
      <w:r w:rsidR="00172018">
        <w:t>e</w:t>
      </w:r>
      <w:r w:rsidR="00F93DF9">
        <w:t xml:space="preserve"> </w:t>
      </w:r>
      <w:r w:rsidR="00172018">
        <w:t xml:space="preserve">differences in support </w:t>
      </w:r>
      <w:r w:rsidR="00F93DF9">
        <w:t>received by opiate using parents compare</w:t>
      </w:r>
      <w:r w:rsidR="00172018">
        <w:t>d</w:t>
      </w:r>
      <w:r w:rsidR="00F93DF9">
        <w:t xml:space="preserve"> to other parents in the treatment system</w:t>
      </w:r>
      <w:r w:rsidR="00D1628A">
        <w:t>.</w:t>
      </w:r>
      <w:r w:rsidR="00F93DF9">
        <w:t xml:space="preserve"> </w:t>
      </w:r>
      <w:r w:rsidR="002058E9">
        <w:t>Also,</w:t>
      </w:r>
      <w:r w:rsidR="001F0EBF">
        <w:t xml:space="preserve"> </w:t>
      </w:r>
      <w:r w:rsidR="002058E9">
        <w:t>w</w:t>
      </w:r>
      <w:r w:rsidR="009E7373">
        <w:t xml:space="preserve">hile we attempted to eliminate selection bias by including significant potential confounders to generate propensity weights </w:t>
      </w:r>
      <w:r w:rsidR="009E7373" w:rsidRPr="009842F9">
        <w:fldChar w:fldCharType="begin"/>
      </w:r>
      <w:r w:rsidR="00B9334F">
        <w:instrText xml:space="preserve"> ADDIN EN.CITE &lt;EndNote&gt;&lt;Cite&gt;&lt;Author&gt;Shiba&lt;/Author&gt;&lt;Year&gt;2021&lt;/Year&gt;&lt;RecNum&gt;69&lt;/RecNum&gt;&lt;DisplayText&gt;(Shiba &amp;amp; Kawahara, 2021)&lt;/DisplayText&gt;&lt;record&gt;&lt;rec-number&gt;69&lt;/rec-number&gt;&lt;foreign-keys&gt;&lt;key app="EN" db-id="ffzvr5fstavwxoe9v04xf0wmp5t50as52da0" timestamp="1731671640" guid="1942b9e7-cf36-43a0-b195-c200f494284e"&gt;69&lt;/key&gt;&lt;/foreign-keys&gt;&lt;ref-type name="Journal Article"&gt;17&lt;/ref-type&gt;&lt;contributors&gt;&lt;authors&gt;&lt;author&gt;Shiba, K.&lt;/author&gt;&lt;author&gt;Kawahara, T.&lt;/author&gt;&lt;/authors&gt;&lt;/contributors&gt;&lt;auth-address&gt;Department of Epidemiology, Harvard T.H. Chan School of Public Health.&amp;#xD;Department of Social and Behavioral Sciences, Harvard T.H. Chan School of Public Health.&amp;#xD;Clinical Research Promotion Center, The University of Tokyo Hospital.&lt;/auth-address&gt;&lt;titles&gt;&lt;title&gt;Using Propensity Scores for Causal Inference: Pitfalls and Tips&lt;/title&gt;&lt;secondary-title&gt;J Epidemiol&lt;/secondary-title&gt;&lt;/titles&gt;&lt;periodical&gt;&lt;full-title&gt;J Epidemiol&lt;/full-title&gt;&lt;/periodical&gt;&lt;pages&gt;457-463&lt;/pages&gt;&lt;volume&gt;31&lt;/volume&gt;&lt;number&gt;8&lt;/number&gt;&lt;edition&gt;20210612&lt;/edition&gt;&lt;keywords&gt;&lt;keyword&gt;*Causality&lt;/keyword&gt;&lt;keyword&gt;Humans&lt;/keyword&gt;&lt;keyword&gt;Models, Statistical&lt;/keyword&gt;&lt;keyword&gt;*Propensity Score&lt;/keyword&gt;&lt;keyword&gt;inverse probability weighting&lt;/keyword&gt;&lt;keyword&gt;matching&lt;/keyword&gt;&lt;keyword&gt;propensity score&lt;/keyword&gt;&lt;keyword&gt;target population&lt;/keyword&gt;&lt;/keywords&gt;&lt;dates&gt;&lt;year&gt;2021&lt;/year&gt;&lt;pub-dates&gt;&lt;date&gt;Aug 5&lt;/date&gt;&lt;/pub-dates&gt;&lt;/dates&gt;&lt;isbn&gt;0917-5040 (Print)&amp;#xD;0917-5040&lt;/isbn&gt;&lt;accession-num&gt;34121051&lt;/accession-num&gt;&lt;urls&gt;&lt;/urls&gt;&lt;custom1&gt;Conflicts of interest: None declared.&lt;/custom1&gt;&lt;custom2&gt;PMC8275441&lt;/custom2&gt;&lt;electronic-resource-num&gt;10.2188/jea.JE20210145&lt;/electronic-resource-num&gt;&lt;remote-database-provider&gt;NLM&lt;/remote-database-provider&gt;&lt;language&gt;eng&lt;/language&gt;&lt;/record&gt;&lt;/Cite&gt;&lt;/EndNote&gt;</w:instrText>
      </w:r>
      <w:r w:rsidR="009E7373" w:rsidRPr="009842F9">
        <w:fldChar w:fldCharType="separate"/>
      </w:r>
      <w:r w:rsidR="009E7373">
        <w:rPr>
          <w:noProof/>
        </w:rPr>
        <w:t>(Shiba &amp; Kawahara, 2021)</w:t>
      </w:r>
      <w:r w:rsidR="009E7373" w:rsidRPr="009842F9">
        <w:fldChar w:fldCharType="end"/>
      </w:r>
      <w:r w:rsidR="009E7373">
        <w:t xml:space="preserve"> and </w:t>
      </w:r>
      <w:r w:rsidR="0047593A">
        <w:t xml:space="preserve">by </w:t>
      </w:r>
      <w:r w:rsidR="009E7373">
        <w:t xml:space="preserve">stratifying our cohort, there are likely to still be unmeasured confounders which were not available in the data affecting estimates, such as parent motivation to abstain or the reason why a parent was not living with their children. </w:t>
      </w:r>
    </w:p>
    <w:p w14:paraId="0664B142" w14:textId="20CCEFD4" w:rsidR="00D47DA1" w:rsidRDefault="00D11474" w:rsidP="003907D3">
      <w:pPr>
        <w:pStyle w:val="NoSpacing"/>
        <w:spacing w:line="360" w:lineRule="auto"/>
      </w:pPr>
      <w:r>
        <w:lastRenderedPageBreak/>
        <w:t xml:space="preserve">The use of successful completions as the outcome measure makes the study comparable to previous research on interventions for parents with SUD. However, given that SUD is a chronic health condition with potentially multiple cycles of treatment, abstinence, and relapse, it is not possible to determine whether recovery was sustained beyond the period of the study. </w:t>
      </w:r>
      <w:r w:rsidR="003907D3">
        <w:t xml:space="preserve">While it is unclear precisely which parents not living with children would be more likely to successfully complete having received </w:t>
      </w:r>
      <w:r w:rsidR="00880D2A">
        <w:t>parenting support</w:t>
      </w:r>
      <w:r w:rsidR="003907D3">
        <w:t xml:space="preserve">, it is unlikely to be an appropriate strategy in cases where a child is in </w:t>
      </w:r>
      <w:r w:rsidR="004641CA">
        <w:t xml:space="preserve">foster </w:t>
      </w:r>
      <w:r w:rsidR="003907D3">
        <w:t>care, for example,</w:t>
      </w:r>
      <w:r w:rsidR="004641CA">
        <w:t xml:space="preserve"> unless</w:t>
      </w:r>
      <w:r w:rsidR="003907D3">
        <w:t xml:space="preserve"> there is the possibility that the family will be reunited following comprehensive and intensive support. </w:t>
      </w:r>
      <w:r w:rsidR="00D8231C">
        <w:t>The intervention could also</w:t>
      </w:r>
      <w:r w:rsidR="003907D3">
        <w:t xml:space="preserve"> be advantageous for a father with regular child visiting arrangements whose child is living with a former partner or spouse, or with grandparents, for example. Further research into this area </w:t>
      </w:r>
      <w:r w:rsidR="001B77C3">
        <w:t xml:space="preserve">with a longer follow up </w:t>
      </w:r>
      <w:r w:rsidR="003907D3">
        <w:t>would be useful to better understand the different reasons children are not living with their parents</w:t>
      </w:r>
      <w:r w:rsidR="009E5051">
        <w:t xml:space="preserve"> and the impact th</w:t>
      </w:r>
      <w:r w:rsidR="008E367A">
        <w:t>ese differences</w:t>
      </w:r>
      <w:r w:rsidR="009E5051">
        <w:t xml:space="preserve"> may</w:t>
      </w:r>
      <w:r w:rsidR="003907D3">
        <w:t xml:space="preserve"> have on </w:t>
      </w:r>
      <w:r w:rsidR="002D4F86">
        <w:t xml:space="preserve">intervention assignment and </w:t>
      </w:r>
      <w:r w:rsidR="003907D3">
        <w:t>outcomes</w:t>
      </w:r>
      <w:r w:rsidR="008E367A">
        <w:t>.</w:t>
      </w:r>
      <w:r w:rsidR="003907D3">
        <w:t xml:space="preserve"> </w:t>
      </w:r>
      <w:r w:rsidR="006C2462">
        <w:t xml:space="preserve">As this data is not recorded nationally, it would necessitate an analysis of case notes and outcomes data from alcohol and/or drug service and children’s social care or a local data matching exercise. </w:t>
      </w:r>
    </w:p>
    <w:p w14:paraId="236DEC79" w14:textId="77777777" w:rsidR="001B77C3" w:rsidRDefault="001B77C3" w:rsidP="003907D3">
      <w:pPr>
        <w:pStyle w:val="NoSpacing"/>
        <w:spacing w:line="360" w:lineRule="auto"/>
      </w:pPr>
    </w:p>
    <w:p w14:paraId="408D9C20" w14:textId="046B3E53" w:rsidR="001B77C3" w:rsidRDefault="001B77C3" w:rsidP="001B77C3">
      <w:pPr>
        <w:pStyle w:val="NoSpacing"/>
        <w:spacing w:line="360" w:lineRule="auto"/>
      </w:pPr>
      <w:r>
        <w:t xml:space="preserve">Given that there is no consensus on the best approach for addressing parental SUD, the findings </w:t>
      </w:r>
      <w:r w:rsidR="002B291C">
        <w:t xml:space="preserve">in </w:t>
      </w:r>
      <w:r>
        <w:t>this study have important implications for policy and practice. Firstly, parenting and/or family recovery support interventions are not currently delivered enough in England, and even less so among fathers and/or parents not living with children, despite being strongly associated with positive treatment outcomes. The positive treatment effect could in part be explained by the fact that engagement with treatment services and</w:t>
      </w:r>
      <w:r w:rsidR="00BF62E9">
        <w:t>/or</w:t>
      </w:r>
      <w:r>
        <w:t xml:space="preserve"> recovery from SUD alone does not guarantee that families will become stronger and happier together. Many parents in the treatment system did not experience healthy, safe and loving relationships in their own childhood and so parenting </w:t>
      </w:r>
      <w:r w:rsidR="00B31CE1">
        <w:t xml:space="preserve">may be </w:t>
      </w:r>
      <w:r>
        <w:t xml:space="preserve">a skill they have to learn. Moreover, after a period of substance use, family bonds and parent-child attachments may have broken down and so parents may require support in improving their relationships. </w:t>
      </w:r>
    </w:p>
    <w:p w14:paraId="45DD8AFD" w14:textId="77777777" w:rsidR="00877351" w:rsidRDefault="00877351" w:rsidP="003907D3">
      <w:pPr>
        <w:pStyle w:val="NoSpacing"/>
        <w:spacing w:line="360" w:lineRule="auto"/>
      </w:pPr>
    </w:p>
    <w:p w14:paraId="41022FC4" w14:textId="4DB02762" w:rsidR="003907D3" w:rsidRDefault="003907D3" w:rsidP="003907D3">
      <w:pPr>
        <w:pStyle w:val="NoSpacing"/>
        <w:spacing w:line="360" w:lineRule="auto"/>
      </w:pPr>
      <w:r>
        <w:t xml:space="preserve">While this study is set in England, the literature has shown that many of the issues concerning maternal and paternal treatment completion and involvement in targeted prevention and statutory child welfare are similar to other countries. The </w:t>
      </w:r>
      <w:r>
        <w:lastRenderedPageBreak/>
        <w:t>generalisability and replicability of our study is further enhanced by our subgroup stratifications and outcome measure of successful completions, a common outcome measure among evaluations of treatment interventions for parents. We hope this paper brings to light the need for better data on outcomes for children whose parents are in treatment for SUD and the need for more parents, irrespective of whether they live with their children or not, to be offered integrated treatment and targeted prevention aimed at supporting parenting, children and families, where it is appropriate to do so.</w:t>
      </w:r>
    </w:p>
    <w:p w14:paraId="0BEF3831" w14:textId="77777777" w:rsidR="003907D3" w:rsidRDefault="003907D3" w:rsidP="003907D3">
      <w:pPr>
        <w:pStyle w:val="NoSpacing"/>
        <w:spacing w:line="360" w:lineRule="auto"/>
      </w:pPr>
    </w:p>
    <w:p w14:paraId="4086CED1" w14:textId="14675194" w:rsidR="00716F08" w:rsidRDefault="00E0053A" w:rsidP="009C3BBC">
      <w:pPr>
        <w:pStyle w:val="Heading2"/>
        <w:numPr>
          <w:ilvl w:val="1"/>
          <w:numId w:val="19"/>
        </w:numPr>
        <w:spacing w:line="360" w:lineRule="auto"/>
      </w:pPr>
      <w:bookmarkStart w:id="116" w:name="_Toc189229698"/>
      <w:r>
        <w:t>Conclusion</w:t>
      </w:r>
      <w:bookmarkEnd w:id="116"/>
    </w:p>
    <w:p w14:paraId="4C544A15" w14:textId="0921B5C2" w:rsidR="003907D3" w:rsidRPr="001A35CA" w:rsidRDefault="00811F9F" w:rsidP="003907D3">
      <w:pPr>
        <w:pStyle w:val="NoSpacing"/>
        <w:spacing w:line="360" w:lineRule="auto"/>
      </w:pPr>
      <w:r>
        <w:t xml:space="preserve">Treatment </w:t>
      </w:r>
      <w:r w:rsidR="00965AD9">
        <w:t xml:space="preserve">plus </w:t>
      </w:r>
      <w:r w:rsidR="00AB7760">
        <w:t>parenting and/or family</w:t>
      </w:r>
      <w:r w:rsidR="003907D3">
        <w:t xml:space="preserve"> </w:t>
      </w:r>
      <w:r w:rsidR="00863D4A">
        <w:t xml:space="preserve">recovery </w:t>
      </w:r>
      <w:r w:rsidR="003907D3">
        <w:t xml:space="preserve">support is not received by many parents in the English treatment system. Fewer parents not living with their children were assigned to it than </w:t>
      </w:r>
      <w:r w:rsidR="005F1705">
        <w:t>parents living</w:t>
      </w:r>
      <w:r w:rsidR="003907D3">
        <w:t xml:space="preserve"> with children, but it could </w:t>
      </w:r>
      <w:r w:rsidR="003907D3" w:rsidRPr="00050429">
        <w:t>be more</w:t>
      </w:r>
      <w:r w:rsidR="003907D3" w:rsidRPr="00106C74">
        <w:t xml:space="preserve"> effective than treatment alone for </w:t>
      </w:r>
      <w:r w:rsidR="003907D3">
        <w:t>many mothers and fathers. However,</w:t>
      </w:r>
      <w:r w:rsidR="003907D3" w:rsidRPr="00106C74">
        <w:t xml:space="preserve"> results should be considered with some caution</w:t>
      </w:r>
      <w:r w:rsidR="003907D3">
        <w:t>;</w:t>
      </w:r>
      <w:r w:rsidR="003907D3" w:rsidRPr="00106C74">
        <w:t xml:space="preserve"> </w:t>
      </w:r>
      <w:r w:rsidR="003907D3">
        <w:t>w</w:t>
      </w:r>
      <w:r w:rsidR="003907D3" w:rsidRPr="00106C74">
        <w:t xml:space="preserve">hile </w:t>
      </w:r>
      <w:r w:rsidR="003907D3">
        <w:t>our</w:t>
      </w:r>
      <w:r w:rsidR="003907D3" w:rsidRPr="00106C74">
        <w:t xml:space="preserve"> approach </w:t>
      </w:r>
      <w:r w:rsidR="003907D3">
        <w:t>g</w:t>
      </w:r>
      <w:r w:rsidR="003907D3" w:rsidRPr="00106C74">
        <w:t>enerat</w:t>
      </w:r>
      <w:r w:rsidR="003907D3">
        <w:t>ed</w:t>
      </w:r>
      <w:r w:rsidR="003907D3" w:rsidRPr="00106C74">
        <w:t xml:space="preserve"> a reasonably balanced comparison framework, there remains the possibility of other non-observed confounders or biases. </w:t>
      </w:r>
    </w:p>
    <w:p w14:paraId="1AAC971E" w14:textId="77777777" w:rsidR="00297D7F" w:rsidRDefault="00297D7F" w:rsidP="006B3ABC">
      <w:pPr>
        <w:rPr>
          <w:b/>
          <w:bCs/>
        </w:rPr>
        <w:sectPr w:rsidR="00297D7F" w:rsidSect="002C360B">
          <w:pgSz w:w="11906" w:h="16838"/>
          <w:pgMar w:top="1440" w:right="1440" w:bottom="1440" w:left="1440" w:header="709" w:footer="709" w:gutter="0"/>
          <w:cols w:space="708"/>
          <w:docGrid w:linePitch="360"/>
        </w:sectPr>
      </w:pPr>
    </w:p>
    <w:p w14:paraId="4F9E6A91" w14:textId="6D4685AD" w:rsidR="00FC6368" w:rsidRPr="00B57138" w:rsidRDefault="00B57138" w:rsidP="00CA2F1C">
      <w:pPr>
        <w:pStyle w:val="Heading1"/>
        <w:numPr>
          <w:ilvl w:val="0"/>
          <w:numId w:val="30"/>
        </w:numPr>
      </w:pPr>
      <w:bookmarkStart w:id="117" w:name="idp1528752"/>
      <w:bookmarkStart w:id="118" w:name="_Toc189229699"/>
      <w:bookmarkEnd w:id="117"/>
      <w:r>
        <w:lastRenderedPageBreak/>
        <w:t xml:space="preserve">Study 3: </w:t>
      </w:r>
      <w:r w:rsidR="00FC6368" w:rsidRPr="00B57138">
        <w:t xml:space="preserve">For parents with an alcohol use disorder, is treatment </w:t>
      </w:r>
      <w:r w:rsidR="00545D7B">
        <w:t>plus</w:t>
      </w:r>
      <w:r w:rsidR="00FC6368" w:rsidRPr="00B57138">
        <w:t xml:space="preserve"> parenting and/or </w:t>
      </w:r>
      <w:r w:rsidR="00D747B6">
        <w:t xml:space="preserve">family </w:t>
      </w:r>
      <w:r w:rsidR="00FC6368" w:rsidRPr="00B57138">
        <w:t xml:space="preserve">recovery support a more cost-effective option than treatment </w:t>
      </w:r>
      <w:r w:rsidR="000173B3" w:rsidRPr="00B57138">
        <w:t>only</w:t>
      </w:r>
      <w:r w:rsidR="00FC6368" w:rsidRPr="00B57138">
        <w:t>?</w:t>
      </w:r>
      <w:bookmarkEnd w:id="118"/>
    </w:p>
    <w:p w14:paraId="0B6B1399" w14:textId="77777777" w:rsidR="00FC6368" w:rsidRDefault="00FC6368" w:rsidP="00FC6368">
      <w:pPr>
        <w:rPr>
          <w:rFonts w:cs="Arial"/>
          <w:b/>
          <w:bCs/>
          <w:szCs w:val="24"/>
        </w:rPr>
      </w:pPr>
    </w:p>
    <w:p w14:paraId="25DB7CAC" w14:textId="07B4F0A9" w:rsidR="00FC6368" w:rsidRPr="00056E69" w:rsidRDefault="00FC6368" w:rsidP="00FC6368">
      <w:pPr>
        <w:pStyle w:val="NoSpacing"/>
        <w:spacing w:line="360" w:lineRule="auto"/>
        <w:rPr>
          <w:vertAlign w:val="superscript"/>
        </w:rPr>
      </w:pPr>
      <w:r w:rsidRPr="00056E69">
        <w:t xml:space="preserve">Virginia Musto Wright </w:t>
      </w:r>
      <w:r>
        <w:rPr>
          <w:vertAlign w:val="superscript"/>
        </w:rPr>
        <w:t>a</w:t>
      </w:r>
      <w:r w:rsidRPr="00056E69">
        <w:rPr>
          <w:vertAlign w:val="superscript"/>
        </w:rPr>
        <w:t>,</w:t>
      </w:r>
      <w:r w:rsidR="00B57138">
        <w:rPr>
          <w:vertAlign w:val="superscript"/>
        </w:rPr>
        <w:t>b</w:t>
      </w:r>
      <w:r>
        <w:t xml:space="preserve"> </w:t>
      </w:r>
      <w:r w:rsidRPr="00056E69">
        <w:t xml:space="preserve">and Alan Brennan </w:t>
      </w:r>
      <w:r>
        <w:rPr>
          <w:vertAlign w:val="superscript"/>
        </w:rPr>
        <w:t>b</w:t>
      </w:r>
    </w:p>
    <w:p w14:paraId="704A8CC7" w14:textId="77777777" w:rsidR="00FC6368" w:rsidRPr="00056E69" w:rsidRDefault="00FC6368" w:rsidP="00FC6368">
      <w:pPr>
        <w:pStyle w:val="NoSpacing"/>
        <w:spacing w:line="360" w:lineRule="auto"/>
      </w:pPr>
    </w:p>
    <w:p w14:paraId="77079444" w14:textId="77777777" w:rsidR="00FC6368" w:rsidRPr="007752DD" w:rsidRDefault="00FC6368" w:rsidP="00FC6368">
      <w:pPr>
        <w:pStyle w:val="NoSpacing"/>
        <w:spacing w:line="360" w:lineRule="auto"/>
        <w:rPr>
          <w:i/>
          <w:iCs/>
          <w:sz w:val="20"/>
          <w:szCs w:val="20"/>
        </w:rPr>
      </w:pPr>
      <w:r w:rsidRPr="1CB577EE">
        <w:rPr>
          <w:i/>
          <w:iCs/>
          <w:sz w:val="20"/>
          <w:szCs w:val="20"/>
          <w:vertAlign w:val="superscript"/>
        </w:rPr>
        <w:t xml:space="preserve">a </w:t>
      </w:r>
      <w:r w:rsidRPr="1CB577EE">
        <w:rPr>
          <w:i/>
          <w:iCs/>
          <w:sz w:val="20"/>
          <w:szCs w:val="20"/>
        </w:rPr>
        <w:t>Office for Health Improvement and Disparities, Department o</w:t>
      </w:r>
      <w:r>
        <w:rPr>
          <w:i/>
          <w:iCs/>
          <w:sz w:val="20"/>
          <w:szCs w:val="20"/>
        </w:rPr>
        <w:t xml:space="preserve">f </w:t>
      </w:r>
      <w:r w:rsidRPr="1CB577EE">
        <w:rPr>
          <w:i/>
          <w:iCs/>
          <w:sz w:val="20"/>
          <w:szCs w:val="20"/>
        </w:rPr>
        <w:t xml:space="preserve">Health and Social Care, 39 Victoria Street, London, </w:t>
      </w:r>
      <w:r w:rsidRPr="1CB577EE">
        <w:rPr>
          <w:rFonts w:eastAsia="Times New Roman"/>
          <w:i/>
          <w:iCs/>
          <w:noProof/>
          <w:sz w:val="20"/>
          <w:szCs w:val="20"/>
          <w:lang w:val="en-US"/>
        </w:rPr>
        <w:t>SW1H 0EU, England</w:t>
      </w:r>
      <w:r w:rsidRPr="1CB577EE">
        <w:rPr>
          <w:i/>
          <w:iCs/>
          <w:sz w:val="20"/>
          <w:szCs w:val="20"/>
        </w:rPr>
        <w:t xml:space="preserve"> </w:t>
      </w:r>
    </w:p>
    <w:p w14:paraId="78CFFD25" w14:textId="77777777" w:rsidR="00FC6368" w:rsidRPr="007752DD" w:rsidRDefault="00FC6368" w:rsidP="00FC6368">
      <w:pPr>
        <w:pStyle w:val="NoSpacing"/>
        <w:spacing w:line="360" w:lineRule="auto"/>
        <w:rPr>
          <w:i/>
          <w:iCs/>
          <w:sz w:val="20"/>
          <w:szCs w:val="20"/>
        </w:rPr>
      </w:pPr>
      <w:r>
        <w:rPr>
          <w:i/>
          <w:iCs/>
          <w:sz w:val="20"/>
          <w:szCs w:val="20"/>
          <w:vertAlign w:val="superscript"/>
        </w:rPr>
        <w:t>b</w:t>
      </w:r>
      <w:r w:rsidRPr="007752DD">
        <w:rPr>
          <w:i/>
          <w:iCs/>
          <w:sz w:val="20"/>
          <w:szCs w:val="20"/>
          <w:vertAlign w:val="superscript"/>
        </w:rPr>
        <w:t xml:space="preserve"> </w:t>
      </w:r>
      <w:r w:rsidRPr="007752DD">
        <w:rPr>
          <w:i/>
          <w:iCs/>
          <w:sz w:val="20"/>
          <w:szCs w:val="20"/>
        </w:rPr>
        <w:t xml:space="preserve">School of </w:t>
      </w:r>
      <w:r w:rsidRPr="62DE4808">
        <w:rPr>
          <w:i/>
          <w:iCs/>
          <w:sz w:val="20"/>
          <w:szCs w:val="20"/>
        </w:rPr>
        <w:t xml:space="preserve">Medicine and Population </w:t>
      </w:r>
      <w:r w:rsidRPr="007752DD">
        <w:rPr>
          <w:i/>
          <w:iCs/>
          <w:sz w:val="20"/>
          <w:szCs w:val="20"/>
        </w:rPr>
        <w:t>Health, University of Sheffield</w:t>
      </w:r>
      <w:r>
        <w:rPr>
          <w:i/>
          <w:iCs/>
          <w:sz w:val="20"/>
          <w:szCs w:val="20"/>
        </w:rPr>
        <w:t xml:space="preserve">, </w:t>
      </w:r>
      <w:r w:rsidRPr="62DE4808">
        <w:rPr>
          <w:i/>
          <w:iCs/>
          <w:sz w:val="20"/>
          <w:szCs w:val="20"/>
        </w:rPr>
        <w:t xml:space="preserve">Regent Court, </w:t>
      </w:r>
      <w:r w:rsidRPr="00922DF2">
        <w:rPr>
          <w:i/>
          <w:iCs/>
          <w:sz w:val="20"/>
          <w:szCs w:val="20"/>
        </w:rPr>
        <w:t>30 Regent St, Sheffield S1 4DA</w:t>
      </w:r>
      <w:r>
        <w:rPr>
          <w:i/>
          <w:iCs/>
          <w:sz w:val="20"/>
          <w:szCs w:val="20"/>
        </w:rPr>
        <w:t>, England</w:t>
      </w:r>
      <w:r w:rsidRPr="007752DD">
        <w:rPr>
          <w:i/>
          <w:iCs/>
          <w:sz w:val="20"/>
          <w:szCs w:val="20"/>
        </w:rPr>
        <w:t xml:space="preserve"> </w:t>
      </w:r>
    </w:p>
    <w:p w14:paraId="5E2F6BCD" w14:textId="77777777" w:rsidR="00FC6368" w:rsidRDefault="00FC6368" w:rsidP="00FC6368">
      <w:pPr>
        <w:rPr>
          <w:rFonts w:cs="Arial"/>
          <w:b/>
          <w:bCs/>
          <w:szCs w:val="24"/>
        </w:rPr>
      </w:pPr>
    </w:p>
    <w:p w14:paraId="5C477EF2" w14:textId="4A0AE4AB" w:rsidR="00FC6368" w:rsidRPr="00826E6F" w:rsidRDefault="00FC6368" w:rsidP="00FC6368">
      <w:pPr>
        <w:rPr>
          <w:rFonts w:cs="Arial"/>
          <w:i/>
          <w:iCs/>
          <w:szCs w:val="24"/>
        </w:rPr>
      </w:pPr>
      <w:r w:rsidRPr="00826E6F">
        <w:rPr>
          <w:rFonts w:cs="Arial"/>
          <w:i/>
          <w:iCs/>
          <w:szCs w:val="24"/>
        </w:rPr>
        <w:t>Target journal: Drug and Alcohol Review</w:t>
      </w:r>
      <w:r w:rsidR="00826E6F">
        <w:rPr>
          <w:rFonts w:cs="Arial"/>
          <w:i/>
          <w:iCs/>
          <w:szCs w:val="24"/>
        </w:rPr>
        <w:t xml:space="preserve"> (not yet submitted for review)</w:t>
      </w:r>
    </w:p>
    <w:p w14:paraId="3DDE0433" w14:textId="77777777" w:rsidR="00FC6368" w:rsidRDefault="00FC6368" w:rsidP="00FC6368">
      <w:pPr>
        <w:rPr>
          <w:rFonts w:cs="Arial"/>
          <w:b/>
          <w:bCs/>
          <w:szCs w:val="24"/>
        </w:rPr>
      </w:pPr>
    </w:p>
    <w:p w14:paraId="7149F710" w14:textId="77777777" w:rsidR="00FC6368" w:rsidRDefault="00FC6368" w:rsidP="00FC6368">
      <w:pPr>
        <w:rPr>
          <w:rFonts w:cs="Arial"/>
          <w:b/>
          <w:bCs/>
          <w:szCs w:val="24"/>
        </w:rPr>
      </w:pPr>
    </w:p>
    <w:p w14:paraId="6CB02C6D" w14:textId="37D100FE" w:rsidR="00B57138" w:rsidRPr="00FB0B7E" w:rsidRDefault="00FB0B7E" w:rsidP="009C3BBC">
      <w:pPr>
        <w:pStyle w:val="Heading2"/>
        <w:numPr>
          <w:ilvl w:val="1"/>
          <w:numId w:val="19"/>
        </w:numPr>
        <w:spacing w:line="360" w:lineRule="auto"/>
      </w:pPr>
      <w:bookmarkStart w:id="119" w:name="_Toc189229700"/>
      <w:r>
        <w:t>Abstract</w:t>
      </w:r>
      <w:bookmarkEnd w:id="119"/>
    </w:p>
    <w:p w14:paraId="0FCA2D1E" w14:textId="0159FBC5" w:rsidR="00FC6368" w:rsidRPr="00802032" w:rsidRDefault="00FC6368" w:rsidP="00B57138">
      <w:pPr>
        <w:spacing w:line="360" w:lineRule="auto"/>
        <w:rPr>
          <w:rFonts w:cs="Arial"/>
          <w:szCs w:val="24"/>
        </w:rPr>
      </w:pPr>
      <w:r w:rsidRPr="0A90BE66">
        <w:rPr>
          <w:rFonts w:cs="Arial"/>
          <w:b/>
          <w:bCs/>
          <w:szCs w:val="24"/>
        </w:rPr>
        <w:t xml:space="preserve">Background and aims </w:t>
      </w:r>
      <w:r w:rsidRPr="0A90BE66">
        <w:rPr>
          <w:rFonts w:cs="Arial"/>
          <w:szCs w:val="24"/>
        </w:rPr>
        <w:t xml:space="preserve">There is limited but growing evidence on </w:t>
      </w:r>
      <w:r>
        <w:rPr>
          <w:rFonts w:cs="Arial"/>
          <w:szCs w:val="24"/>
        </w:rPr>
        <w:t>parenting and/or</w:t>
      </w:r>
      <w:r w:rsidRPr="0A90BE66">
        <w:rPr>
          <w:rFonts w:cs="Arial"/>
          <w:szCs w:val="24"/>
        </w:rPr>
        <w:t xml:space="preserve"> recovery support interventions for alcohol use disorder (AUD), </w:t>
      </w:r>
      <w:r>
        <w:rPr>
          <w:rFonts w:cs="Arial"/>
          <w:szCs w:val="24"/>
        </w:rPr>
        <w:t xml:space="preserve">with </w:t>
      </w:r>
      <w:r w:rsidRPr="0A90BE66">
        <w:rPr>
          <w:rFonts w:cs="Arial"/>
          <w:szCs w:val="24"/>
        </w:rPr>
        <w:t xml:space="preserve">the economic evidence </w:t>
      </w:r>
      <w:r>
        <w:rPr>
          <w:rFonts w:cs="Arial"/>
          <w:szCs w:val="24"/>
        </w:rPr>
        <w:t>being</w:t>
      </w:r>
      <w:r w:rsidRPr="0A90BE66">
        <w:rPr>
          <w:rFonts w:cs="Arial"/>
          <w:szCs w:val="24"/>
        </w:rPr>
        <w:t xml:space="preserve"> scarce. Previous studies have suggested that </w:t>
      </w:r>
      <w:r>
        <w:rPr>
          <w:rFonts w:cs="Arial"/>
          <w:szCs w:val="24"/>
        </w:rPr>
        <w:t>parenting and/or</w:t>
      </w:r>
      <w:r w:rsidRPr="0A90BE66">
        <w:rPr>
          <w:rFonts w:cs="Arial"/>
          <w:szCs w:val="24"/>
        </w:rPr>
        <w:t xml:space="preserve"> recovery support interventions </w:t>
      </w:r>
      <w:r w:rsidR="00545D7B">
        <w:rPr>
          <w:rFonts w:cs="Arial"/>
          <w:szCs w:val="24"/>
        </w:rPr>
        <w:t>plus</w:t>
      </w:r>
      <w:r w:rsidRPr="0A90BE66">
        <w:rPr>
          <w:rFonts w:cs="Arial"/>
          <w:szCs w:val="24"/>
        </w:rPr>
        <w:t xml:space="preserve"> treatment for AUD </w:t>
      </w:r>
      <w:r>
        <w:rPr>
          <w:rFonts w:cs="Arial"/>
          <w:szCs w:val="24"/>
        </w:rPr>
        <w:t xml:space="preserve">in England </w:t>
      </w:r>
      <w:r w:rsidRPr="0A90BE66">
        <w:rPr>
          <w:rFonts w:cs="Arial"/>
          <w:szCs w:val="24"/>
        </w:rPr>
        <w:t xml:space="preserve">may be more effective than treatment alone. This study estimates </w:t>
      </w:r>
      <w:r>
        <w:rPr>
          <w:rFonts w:cs="Arial"/>
          <w:szCs w:val="24"/>
        </w:rPr>
        <w:t xml:space="preserve">its </w:t>
      </w:r>
      <w:r w:rsidRPr="0A90BE66">
        <w:rPr>
          <w:rFonts w:cs="Arial"/>
          <w:szCs w:val="24"/>
        </w:rPr>
        <w:t xml:space="preserve">cost-effectiveness. </w:t>
      </w:r>
    </w:p>
    <w:p w14:paraId="22AE886E" w14:textId="6814A1A7" w:rsidR="00CC7A64" w:rsidRDefault="00FC6368" w:rsidP="00C845C7">
      <w:pPr>
        <w:pStyle w:val="pf0"/>
        <w:spacing w:line="360" w:lineRule="auto"/>
        <w:rPr>
          <w:rFonts w:ascii="Arial" w:hAnsi="Arial" w:cs="Arial"/>
        </w:rPr>
      </w:pPr>
      <w:r w:rsidRPr="21038250">
        <w:rPr>
          <w:rFonts w:ascii="Arial" w:hAnsi="Arial" w:cs="Arial"/>
          <w:b/>
          <w:bCs/>
        </w:rPr>
        <w:t xml:space="preserve">Methods </w:t>
      </w:r>
      <w:r w:rsidR="009A0DFF" w:rsidRPr="0022788D">
        <w:rPr>
          <w:rFonts w:ascii="Arial" w:hAnsi="Arial" w:cs="Arial"/>
        </w:rPr>
        <w:t>A Markov model with 16 subgroups based on child living arrangements (parents living with and not living with their children), sex (women, men) and age group (18-24, 25-34, 35-44, 45+), was constructed to account for subgroup differences in health states (‘in treatment’, ‘in remission’, ‘not in treatment or remission’, dead)</w:t>
      </w:r>
      <w:r w:rsidR="005B4555">
        <w:rPr>
          <w:rFonts w:ascii="Arial" w:hAnsi="Arial" w:cs="Arial"/>
        </w:rPr>
        <w:t xml:space="preserve">. </w:t>
      </w:r>
      <w:r w:rsidR="00B57138" w:rsidRPr="005824F4">
        <w:rPr>
          <w:rFonts w:ascii="Arial" w:hAnsi="Arial" w:cs="Arial"/>
        </w:rPr>
        <w:t>M</w:t>
      </w:r>
      <w:r w:rsidRPr="21038250">
        <w:rPr>
          <w:rFonts w:ascii="Arial" w:hAnsi="Arial" w:cs="Arial"/>
        </w:rPr>
        <w:t xml:space="preserve">odel outputs, discounted over a 10-year time horizon and using probabilistic sensitivity analysis (PSA), show the incremental cost-effectiveness ratio (ICER) from a health perspective and the cost per QALYs using a public sector perspective.  </w:t>
      </w:r>
    </w:p>
    <w:p w14:paraId="380772E3" w14:textId="741C5D79" w:rsidR="00737688" w:rsidRPr="00CC6866" w:rsidRDefault="00FC6368" w:rsidP="00CC6866">
      <w:pPr>
        <w:spacing w:line="360" w:lineRule="auto"/>
        <w:rPr>
          <w:rFonts w:cs="Arial"/>
          <w:szCs w:val="24"/>
        </w:rPr>
      </w:pPr>
      <w:r w:rsidRPr="00FE2753">
        <w:rPr>
          <w:rFonts w:cs="Arial"/>
          <w:b/>
          <w:bCs/>
          <w:szCs w:val="24"/>
        </w:rPr>
        <w:t xml:space="preserve">Results </w:t>
      </w:r>
      <w:r w:rsidRPr="00FE2753">
        <w:rPr>
          <w:rFonts w:cs="Arial"/>
          <w:szCs w:val="24"/>
        </w:rPr>
        <w:t xml:space="preserve">Treatment </w:t>
      </w:r>
      <w:r w:rsidR="00545D7B">
        <w:rPr>
          <w:rFonts w:cs="Arial"/>
          <w:szCs w:val="24"/>
        </w:rPr>
        <w:t>plus</w:t>
      </w:r>
      <w:r w:rsidRPr="00FE2753">
        <w:rPr>
          <w:rFonts w:cs="Arial"/>
          <w:szCs w:val="24"/>
        </w:rPr>
        <w:t xml:space="preserve"> parenting and/or recovery support was associated with an additional 0.0</w:t>
      </w:r>
      <w:r w:rsidR="00946E24" w:rsidRPr="00FE2753">
        <w:rPr>
          <w:rFonts w:cs="Arial"/>
          <w:szCs w:val="24"/>
        </w:rPr>
        <w:t>4</w:t>
      </w:r>
      <w:r w:rsidR="00BE65B9">
        <w:rPr>
          <w:rFonts w:cs="Arial"/>
          <w:szCs w:val="24"/>
        </w:rPr>
        <w:t>5</w:t>
      </w:r>
      <w:r w:rsidR="00946E24" w:rsidRPr="00FE2753">
        <w:rPr>
          <w:rFonts w:cs="Arial"/>
          <w:szCs w:val="24"/>
        </w:rPr>
        <w:t>6</w:t>
      </w:r>
      <w:r w:rsidRPr="00FE2753">
        <w:rPr>
          <w:rFonts w:cs="Arial"/>
          <w:szCs w:val="24"/>
        </w:rPr>
        <w:t xml:space="preserve"> QALYs on average gained over a 10-year period, amounting to an ICER of £</w:t>
      </w:r>
      <w:r w:rsidR="002C1469">
        <w:t xml:space="preserve">26,264 </w:t>
      </w:r>
      <w:r w:rsidRPr="00FE2753">
        <w:rPr>
          <w:rFonts w:cs="Arial"/>
          <w:szCs w:val="24"/>
        </w:rPr>
        <w:t>and a cost per QALY of £</w:t>
      </w:r>
      <w:r w:rsidR="00946E24" w:rsidRPr="00FE2753">
        <w:rPr>
          <w:rFonts w:cs="Arial"/>
          <w:szCs w:val="24"/>
        </w:rPr>
        <w:t>6</w:t>
      </w:r>
      <w:r w:rsidR="007D2FFA" w:rsidRPr="00FE2753">
        <w:rPr>
          <w:rFonts w:cs="Arial"/>
          <w:szCs w:val="24"/>
        </w:rPr>
        <w:t>,</w:t>
      </w:r>
      <w:r w:rsidR="000871CF">
        <w:rPr>
          <w:rFonts w:cs="Arial"/>
          <w:szCs w:val="24"/>
        </w:rPr>
        <w:t>384</w:t>
      </w:r>
      <w:r w:rsidR="00EF7C35" w:rsidRPr="00FE2753">
        <w:rPr>
          <w:rFonts w:cs="Arial"/>
          <w:szCs w:val="24"/>
        </w:rPr>
        <w:t>.</w:t>
      </w:r>
      <w:r w:rsidRPr="00FE2753">
        <w:rPr>
          <w:rFonts w:cs="Arial"/>
          <w:szCs w:val="24"/>
        </w:rPr>
        <w:t xml:space="preserve"> The probability the intervention is cost-effective at a willingness to pay threshold </w:t>
      </w:r>
      <w:r w:rsidR="00110F22" w:rsidRPr="00FE2753">
        <w:rPr>
          <w:rFonts w:cs="Arial"/>
          <w:szCs w:val="24"/>
        </w:rPr>
        <w:t xml:space="preserve">(WTP) </w:t>
      </w:r>
      <w:r w:rsidRPr="00FE2753">
        <w:rPr>
          <w:rFonts w:cs="Arial"/>
          <w:szCs w:val="24"/>
        </w:rPr>
        <w:t>of £20</w:t>
      </w:r>
      <w:r w:rsidR="00A154FC" w:rsidRPr="00FE2753">
        <w:rPr>
          <w:rFonts w:cs="Arial"/>
          <w:szCs w:val="24"/>
        </w:rPr>
        <w:t>,000</w:t>
      </w:r>
      <w:r w:rsidRPr="00FE2753">
        <w:rPr>
          <w:rFonts w:cs="Arial"/>
          <w:szCs w:val="24"/>
        </w:rPr>
        <w:t xml:space="preserve"> is </w:t>
      </w:r>
      <w:r w:rsidR="0034113F" w:rsidRPr="00FE2753">
        <w:rPr>
          <w:rFonts w:cs="Arial"/>
          <w:szCs w:val="24"/>
        </w:rPr>
        <w:t>42</w:t>
      </w:r>
      <w:r w:rsidRPr="00FE2753">
        <w:rPr>
          <w:rFonts w:cs="Arial"/>
          <w:szCs w:val="24"/>
        </w:rPr>
        <w:t xml:space="preserve">% using a health perspective and </w:t>
      </w:r>
      <w:r w:rsidR="007D2FFA" w:rsidRPr="00FE2753">
        <w:rPr>
          <w:rFonts w:cs="Arial"/>
          <w:szCs w:val="24"/>
        </w:rPr>
        <w:t>72</w:t>
      </w:r>
      <w:r w:rsidRPr="00FE2753">
        <w:rPr>
          <w:rFonts w:cs="Arial"/>
          <w:szCs w:val="24"/>
        </w:rPr>
        <w:t>% for a public sector perspective</w:t>
      </w:r>
      <w:r w:rsidR="00A154FC" w:rsidRPr="00FE2753">
        <w:rPr>
          <w:rFonts w:cs="Arial"/>
          <w:szCs w:val="24"/>
        </w:rPr>
        <w:t xml:space="preserve">, increasing to 53% and </w:t>
      </w:r>
      <w:r w:rsidR="00110F22" w:rsidRPr="00FE2753">
        <w:rPr>
          <w:rFonts w:cs="Arial"/>
          <w:szCs w:val="24"/>
        </w:rPr>
        <w:t>73</w:t>
      </w:r>
      <w:r w:rsidR="00E14F78" w:rsidRPr="00FE2753">
        <w:rPr>
          <w:rFonts w:cs="Arial"/>
          <w:szCs w:val="24"/>
        </w:rPr>
        <w:t xml:space="preserve">% </w:t>
      </w:r>
      <w:r w:rsidR="005A07ED" w:rsidRPr="00FE2753">
        <w:rPr>
          <w:rFonts w:cs="Arial"/>
          <w:szCs w:val="24"/>
        </w:rPr>
        <w:t xml:space="preserve">respectively at </w:t>
      </w:r>
      <w:r w:rsidR="009E1BEB" w:rsidRPr="00FE2753">
        <w:rPr>
          <w:rFonts w:cs="Arial"/>
          <w:szCs w:val="24"/>
        </w:rPr>
        <w:t xml:space="preserve">a WTP of </w:t>
      </w:r>
      <w:r w:rsidR="00EE6579" w:rsidRPr="00FE2753">
        <w:rPr>
          <w:rFonts w:cs="Arial"/>
          <w:szCs w:val="24"/>
        </w:rPr>
        <w:t>£30,000</w:t>
      </w:r>
      <w:r w:rsidRPr="00FE2753">
        <w:rPr>
          <w:rFonts w:cs="Arial"/>
          <w:szCs w:val="24"/>
        </w:rPr>
        <w:t>.</w:t>
      </w:r>
      <w:r>
        <w:rPr>
          <w:rFonts w:cs="Arial"/>
          <w:szCs w:val="24"/>
        </w:rPr>
        <w:t xml:space="preserve">  </w:t>
      </w:r>
    </w:p>
    <w:p w14:paraId="0700AFDE" w14:textId="7F3AF1E7" w:rsidR="00BE77AB" w:rsidRDefault="00FC6368" w:rsidP="00FE2753">
      <w:pPr>
        <w:pStyle w:val="paragraph"/>
        <w:spacing w:line="360" w:lineRule="auto"/>
        <w:textAlignment w:val="baseline"/>
        <w:rPr>
          <w:rFonts w:ascii="Arial" w:eastAsiaTheme="minorHAnsi" w:hAnsi="Arial" w:cstheme="minorBidi"/>
          <w:szCs w:val="22"/>
          <w:lang w:eastAsia="en-US"/>
        </w:rPr>
      </w:pPr>
      <w:r w:rsidRPr="0A90BE66">
        <w:rPr>
          <w:rFonts w:ascii="Arial" w:hAnsi="Arial" w:cs="Arial"/>
          <w:b/>
          <w:bCs/>
        </w:rPr>
        <w:lastRenderedPageBreak/>
        <w:t xml:space="preserve">Conclusion </w:t>
      </w:r>
      <w:r w:rsidR="009A2BED">
        <w:rPr>
          <w:rFonts w:ascii="Arial" w:eastAsiaTheme="minorHAnsi" w:hAnsi="Arial" w:cstheme="minorBidi"/>
          <w:szCs w:val="22"/>
          <w:lang w:eastAsia="en-US"/>
        </w:rPr>
        <w:t>T</w:t>
      </w:r>
      <w:r w:rsidR="009A2BED" w:rsidRPr="00415708">
        <w:rPr>
          <w:rFonts w:ascii="Arial" w:eastAsiaTheme="minorHAnsi" w:hAnsi="Arial" w:cstheme="minorBidi"/>
          <w:szCs w:val="22"/>
          <w:lang w:eastAsia="en-US"/>
        </w:rPr>
        <w:t xml:space="preserve">reatment </w:t>
      </w:r>
      <w:r w:rsidR="00545D7B">
        <w:rPr>
          <w:rFonts w:ascii="Arial" w:eastAsiaTheme="minorHAnsi" w:hAnsi="Arial" w:cstheme="minorBidi"/>
          <w:szCs w:val="22"/>
          <w:lang w:eastAsia="en-US"/>
        </w:rPr>
        <w:t>plus</w:t>
      </w:r>
      <w:r w:rsidR="009A2BED" w:rsidRPr="00415708">
        <w:rPr>
          <w:rFonts w:ascii="Arial" w:eastAsiaTheme="minorHAnsi" w:hAnsi="Arial" w:cstheme="minorBidi"/>
          <w:szCs w:val="22"/>
          <w:lang w:eastAsia="en-US"/>
        </w:rPr>
        <w:t xml:space="preserve"> </w:t>
      </w:r>
      <w:r w:rsidR="009A2BED">
        <w:rPr>
          <w:rFonts w:ascii="Arial" w:eastAsiaTheme="minorHAnsi" w:hAnsi="Arial" w:cstheme="minorBidi"/>
          <w:szCs w:val="22"/>
          <w:lang w:eastAsia="en-US"/>
        </w:rPr>
        <w:t>parenting and/or family</w:t>
      </w:r>
      <w:r w:rsidR="009A2BED" w:rsidRPr="00415708">
        <w:rPr>
          <w:rFonts w:ascii="Arial" w:eastAsiaTheme="minorHAnsi" w:hAnsi="Arial" w:cstheme="minorBidi"/>
          <w:szCs w:val="22"/>
          <w:lang w:eastAsia="en-US"/>
        </w:rPr>
        <w:t xml:space="preserve"> recovery support </w:t>
      </w:r>
      <w:r w:rsidR="009A2BED">
        <w:rPr>
          <w:rFonts w:ascii="Arial" w:eastAsiaTheme="minorHAnsi" w:hAnsi="Arial" w:cstheme="minorBidi"/>
          <w:szCs w:val="22"/>
          <w:lang w:eastAsia="en-US"/>
        </w:rPr>
        <w:t>could be a more</w:t>
      </w:r>
      <w:r w:rsidR="009A2BED" w:rsidRPr="00415708">
        <w:rPr>
          <w:rFonts w:ascii="Arial" w:eastAsiaTheme="minorHAnsi" w:hAnsi="Arial" w:cstheme="minorBidi"/>
          <w:szCs w:val="22"/>
          <w:lang w:eastAsia="en-US"/>
        </w:rPr>
        <w:t xml:space="preserve"> cost-effective option for </w:t>
      </w:r>
      <w:r w:rsidR="009A2BED">
        <w:rPr>
          <w:rFonts w:ascii="Arial" w:eastAsiaTheme="minorHAnsi" w:hAnsi="Arial" w:cstheme="minorBidi"/>
          <w:szCs w:val="22"/>
          <w:lang w:eastAsia="en-US"/>
        </w:rPr>
        <w:t>parents</w:t>
      </w:r>
      <w:r w:rsidR="009A2BED" w:rsidRPr="00415708">
        <w:rPr>
          <w:rFonts w:ascii="Arial" w:eastAsiaTheme="minorHAnsi" w:hAnsi="Arial" w:cstheme="minorBidi"/>
          <w:szCs w:val="22"/>
          <w:lang w:eastAsia="en-US"/>
        </w:rPr>
        <w:t>.</w:t>
      </w:r>
      <w:r w:rsidR="009A2BED">
        <w:rPr>
          <w:rFonts w:ascii="Arial" w:eastAsiaTheme="minorHAnsi" w:hAnsi="Arial" w:cstheme="minorBidi"/>
          <w:szCs w:val="22"/>
          <w:lang w:eastAsia="en-US"/>
        </w:rPr>
        <w:t xml:space="preserve"> </w:t>
      </w:r>
      <w:r w:rsidR="00442235">
        <w:rPr>
          <w:rFonts w:ascii="Arial" w:eastAsiaTheme="minorHAnsi" w:hAnsi="Arial" w:cstheme="minorBidi"/>
          <w:szCs w:val="22"/>
          <w:lang w:eastAsia="en-US"/>
        </w:rPr>
        <w:t>However, decision-makers should be cautious as further analyses highlighted substantial sensitivity and uncertainty in the economic modelling.</w:t>
      </w:r>
    </w:p>
    <w:p w14:paraId="3947CE9B" w14:textId="77777777" w:rsidR="00FE2753" w:rsidRPr="00FE2753" w:rsidRDefault="00FE2753" w:rsidP="007E1B3B">
      <w:pPr>
        <w:pStyle w:val="paragraph"/>
        <w:spacing w:after="0" w:afterAutospacing="0" w:line="360" w:lineRule="auto"/>
        <w:textAlignment w:val="baseline"/>
        <w:rPr>
          <w:rFonts w:ascii="Arial" w:eastAsiaTheme="minorHAnsi" w:hAnsi="Arial" w:cstheme="minorBidi"/>
          <w:szCs w:val="22"/>
          <w:lang w:eastAsia="en-US"/>
        </w:rPr>
      </w:pPr>
    </w:p>
    <w:p w14:paraId="5E5F44C0" w14:textId="1338DC6E" w:rsidR="00FB0B7E" w:rsidRDefault="00FB0B7E" w:rsidP="007E1B3B">
      <w:pPr>
        <w:pStyle w:val="Heading2"/>
        <w:numPr>
          <w:ilvl w:val="1"/>
          <w:numId w:val="19"/>
        </w:numPr>
        <w:spacing w:before="0" w:line="360" w:lineRule="auto"/>
      </w:pPr>
      <w:bookmarkStart w:id="120" w:name="_Toc189229701"/>
      <w:r>
        <w:t>Introduction</w:t>
      </w:r>
      <w:bookmarkEnd w:id="120"/>
    </w:p>
    <w:p w14:paraId="565C33CF" w14:textId="5F799F85" w:rsidR="00FC6368" w:rsidRDefault="00FC6368" w:rsidP="00B36EB0">
      <w:pPr>
        <w:pStyle w:val="NoSpacing"/>
        <w:spacing w:line="360" w:lineRule="auto"/>
      </w:pPr>
      <w:r>
        <w:t xml:space="preserve">Globally, alcohol consumption is a leading risk factor for disease burden, with increased risk of mortality associated with higher levels of use </w:t>
      </w:r>
      <w:r>
        <w:fldChar w:fldCharType="begin">
          <w:fldData xml:space="preserve">PEVuZE5vdGU+PENpdGU+PEF1dGhvcj5Hcmlzd29sZDwvQXV0aG9yPjxZZWFyPjIwMTg8L1llYXI+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</w:fldData>
        </w:fldChar>
      </w:r>
      <w:r w:rsidR="00B9334F">
        <w:instrText xml:space="preserve"> ADDIN EN.CITE </w:instrText>
      </w:r>
      <w:r w:rsidR="00B9334F">
        <w:fldChar w:fldCharType="begin">
          <w:fldData xml:space="preserve">PEVuZE5vdGU+PENpdGU+PEF1dGhvcj5Hcmlzd29sZDwvQXV0aG9yPjxZZWFyPjIwMTg8L1llYXI+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</w:fldData>
        </w:fldChar>
      </w:r>
      <w:r w:rsidR="00B9334F">
        <w:instrText xml:space="preserve"> ADDIN EN.CITE.DATA </w:instrText>
      </w:r>
      <w:r w:rsidR="00B9334F">
        <w:fldChar w:fldCharType="end"/>
      </w:r>
      <w:r>
        <w:fldChar w:fldCharType="separate"/>
      </w:r>
      <w:r w:rsidR="00A77498">
        <w:rPr>
          <w:noProof/>
        </w:rPr>
        <w:t>(Griswold et al., 2018)</w:t>
      </w:r>
      <w:r>
        <w:fldChar w:fldCharType="end"/>
      </w:r>
      <w:r>
        <w:t xml:space="preserve">, and problematic use imposing a substantial social and economic burden </w:t>
      </w:r>
      <w:r>
        <w:fldChar w:fldCharType="begin">
          <w:fldData xml:space="preserve">PEVuZE5vdGU+PENpdGU+PEF1dGhvcj5MYXJhbcOpZTwvQXV0aG9yPjxZZWFyPjIwMTM8L1llYXI+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</w:fldData>
        </w:fldChar>
      </w:r>
      <w:r w:rsidR="00B9334F">
        <w:instrText xml:space="preserve"> ADDIN EN.CITE </w:instrText>
      </w:r>
      <w:r w:rsidR="00B9334F">
        <w:fldChar w:fldCharType="begin">
          <w:fldData xml:space="preserve">PEVuZE5vdGU+PENpdGU+PEF1dGhvcj5MYXJhbcOpZTwvQXV0aG9yPjxZZWFyPjIwMTM8L1llYXI+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</w:fldData>
        </w:fldChar>
      </w:r>
      <w:r w:rsidR="00B9334F">
        <w:instrText xml:space="preserve"> ADDIN EN.CITE.DATA </w:instrText>
      </w:r>
      <w:r w:rsidR="00B9334F">
        <w:fldChar w:fldCharType="end"/>
      </w:r>
      <w:r>
        <w:fldChar w:fldCharType="separate"/>
      </w:r>
      <w:r w:rsidR="003C6F70">
        <w:rPr>
          <w:noProof/>
        </w:rPr>
        <w:t>(Laramée et al., 2013; Manthey et al., 2021)</w:t>
      </w:r>
      <w:r>
        <w:fldChar w:fldCharType="end"/>
      </w:r>
      <w:r>
        <w:t xml:space="preserve">. Alcohol use disorder (AUD) among parents and carers is associated with poor outcomes not just for the individuals, but also their partners </w:t>
      </w:r>
      <w:r>
        <w:fldChar w:fldCharType="begin"/>
      </w:r>
      <w:r w:rsidR="00B9334F">
        <w:instrText xml:space="preserve"> ADDIN EN.CITE &lt;EndNote&gt;&lt;Cite&gt;&lt;Author&gt;Shorter&lt;/Author&gt;&lt;Year&gt;2023&lt;/Year&gt;&lt;RecNum&gt;215&lt;/RecNum&gt;&lt;DisplayText&gt;(Shorter et al., 2023)&lt;/DisplayText&gt;&lt;record&gt;&lt;rec-number&gt;215&lt;/rec-number&gt;&lt;foreign-keys&gt;&lt;key app="EN" db-id="ffzvr5fstavwxoe9v04xf0wmp5t50as52da0" timestamp="1731671649" guid="6eadb514-110d-4696-9fd4-3148e28e8f6a"&gt;215&lt;/key&gt;&lt;/foreign-keys&gt;&lt;ref-type name="Journal Article"&gt;17&lt;/ref-type&gt;&lt;contributors&gt;&lt;authors&gt;&lt;author&gt;Shorter, G. W.&lt;/author&gt;&lt;author&gt;Campbell, K. B. D.&lt;/author&gt;&lt;author&gt;Miller, N. M.&lt;/author&gt;&lt;author&gt;Epton, T.&lt;/author&gt;&lt;author&gt;O’Hara, L.&lt;/author&gt;&lt;author&gt;Millen, S.&lt;/author&gt;&lt;author&gt;Gunnarsson, K. Ulfsdotter&lt;/author&gt;&lt;author&gt;Berry, E.&lt;/author&gt;&lt;author&gt;Bendtsen, M.&lt;/author&gt;&lt;/authors&gt;&lt;/contributors&gt;&lt;titles&gt;&lt;title&gt;Few Interventions Support the Affected Other on Their Own: a Systematic Review of Individual Level Psychosocial Interventions to Support Those Harmed by Others’ Alcohol Use&lt;/title&gt;&lt;secondary-title&gt;International Journal of Mental Health and Addiction&lt;/secondary-title&gt;&lt;/titles&gt;&lt;periodical&gt;&lt;full-title&gt;International Journal of Mental Health and Addiction&lt;/full-title&gt;&lt;/periodical&gt;&lt;dates&gt;&lt;year&gt;2023&lt;/year&gt;&lt;pub-dates&gt;&lt;date&gt;2023/05/22&lt;/date&gt;&lt;/pub-dates&gt;&lt;/dates&gt;&lt;isbn&gt;1557-1882&lt;/isbn&gt;&lt;urls&gt;&lt;related-urls&gt;&lt;url&gt;https://doi.org/10.1007/s11469-023-01065-3&lt;/url&gt;&lt;/related-urls&gt;&lt;/urls&gt;&lt;electronic-resource-num&gt;10.1007/s11469-023-01065-3&lt;/electronic-resource-num&gt;&lt;/record&gt;&lt;/Cite&gt;&lt;/EndNote&gt;</w:instrText>
      </w:r>
      <w:r>
        <w:fldChar w:fldCharType="separate"/>
      </w:r>
      <w:r w:rsidR="00A77498">
        <w:rPr>
          <w:noProof/>
        </w:rPr>
        <w:t>(Shorter et al., 2023)</w:t>
      </w:r>
      <w:r>
        <w:fldChar w:fldCharType="end"/>
      </w:r>
      <w:r>
        <w:t xml:space="preserve"> and their children </w:t>
      </w:r>
      <w:r>
        <w:fldChar w:fldCharType="begin">
          <w:fldData xml:space="preserve">PEVuZE5vdGU+PENpdGU+PEF1dGhvcj5IdWdoZXM8L0F1dGhvcj48WWVhcj4yMDE3PC9ZZWFyPjxS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=
</w:fldData>
        </w:fldChar>
      </w:r>
      <w:r w:rsidR="00B9334F">
        <w:instrText xml:space="preserve"> ADDIN EN.CITE </w:instrText>
      </w:r>
      <w:r w:rsidR="00B9334F">
        <w:fldChar w:fldCharType="begin">
          <w:fldData xml:space="preserve">PEVuZE5vdGU+PENpdGU+PEF1dGhvcj5IdWdoZXM8L0F1dGhvcj48WWVhcj4yMDE3PC9ZZWFyPjxS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=
</w:fldData>
        </w:fldChar>
      </w:r>
      <w:r w:rsidR="00B9334F">
        <w:instrText xml:space="preserve"> ADDIN EN.CITE.DATA </w:instrText>
      </w:r>
      <w:r w:rsidR="00B9334F">
        <w:fldChar w:fldCharType="end"/>
      </w:r>
      <w:r>
        <w:fldChar w:fldCharType="separate"/>
      </w:r>
      <w:r w:rsidR="00A77498">
        <w:rPr>
          <w:noProof/>
        </w:rPr>
        <w:t>(Hughes et al., 2017)</w:t>
      </w:r>
      <w:r>
        <w:fldChar w:fldCharType="end"/>
      </w:r>
      <w:r>
        <w:t xml:space="preserve">. Adverse outcomes for children can continue through to adulthood, including children themselves developing future problems with alcohol </w:t>
      </w:r>
      <w:r>
        <w:fldChar w:fldCharType="begin"/>
      </w:r>
      <w:r w:rsidR="00B9334F">
        <w:instrText xml:space="preserve"> ADDIN EN.CITE &lt;EndNote&gt;&lt;Cite&gt;&lt;Author&gt;Anda&lt;/Author&gt;&lt;Year&gt;2002&lt;/Year&gt;&lt;RecNum&gt;214&lt;/RecNum&gt;&lt;DisplayText&gt;(Anda et al., 2002)&lt;/DisplayText&gt;&lt;record&gt;&lt;rec-number&gt;214&lt;/rec-number&gt;&lt;foreign-keys&gt;&lt;key app="EN" db-id="ffzvr5fstavwxoe9v04xf0wmp5t50as52da0" timestamp="1731671649" guid="29963dfa-5f20-4e03-8e18-c894116da694"&gt;214&lt;/key&gt;&lt;/foreign-keys&gt;&lt;ref-type name="Journal Article"&gt;17&lt;/ref-type&gt;&lt;contributors&gt;&lt;authors&gt;&lt;author&gt;Anda, R. F.&lt;/author&gt;&lt;author&gt;Whitfield, C. L.&lt;/author&gt;&lt;author&gt;Felitti, V. J.&lt;/author&gt;&lt;author&gt;Chapman, D.&lt;/author&gt;&lt;author&gt;Edwards, V. J.&lt;/author&gt;&lt;author&gt;Dube, S. R.&lt;/author&gt;&lt;author&gt;Williamson, D. F.&lt;/author&gt;&lt;/authors&gt;&lt;/contributors&gt;&lt;auth-address&gt;National Center for Chronic Disease Prevention and Health Promotion, Centers for Disease Control and Prevention, Atlanta, GA 30341, USA.&lt;/auth-address&gt;&lt;titles&gt;&lt;title&gt;Adverse childhood experiences, alcoholic parents, and later risk of alcoholism and depression&lt;/title&gt;&lt;secondary-title&gt;Psychiatr Serv&lt;/secondary-title&gt;&lt;/titles&gt;&lt;periodical&gt;&lt;full-title&gt;Psychiatr Serv&lt;/full-title&gt;&lt;/periodical&gt;&lt;pages&gt;1001-9&lt;/pages&gt;&lt;volume&gt;53&lt;/volume&gt;&lt;number&gt;8&lt;/number&gt;&lt;keywords&gt;&lt;keyword&gt;Adult&lt;/keyword&gt;&lt;keyword&gt;Alcoholism/*epidemiology/psychology&lt;/keyword&gt;&lt;keyword&gt;Child&lt;/keyword&gt;&lt;keyword&gt;Child of Impaired Parents/*psychology/*statistics &amp;amp; numerical data&lt;/keyword&gt;&lt;keyword&gt;Depressive Disorder, Major/*epidemiology/psychology&lt;/keyword&gt;&lt;keyword&gt;Female&lt;/keyword&gt;&lt;keyword&gt;Humans&lt;/keyword&gt;&lt;keyword&gt;Male&lt;/keyword&gt;&lt;keyword&gt;Middle Aged&lt;/keyword&gt;&lt;keyword&gt;*Parent-Child Relations&lt;/keyword&gt;&lt;keyword&gt;Retrospective Studies&lt;/keyword&gt;&lt;keyword&gt;Risk Factors&lt;/keyword&gt;&lt;/keywords&gt;&lt;dates&gt;&lt;year&gt;2002&lt;/year&gt;&lt;pub-dates&gt;&lt;date&gt;Aug&lt;/date&gt;&lt;/pub-dates&gt;&lt;/dates&gt;&lt;isbn&gt;1075-2730 (Print)&amp;#xD;1075-2730&lt;/isbn&gt;&lt;accession-num&gt;12161676&lt;/accession-num&gt;&lt;urls&gt;&lt;/urls&gt;&lt;electronic-resource-num&gt;10.1176/appi.ps.53.8.1001&lt;/electronic-resource-num&gt;&lt;remote-database-provider&gt;NLM&lt;/remote-database-provider&gt;&lt;language&gt;eng&lt;/language&gt;&lt;/record&gt;&lt;/Cite&gt;&lt;/EndNote&gt;</w:instrText>
      </w:r>
      <w:r>
        <w:fldChar w:fldCharType="separate"/>
      </w:r>
      <w:r w:rsidR="00A77498">
        <w:rPr>
          <w:noProof/>
        </w:rPr>
        <w:t>(Anda et al., 2002)</w:t>
      </w:r>
      <w:r>
        <w:fldChar w:fldCharType="end"/>
      </w:r>
      <w:r>
        <w:t xml:space="preserve">. Families are more likely to be involved with child welfare services and family courts </w:t>
      </w:r>
      <w:r>
        <w:fldChar w:fldCharType="begin"/>
      </w:r>
      <w:r w:rsidR="00B9334F">
        <w:instrText xml:space="preserve"> ADDIN EN.CITE &lt;EndNote&gt;&lt;Cite&gt;&lt;Author&gt;Harwin&lt;/Author&gt;&lt;Year&gt;2018&lt;/Year&gt;&lt;RecNum&gt;129&lt;/RecNum&gt;&lt;DisplayText&gt;(Harwin et al., 2018)&lt;/DisplayText&gt;&lt;record&gt;&lt;rec-number&gt;129&lt;/rec-number&gt;&lt;foreign-keys&gt;&lt;key app="EN" db-id="ffzvr5fstavwxoe9v04xf0wmp5t50as52da0" timestamp="1731671644" guid="259767b3-d958-40d0-9988-51a47e1a3d05"&gt;129&lt;/key&gt;&lt;/foreign-keys&gt;&lt;ref-type name="Journal Article"&gt;17&lt;/ref-type&gt;&lt;contributors&gt;&lt;authors&gt;&lt;author&gt;Harwin, Judith&lt;/author&gt;&lt;author&gt;Alrouh, Bachar&lt;/author&gt;&lt;author&gt;Broadhurst, Karen&lt;/author&gt;&lt;author&gt;McQuarrie, Tricia&lt;/author&gt;&lt;author&gt;Golding, Lily&lt;/author&gt;&lt;author&gt;Ryan, Mary&lt;/author&gt;&lt;/authors&gt;&lt;/contributors&gt;&lt;titles&gt;&lt;title&gt;Child and Parent Outcomes in the London Family Drug and Alcohol Court Five Years On: Building on International Evidence&lt;/title&gt;&lt;secondary-title&gt;International Journal of Law, Policy and the Family&lt;/secondary-title&gt;&lt;/titles&gt;&lt;periodical&gt;&lt;full-title&gt;International Journal of Law, Policy and the Family&lt;/full-title&gt;&lt;/periodical&gt;&lt;pages&gt;1-30&lt;/pages&gt;&lt;number&gt;0&lt;/number&gt;&lt;dates&gt;&lt;year&gt;2018&lt;/year&gt;&lt;/dates&gt;&lt;isbn&gt;1360-9939&lt;/isbn&gt;&lt;urls&gt;&lt;related-urls&gt;&lt;url&gt;&lt;style face="underline" font="default" size="100%"&gt;http://dx.doi.org/10.1093/lawfam/eby006&lt;/style&gt;&lt;/url&gt;&lt;/related-urls&gt;&lt;/urls&gt;&lt;electronic-resource-num&gt;10.1093/lawfam/eby006&lt;/electronic-resource-num&gt;&lt;/record&gt;&lt;/Cite&gt;&lt;/EndNote&gt;</w:instrText>
      </w:r>
      <w:r>
        <w:fldChar w:fldCharType="separate"/>
      </w:r>
      <w:r w:rsidR="00A77498">
        <w:rPr>
          <w:noProof/>
        </w:rPr>
        <w:t>(Harwin et al., 2018)</w:t>
      </w:r>
      <w:r>
        <w:fldChar w:fldCharType="end"/>
      </w:r>
      <w:r>
        <w:t xml:space="preserve"> and children are more likely to have behavioural problems </w:t>
      </w:r>
      <w:r>
        <w:fldChar w:fldCharType="begin">
          <w:fldData xml:space="preserve">PEVuZE5vdGU+PENpdGU+PEF1dGhvcj5IdXE8L0F1dGhvcj48WWVhcj4yMDIxPC9ZZWFyPjxSZWNO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</w:fldData>
        </w:fldChar>
      </w:r>
      <w:r w:rsidR="00B9334F">
        <w:instrText xml:space="preserve"> ADDIN EN.CITE </w:instrText>
      </w:r>
      <w:r w:rsidR="00B9334F">
        <w:fldChar w:fldCharType="begin">
          <w:fldData xml:space="preserve">PEVuZE5vdGU+PENpdGU+PEF1dGhvcj5IdXE8L0F1dGhvcj48WWVhcj4yMDIxPC9ZZWFyPjxSZWNO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</w:fldData>
        </w:fldChar>
      </w:r>
      <w:r w:rsidR="00B9334F">
        <w:instrText xml:space="preserve"> ADDIN EN.CITE.DATA </w:instrText>
      </w:r>
      <w:r w:rsidR="00B9334F">
        <w:fldChar w:fldCharType="end"/>
      </w:r>
      <w:r>
        <w:fldChar w:fldCharType="separate"/>
      </w:r>
      <w:r w:rsidR="00A77498">
        <w:rPr>
          <w:noProof/>
        </w:rPr>
        <w:t>(Huq et al., 2021)</w:t>
      </w:r>
      <w:r>
        <w:fldChar w:fldCharType="end"/>
      </w:r>
      <w:r>
        <w:t xml:space="preserve"> thereby requiring more support from schools. </w:t>
      </w:r>
    </w:p>
    <w:p w14:paraId="42BEF09A" w14:textId="77777777" w:rsidR="009C2BE4" w:rsidRDefault="009C2BE4" w:rsidP="00FC6368">
      <w:pPr>
        <w:pStyle w:val="NoSpacing"/>
        <w:spacing w:line="360" w:lineRule="auto"/>
      </w:pPr>
    </w:p>
    <w:p w14:paraId="72296624" w14:textId="36781ED3" w:rsidR="009C2BE4" w:rsidRDefault="009C2BE4" w:rsidP="009C2BE4">
      <w:pPr>
        <w:pStyle w:val="NoSpacing"/>
        <w:spacing w:line="360" w:lineRule="auto"/>
      </w:pPr>
      <w:r>
        <w:t>In England, between 2019 and 2020, around 121,000 parents/ carers were estimated to have an AUD, or 2.7 per 1,000 population. Around 223,000 children were estimated to be living with an adult with an AUD</w:t>
      </w:r>
      <w:r w:rsidR="005E2CDE">
        <w:t xml:space="preserve"> </w:t>
      </w:r>
      <w:r w:rsidR="005E2CDE">
        <w:fldChar w:fldCharType="begin"/>
      </w:r>
      <w:r w:rsidR="00B9334F">
        <w:instrText xml:space="preserve"> ADDIN EN.CITE &lt;EndNote&gt;&lt;Cite&gt;&lt;Author&gt;OHID and The University of Manchester&lt;/Author&gt;&lt;Year&gt;2024&lt;/Year&gt;&lt;RecNum&gt;241&lt;/RecNum&gt;&lt;DisplayText&gt;(OHID and The University of Manchester, 2024)&lt;/DisplayText&gt;&lt;record&gt;&lt;rec-number&gt;241&lt;/rec-number&gt;&lt;foreign-keys&gt;&lt;key app="EN" db-id="ffzvr5fstavwxoe9v04xf0wmp5t50as52da0" timestamp="1731671651" guid="c498f626-f574-4d8d-ae01-ee1408eca1d0"&gt;241&lt;/key&gt;&lt;/foreign-keys&gt;&lt;ref-type name="Web Page"&gt;12&lt;/ref-type&gt;&lt;contributors&gt;&lt;authors&gt;&lt;author&gt;OHID and The University of Manchester,&lt;/author&gt;&lt;/authors&gt;&lt;/contributors&gt;&lt;titles&gt;&lt;title&gt;NDTMS - National Drug Treatment Monitoring System. Restricted section.&lt;/title&gt;&lt;/titles&gt;&lt;number&gt;01/04/2024&lt;/number&gt;&lt;dates&gt;&lt;year&gt;2024&lt;/year&gt;&lt;/dates&gt;&lt;publisher&gt;Office for Health Improvement and Disparities&lt;/publisher&gt;&lt;urls&gt;&lt;related-urls&gt;&lt;url&gt;https://www.ndtms.net/&lt;/url&gt;&lt;/related-urls&gt;&lt;/urls&gt;&lt;/record&gt;&lt;/Cite&gt;&lt;/EndNote&gt;</w:instrText>
      </w:r>
      <w:r w:rsidR="005E2CDE">
        <w:fldChar w:fldCharType="separate"/>
      </w:r>
      <w:r w:rsidR="00A77498">
        <w:rPr>
          <w:noProof/>
        </w:rPr>
        <w:t>(OHID and The University of Manchester, 2024)</w:t>
      </w:r>
      <w:r w:rsidR="005E2CDE">
        <w:fldChar w:fldCharType="end"/>
      </w:r>
      <w:r>
        <w:t xml:space="preserve">. Children of women who drank alcohol throughout their pregnancy may be born with foetal alcohol spectrum disorder (FASD) – an umbrella term used to describe a wide range of lifelong health conditions and disabilities – which has an estimated annual cost of over £2 billion in the UK </w:t>
      </w:r>
      <w:r>
        <w:fldChar w:fldCharType="begin"/>
      </w:r>
      <w:r w:rsidR="00B9334F">
        <w:instrText xml:space="preserve"> ADDIN EN.CITE &lt;EndNote&gt;&lt;Cite&gt;&lt;Author&gt;Schölin&lt;/Author&gt;&lt;Year&gt;2021&lt;/Year&gt;&lt;RecNum&gt;216&lt;/RecNum&gt;&lt;DisplayText&gt;(Schölin et al., 2021)&lt;/DisplayText&gt;&lt;record&gt;&lt;rec-number&gt;216&lt;/rec-number&gt;&lt;foreign-keys&gt;&lt;key app="EN" db-id="ffzvr5fstavwxoe9v04xf0wmp5t50as52da0" timestamp="1731671649" guid="e45f8956-6c09-4865-97d3-42cebe9b8f21"&gt;216&lt;/key&gt;&lt;/foreign-keys&gt;&lt;ref-type name="Journal Article"&gt;17&lt;/ref-type&gt;&lt;contributors&gt;&lt;authors&gt;&lt;author&gt;Lisa Schölin&lt;/author&gt;&lt;author&gt;Raja A S Mukherjee&lt;/author&gt;&lt;author&gt;Neil Aiton&lt;/author&gt;&lt;author&gt;Carolyn Blackburn&lt;/author&gt;&lt;author&gt;Sarah Brown&lt;/author&gt;&lt;author&gt;Kate M Flemming&lt;/author&gt;&lt;author&gt;Paul R Gard&lt;/author&gt;&lt;author&gt;Helen Howlett&lt;/author&gt;&lt;author&gt;Moira Plant&lt;/author&gt;&lt;author&gt;Alan D Price&lt;/author&gt;&lt;author&gt;Jennifer Shields&lt;/author&gt;&lt;author&gt;Lesley A Smith&lt;/author&gt;&lt;author&gt;Michael Suttie&lt;/author&gt;&lt;author&gt;David C Zammitt&lt;/author&gt;&lt;author&gt;Penny A Cook&lt;/author&gt;&lt;/authors&gt;&lt;/contributors&gt;&lt;titles&gt;&lt;title&gt;Fetal alcohol spectrum disorders: an overview of current evidence and activities in the UK&lt;/title&gt;&lt;secondary-title&gt;Archives of Disease in Childhood&lt;/secondary-title&gt;&lt;/titles&gt;&lt;periodical&gt;&lt;full-title&gt;Archives of Disease in Childhood&lt;/full-title&gt;&lt;/periodical&gt;&lt;pages&gt;636-640&lt;/pages&gt;&lt;volume&gt;106&lt;/volume&gt;&lt;number&gt;7&lt;/number&gt;&lt;dates&gt;&lt;year&gt;2021&lt;/year&gt;&lt;/dates&gt;&lt;urls&gt;&lt;related-urls&gt;&lt;url&gt;https://adc.bmj.com/content/archdischild/106/7/636.full.pdf&lt;/url&gt;&lt;/related-urls&gt;&lt;/urls&gt;&lt;electronic-resource-num&gt;10.1136/archdischild-2020-320435&lt;/electronic-resource-num&gt;&lt;/record&gt;&lt;/Cite&gt;&lt;/EndNote&gt;</w:instrText>
      </w:r>
      <w:r>
        <w:fldChar w:fldCharType="separate"/>
      </w:r>
      <w:r w:rsidR="00A77498">
        <w:rPr>
          <w:noProof/>
        </w:rPr>
        <w:t>(Schölin et al., 2021)</w:t>
      </w:r>
      <w:r>
        <w:fldChar w:fldCharType="end"/>
      </w:r>
      <w:r>
        <w:t xml:space="preserve">. Estimates suggest that parental alcohol use experienced in childhood is associated with annual costs of £17 billion respectively in adulthood from lost productivity (due to premature death or morbidity) in England </w:t>
      </w:r>
      <w:r>
        <w:fldChar w:fldCharType="begin"/>
      </w:r>
      <w:r w:rsidR="00B9334F">
        <w:instrText xml:space="preserve"> ADDIN EN.CITE &lt;EndNote&gt;&lt;Cite&gt;&lt;Author&gt;Hughes&lt;/Author&gt;&lt;Year&gt;2020&lt;/Year&gt;&lt;RecNum&gt;284&lt;/RecNum&gt;&lt;DisplayText&gt;(Hughes et al., 2020)&lt;/DisplayText&gt;&lt;record&gt;&lt;rec-number&gt;284&lt;/rec-number&gt;&lt;foreign-keys&gt;&lt;key app="EN" db-id="ffzvr5fstavwxoe9v04xf0wmp5t50as52da0" timestamp="1731671654" guid="914a0f91-87fc-4562-9ca1-174ac32f7632"&gt;284&lt;/key&gt;&lt;/foreign-keys&gt;&lt;ref-type name="Journal Article"&gt;17&lt;/ref-type&gt;&lt;contributors&gt;&lt;authors&gt;&lt;author&gt;Karen Hughes&lt;/author&gt;&lt;author&gt;Kat Ford&lt;/author&gt;&lt;author&gt;Rajendra Kadel&lt;/author&gt;&lt;author&gt;Catherine A Sharp&lt;/author&gt;&lt;author&gt;Mark A Bellis&lt;/author&gt;&lt;/authors&gt;&lt;/contributors&gt;&lt;titles&gt;&lt;title&gt;Health and financial burden of adverse childhood experiences in England and Wales: A combined primary data study of five surveys&lt;/title&gt;&lt;secondary-title&gt;BMJ Open&lt;/secondary-title&gt;&lt;/titles&gt;&lt;periodical&gt;&lt;full-title&gt;BMJ Open&lt;/full-title&gt;&lt;/periodical&gt;&lt;pages&gt;e036374&lt;/pages&gt;&lt;volume&gt;10&lt;/volume&gt;&lt;number&gt;6&lt;/number&gt;&lt;dates&gt;&lt;year&gt;2020&lt;/year&gt;&lt;/dates&gt;&lt;urls&gt;&lt;related-urls&gt;&lt;url&gt;https://bmjopen.bmj.com/content/bmjopen/10/6/e036374.full.pdf&lt;/url&gt;&lt;/related-urls&gt;&lt;/urls&gt;&lt;electronic-resource-num&gt;10.1136/bmjopen-2019-036374&lt;/electronic-resource-num&gt;&lt;/record&gt;&lt;/Cite&gt;&lt;/EndNote&gt;</w:instrText>
      </w:r>
      <w:r>
        <w:fldChar w:fldCharType="separate"/>
      </w:r>
      <w:r w:rsidR="00A77498">
        <w:rPr>
          <w:noProof/>
        </w:rPr>
        <w:t>(Hughes et al., 2020)</w:t>
      </w:r>
      <w:r>
        <w:fldChar w:fldCharType="end"/>
      </w:r>
      <w:r>
        <w:t xml:space="preserve">. </w:t>
      </w:r>
    </w:p>
    <w:p w14:paraId="3940698A" w14:textId="77777777" w:rsidR="009C2BE4" w:rsidRDefault="009C2BE4" w:rsidP="009C2BE4">
      <w:pPr>
        <w:pStyle w:val="NoSpacing"/>
        <w:spacing w:line="360" w:lineRule="auto"/>
      </w:pPr>
    </w:p>
    <w:p w14:paraId="771DB3B6" w14:textId="135F158B" w:rsidR="009C2BE4" w:rsidRDefault="009C2BE4" w:rsidP="009C2BE4">
      <w:pPr>
        <w:pStyle w:val="NoSpacing"/>
        <w:spacing w:line="360" w:lineRule="auto"/>
      </w:pPr>
      <w:r>
        <w:t xml:space="preserve">In their Cochrane systematic review and meta-analysis, </w:t>
      </w:r>
      <w:r>
        <w:fldChar w:fldCharType="begin"/>
      </w:r>
      <w:r w:rsidR="00B9334F">
        <w:instrText xml:space="preserve"> ADDIN EN.CITE &lt;EndNote&gt;&lt;Cite AuthorYear="1"&gt;&lt;Author&gt;McGovern&lt;/Author&gt;&lt;Year&gt;2022&lt;/Year&gt;&lt;RecNum&gt;308&lt;/RecNum&gt;&lt;DisplayText&gt;McGovern et al. (2022)&lt;/DisplayText&gt;&lt;record&gt;&lt;rec-number&gt;308&lt;/rec-number&gt;&lt;foreign-keys&gt;&lt;key app="EN" db-id="ffzvr5fstavwxoe9v04xf0wmp5t50as52da0" timestamp="1731671657" guid="15065f83-c817-43c0-aa4a-cb6177f78e46"&gt;308&lt;/key&gt;&lt;/foreign-keys&gt;&lt;ref-type name="Journal Article"&gt;17&lt;/ref-type&gt;&lt;contributors&gt;&lt;authors&gt;&lt;author&gt;McGovern, Ruth&lt;/author&gt;&lt;author&gt;Newham, James&lt;/author&gt;&lt;author&gt;Addison, Michelle&lt;/author&gt;&lt;author&gt;Hickman, Matt&lt;/author&gt;&lt;author&gt;Kaner, Eileen&lt;/author&gt;&lt;/authors&gt;&lt;/contributors&gt;&lt;titles&gt;&lt;title&gt;The effectiveness of psychosocial interventions at reducing the frequency of alcohol and drug use in parents: findings of a Cochrane Review and meta-analyses&lt;/title&gt;&lt;secondary-title&gt;Addiction&lt;/secondary-title&gt;&lt;/titles&gt;&lt;periodical&gt;&lt;full-title&gt;Addiction&lt;/full-title&gt;&lt;/periodical&gt;&lt;pages&gt;2571-2582&lt;/pages&gt;&lt;volume&gt;117&lt;/volume&gt;&lt;number&gt;10&lt;/number&gt;&lt;dates&gt;&lt;year&gt;2022&lt;/year&gt;&lt;/dates&gt;&lt;isbn&gt;0965-2140&lt;/isbn&gt;&lt;urls&gt;&lt;related-urls&gt;&lt;url&gt;https://onlinelibrary.wiley.com/doi/abs/10.1111/add.15846&lt;/url&gt;&lt;/related-urls&gt;&lt;/urls&gt;&lt;electronic-resource-num&gt;https://doi.org/10.1111/add.15846&lt;/electronic-resource-num&gt;&lt;/record&gt;&lt;/Cite&gt;&lt;/EndNote&gt;</w:instrText>
      </w:r>
      <w:r>
        <w:fldChar w:fldCharType="separate"/>
      </w:r>
      <w:r w:rsidR="00A77498">
        <w:rPr>
          <w:noProof/>
        </w:rPr>
        <w:t>McGovern et al. (2022)</w:t>
      </w:r>
      <w:r>
        <w:fldChar w:fldCharType="end"/>
      </w:r>
      <w:r>
        <w:t xml:space="preserve"> found moderate-quality evidence that treatment, in the form of psychosocial interventions tailored to parents, were more effective at reducing the frequency of alcohol (and drug) use among parents at 6 and 12 month follow-ups than usual care </w:t>
      </w:r>
      <w:r>
        <w:lastRenderedPageBreak/>
        <w:t xml:space="preserve">or other comparison conditions. Psychosocial treatment </w:t>
      </w:r>
      <w:r w:rsidR="00545D7B">
        <w:t>plus</w:t>
      </w:r>
      <w:r>
        <w:t xml:space="preserve"> parenting and/or </w:t>
      </w:r>
      <w:r w:rsidR="00911C88">
        <w:t xml:space="preserve">family </w:t>
      </w:r>
      <w:r>
        <w:t>functioning were more effective at reducing the frequency of parental alcohol (or drug) use compared with interventions that either targeted just alcohol (or drug) use or just parenting. However, the evidence to support this was rated very low</w:t>
      </w:r>
      <w:r w:rsidR="00960A9E">
        <w:t xml:space="preserve"> to </w:t>
      </w:r>
      <w:r>
        <w:t>low by the authors.</w:t>
      </w:r>
    </w:p>
    <w:p w14:paraId="4984527D" w14:textId="77777777" w:rsidR="009C2BE4" w:rsidRDefault="009C2BE4" w:rsidP="009C2BE4">
      <w:pPr>
        <w:pStyle w:val="NoSpacing"/>
        <w:spacing w:line="360" w:lineRule="auto"/>
      </w:pPr>
    </w:p>
    <w:p w14:paraId="745D6B89" w14:textId="41CA3B41" w:rsidR="009C2BE4" w:rsidRDefault="009C2BE4" w:rsidP="009C2BE4">
      <w:pPr>
        <w:pStyle w:val="NoSpacing"/>
        <w:spacing w:line="360" w:lineRule="auto"/>
      </w:pPr>
      <w:r>
        <w:t xml:space="preserve">Previous work by the research team </w:t>
      </w:r>
      <w:r>
        <w:fldChar w:fldCharType="begin"/>
      </w:r>
      <w:r w:rsidR="00B9334F">
        <w:instrText xml:space="preserve"> ADDIN EN.CITE &lt;EndNote&gt;&lt;Cite&gt;&lt;Author&gt;Musto Wright&lt;/Author&gt;&lt;Year&gt;2024&lt;/Year&gt;&lt;RecNum&gt;297&lt;/RecNum&gt;&lt;DisplayText&gt;(Musto Wright et al., 2024b)&lt;/DisplayText&gt;&lt;record&gt;&lt;rec-number&gt;297&lt;/rec-number&gt;&lt;foreign-keys&gt;&lt;key app="EN" db-id="ffzvr5fstavwxoe9v04xf0wmp5t50as52da0" timestamp="1731671657" guid="374df23f-bbff-422b-bb98-43e741de65b5"&gt;297&lt;/key&gt;&lt;/foreign-keys&gt;&lt;ref-type name="Journal Article"&gt;17&lt;/ref-type&gt;&lt;contributors&gt;&lt;authors&gt;&lt;author&gt;Musto Wright, V.&lt;/author&gt;&lt;author&gt;Eastwood, B.&lt;/author&gt;&lt;author&gt;Meier, P&lt;/author&gt;&lt;author&gt;Brennan, A&lt;/author&gt;&lt;/authors&gt;&lt;/contributors&gt;&lt;titles&gt;&lt;title&gt;Do parenting or child welfare support interventions improve alcohol and drug treatment completions among parents with a substance use disorder? A quasi-experimental study using generalized boosted models.&lt;/title&gt;&lt;secondary-title&gt;Manuscript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fldChar w:fldCharType="separate"/>
      </w:r>
      <w:r w:rsidR="00A77498">
        <w:rPr>
          <w:noProof/>
        </w:rPr>
        <w:t>(Musto Wright et al., 2024b)</w:t>
      </w:r>
      <w:r>
        <w:fldChar w:fldCharType="end"/>
      </w:r>
      <w:r>
        <w:t xml:space="preserve"> used a quasi-experimental approach to estimate the effectiveness of treatment for substance use disorder </w:t>
      </w:r>
      <w:r w:rsidR="00545D7B">
        <w:t>plus</w:t>
      </w:r>
      <w:r>
        <w:t xml:space="preserve"> targeted prevention and statutory child welfare interventions compared with treatment alone in England. We found that compared with treatment </w:t>
      </w:r>
      <w:r w:rsidR="008D7698">
        <w:t>only</w:t>
      </w:r>
      <w:r>
        <w:t xml:space="preserve">, integrated treatment </w:t>
      </w:r>
      <w:r w:rsidR="008D7698">
        <w:t>with</w:t>
      </w:r>
      <w:r>
        <w:t xml:space="preserve"> parenting and/or </w:t>
      </w:r>
      <w:r w:rsidR="008D7698">
        <w:t xml:space="preserve">family </w:t>
      </w:r>
      <w:r>
        <w:t xml:space="preserve">recovery support is not received by many parents in the English treatment system, but this </w:t>
      </w:r>
      <w:r w:rsidR="008D7698">
        <w:t>intervention</w:t>
      </w:r>
      <w:r>
        <w:t xml:space="preserve"> strategy was associated with </w:t>
      </w:r>
      <w:r w:rsidR="00D3156E">
        <w:t xml:space="preserve">strongly significant </w:t>
      </w:r>
      <w:r>
        <w:t xml:space="preserve">higher average treatment effects (in terms of probability of successful completion of treatment) for all non-opiate and/or alcohol using </w:t>
      </w:r>
      <w:r w:rsidR="00C70436">
        <w:t xml:space="preserve">parent </w:t>
      </w:r>
      <w:r>
        <w:t xml:space="preserve">subgroups irrespective of sex and child living arrangements, </w:t>
      </w:r>
      <w:r w:rsidR="006A766C">
        <w:t>as well as</w:t>
      </w:r>
      <w:r>
        <w:t xml:space="preserve"> </w:t>
      </w:r>
      <w:r w:rsidR="00D3156E">
        <w:t>one</w:t>
      </w:r>
      <w:r>
        <w:t xml:space="preserve"> opiate </w:t>
      </w:r>
      <w:r w:rsidR="00907C58">
        <w:t xml:space="preserve">using </w:t>
      </w:r>
      <w:r w:rsidR="00D3156E">
        <w:t>subgroup</w:t>
      </w:r>
      <w:r>
        <w:t xml:space="preserve">. </w:t>
      </w:r>
    </w:p>
    <w:p w14:paraId="3EF356B6" w14:textId="77777777" w:rsidR="009C2BE4" w:rsidRDefault="009C2BE4" w:rsidP="009C2BE4">
      <w:pPr>
        <w:pStyle w:val="NoSpacing"/>
        <w:spacing w:line="360" w:lineRule="auto"/>
      </w:pPr>
    </w:p>
    <w:p w14:paraId="346CBEB7" w14:textId="47B27AB3" w:rsidR="003F664C" w:rsidRPr="004E65B3" w:rsidRDefault="00F22B78" w:rsidP="009C2BE4">
      <w:pPr>
        <w:pStyle w:val="NoSpacing"/>
        <w:spacing w:line="360" w:lineRule="auto"/>
      </w:pPr>
      <w:r w:rsidRPr="004E65B3">
        <w:t xml:space="preserve">One study </w:t>
      </w:r>
      <w:r w:rsidR="008B4613">
        <w:t>–</w:t>
      </w:r>
      <w:r w:rsidR="00681A69" w:rsidRPr="004E65B3">
        <w:t xml:space="preserve"> </w:t>
      </w:r>
      <w:r w:rsidR="008B4613">
        <w:t xml:space="preserve">the </w:t>
      </w:r>
      <w:r w:rsidR="00681A69" w:rsidRPr="004E65B3">
        <w:t xml:space="preserve">UK alcohol treatment trial (UKATT) - </w:t>
      </w:r>
      <w:r w:rsidRPr="004E65B3">
        <w:t xml:space="preserve">has analysed </w:t>
      </w:r>
      <w:r w:rsidR="00886DED" w:rsidRPr="004E65B3">
        <w:t xml:space="preserve">the </w:t>
      </w:r>
      <w:r w:rsidR="002967F6" w:rsidRPr="004E65B3">
        <w:t xml:space="preserve">cost-effectiveness of </w:t>
      </w:r>
      <w:r w:rsidR="00681A69" w:rsidRPr="004E65B3">
        <w:t xml:space="preserve">specialist treatment for AUD, comparing </w:t>
      </w:r>
      <w:r w:rsidR="00FD41DB" w:rsidRPr="004E65B3">
        <w:t xml:space="preserve">social behaviour network therapy </w:t>
      </w:r>
      <w:r w:rsidR="00545D7B">
        <w:t>plus</w:t>
      </w:r>
      <w:r w:rsidR="00886DED" w:rsidRPr="004E65B3">
        <w:t xml:space="preserve"> usual treatment</w:t>
      </w:r>
      <w:r w:rsidR="00FA5F96" w:rsidRPr="004E65B3">
        <w:t xml:space="preserve"> (including pharmacological interventions) </w:t>
      </w:r>
      <w:r w:rsidR="00FD41DB" w:rsidRPr="004E65B3">
        <w:t>compared with motivational enhancement therapy</w:t>
      </w:r>
      <w:r w:rsidR="00886DED" w:rsidRPr="004E65B3">
        <w:t xml:space="preserve"> </w:t>
      </w:r>
      <w:r w:rsidR="00545D7B">
        <w:t>plus</w:t>
      </w:r>
      <w:r w:rsidR="00886DED" w:rsidRPr="004E65B3">
        <w:t xml:space="preserve"> usual treatment</w:t>
      </w:r>
      <w:r w:rsidR="00FD41DB" w:rsidRPr="004E65B3">
        <w:t xml:space="preserve"> </w:t>
      </w:r>
      <w:r w:rsidR="002967F6" w:rsidRPr="004E65B3">
        <w:fldChar w:fldCharType="begin"/>
      </w:r>
      <w:r w:rsidR="00B9334F">
        <w:instrText xml:space="preserve"> ADDIN EN.CITE &lt;EndNote&gt;&lt;Cite&gt;&lt;Author&gt;UKATT Research Team&lt;/Author&gt;&lt;Year&gt;2005&lt;/Year&gt;&lt;RecNum&gt;301&lt;/RecNum&gt;&lt;DisplayText&gt;(UKATT Research Team, 2005a)&lt;/DisplayText&gt;&lt;record&gt;&lt;rec-number&gt;301&lt;/rec-number&gt;&lt;foreign-keys&gt;&lt;key app="EN" db-id="ffzvr5fstavwxoe9v04xf0wmp5t50as52da0" timestamp="1731671657" guid="a22c9b17-0b13-411b-a436-6aa3f7c5b1bb"&gt;301&lt;/key&gt;&lt;/foreign-keys&gt;&lt;ref-type name="Journal Article"&gt;17&lt;/ref-type&gt;&lt;contributors&gt;&lt;authors&gt;&lt;author&gt;UKATT Research Team,&lt;/author&gt;&lt;/authors&gt;&lt;/contributors&gt;&lt;titles&gt;&lt;title&gt;Cost effectiveness of treatment for alcohol problems: findings of the randomised UK alcohol treatment trial (UKATT)&lt;/title&gt;&lt;secondary-title&gt;BMJ&lt;/secondary-title&gt;&lt;/titles&gt;&lt;periodical&gt;&lt;full-title&gt;BMJ&lt;/full-title&gt;&lt;/periodical&gt;&lt;pages&gt;544&lt;/pages&gt;&lt;volume&gt;331&lt;/volume&gt;&lt;number&gt;7516&lt;/number&gt;&lt;dates&gt;&lt;year&gt;2005&lt;/year&gt;&lt;/dates&gt;&lt;urls&gt;&lt;related-urls&gt;&lt;url&gt;https://www.bmj.com/content/bmj/331/7516/544.full.pdf&lt;/url&gt;&lt;/related-urls&gt;&lt;/urls&gt;&lt;electronic-resource-num&gt;10.1136/bmj.331.7516.544&lt;/electronic-resource-num&gt;&lt;/record&gt;&lt;/Cite&gt;&lt;/EndNote&gt;</w:instrText>
      </w:r>
      <w:r w:rsidR="002967F6" w:rsidRPr="004E65B3">
        <w:fldChar w:fldCharType="separate"/>
      </w:r>
      <w:r w:rsidR="00A77498">
        <w:rPr>
          <w:noProof/>
        </w:rPr>
        <w:t>(UKATT Research Team, 2005a)</w:t>
      </w:r>
      <w:r w:rsidR="002967F6" w:rsidRPr="004E65B3">
        <w:fldChar w:fldCharType="end"/>
      </w:r>
      <w:r w:rsidR="00FA5F96" w:rsidRPr="004E65B3">
        <w:t xml:space="preserve">. </w:t>
      </w:r>
      <w:r w:rsidR="00712760" w:rsidRPr="004E65B3">
        <w:t>Most</w:t>
      </w:r>
      <w:r w:rsidR="00DE2B89" w:rsidRPr="004E65B3">
        <w:t xml:space="preserve"> effectiveness and</w:t>
      </w:r>
      <w:r w:rsidR="00712760" w:rsidRPr="004E65B3">
        <w:t xml:space="preserve"> c</w:t>
      </w:r>
      <w:r w:rsidR="000425D8" w:rsidRPr="004E65B3">
        <w:t xml:space="preserve">ost-effectiveness studies on parenting programmes for children </w:t>
      </w:r>
      <w:r w:rsidR="00712760" w:rsidRPr="004E65B3">
        <w:t xml:space="preserve">in the UK </w:t>
      </w:r>
      <w:r w:rsidR="000425D8" w:rsidRPr="004E65B3">
        <w:t xml:space="preserve">are generally aimed at preventing conduct disorder in children </w:t>
      </w:r>
      <w:r w:rsidR="000425D8" w:rsidRPr="004E65B3">
        <w:fldChar w:fldCharType="begin">
          <w:fldData xml:space="preserve">PEVuZE5vdGU+PENpdGU+PEF1dGhvcj5TdGV2ZW5zPC9BdXRob3I+PFllYXI+MjAxNDwvWWVhcj48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</w:fldData>
        </w:fldChar>
      </w:r>
      <w:r w:rsidR="00B9334F">
        <w:instrText xml:space="preserve"> ADDIN EN.CITE </w:instrText>
      </w:r>
      <w:r w:rsidR="00B9334F">
        <w:fldChar w:fldCharType="begin">
          <w:fldData xml:space="preserve">PEVuZE5vdGU+PENpdGU+PEF1dGhvcj5TdGV2ZW5zPC9BdXRob3I+PFllYXI+MjAxNDwvWWVhcj48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</w:fldData>
        </w:fldChar>
      </w:r>
      <w:r w:rsidR="00B9334F">
        <w:instrText xml:space="preserve"> ADDIN EN.CITE.DATA </w:instrText>
      </w:r>
      <w:r w:rsidR="00B9334F">
        <w:fldChar w:fldCharType="end"/>
      </w:r>
      <w:r w:rsidR="000425D8" w:rsidRPr="004E65B3">
        <w:fldChar w:fldCharType="separate"/>
      </w:r>
      <w:r w:rsidR="003C6F70">
        <w:rPr>
          <w:noProof/>
        </w:rPr>
        <w:t>(Bonin et al., 2011; Dretzke et al., 2009; Edwards et al., 2016; Stevens, 2014)</w:t>
      </w:r>
      <w:r w:rsidR="000425D8" w:rsidRPr="004E65B3">
        <w:fldChar w:fldCharType="end"/>
      </w:r>
      <w:r w:rsidR="000425D8" w:rsidRPr="004E65B3">
        <w:t xml:space="preserve">. </w:t>
      </w:r>
      <w:r w:rsidR="006B6FF9" w:rsidRPr="004E65B3">
        <w:t>More recently, a trial feasibility study explored the cost-effectiveness of the Helping Families Programme-Modified for parents with personality disorders, whose children have emotional and behavioural problems</w:t>
      </w:r>
      <w:r w:rsidR="00227E74" w:rsidRPr="004E65B3">
        <w:t xml:space="preserve"> </w:t>
      </w:r>
      <w:r w:rsidR="00212D65" w:rsidRPr="004E65B3">
        <w:fldChar w:fldCharType="begin">
          <w:fldData xml:space="preserve">PEVuZE5vdGU+PENpdGU+PEF1dGhvcj5EYXk8L0F1dGhvcj48WWVhcj4yMDIwPC9ZZWFyPjxSZWNO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</w:fldData>
        </w:fldChar>
      </w:r>
      <w:r w:rsidR="00B9334F">
        <w:instrText xml:space="preserve"> ADDIN EN.CITE </w:instrText>
      </w:r>
      <w:r w:rsidR="00B9334F">
        <w:fldChar w:fldCharType="begin">
          <w:fldData xml:space="preserve">PEVuZE5vdGU+PENpdGU+PEF1dGhvcj5EYXk8L0F1dGhvcj48WWVhcj4yMDIwPC9ZZWFyPjxSZWNO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</w:fldData>
        </w:fldChar>
      </w:r>
      <w:r w:rsidR="00B9334F">
        <w:instrText xml:space="preserve"> ADDIN EN.CITE.DATA </w:instrText>
      </w:r>
      <w:r w:rsidR="00B9334F">
        <w:fldChar w:fldCharType="end"/>
      </w:r>
      <w:r w:rsidR="00212D65" w:rsidRPr="004E65B3">
        <w:fldChar w:fldCharType="separate"/>
      </w:r>
      <w:r w:rsidR="00A77498">
        <w:rPr>
          <w:noProof/>
        </w:rPr>
        <w:t>(Day et al., 2020)</w:t>
      </w:r>
      <w:r w:rsidR="00212D65" w:rsidRPr="004E65B3">
        <w:fldChar w:fldCharType="end"/>
      </w:r>
      <w:r w:rsidR="006B6FF9" w:rsidRPr="004E65B3">
        <w:t xml:space="preserve">. </w:t>
      </w:r>
    </w:p>
    <w:p w14:paraId="68CC5592" w14:textId="77777777" w:rsidR="00176792" w:rsidRPr="004E65B3" w:rsidRDefault="00176792" w:rsidP="009C2BE4">
      <w:pPr>
        <w:pStyle w:val="NoSpacing"/>
        <w:spacing w:line="360" w:lineRule="auto"/>
      </w:pPr>
    </w:p>
    <w:p w14:paraId="34C2054F" w14:textId="2FC3D19B" w:rsidR="00BC426C" w:rsidRPr="004E65B3" w:rsidRDefault="009C2BE4" w:rsidP="009C2BE4">
      <w:pPr>
        <w:pStyle w:val="NoSpacing"/>
        <w:spacing w:line="360" w:lineRule="auto"/>
      </w:pPr>
      <w:r w:rsidRPr="004E65B3">
        <w:t xml:space="preserve">Little is known about the cost-effectiveness of interventions </w:t>
      </w:r>
      <w:r w:rsidR="0026577B">
        <w:t>aimed at improving</w:t>
      </w:r>
      <w:r w:rsidRPr="004E65B3">
        <w:t xml:space="preserve"> parent</w:t>
      </w:r>
      <w:r w:rsidR="0026577B">
        <w:t>ing skills and family relationships for parents</w:t>
      </w:r>
      <w:r w:rsidRPr="004E65B3">
        <w:t xml:space="preserve"> with a substance use disorder, including alcohol</w:t>
      </w:r>
      <w:r w:rsidR="00181679">
        <w:t>.</w:t>
      </w:r>
      <w:r w:rsidR="00A513DC" w:rsidRPr="004E65B3">
        <w:t xml:space="preserve"> </w:t>
      </w:r>
      <w:r w:rsidR="00181679">
        <w:t xml:space="preserve">Two </w:t>
      </w:r>
      <w:r w:rsidR="0026577B">
        <w:t xml:space="preserve">UK </w:t>
      </w:r>
      <w:r w:rsidR="00181679">
        <w:t xml:space="preserve">trials have </w:t>
      </w:r>
      <w:r w:rsidR="00B7620B">
        <w:t xml:space="preserve">evaluated </w:t>
      </w:r>
      <w:r w:rsidR="00A513DC" w:rsidRPr="004E65B3">
        <w:t>interventions aimed at reducing the risk of child maltreatment</w:t>
      </w:r>
      <w:r w:rsidR="00BB78BA" w:rsidRPr="004E65B3">
        <w:t>/ removal into care: t</w:t>
      </w:r>
      <w:r w:rsidR="00A30DD3" w:rsidRPr="004E65B3">
        <w:t xml:space="preserve">he </w:t>
      </w:r>
      <w:r w:rsidR="000E4BC6" w:rsidRPr="004E65B3">
        <w:t xml:space="preserve">Parents under Pressure </w:t>
      </w:r>
      <w:r w:rsidR="00112048" w:rsidRPr="004E65B3">
        <w:t xml:space="preserve">(PuP) </w:t>
      </w:r>
      <w:r w:rsidR="000E4BC6" w:rsidRPr="004E65B3">
        <w:t xml:space="preserve">programme </w:t>
      </w:r>
      <w:r w:rsidR="000E4BC6" w:rsidRPr="004E65B3">
        <w:fldChar w:fldCharType="begin"/>
      </w:r>
      <w:r w:rsidR="00B9334F">
        <w:instrText xml:space="preserve"> ADDIN EN.CITE &lt;EndNote&gt;&lt;Cite&gt;&lt;Author&gt;Barlow&lt;/Author&gt;&lt;Year&gt;2019&lt;/Year&gt;&lt;RecNum&gt;352&lt;/RecNum&gt;&lt;DisplayText&gt;(Barlow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rsidR="000E4BC6" w:rsidRPr="004E65B3">
        <w:fldChar w:fldCharType="separate"/>
      </w:r>
      <w:r w:rsidR="00A77498">
        <w:rPr>
          <w:noProof/>
        </w:rPr>
        <w:t>(Barlow et al., 2019)</w:t>
      </w:r>
      <w:r w:rsidR="000E4BC6" w:rsidRPr="004E65B3">
        <w:fldChar w:fldCharType="end"/>
      </w:r>
      <w:r w:rsidR="00BB78BA" w:rsidRPr="004E65B3">
        <w:t xml:space="preserve"> and</w:t>
      </w:r>
      <w:r w:rsidR="00D06F7A" w:rsidRPr="004E65B3">
        <w:t xml:space="preserve"> </w:t>
      </w:r>
      <w:r w:rsidR="00DC30D4" w:rsidRPr="004E65B3">
        <w:t xml:space="preserve">the </w:t>
      </w:r>
      <w:r w:rsidR="004A2F02" w:rsidRPr="004E65B3">
        <w:t>Intensive Family Preservation Service (a.k.a. ‘Option 2’) in Wales</w:t>
      </w:r>
      <w:r w:rsidR="00855E63" w:rsidRPr="004E65B3">
        <w:t xml:space="preserve"> </w:t>
      </w:r>
      <w:r w:rsidR="00855E63" w:rsidRPr="004E65B3">
        <w:fldChar w:fldCharType="begin">
          <w:fldData xml:space="preserve">PEVuZE5vdGU+PENpdGU+PEF1dGhvcj5Gb3JyZXN0ZXI8L0F1dGhvcj48WWVhcj4yMDA4PC9ZZWFy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</w:fldData>
        </w:fldChar>
      </w:r>
      <w:r w:rsidR="00B9334F">
        <w:instrText xml:space="preserve"> ADDIN EN.CITE </w:instrText>
      </w:r>
      <w:r w:rsidR="00B9334F">
        <w:fldChar w:fldCharType="begin">
          <w:fldData xml:space="preserve">PEVuZE5vdGU+PENpdGU+PEF1dGhvcj5Gb3JyZXN0ZXI8L0F1dGhvcj48WWVhcj4yMDA4PC9ZZWFy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</w:fldData>
        </w:fldChar>
      </w:r>
      <w:r w:rsidR="00B9334F">
        <w:instrText xml:space="preserve"> ADDIN EN.CITE.DATA </w:instrText>
      </w:r>
      <w:r w:rsidR="00B9334F">
        <w:fldChar w:fldCharType="end"/>
      </w:r>
      <w:r w:rsidR="00855E63" w:rsidRPr="004E65B3">
        <w:fldChar w:fldCharType="separate"/>
      </w:r>
      <w:r w:rsidR="003C6F70">
        <w:rPr>
          <w:noProof/>
        </w:rPr>
        <w:t>(Forrester et al., 2008; Forrester et al., 2014)</w:t>
      </w:r>
      <w:r w:rsidR="00855E63" w:rsidRPr="004E65B3">
        <w:fldChar w:fldCharType="end"/>
      </w:r>
      <w:r w:rsidR="007F34FA" w:rsidRPr="004E65B3">
        <w:t xml:space="preserve">. </w:t>
      </w:r>
      <w:r w:rsidR="00E06BAC" w:rsidRPr="004E65B3">
        <w:t xml:space="preserve">Both </w:t>
      </w:r>
      <w:r w:rsidR="00E06BAC" w:rsidRPr="004E65B3">
        <w:lastRenderedPageBreak/>
        <w:t xml:space="preserve">studies indicated that </w:t>
      </w:r>
      <w:r w:rsidR="00573DD7" w:rsidRPr="004E65B3">
        <w:t xml:space="preserve">parenting programmes for high-risk families affected by parental substance use disorder could be cost-effective. </w:t>
      </w:r>
      <w:r w:rsidR="00AE5B0F" w:rsidRPr="004E65B3">
        <w:t xml:space="preserve">In both studies </w:t>
      </w:r>
      <w:r w:rsidR="00212204" w:rsidRPr="004E65B3">
        <w:t xml:space="preserve">most parents were mothers living with children. </w:t>
      </w:r>
      <w:r w:rsidR="00112048" w:rsidRPr="004E65B3">
        <w:t>In the PuP programme</w:t>
      </w:r>
      <w:r w:rsidR="00524BAE" w:rsidRPr="004E65B3">
        <w:t>, children were</w:t>
      </w:r>
      <w:r w:rsidR="00564DB6" w:rsidRPr="004E65B3">
        <w:t xml:space="preserve"> mostly</w:t>
      </w:r>
      <w:r w:rsidR="00524BAE" w:rsidRPr="004E65B3">
        <w:t xml:space="preserve"> &lt;1 years old whereas the age range </w:t>
      </w:r>
      <w:r w:rsidR="00CC1BBD" w:rsidRPr="004E65B3">
        <w:t xml:space="preserve">was </w:t>
      </w:r>
      <w:r w:rsidR="00F70064" w:rsidRPr="004E65B3">
        <w:t>broader</w:t>
      </w:r>
      <w:r w:rsidR="00CC1BBD" w:rsidRPr="004E65B3">
        <w:t xml:space="preserve"> in Option 2. Most </w:t>
      </w:r>
      <w:r w:rsidR="003F664C" w:rsidRPr="004E65B3">
        <w:t xml:space="preserve">PuP </w:t>
      </w:r>
      <w:r w:rsidR="00CC1BBD" w:rsidRPr="004E65B3">
        <w:t xml:space="preserve">study participants </w:t>
      </w:r>
      <w:r w:rsidR="002F4034" w:rsidRPr="004E65B3">
        <w:t xml:space="preserve">reported to not use alcohol in the last 30 days </w:t>
      </w:r>
      <w:r w:rsidR="003F664C" w:rsidRPr="004E65B3">
        <w:t>(</w:t>
      </w:r>
      <w:r w:rsidR="00F721AC" w:rsidRPr="004E65B3">
        <w:t>71%</w:t>
      </w:r>
      <w:r w:rsidR="003F664C" w:rsidRPr="004E65B3">
        <w:t>)</w:t>
      </w:r>
      <w:r w:rsidR="00F721AC" w:rsidRPr="004E65B3">
        <w:t xml:space="preserve">, whereas 59% of the Option 2 participants reported alcohol problems. </w:t>
      </w:r>
      <w:r w:rsidR="00EC6703">
        <w:t>PuP reported QALY gains from the intervention, whereas Option 2 did not.</w:t>
      </w:r>
    </w:p>
    <w:p w14:paraId="101FAAF9" w14:textId="77777777" w:rsidR="00014E34" w:rsidRPr="004E65B3" w:rsidRDefault="00014E34" w:rsidP="009C2BE4">
      <w:pPr>
        <w:pStyle w:val="NoSpacing"/>
        <w:spacing w:line="360" w:lineRule="auto"/>
      </w:pPr>
    </w:p>
    <w:p w14:paraId="18526C58" w14:textId="6C0644C0" w:rsidR="009C2BE4" w:rsidRDefault="009C2BE4" w:rsidP="009C2BE4">
      <w:pPr>
        <w:pStyle w:val="NoSpacing"/>
        <w:spacing w:line="360" w:lineRule="auto"/>
      </w:pPr>
      <w:r w:rsidRPr="004E65B3">
        <w:t>This study builds on our previous work by estimating the cost-effectiveness</w:t>
      </w:r>
      <w:r>
        <w:t xml:space="preserve"> of treatment and parenting and/or </w:t>
      </w:r>
      <w:r w:rsidR="00B42F7F">
        <w:t xml:space="preserve">family </w:t>
      </w:r>
      <w:r>
        <w:t xml:space="preserve">recovery support interventions for parents with an AUD. </w:t>
      </w:r>
    </w:p>
    <w:p w14:paraId="5EE8C8C1" w14:textId="77777777" w:rsidR="00FB0B7E" w:rsidRPr="000768DC" w:rsidRDefault="00FB0B7E" w:rsidP="009C2BE4">
      <w:pPr>
        <w:pStyle w:val="NoSpacing"/>
        <w:spacing w:line="360" w:lineRule="auto"/>
      </w:pPr>
    </w:p>
    <w:p w14:paraId="259DBC86" w14:textId="40673D33" w:rsidR="001A37CE" w:rsidRPr="00733C52" w:rsidRDefault="001A37CE" w:rsidP="00733C52">
      <w:pPr>
        <w:pStyle w:val="Heading2"/>
        <w:numPr>
          <w:ilvl w:val="1"/>
          <w:numId w:val="19"/>
        </w:numPr>
        <w:spacing w:line="360" w:lineRule="auto"/>
        <w:rPr>
          <w:bCs/>
          <w:szCs w:val="24"/>
        </w:rPr>
      </w:pPr>
      <w:bookmarkStart w:id="121" w:name="_Toc189229702"/>
      <w:r w:rsidRPr="00FB0B7E">
        <w:t>M</w:t>
      </w:r>
      <w:r w:rsidR="00FB0B7E">
        <w:t>ethods</w:t>
      </w:r>
      <w:bookmarkEnd w:id="121"/>
    </w:p>
    <w:p w14:paraId="2F5629E3" w14:textId="77777777" w:rsidR="001A37CE" w:rsidRPr="00FB0B7E" w:rsidRDefault="001A37CE" w:rsidP="009C3BBC">
      <w:pPr>
        <w:pStyle w:val="Heading3"/>
        <w:numPr>
          <w:ilvl w:val="2"/>
          <w:numId w:val="19"/>
        </w:numPr>
        <w:spacing w:line="360" w:lineRule="auto"/>
      </w:pPr>
      <w:bookmarkStart w:id="122" w:name="_Toc189229703"/>
      <w:r w:rsidRPr="00FB0B7E">
        <w:t>Population and setting</w:t>
      </w:r>
      <w:bookmarkEnd w:id="122"/>
    </w:p>
    <w:p w14:paraId="1791AEB4" w14:textId="77777777" w:rsidR="001A37CE" w:rsidRDefault="001A37CE" w:rsidP="001A37CE">
      <w:pPr>
        <w:pStyle w:val="NoSpacing"/>
        <w:spacing w:line="360" w:lineRule="auto"/>
        <w:rPr>
          <w:rFonts w:eastAsia="Times New Roman"/>
          <w:lang w:eastAsia="en-GB"/>
        </w:rPr>
      </w:pPr>
      <w:r w:rsidRPr="0A90BE66">
        <w:rPr>
          <w:rFonts w:eastAsia="Times New Roman"/>
          <w:lang w:eastAsia="en-GB"/>
        </w:rPr>
        <w:t xml:space="preserve">The population is adults aged 18+ who are in specialist treatment for AUD and who are either (a) </w:t>
      </w:r>
      <w:r>
        <w:rPr>
          <w:rFonts w:eastAsia="Times New Roman"/>
          <w:lang w:eastAsia="en-GB"/>
        </w:rPr>
        <w:t xml:space="preserve">adults living with </w:t>
      </w:r>
      <w:r w:rsidRPr="0A90BE66">
        <w:rPr>
          <w:rFonts w:eastAsia="Times New Roman"/>
          <w:lang w:eastAsia="en-GB"/>
        </w:rPr>
        <w:t xml:space="preserve">children or (b) parents not living with </w:t>
      </w:r>
      <w:r>
        <w:rPr>
          <w:rFonts w:eastAsia="Times New Roman"/>
          <w:lang w:eastAsia="en-GB"/>
        </w:rPr>
        <w:t xml:space="preserve">their </w:t>
      </w:r>
      <w:r w:rsidRPr="0A90BE66">
        <w:rPr>
          <w:rFonts w:eastAsia="Times New Roman"/>
          <w:lang w:eastAsia="en-GB"/>
        </w:rPr>
        <w:t xml:space="preserve">children.  </w:t>
      </w:r>
    </w:p>
    <w:p w14:paraId="4AE7DC92" w14:textId="77777777" w:rsidR="001A37CE" w:rsidRDefault="001A37CE" w:rsidP="001A37CE">
      <w:pPr>
        <w:pStyle w:val="NoSpacing"/>
        <w:spacing w:line="360" w:lineRule="auto"/>
        <w:rPr>
          <w:rFonts w:eastAsia="Times New Roman"/>
          <w:lang w:eastAsia="en-GB"/>
        </w:rPr>
      </w:pPr>
    </w:p>
    <w:p w14:paraId="2D8028C7" w14:textId="77777777" w:rsidR="004D3A3D" w:rsidRDefault="001A37CE" w:rsidP="001A37CE">
      <w:pPr>
        <w:pStyle w:val="NoSpacing"/>
        <w:spacing w:line="360" w:lineRule="auto"/>
        <w:rPr>
          <w:rFonts w:eastAsia="Times New Roman"/>
          <w:lang w:eastAsia="en-GB"/>
        </w:rPr>
      </w:pPr>
      <w:r w:rsidRPr="21038250">
        <w:rPr>
          <w:rFonts w:eastAsia="Times New Roman"/>
          <w:lang w:eastAsia="en-GB"/>
        </w:rPr>
        <w:t>We used</w:t>
      </w:r>
      <w:r w:rsidRPr="21038250">
        <w:rPr>
          <w:rStyle w:val="normaltextrun"/>
        </w:rPr>
        <w:t xml:space="preserve"> d</w:t>
      </w:r>
      <w:r>
        <w:t xml:space="preserve">ata from </w:t>
      </w:r>
      <w:r w:rsidRPr="21038250">
        <w:rPr>
          <w:rStyle w:val="normaltextrun"/>
        </w:rPr>
        <w:t>the English National Drug [and alcohol] Treatment Monitoring System (NDTMS), an administrative dataset</w:t>
      </w:r>
      <w:r w:rsidRPr="21038250">
        <w:rPr>
          <w:rFonts w:eastAsia="Times New Roman"/>
          <w:lang w:eastAsia="en-GB"/>
        </w:rPr>
        <w:t xml:space="preserve"> which records clinical, socio-demographic and outcomes data on people receiving treatment for </w:t>
      </w:r>
      <w:r w:rsidR="008047A5">
        <w:rPr>
          <w:rFonts w:eastAsia="Times New Roman"/>
          <w:lang w:eastAsia="en-GB"/>
        </w:rPr>
        <w:t>alcohol and/or drugs</w:t>
      </w:r>
      <w:r w:rsidRPr="21038250">
        <w:rPr>
          <w:rFonts w:eastAsia="Times New Roman"/>
          <w:lang w:eastAsia="en-GB"/>
        </w:rPr>
        <w:t xml:space="preserve">. Data was recorded at the start of the treatment process and reviewed throughout by keyworkers in clinical interviews with parents. </w:t>
      </w:r>
      <w:r w:rsidR="00010F26">
        <w:t>Data from</w:t>
      </w:r>
      <w:r w:rsidRPr="21038250">
        <w:t xml:space="preserve"> 1 April 2017</w:t>
      </w:r>
      <w:r w:rsidR="00010F26">
        <w:t xml:space="preserve"> to 31 January 2020 was analysed</w:t>
      </w:r>
      <w:r w:rsidRPr="21038250">
        <w:rPr>
          <w:rFonts w:eastAsia="Times New Roman"/>
          <w:lang w:eastAsia="en-GB"/>
        </w:rPr>
        <w:t xml:space="preserve">. The study sample were (a) </w:t>
      </w:r>
      <w:r w:rsidR="00010F26">
        <w:rPr>
          <w:rFonts w:eastAsia="Times New Roman"/>
          <w:lang w:eastAsia="en-GB"/>
        </w:rPr>
        <w:t>parents</w:t>
      </w:r>
      <w:r w:rsidRPr="21038250">
        <w:rPr>
          <w:rFonts w:eastAsia="Times New Roman"/>
          <w:lang w:eastAsia="en-GB"/>
        </w:rPr>
        <w:t xml:space="preserve"> living with children (LWC</w:t>
      </w:r>
      <w:r w:rsidR="004D0693">
        <w:rPr>
          <w:rFonts w:eastAsia="Times New Roman"/>
          <w:lang w:eastAsia="en-GB"/>
        </w:rPr>
        <w:t xml:space="preserve">, </w:t>
      </w:r>
      <w:r w:rsidR="004D0693" w:rsidRPr="21038250">
        <w:t>n=6,332</w:t>
      </w:r>
      <w:r w:rsidRPr="21038250">
        <w:rPr>
          <w:rFonts w:eastAsia="Times New Roman"/>
          <w:lang w:eastAsia="en-GB"/>
        </w:rPr>
        <w:t>) and (b) parents not living with their children (NWC</w:t>
      </w:r>
      <w:r w:rsidR="00E611FF">
        <w:rPr>
          <w:rFonts w:eastAsia="Times New Roman"/>
          <w:lang w:eastAsia="en-GB"/>
        </w:rPr>
        <w:t xml:space="preserve">, </w:t>
      </w:r>
      <w:r w:rsidR="00772DB1">
        <w:rPr>
          <w:rFonts w:eastAsia="Times New Roman"/>
          <w:lang w:eastAsia="en-GB"/>
        </w:rPr>
        <w:t>n=10,788</w:t>
      </w:r>
      <w:r w:rsidRPr="21038250">
        <w:rPr>
          <w:rFonts w:eastAsia="Times New Roman"/>
          <w:lang w:eastAsia="en-GB"/>
        </w:rPr>
        <w:t xml:space="preserve">) in treatment for AUD. </w:t>
      </w:r>
    </w:p>
    <w:p w14:paraId="7B61EF21" w14:textId="77777777" w:rsidR="004D3A3D" w:rsidRDefault="004D3A3D" w:rsidP="001A37CE">
      <w:pPr>
        <w:pStyle w:val="NoSpacing"/>
        <w:spacing w:line="360" w:lineRule="auto"/>
        <w:rPr>
          <w:rFonts w:eastAsia="Times New Roman"/>
          <w:lang w:eastAsia="en-GB"/>
        </w:rPr>
      </w:pPr>
    </w:p>
    <w:p w14:paraId="3C05BB2F" w14:textId="6AC05422" w:rsidR="001A37CE" w:rsidRDefault="001A37CE" w:rsidP="001A37CE">
      <w:pPr>
        <w:pStyle w:val="NoSpacing"/>
        <w:spacing w:line="360" w:lineRule="auto"/>
        <w:rPr>
          <w:rFonts w:eastAsia="Times New Roman"/>
          <w:lang w:eastAsia="en-GB"/>
        </w:rPr>
      </w:pPr>
      <w:r w:rsidRPr="21038250">
        <w:rPr>
          <w:rFonts w:eastAsia="Times New Roman"/>
          <w:lang w:eastAsia="en-GB"/>
        </w:rPr>
        <w:t xml:space="preserve">We </w:t>
      </w:r>
      <w:r w:rsidR="00A50DF0">
        <w:rPr>
          <w:rFonts w:eastAsia="Times New Roman"/>
          <w:lang w:eastAsia="en-GB"/>
        </w:rPr>
        <w:t xml:space="preserve">analysed </w:t>
      </w:r>
      <w:r w:rsidR="00074BE8">
        <w:rPr>
          <w:rFonts w:eastAsia="Times New Roman"/>
          <w:lang w:eastAsia="en-GB"/>
        </w:rPr>
        <w:t>parents</w:t>
      </w:r>
      <w:r w:rsidRPr="21038250">
        <w:rPr>
          <w:rFonts w:eastAsia="Times New Roman"/>
          <w:lang w:eastAsia="en-GB"/>
        </w:rPr>
        <w:t xml:space="preserve"> who were recorded as receiving treatment only taken from previous work by our research team </w:t>
      </w:r>
      <w:r w:rsidRPr="21038250">
        <w:rPr>
          <w:rFonts w:eastAsia="Times New Roman"/>
          <w:lang w:eastAsia="en-GB"/>
        </w:rPr>
        <w:fldChar w:fldCharType="begin"/>
      </w:r>
      <w:r w:rsidR="00B9334F">
        <w:rPr>
          <w:rFonts w:eastAsia="Times New Roman"/>
          <w:lang w:eastAsia="en-GB"/>
        </w:rPr>
        <w:instrText xml:space="preserve"> ADDIN EN.CITE &lt;EndNote&gt;&lt;Cite&gt;&lt;Author&gt;Musto Wright&lt;/Author&gt;&lt;Year&gt;2024&lt;/Year&gt;&lt;RecNum&gt;297&lt;/RecNum&gt;&lt;DisplayText&gt;(Musto Wright et al., 2024b)&lt;/DisplayText&gt;&lt;record&gt;&lt;rec-number&gt;297&lt;/rec-number&gt;&lt;foreign-keys&gt;&lt;key app="EN" db-id="ffzvr5fstavwxoe9v04xf0wmp5t50as52da0" timestamp="1731671657" guid="374df23f-bbff-422b-bb98-43e741de65b5"&gt;297&lt;/key&gt;&lt;/foreign-keys&gt;&lt;ref-type name="Journal Article"&gt;17&lt;/ref-type&gt;&lt;contributors&gt;&lt;authors&gt;&lt;author&gt;Musto Wright, V.&lt;/author&gt;&lt;author&gt;Eastwood, B.&lt;/author&gt;&lt;author&gt;Meier, P&lt;/author&gt;&lt;author&gt;Brennan, A&lt;/author&gt;&lt;/authors&gt;&lt;/contributors&gt;&lt;titles&gt;&lt;title&gt;Do parenting or child welfare support interventions improve alcohol and drug treatment completions among parents with a substance use disorder? A quasi-experimental study using generalized boosted models.&lt;/title&gt;&lt;secondary-title&gt;Manuscript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rsidRPr="21038250">
        <w:rPr>
          <w:rFonts w:eastAsia="Times New Roman"/>
          <w:lang w:eastAsia="en-GB"/>
        </w:rPr>
        <w:fldChar w:fldCharType="separate"/>
      </w:r>
      <w:r w:rsidR="00A77498">
        <w:rPr>
          <w:rFonts w:eastAsia="Times New Roman"/>
          <w:noProof/>
          <w:lang w:eastAsia="en-GB"/>
        </w:rPr>
        <w:t>(Musto Wright et al., 2024b)</w:t>
      </w:r>
      <w:r w:rsidRPr="21038250">
        <w:rPr>
          <w:rFonts w:eastAsia="Times New Roman"/>
          <w:lang w:eastAsia="en-GB"/>
        </w:rPr>
        <w:fldChar w:fldCharType="end"/>
      </w:r>
      <w:r w:rsidRPr="21038250">
        <w:rPr>
          <w:rFonts w:eastAsia="Times New Roman"/>
          <w:lang w:eastAsia="en-GB"/>
        </w:rPr>
        <w:t xml:space="preserve">. </w:t>
      </w:r>
      <w:r w:rsidR="00D66D56">
        <w:rPr>
          <w:rFonts w:eastAsia="Times New Roman"/>
          <w:lang w:eastAsia="en-GB"/>
        </w:rPr>
        <w:t xml:space="preserve">Parents with </w:t>
      </w:r>
      <w:r w:rsidR="001F66B5">
        <w:rPr>
          <w:rFonts w:eastAsia="Times New Roman"/>
          <w:lang w:eastAsia="en-GB"/>
        </w:rPr>
        <w:t xml:space="preserve">AUD </w:t>
      </w:r>
      <w:r w:rsidR="00D66D56">
        <w:rPr>
          <w:rFonts w:eastAsia="Times New Roman"/>
          <w:lang w:eastAsia="en-GB"/>
        </w:rPr>
        <w:t xml:space="preserve">who received treatment only made up 78.2% </w:t>
      </w:r>
      <w:r w:rsidR="004D6A3C" w:rsidRPr="21038250">
        <w:t>(n=17,120)</w:t>
      </w:r>
      <w:r w:rsidR="004D6A3C">
        <w:t xml:space="preserve"> </w:t>
      </w:r>
      <w:r w:rsidR="001F66B5">
        <w:rPr>
          <w:rFonts w:eastAsia="Times New Roman"/>
          <w:lang w:eastAsia="en-GB"/>
        </w:rPr>
        <w:t xml:space="preserve">of the </w:t>
      </w:r>
      <w:r w:rsidR="004D6A3C">
        <w:rPr>
          <w:rFonts w:eastAsia="Times New Roman"/>
          <w:lang w:eastAsia="en-GB"/>
        </w:rPr>
        <w:t xml:space="preserve">total </w:t>
      </w:r>
      <w:r w:rsidR="001F66B5">
        <w:rPr>
          <w:rFonts w:eastAsia="Times New Roman"/>
          <w:lang w:eastAsia="en-GB"/>
        </w:rPr>
        <w:t xml:space="preserve">parents with AUD </w:t>
      </w:r>
      <w:r w:rsidR="007F5DEB">
        <w:rPr>
          <w:rFonts w:eastAsia="Times New Roman"/>
          <w:lang w:eastAsia="en-GB"/>
        </w:rPr>
        <w:t xml:space="preserve">in the </w:t>
      </w:r>
      <w:r w:rsidR="001F66B5">
        <w:rPr>
          <w:rFonts w:eastAsia="Times New Roman"/>
          <w:lang w:eastAsia="en-GB"/>
        </w:rPr>
        <w:t>treatment population. The remainder who were</w:t>
      </w:r>
      <w:r w:rsidRPr="21038250">
        <w:rPr>
          <w:rFonts w:eastAsia="Times New Roman"/>
          <w:lang w:eastAsia="en-GB"/>
        </w:rPr>
        <w:t xml:space="preserve"> exclude</w:t>
      </w:r>
      <w:r w:rsidR="001F66B5">
        <w:rPr>
          <w:rFonts w:eastAsia="Times New Roman"/>
          <w:lang w:eastAsia="en-GB"/>
        </w:rPr>
        <w:t>d from th</w:t>
      </w:r>
      <w:r w:rsidR="007331E8">
        <w:rPr>
          <w:rFonts w:eastAsia="Times New Roman"/>
          <w:lang w:eastAsia="en-GB"/>
        </w:rPr>
        <w:t>is</w:t>
      </w:r>
      <w:r w:rsidR="001F66B5">
        <w:rPr>
          <w:rFonts w:eastAsia="Times New Roman"/>
          <w:lang w:eastAsia="en-GB"/>
        </w:rPr>
        <w:t xml:space="preserve"> study were those</w:t>
      </w:r>
      <w:r w:rsidRPr="21038250">
        <w:rPr>
          <w:rFonts w:eastAsia="Times New Roman"/>
          <w:lang w:eastAsia="en-GB"/>
        </w:rPr>
        <w:t xml:space="preserve"> </w:t>
      </w:r>
      <w:r w:rsidR="00997B69">
        <w:rPr>
          <w:rFonts w:eastAsia="Times New Roman"/>
          <w:lang w:eastAsia="en-GB"/>
        </w:rPr>
        <w:t xml:space="preserve">who received </w:t>
      </w:r>
      <w:r w:rsidR="005A7537">
        <w:rPr>
          <w:rFonts w:eastAsia="Times New Roman"/>
          <w:lang w:eastAsia="en-GB"/>
        </w:rPr>
        <w:t xml:space="preserve">early help or a statutory </w:t>
      </w:r>
      <w:r w:rsidR="00997B69">
        <w:rPr>
          <w:rFonts w:eastAsia="Times New Roman"/>
          <w:lang w:eastAsia="en-GB"/>
        </w:rPr>
        <w:t xml:space="preserve">child welfare </w:t>
      </w:r>
      <w:r w:rsidR="00150DC5">
        <w:rPr>
          <w:rFonts w:eastAsia="Times New Roman"/>
          <w:lang w:eastAsia="en-GB"/>
        </w:rPr>
        <w:t xml:space="preserve">intervention, such as </w:t>
      </w:r>
      <w:r w:rsidR="005A7537">
        <w:rPr>
          <w:rFonts w:eastAsia="Times New Roman"/>
          <w:lang w:eastAsia="en-GB"/>
        </w:rPr>
        <w:t>having a child</w:t>
      </w:r>
      <w:r w:rsidR="008539BD">
        <w:rPr>
          <w:rFonts w:eastAsia="Times New Roman"/>
          <w:lang w:eastAsia="en-GB"/>
        </w:rPr>
        <w:t xml:space="preserve"> placed into care. </w:t>
      </w:r>
    </w:p>
    <w:p w14:paraId="42EAD45D" w14:textId="77777777" w:rsidR="001A37CE" w:rsidRDefault="001A37CE" w:rsidP="001A37CE">
      <w:pPr>
        <w:pStyle w:val="NoSpacing"/>
        <w:spacing w:line="360" w:lineRule="auto"/>
        <w:rPr>
          <w:rFonts w:eastAsia="Times New Roman"/>
          <w:lang w:eastAsia="en-GB"/>
        </w:rPr>
      </w:pPr>
    </w:p>
    <w:p w14:paraId="3600115F" w14:textId="753E3256" w:rsidR="00325ACC" w:rsidRDefault="001A37CE" w:rsidP="001A37CE">
      <w:pPr>
        <w:pStyle w:val="NoSpacing"/>
        <w:spacing w:line="360" w:lineRule="auto"/>
      </w:pPr>
      <w:r w:rsidRPr="21038250">
        <w:lastRenderedPageBreak/>
        <w:t xml:space="preserve">As </w:t>
      </w:r>
      <w:r w:rsidRPr="00426FE6">
        <w:rPr>
          <w:rFonts w:eastAsia="Times New Roman"/>
          <w:lang w:eastAsia="en-GB"/>
        </w:rPr>
        <w:t xml:space="preserve">shown in </w:t>
      </w:r>
      <w:r w:rsidR="00426FE6" w:rsidRPr="00426FE6">
        <w:rPr>
          <w:rFonts w:eastAsia="Times New Roman"/>
          <w:lang w:eastAsia="en-GB"/>
        </w:rPr>
        <w:fldChar w:fldCharType="begin"/>
      </w:r>
      <w:r w:rsidR="00426FE6" w:rsidRPr="00426FE6">
        <w:rPr>
          <w:rFonts w:eastAsia="Times New Roman"/>
          <w:lang w:eastAsia="en-GB"/>
        </w:rPr>
        <w:instrText xml:space="preserve"> REF _Ref176700121 \h </w:instrText>
      </w:r>
      <w:r w:rsidR="00426FE6">
        <w:rPr>
          <w:rFonts w:eastAsia="Times New Roman"/>
          <w:lang w:eastAsia="en-GB"/>
        </w:rPr>
        <w:instrText xml:space="preserve"> \* MERGEFORMAT </w:instrText>
      </w:r>
      <w:r w:rsidR="00426FE6" w:rsidRPr="00426FE6">
        <w:rPr>
          <w:rFonts w:eastAsia="Times New Roman"/>
          <w:lang w:eastAsia="en-GB"/>
        </w:rPr>
      </w:r>
      <w:r w:rsidR="00426FE6" w:rsidRPr="00426FE6">
        <w:rPr>
          <w:rFonts w:eastAsia="Times New Roman"/>
          <w:lang w:eastAsia="en-GB"/>
        </w:rPr>
        <w:fldChar w:fldCharType="separate"/>
      </w:r>
      <w:r w:rsidR="00733C52" w:rsidRPr="00733C52">
        <w:rPr>
          <w:rFonts w:eastAsia="Times New Roman"/>
          <w:lang w:eastAsia="en-GB"/>
        </w:rPr>
        <w:t>Figure 5.3</w:t>
      </w:r>
      <w:r w:rsidR="00733C52" w:rsidRPr="00733C52">
        <w:rPr>
          <w:rFonts w:eastAsia="Times New Roman"/>
          <w:lang w:eastAsia="en-GB"/>
        </w:rPr>
        <w:noBreakHyphen/>
        <w:t>1</w:t>
      </w:r>
      <w:r w:rsidR="00426FE6" w:rsidRPr="00426FE6">
        <w:rPr>
          <w:rFonts w:eastAsia="Times New Roman"/>
          <w:lang w:eastAsia="en-GB"/>
        </w:rPr>
        <w:fldChar w:fldCharType="end"/>
      </w:r>
      <w:r w:rsidRPr="00426FE6">
        <w:rPr>
          <w:rFonts w:eastAsia="Times New Roman"/>
          <w:lang w:eastAsia="en-GB"/>
        </w:rPr>
        <w:t xml:space="preserve">, </w:t>
      </w:r>
      <w:r w:rsidR="004D6A3C">
        <w:rPr>
          <w:rFonts w:eastAsia="Times New Roman"/>
          <w:lang w:eastAsia="en-GB"/>
        </w:rPr>
        <w:t xml:space="preserve">in addition to segmenting the data by child living arrangements, </w:t>
      </w:r>
      <w:r w:rsidR="004D6A3C">
        <w:t>d</w:t>
      </w:r>
      <w:r w:rsidRPr="21038250">
        <w:t>ata were further subcategorised by sex (‘women’ and ‘men’) and age groups (’18-24’, ‘25-34’, ‘35-44’, ‘45+’).</w:t>
      </w:r>
    </w:p>
    <w:p w14:paraId="1189F360" w14:textId="77777777" w:rsidR="00E93017" w:rsidRDefault="00E93017" w:rsidP="001A37CE">
      <w:pPr>
        <w:pStyle w:val="NoSpacing"/>
        <w:spacing w:line="360" w:lineRule="auto"/>
      </w:pPr>
    </w:p>
    <w:p w14:paraId="4FFA1063" w14:textId="4DEE43CC" w:rsidR="001A37CE" w:rsidRDefault="00E93017" w:rsidP="00D54EB7">
      <w:pPr>
        <w:pStyle w:val="Caption"/>
        <w:ind w:left="1440" w:hanging="1440"/>
        <w:rPr>
          <w:b w:val="0"/>
          <w:bCs w:val="0"/>
          <w:i/>
          <w:iCs/>
          <w:color w:val="auto"/>
          <w:sz w:val="24"/>
          <w:szCs w:val="24"/>
        </w:rPr>
      </w:pPr>
      <w:bookmarkStart w:id="123" w:name="_Ref176700121"/>
      <w:bookmarkStart w:id="124" w:name="_Toc185845011"/>
      <w:r w:rsidRPr="00AC1AE9">
        <w:rPr>
          <w:b w:val="0"/>
          <w:bCs w:val="0"/>
          <w:i/>
          <w:iCs/>
          <w:color w:val="auto"/>
          <w:sz w:val="24"/>
          <w:szCs w:val="24"/>
        </w:rPr>
        <w:t xml:space="preserve">Figure </w:t>
      </w:r>
      <w:r w:rsidR="002B1FB9">
        <w:rPr>
          <w:b w:val="0"/>
          <w:bCs w:val="0"/>
          <w:i/>
          <w:iCs/>
          <w:color w:val="auto"/>
          <w:sz w:val="24"/>
          <w:szCs w:val="24"/>
        </w:rPr>
        <w:fldChar w:fldCharType="begin"/>
      </w:r>
      <w:r w:rsidR="002B1FB9">
        <w:rPr>
          <w:b w:val="0"/>
          <w:bCs w:val="0"/>
          <w:i/>
          <w:iCs/>
          <w:color w:val="auto"/>
          <w:sz w:val="24"/>
          <w:szCs w:val="24"/>
        </w:rPr>
        <w:instrText xml:space="preserve"> STYLEREF 2 \s </w:instrText>
      </w:r>
      <w:r w:rsidR="002B1FB9">
        <w:rPr>
          <w:b w:val="0"/>
          <w:bCs w:val="0"/>
          <w:i/>
          <w:iCs/>
          <w:color w:val="auto"/>
          <w:sz w:val="24"/>
          <w:szCs w:val="24"/>
        </w:rPr>
        <w:fldChar w:fldCharType="separate"/>
      </w:r>
      <w:r w:rsidR="002B1FB9">
        <w:rPr>
          <w:b w:val="0"/>
          <w:bCs w:val="0"/>
          <w:i/>
          <w:iCs/>
          <w:noProof/>
          <w:color w:val="auto"/>
          <w:sz w:val="24"/>
          <w:szCs w:val="24"/>
        </w:rPr>
        <w:t>5.3</w:t>
      </w:r>
      <w:r w:rsidR="002B1FB9">
        <w:rPr>
          <w:b w:val="0"/>
          <w:bCs w:val="0"/>
          <w:i/>
          <w:iCs/>
          <w:color w:val="auto"/>
          <w:sz w:val="24"/>
          <w:szCs w:val="24"/>
        </w:rPr>
        <w:fldChar w:fldCharType="end"/>
      </w:r>
      <w:r w:rsidR="002B1FB9">
        <w:rPr>
          <w:b w:val="0"/>
          <w:bCs w:val="0"/>
          <w:i/>
          <w:iCs/>
          <w:color w:val="auto"/>
          <w:sz w:val="24"/>
          <w:szCs w:val="24"/>
        </w:rPr>
        <w:noBreakHyphen/>
      </w:r>
      <w:r w:rsidR="002B1FB9">
        <w:rPr>
          <w:b w:val="0"/>
          <w:bCs w:val="0"/>
          <w:i/>
          <w:iCs/>
          <w:color w:val="auto"/>
          <w:sz w:val="24"/>
          <w:szCs w:val="24"/>
        </w:rPr>
        <w:fldChar w:fldCharType="begin"/>
      </w:r>
      <w:r w:rsidR="002B1FB9">
        <w:rPr>
          <w:b w:val="0"/>
          <w:bCs w:val="0"/>
          <w:i/>
          <w:iCs/>
          <w:color w:val="auto"/>
          <w:sz w:val="24"/>
          <w:szCs w:val="24"/>
        </w:rPr>
        <w:instrText xml:space="preserve"> SEQ Figure \* ARABIC \s 2 </w:instrText>
      </w:r>
      <w:r w:rsidR="002B1FB9">
        <w:rPr>
          <w:b w:val="0"/>
          <w:bCs w:val="0"/>
          <w:i/>
          <w:iCs/>
          <w:color w:val="auto"/>
          <w:sz w:val="24"/>
          <w:szCs w:val="24"/>
        </w:rPr>
        <w:fldChar w:fldCharType="separate"/>
      </w:r>
      <w:r w:rsidR="002B1FB9">
        <w:rPr>
          <w:b w:val="0"/>
          <w:bCs w:val="0"/>
          <w:i/>
          <w:iCs/>
          <w:noProof/>
          <w:color w:val="auto"/>
          <w:sz w:val="24"/>
          <w:szCs w:val="24"/>
        </w:rPr>
        <w:t>1</w:t>
      </w:r>
      <w:r w:rsidR="002B1FB9">
        <w:rPr>
          <w:b w:val="0"/>
          <w:bCs w:val="0"/>
          <w:i/>
          <w:iCs/>
          <w:color w:val="auto"/>
          <w:sz w:val="24"/>
          <w:szCs w:val="24"/>
        </w:rPr>
        <w:fldChar w:fldCharType="end"/>
      </w:r>
      <w:bookmarkEnd w:id="123"/>
      <w:r w:rsidR="00D54EB7">
        <w:rPr>
          <w:b w:val="0"/>
          <w:bCs w:val="0"/>
          <w:i/>
          <w:iCs/>
          <w:color w:val="auto"/>
          <w:sz w:val="24"/>
          <w:szCs w:val="24"/>
        </w:rPr>
        <w:tab/>
      </w:r>
      <w:r w:rsidR="001A37CE" w:rsidRPr="00AC1AE9">
        <w:rPr>
          <w:b w:val="0"/>
          <w:bCs w:val="0"/>
          <w:i/>
          <w:iCs/>
          <w:color w:val="auto"/>
          <w:sz w:val="24"/>
          <w:szCs w:val="24"/>
        </w:rPr>
        <w:t>Stratification of study sample from National Drug Treatment Monitoring System over 34 months (1 April 2017 to 31 January 2020) into 16 subgroups by living arrangements/age/sex (n=17,120)</w:t>
      </w:r>
      <w:bookmarkEnd w:id="124"/>
    </w:p>
    <w:p w14:paraId="5CF01E91" w14:textId="77777777" w:rsidR="00D54EB7" w:rsidRPr="00D54EB7" w:rsidRDefault="00D54EB7" w:rsidP="00D54EB7"/>
    <w:p w14:paraId="57143164" w14:textId="77777777" w:rsidR="00E93017" w:rsidRPr="00E93017" w:rsidRDefault="00E93017" w:rsidP="00E93017"/>
    <w:p w14:paraId="475382F4" w14:textId="77777777" w:rsidR="001A37CE" w:rsidRDefault="001A37CE" w:rsidP="001A37CE">
      <w:pPr>
        <w:pStyle w:val="NoSpacing"/>
        <w:spacing w:line="360" w:lineRule="auto"/>
        <w:rPr>
          <w:b/>
          <w:bCs/>
        </w:rPr>
      </w:pPr>
      <w:r>
        <w:rPr>
          <w:noProof/>
          <w:sz w:val="20"/>
          <w:szCs w:val="20"/>
        </w:rPr>
        <w:drawing>
          <wp:inline distT="0" distB="0" distL="0" distR="0" wp14:anchorId="24A518A3" wp14:editId="7DB86C7D">
            <wp:extent cx="6455639" cy="4460266"/>
            <wp:effectExtent l="0" t="19050" r="0" b="16510"/>
            <wp:docPr id="150" name="Diagram 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9D3A514" w14:textId="77777777" w:rsidR="001A37CE" w:rsidRDefault="001A37CE" w:rsidP="001A37CE">
      <w:pPr>
        <w:rPr>
          <w:rFonts w:cs="Arial"/>
          <w:b/>
          <w:bCs/>
          <w:szCs w:val="24"/>
        </w:rPr>
      </w:pPr>
    </w:p>
    <w:p w14:paraId="3DF83D05" w14:textId="77777777" w:rsidR="00584436" w:rsidRDefault="00584436" w:rsidP="001A37CE">
      <w:pPr>
        <w:rPr>
          <w:rFonts w:cs="Arial"/>
          <w:b/>
          <w:bCs/>
          <w:szCs w:val="24"/>
        </w:rPr>
      </w:pPr>
    </w:p>
    <w:p w14:paraId="40A6F2FF" w14:textId="6447B55F" w:rsidR="002E31B0" w:rsidRDefault="001A37CE" w:rsidP="009C3BBC">
      <w:pPr>
        <w:pStyle w:val="Heading3"/>
        <w:numPr>
          <w:ilvl w:val="2"/>
          <w:numId w:val="19"/>
        </w:numPr>
        <w:spacing w:line="360" w:lineRule="auto"/>
      </w:pPr>
      <w:bookmarkStart w:id="125" w:name="_Toc189229704"/>
      <w:r w:rsidRPr="00325ACC">
        <w:t xml:space="preserve">Comparators and </w:t>
      </w:r>
      <w:r w:rsidR="00584436" w:rsidRPr="00325ACC">
        <w:t>treatment effect</w:t>
      </w:r>
      <w:bookmarkEnd w:id="125"/>
    </w:p>
    <w:p w14:paraId="47E9E8B2" w14:textId="251A01F1" w:rsidR="00F34B35" w:rsidRDefault="001A37CE" w:rsidP="001A37CE">
      <w:pPr>
        <w:pStyle w:val="NoSpacing"/>
        <w:spacing w:line="360" w:lineRule="auto"/>
      </w:pPr>
      <w:r>
        <w:t xml:space="preserve">Two treatment strategies were compared: specialist alcohol treatment only (the counterfactual) and </w:t>
      </w:r>
      <w:r w:rsidRPr="04438849">
        <w:rPr>
          <w:rFonts w:eastAsiaTheme="minorEastAsia" w:cstheme="minorBidi"/>
        </w:rPr>
        <w:t xml:space="preserve">treatment </w:t>
      </w:r>
      <w:r w:rsidR="00545D7B">
        <w:rPr>
          <w:rFonts w:eastAsiaTheme="minorEastAsia" w:cstheme="minorBidi"/>
        </w:rPr>
        <w:t>plus</w:t>
      </w:r>
      <w:r w:rsidRPr="04438849">
        <w:rPr>
          <w:rFonts w:eastAsiaTheme="minorEastAsia" w:cstheme="minorBidi"/>
        </w:rPr>
        <w:t xml:space="preserve"> parenting and/or family recovery support i.e. </w:t>
      </w:r>
      <w:r>
        <w:t xml:space="preserve">treatment plus parenting and/or recovery support delivered alongside </w:t>
      </w:r>
      <w:r w:rsidR="00BB6A20">
        <w:t>(and sometimes beyond)</w:t>
      </w:r>
      <w:r>
        <w:t xml:space="preserve"> specialist alcohol treatment. The outcome measure was successful completion of treatment</w:t>
      </w:r>
      <w:r w:rsidR="009272CC">
        <w:t>, referred to as ‘In remission’ in this study</w:t>
      </w:r>
      <w:r>
        <w:t xml:space="preserve">. A person is </w:t>
      </w:r>
      <w:r w:rsidRPr="04438849">
        <w:t xml:space="preserve">defined in the NDTMS as having successful completion of treatment if the </w:t>
      </w:r>
      <w:r w:rsidRPr="04438849">
        <w:lastRenderedPageBreak/>
        <w:t xml:space="preserve">person has achieved all their care plan goals and was clinically assessed as no longer dependent on the substances that brought them into treatment and they are not receiving pharmacological treatment.  This definition is in line with official English reporting of treatment outcomes  </w:t>
      </w:r>
      <w:r w:rsidRPr="04438849">
        <w:fldChar w:fldCharType="begin"/>
      </w:r>
      <w:r w:rsidR="00B9334F">
        <w:instrText xml:space="preserve"> ADDIN EN.CITE &lt;EndNote&gt;&lt;Cite&gt;&lt;Author&gt;PHE&lt;/Author&gt;&lt;Year&gt;2019&lt;/Year&gt;&lt;RecNum&gt;63&lt;/RecNum&gt;&lt;DisplayText&gt;(PHE, 2019a)&lt;/DisplayText&gt;&lt;record&gt;&lt;rec-number&gt;63&lt;/rec-number&gt;&lt;foreign-keys&gt;&lt;key app="EN" db-id="ffzvr5fstavwxoe9v04xf0wmp5t50as52da0" timestamp="1731671640" guid="41db3abb-9f3b-4907-b16e-d664d4bba4d1"&gt;63&lt;/key&gt;&lt;/foreign-keys&gt;&lt;ref-type name="Report"&gt;27&lt;/ref-type&gt;&lt;contributors&gt;&lt;authors&gt;&lt;author&gt;PHE&lt;/author&gt;&lt;/authors&gt;&lt;/contributors&gt;&lt;titles&gt;&lt;title&gt;National Drug Treatment Monitoring System (NDTMS). Adult drug and alcohol treatment business definitions. Core dataset O&lt;/title&gt;&lt;/titles&gt;&lt;dates&gt;&lt;year&gt;2019&lt;/year&gt;&lt;pub-dates&gt;&lt;date&gt;14/06/2019&lt;/date&gt;&lt;/pub-dates&gt;&lt;/dates&gt;&lt;publisher&gt;Public Health England&lt;/publisher&gt;&lt;urls&gt;&lt;related-urls&gt;&lt;url&gt;https://assets.publishing.service.gov.uk/government/uploads/system/uploads/attachment_data/file/785198/NDTMS_adult_drug_and_alcohol_treatment_business_definitions_CDS-O.pdf&lt;/url&gt;&lt;/related-urls&gt;&lt;/urls&gt;&lt;/record&gt;&lt;/Cite&gt;&lt;/EndNote&gt;</w:instrText>
      </w:r>
      <w:r w:rsidRPr="04438849">
        <w:fldChar w:fldCharType="separate"/>
      </w:r>
      <w:r w:rsidR="00A77498">
        <w:rPr>
          <w:noProof/>
        </w:rPr>
        <w:t>(PHE, 2019a)</w:t>
      </w:r>
      <w:r w:rsidRPr="04438849">
        <w:fldChar w:fldCharType="end"/>
      </w:r>
      <w:r w:rsidRPr="04438849">
        <w:t xml:space="preserve">. </w:t>
      </w:r>
    </w:p>
    <w:p w14:paraId="134C73B0" w14:textId="77777777" w:rsidR="00F34B35" w:rsidRDefault="00F34B35" w:rsidP="001A37CE">
      <w:pPr>
        <w:pStyle w:val="NoSpacing"/>
        <w:spacing w:line="360" w:lineRule="auto"/>
      </w:pPr>
    </w:p>
    <w:p w14:paraId="3734AEF0" w14:textId="1B4CE27C" w:rsidR="001A37CE" w:rsidRPr="00426FE6" w:rsidRDefault="001A37CE" w:rsidP="009C3BBC">
      <w:pPr>
        <w:pStyle w:val="Heading3"/>
        <w:numPr>
          <w:ilvl w:val="2"/>
          <w:numId w:val="19"/>
        </w:numPr>
        <w:spacing w:line="360" w:lineRule="auto"/>
      </w:pPr>
      <w:bookmarkStart w:id="126" w:name="_Toc189229705"/>
      <w:r w:rsidRPr="00426FE6">
        <w:t>Deterministic Markov model for each subgroup</w:t>
      </w:r>
      <w:bookmarkEnd w:id="126"/>
    </w:p>
    <w:p w14:paraId="7B281004" w14:textId="44808E2D" w:rsidR="001A37CE" w:rsidRDefault="001A37CE" w:rsidP="001A37CE">
      <w:pPr>
        <w:pStyle w:val="NoSpacing"/>
        <w:spacing w:line="360" w:lineRule="auto"/>
      </w:pPr>
      <w:r>
        <w:t xml:space="preserve">We constructed a Markov model in </w:t>
      </w:r>
      <w:r w:rsidR="00954046">
        <w:t>Microsoft E</w:t>
      </w:r>
      <w:r w:rsidR="00D16D48">
        <w:t>xcel</w:t>
      </w:r>
      <w:r w:rsidR="00954046">
        <w:t xml:space="preserve"> (</w:t>
      </w:r>
      <w:r w:rsidR="00D16D48">
        <w:t>version 2402)</w:t>
      </w:r>
      <w:r>
        <w:t xml:space="preserve"> for each of the 16 study sample subgroups and aggregated results to estimate overall cost-effectiveness.  Markov models are multi-state transition models where a patient cohort (e.g. parents with AUD in our study) moves to different health states over time (such as in treatment, in remission, not in treatment or remission or death) according to which strategy they have received (counterfactual or intervention in our study)</w:t>
      </w:r>
      <w:r w:rsidR="00A133AB">
        <w:t xml:space="preserve"> </w:t>
      </w:r>
      <w:r w:rsidR="00A133AB">
        <w:fldChar w:fldCharType="begin"/>
      </w:r>
      <w:r w:rsidR="00B9334F">
        <w:instrText xml:space="preserve"> ADDIN EN.CITE &lt;EndNote&gt;&lt;Cite&gt;&lt;Author&gt;Siebert&lt;/Author&gt;&lt;Year&gt;2012&lt;/Year&gt;&lt;RecNum&gt;372&lt;/RecNum&gt;&lt;DisplayText&gt;(Siebert et al., 2012)&lt;/DisplayText&gt;&lt;record&gt;&lt;rec-number&gt;372&lt;/rec-number&gt;&lt;foreign-keys&gt;&lt;key app="EN" db-id="ffzvr5fstavwxoe9v04xf0wmp5t50as52da0" timestamp="1731671665" guid="17c997f6-b90c-43d2-a67d-70b60bd6dd83"&gt;372&lt;/key&gt;&lt;/foreign-keys&gt;&lt;ref-type name="Journal Article"&gt;17&lt;/ref-type&gt;&lt;contributors&gt;&lt;authors&gt;&lt;author&gt;Siebert, U.&lt;/author&gt;&lt;author&gt;Alagoz, O.&lt;/author&gt;&lt;author&gt;Bayoumi, A. M.&lt;/author&gt;&lt;author&gt;Jahn, B.&lt;/author&gt;&lt;author&gt;Owens, D. K.&lt;/author&gt;&lt;author&gt;Cohen, D. J.&lt;/author&gt;&lt;author&gt;Kuntz, K. M.&lt;/author&gt;&lt;/authors&gt;&lt;/contributors&gt;&lt;auth-address&gt;UMIT-University for Health Sciences, Medical Informatics and Technology, Hall in Tirol, Austria. uwe.siebert@umit.at&lt;/auth-address&gt;&lt;titles&gt;&lt;title&gt;State-transition modeling: a report of the ISPOR-SMDM Modeling Good Research Practices Task Force--3&lt;/title&gt;&lt;secondary-title&gt;Value Health&lt;/secondary-title&gt;&lt;/titles&gt;&lt;periodical&gt;&lt;full-title&gt;Value Health&lt;/full-title&gt;&lt;/periodical&gt;&lt;pages&gt;812-20&lt;/pages&gt;&lt;volume&gt;15&lt;/volume&gt;&lt;number&gt;6&lt;/number&gt;&lt;keywords&gt;&lt;keyword&gt;*Advisory Committees&lt;/keyword&gt;&lt;keyword&gt;Comparative Effectiveness Research&lt;/keyword&gt;&lt;keyword&gt;Consensus&lt;/keyword&gt;&lt;keyword&gt;*Decision Making, Computer-Assisted&lt;/keyword&gt;&lt;keyword&gt;*Evidence-Based Practice&lt;/keyword&gt;&lt;keyword&gt;Guidelines as Topic&lt;/keyword&gt;&lt;keyword&gt;Markov Chains&lt;/keyword&gt;&lt;keyword&gt;*Models, Theoretical&lt;/keyword&gt;&lt;/keywords&gt;&lt;dates&gt;&lt;year&gt;2012&lt;/year&gt;&lt;pub-dates&gt;&lt;date&gt;Sep-Oct&lt;/date&gt;&lt;/pub-dates&gt;&lt;/dates&gt;&lt;isbn&gt;1098-3015&lt;/isbn&gt;&lt;accession-num&gt;22999130&lt;/accession-num&gt;&lt;urls&gt;&lt;/urls&gt;&lt;electronic-resource-num&gt;10.1016/j.jval.2012.06.014&lt;/electronic-resource-num&gt;&lt;remote-database-provider&gt;NLM&lt;/remote-database-provider&gt;&lt;language&gt;eng&lt;/language&gt;&lt;/record&gt;&lt;/Cite&gt;&lt;/EndNote&gt;</w:instrText>
      </w:r>
      <w:r w:rsidR="00A133AB">
        <w:fldChar w:fldCharType="separate"/>
      </w:r>
      <w:r w:rsidR="00A77498">
        <w:rPr>
          <w:noProof/>
        </w:rPr>
        <w:t>(Siebert et al., 2012)</w:t>
      </w:r>
      <w:r w:rsidR="00A133AB">
        <w:fldChar w:fldCharType="end"/>
      </w:r>
      <w:r>
        <w:t xml:space="preserve">. For our 16 subgroups, we estimated quality-adjusted life years (QALYs) associated with each state at a given time. A QALY is a health outcome measure made up of two components: quality of life ‘utility’ (scored from 0 to 1), and life expectancy.  </w:t>
      </w:r>
    </w:p>
    <w:p w14:paraId="4AFB59B2" w14:textId="77777777" w:rsidR="001A37CE" w:rsidRDefault="001A37CE" w:rsidP="001E2DD4">
      <w:pPr>
        <w:pStyle w:val="NoSpacing"/>
        <w:spacing w:line="360" w:lineRule="auto"/>
        <w:rPr>
          <w:b/>
          <w:bCs/>
        </w:rPr>
      </w:pPr>
    </w:p>
    <w:p w14:paraId="27ACDF67" w14:textId="23C49455" w:rsidR="001A37CE" w:rsidRPr="00A133AB" w:rsidRDefault="001A37CE" w:rsidP="009C3BBC">
      <w:pPr>
        <w:pStyle w:val="Heading3"/>
        <w:numPr>
          <w:ilvl w:val="2"/>
          <w:numId w:val="19"/>
        </w:numPr>
        <w:spacing w:line="360" w:lineRule="auto"/>
      </w:pPr>
      <w:bookmarkStart w:id="127" w:name="_Toc189229706"/>
      <w:r w:rsidRPr="00A133AB">
        <w:t xml:space="preserve">Transition probabilities for </w:t>
      </w:r>
      <w:r w:rsidR="00A133AB" w:rsidRPr="00A133AB">
        <w:t>s</w:t>
      </w:r>
      <w:r w:rsidRPr="00A133AB">
        <w:t xml:space="preserve">pecialist </w:t>
      </w:r>
      <w:r w:rsidR="00A133AB" w:rsidRPr="00A133AB">
        <w:t>a</w:t>
      </w:r>
      <w:r w:rsidRPr="00A133AB">
        <w:t xml:space="preserve">lcohol </w:t>
      </w:r>
      <w:r w:rsidR="00A133AB" w:rsidRPr="00A133AB">
        <w:t>t</w:t>
      </w:r>
      <w:r w:rsidRPr="00A133AB">
        <w:t xml:space="preserve">reatment </w:t>
      </w:r>
      <w:r w:rsidR="00A133AB" w:rsidRPr="00A133AB">
        <w:t>o</w:t>
      </w:r>
      <w:r w:rsidRPr="00A133AB">
        <w:t>nly</w:t>
      </w:r>
      <w:bookmarkEnd w:id="127"/>
    </w:p>
    <w:p w14:paraId="2E032ED0" w14:textId="60857316" w:rsidR="001A37CE" w:rsidRPr="00D26957" w:rsidRDefault="00312731" w:rsidP="001A37CE">
      <w:pPr>
        <w:pStyle w:val="NoSpacing"/>
        <w:spacing w:line="360" w:lineRule="auto"/>
      </w:pPr>
      <w:r w:rsidRPr="002D3F3C">
        <w:t>As</w:t>
      </w:r>
      <w:r w:rsidR="001A37CE" w:rsidRPr="002D3F3C">
        <w:t xml:space="preserve"> </w:t>
      </w:r>
      <w:r w:rsidR="00AA6B61" w:rsidRPr="002D3F3C">
        <w:fldChar w:fldCharType="begin"/>
      </w:r>
      <w:r w:rsidR="00AA6B61" w:rsidRPr="002D3F3C">
        <w:instrText xml:space="preserve"> REF _Ref176700936 \h  \* MERGEFORMAT </w:instrText>
      </w:r>
      <w:r w:rsidR="00AA6B61" w:rsidRPr="002D3F3C">
        <w:fldChar w:fldCharType="separate"/>
      </w:r>
      <w:r w:rsidR="00BB6A20" w:rsidRPr="002D3F3C">
        <w:t xml:space="preserve">Figure </w:t>
      </w:r>
      <w:r w:rsidR="00BB6A20" w:rsidRPr="002D3F3C">
        <w:rPr>
          <w:noProof/>
        </w:rPr>
        <w:t>5</w:t>
      </w:r>
      <w:r w:rsidR="00BB6A20" w:rsidRPr="002D3F3C">
        <w:rPr>
          <w:noProof/>
        </w:rPr>
        <w:noBreakHyphen/>
        <w:t>2</w:t>
      </w:r>
      <w:r w:rsidR="00AA6B61" w:rsidRPr="002D3F3C">
        <w:fldChar w:fldCharType="end"/>
      </w:r>
      <w:r w:rsidR="00AA6B61" w:rsidRPr="002D3F3C">
        <w:t xml:space="preserve"> </w:t>
      </w:r>
      <w:r w:rsidR="001A37CE" w:rsidRPr="002D3F3C">
        <w:t>shows</w:t>
      </w:r>
      <w:r w:rsidR="001A37CE" w:rsidRPr="00AA6B61">
        <w:t>, everyone in our Markov model begins in treatment. By the end of</w:t>
      </w:r>
      <w:r w:rsidR="001A37CE">
        <w:t xml:space="preserve"> </w:t>
      </w:r>
      <w:r w:rsidR="001A37CE" w:rsidRPr="00D26957">
        <w:t>the year, they can transition to one of four states:</w:t>
      </w:r>
    </w:p>
    <w:p w14:paraId="4B27A479" w14:textId="7E32C314" w:rsidR="001A37CE" w:rsidRPr="00D26957" w:rsidRDefault="001A37CE" w:rsidP="009C3BBC">
      <w:pPr>
        <w:pStyle w:val="NoSpacing"/>
        <w:numPr>
          <w:ilvl w:val="0"/>
          <w:numId w:val="25"/>
        </w:numPr>
        <w:spacing w:line="360" w:lineRule="auto"/>
        <w:contextualSpacing w:val="0"/>
      </w:pPr>
      <w:r>
        <w:t>‘In treatment’ (</w:t>
      </w:r>
      <w:r w:rsidR="001E2DD4">
        <w:t xml:space="preserve">State A, </w:t>
      </w:r>
      <w:r>
        <w:t>s</w:t>
      </w:r>
      <w:r w:rsidRPr="00D26957">
        <w:t xml:space="preserve">till in treatment one year later, or left treatment and </w:t>
      </w:r>
      <w:r>
        <w:t xml:space="preserve">then </w:t>
      </w:r>
      <w:r w:rsidRPr="00D26957">
        <w:t xml:space="preserve">re-presented </w:t>
      </w:r>
      <w:r>
        <w:t>to treatment)</w:t>
      </w:r>
    </w:p>
    <w:p w14:paraId="4ADD97AA" w14:textId="08439165" w:rsidR="001A37CE" w:rsidRPr="00D26957" w:rsidRDefault="001A37CE" w:rsidP="009C3BBC">
      <w:pPr>
        <w:pStyle w:val="NoSpacing"/>
        <w:numPr>
          <w:ilvl w:val="0"/>
          <w:numId w:val="25"/>
        </w:numPr>
        <w:spacing w:line="360" w:lineRule="auto"/>
        <w:contextualSpacing w:val="0"/>
      </w:pPr>
      <w:r>
        <w:t>‘In remission’ (</w:t>
      </w:r>
      <w:r w:rsidR="001E2DD4">
        <w:t xml:space="preserve">State B, </w:t>
      </w:r>
      <w:r>
        <w:t>s</w:t>
      </w:r>
      <w:r w:rsidRPr="00D26957">
        <w:t>uccessfully completing and not re-presenting to treatment</w:t>
      </w:r>
      <w:r>
        <w:t>)</w:t>
      </w:r>
      <w:r w:rsidRPr="00D26957">
        <w:t xml:space="preserve"> </w:t>
      </w:r>
    </w:p>
    <w:p w14:paraId="32102934" w14:textId="0BDD5A93" w:rsidR="001A37CE" w:rsidRPr="00D26957" w:rsidRDefault="001A37CE" w:rsidP="009C3BBC">
      <w:pPr>
        <w:pStyle w:val="NoSpacing"/>
        <w:numPr>
          <w:ilvl w:val="0"/>
          <w:numId w:val="25"/>
        </w:numPr>
        <w:spacing w:line="360" w:lineRule="auto"/>
        <w:contextualSpacing w:val="0"/>
      </w:pPr>
      <w:r w:rsidRPr="00D26957">
        <w:t xml:space="preserve">‘Not in treatment and not in remission’ </w:t>
      </w:r>
      <w:r w:rsidR="001E2DD4">
        <w:t>(State C)</w:t>
      </w:r>
    </w:p>
    <w:p w14:paraId="3C36B723" w14:textId="25FE62EB" w:rsidR="00130B6A" w:rsidRDefault="001A37CE" w:rsidP="009C3BBC">
      <w:pPr>
        <w:pStyle w:val="NoSpacing"/>
        <w:numPr>
          <w:ilvl w:val="0"/>
          <w:numId w:val="25"/>
        </w:numPr>
        <w:spacing w:line="360" w:lineRule="auto"/>
        <w:contextualSpacing w:val="0"/>
      </w:pPr>
      <w:r w:rsidRPr="00D26957">
        <w:t>Died</w:t>
      </w:r>
      <w:r w:rsidR="001E2DD4">
        <w:t xml:space="preserve"> (State D)</w:t>
      </w:r>
    </w:p>
    <w:p w14:paraId="0F846704" w14:textId="7E6F1D36" w:rsidR="00960A9E" w:rsidRDefault="00130B6A" w:rsidP="001A37CE">
      <w:pPr>
        <w:pStyle w:val="NoSpacing"/>
        <w:spacing w:line="360" w:lineRule="auto"/>
      </w:pPr>
      <w:r>
        <w:t xml:space="preserve">Those alive at the end of the cycle progress to the following year. </w:t>
      </w:r>
      <w:r w:rsidRPr="002859D2">
        <w:t xml:space="preserve">The oval shapes represent the possible states </w:t>
      </w:r>
      <w:r w:rsidR="006A4420">
        <w:t xml:space="preserve">from </w:t>
      </w:r>
      <w:r>
        <w:t>which</w:t>
      </w:r>
      <w:r w:rsidRPr="002859D2">
        <w:t xml:space="preserve"> patients can move in and out. Died is an absorbing state</w:t>
      </w:r>
      <w:r>
        <w:t>, i.e. a patient cannot leave once they have entered that state,</w:t>
      </w:r>
      <w:r w:rsidRPr="002859D2">
        <w:t xml:space="preserve"> and is represented as a rectangle. The arrows correspond to the transition probabilities.</w:t>
      </w:r>
      <w:r w:rsidRPr="002859D2">
        <w:rPr>
          <w:rFonts w:ascii="Roboto" w:hAnsi="Roboto"/>
          <w:color w:val="262626"/>
          <w:sz w:val="21"/>
          <w:szCs w:val="21"/>
          <w:shd w:val="clear" w:color="auto" w:fill="FFFFFF"/>
        </w:rPr>
        <w:t> </w:t>
      </w:r>
      <w:r>
        <w:t xml:space="preserve"> </w:t>
      </w:r>
    </w:p>
    <w:p w14:paraId="2F81E7AB" w14:textId="77777777" w:rsidR="0042328C" w:rsidRDefault="0042328C" w:rsidP="001A37CE">
      <w:pPr>
        <w:pStyle w:val="NoSpacing"/>
        <w:spacing w:line="360" w:lineRule="auto"/>
      </w:pPr>
    </w:p>
    <w:p w14:paraId="3C68BA81" w14:textId="77777777" w:rsidR="0042328C" w:rsidRDefault="0042328C" w:rsidP="001A37CE">
      <w:pPr>
        <w:pStyle w:val="NoSpacing"/>
        <w:spacing w:line="360" w:lineRule="auto"/>
      </w:pPr>
    </w:p>
    <w:p w14:paraId="5F594EDD" w14:textId="77777777" w:rsidR="0042328C" w:rsidRDefault="0042328C" w:rsidP="001A37CE">
      <w:pPr>
        <w:pStyle w:val="NoSpacing"/>
        <w:spacing w:line="360" w:lineRule="auto"/>
      </w:pPr>
    </w:p>
    <w:p w14:paraId="072FA83E" w14:textId="2F08C39D" w:rsidR="00B77127" w:rsidRPr="00AC1AE9" w:rsidRDefault="00AC1AE9" w:rsidP="3EE3ED99">
      <w:pPr>
        <w:pStyle w:val="Caption"/>
        <w:rPr>
          <w:b w:val="0"/>
          <w:bCs w:val="0"/>
          <w:i/>
          <w:iCs/>
          <w:color w:val="auto"/>
          <w:sz w:val="24"/>
          <w:szCs w:val="24"/>
          <w:shd w:val="clear" w:color="auto" w:fill="FFFFFF"/>
        </w:rPr>
      </w:pPr>
      <w:bookmarkStart w:id="128" w:name="_Ref176700936"/>
      <w:bookmarkStart w:id="129" w:name="_Toc185845012"/>
      <w:r w:rsidRPr="3EE3ED99">
        <w:rPr>
          <w:b w:val="0"/>
          <w:bCs w:val="0"/>
          <w:i/>
          <w:iCs/>
          <w:color w:val="auto"/>
          <w:sz w:val="24"/>
          <w:szCs w:val="24"/>
        </w:rPr>
        <w:lastRenderedPageBreak/>
        <w:t xml:space="preserve">Figure </w:t>
      </w:r>
      <w:r w:rsidR="002B1FB9">
        <w:rPr>
          <w:b w:val="0"/>
          <w:bCs w:val="0"/>
          <w:i/>
          <w:iCs/>
          <w:color w:val="auto"/>
          <w:sz w:val="24"/>
          <w:szCs w:val="24"/>
        </w:rPr>
        <w:fldChar w:fldCharType="begin"/>
      </w:r>
      <w:r w:rsidR="002B1FB9">
        <w:rPr>
          <w:b w:val="0"/>
          <w:bCs w:val="0"/>
          <w:i/>
          <w:iCs/>
          <w:color w:val="auto"/>
          <w:sz w:val="24"/>
          <w:szCs w:val="24"/>
        </w:rPr>
        <w:instrText xml:space="preserve"> STYLEREF 2 \s </w:instrText>
      </w:r>
      <w:r w:rsidR="002B1FB9">
        <w:rPr>
          <w:b w:val="0"/>
          <w:bCs w:val="0"/>
          <w:i/>
          <w:iCs/>
          <w:color w:val="auto"/>
          <w:sz w:val="24"/>
          <w:szCs w:val="24"/>
        </w:rPr>
        <w:fldChar w:fldCharType="separate"/>
      </w:r>
      <w:r w:rsidR="002B1FB9">
        <w:rPr>
          <w:b w:val="0"/>
          <w:bCs w:val="0"/>
          <w:i/>
          <w:iCs/>
          <w:noProof/>
          <w:color w:val="auto"/>
          <w:sz w:val="24"/>
          <w:szCs w:val="24"/>
        </w:rPr>
        <w:t>5.3</w:t>
      </w:r>
      <w:r w:rsidR="002B1FB9">
        <w:rPr>
          <w:b w:val="0"/>
          <w:bCs w:val="0"/>
          <w:i/>
          <w:iCs/>
          <w:color w:val="auto"/>
          <w:sz w:val="24"/>
          <w:szCs w:val="24"/>
        </w:rPr>
        <w:fldChar w:fldCharType="end"/>
      </w:r>
      <w:r w:rsidR="002B1FB9">
        <w:rPr>
          <w:b w:val="0"/>
          <w:bCs w:val="0"/>
          <w:i/>
          <w:iCs/>
          <w:color w:val="auto"/>
          <w:sz w:val="24"/>
          <w:szCs w:val="24"/>
        </w:rPr>
        <w:noBreakHyphen/>
      </w:r>
      <w:r w:rsidR="002B1FB9">
        <w:rPr>
          <w:b w:val="0"/>
          <w:bCs w:val="0"/>
          <w:i/>
          <w:iCs/>
          <w:color w:val="auto"/>
          <w:sz w:val="24"/>
          <w:szCs w:val="24"/>
        </w:rPr>
        <w:fldChar w:fldCharType="begin"/>
      </w:r>
      <w:r w:rsidR="002B1FB9">
        <w:rPr>
          <w:b w:val="0"/>
          <w:bCs w:val="0"/>
          <w:i/>
          <w:iCs/>
          <w:color w:val="auto"/>
          <w:sz w:val="24"/>
          <w:szCs w:val="24"/>
        </w:rPr>
        <w:instrText xml:space="preserve"> SEQ Figure \* ARABIC \s 2 </w:instrText>
      </w:r>
      <w:r w:rsidR="002B1FB9">
        <w:rPr>
          <w:b w:val="0"/>
          <w:bCs w:val="0"/>
          <w:i/>
          <w:iCs/>
          <w:color w:val="auto"/>
          <w:sz w:val="24"/>
          <w:szCs w:val="24"/>
        </w:rPr>
        <w:fldChar w:fldCharType="separate"/>
      </w:r>
      <w:r w:rsidR="002B1FB9">
        <w:rPr>
          <w:b w:val="0"/>
          <w:bCs w:val="0"/>
          <w:i/>
          <w:iCs/>
          <w:noProof/>
          <w:color w:val="auto"/>
          <w:sz w:val="24"/>
          <w:szCs w:val="24"/>
        </w:rPr>
        <w:t>2</w:t>
      </w:r>
      <w:r w:rsidR="002B1FB9">
        <w:rPr>
          <w:b w:val="0"/>
          <w:bCs w:val="0"/>
          <w:i/>
          <w:iCs/>
          <w:color w:val="auto"/>
          <w:sz w:val="24"/>
          <w:szCs w:val="24"/>
        </w:rPr>
        <w:fldChar w:fldCharType="end"/>
      </w:r>
      <w:bookmarkEnd w:id="128"/>
      <w:r w:rsidR="00D54EB7">
        <w:rPr>
          <w:b w:val="0"/>
          <w:bCs w:val="0"/>
          <w:i/>
          <w:iCs/>
          <w:color w:val="auto"/>
          <w:sz w:val="24"/>
          <w:szCs w:val="24"/>
        </w:rPr>
        <w:tab/>
      </w:r>
      <w:r w:rsidR="00B77127" w:rsidRPr="3EE3ED99">
        <w:rPr>
          <w:b w:val="0"/>
          <w:bCs w:val="0"/>
          <w:i/>
          <w:iCs/>
          <w:color w:val="auto"/>
          <w:sz w:val="24"/>
          <w:szCs w:val="24"/>
          <w:shd w:val="clear" w:color="auto" w:fill="FFFFFF"/>
        </w:rPr>
        <w:t>State transition diagram of the Markov model</w:t>
      </w:r>
      <w:bookmarkEnd w:id="129"/>
    </w:p>
    <w:p w14:paraId="4A560972" w14:textId="4F07CB1E" w:rsidR="00B77127" w:rsidRDefault="00612592" w:rsidP="00B77127">
      <w:pPr>
        <w:pStyle w:val="NoSpacing"/>
        <w:spacing w:line="360" w:lineRule="auto"/>
        <w:rPr>
          <w:b/>
          <w:bCs/>
          <w:color w:val="000000"/>
          <w:shd w:val="clear" w:color="auto" w:fill="FFFFFF"/>
        </w:rPr>
      </w:pPr>
      <w:r>
        <w:rPr>
          <w:b/>
          <w:bCs/>
          <w:noProof/>
          <w:color w:val="000000"/>
        </w:rPr>
        <mc:AlternateContent>
          <mc:Choice Requires="wpg">
            <w:drawing>
              <wp:anchor distT="0" distB="0" distL="114300" distR="114300" simplePos="0" relativeHeight="251687936" behindDoc="0" locked="0" layoutInCell="1" allowOverlap="1" wp14:anchorId="79080D8B" wp14:editId="24248030">
                <wp:simplePos x="0" y="0"/>
                <wp:positionH relativeFrom="column">
                  <wp:posOffset>95416</wp:posOffset>
                </wp:positionH>
                <wp:positionV relativeFrom="paragraph">
                  <wp:posOffset>166149</wp:posOffset>
                </wp:positionV>
                <wp:extent cx="4843780" cy="2743200"/>
                <wp:effectExtent l="0" t="0" r="13970" b="19050"/>
                <wp:wrapNone/>
                <wp:docPr id="1676649293" name="Group 2"/>
                <wp:cNvGraphicFramePr/>
                <a:graphic xmlns:a="http://schemas.openxmlformats.org/drawingml/2006/main">
                  <a:graphicData uri="http://schemas.microsoft.com/office/word/2010/wordprocessingGroup">
                    <wpg:wgp>
                      <wpg:cNvGrpSpPr/>
                      <wpg:grpSpPr>
                        <a:xfrm>
                          <a:off x="0" y="0"/>
                          <a:ext cx="4843780" cy="2743200"/>
                          <a:chOff x="0" y="0"/>
                          <a:chExt cx="4843780" cy="2743200"/>
                        </a:xfrm>
                      </wpg:grpSpPr>
                      <wpg:grpSp>
                        <wpg:cNvPr id="1353063194" name="Group 1"/>
                        <wpg:cNvGrpSpPr/>
                        <wpg:grpSpPr>
                          <a:xfrm>
                            <a:off x="0" y="0"/>
                            <a:ext cx="4843780" cy="2743200"/>
                            <a:chOff x="0" y="0"/>
                            <a:chExt cx="4843780" cy="2743200"/>
                          </a:xfrm>
                        </wpg:grpSpPr>
                        <wpg:grpSp>
                          <wpg:cNvPr id="1250196730" name="Group 69"/>
                          <wpg:cNvGrpSpPr>
                            <a:grpSpLocks/>
                          </wpg:cNvGrpSpPr>
                          <wpg:grpSpPr bwMode="auto">
                            <a:xfrm>
                              <a:off x="0" y="0"/>
                              <a:ext cx="4843780" cy="2743200"/>
                              <a:chOff x="1588" y="9842"/>
                              <a:chExt cx="7628" cy="4320"/>
                            </a:xfrm>
                          </wpg:grpSpPr>
                          <wps:wsp>
                            <wps:cNvPr id="883967993" name="Oval 52"/>
                            <wps:cNvSpPr>
                              <a:spLocks noChangeArrowheads="1"/>
                            </wps:cNvSpPr>
                            <wps:spPr bwMode="auto">
                              <a:xfrm>
                                <a:off x="3016" y="10092"/>
                                <a:ext cx="702" cy="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058003" name="Oval 53"/>
                            <wps:cNvSpPr>
                              <a:spLocks noChangeArrowheads="1"/>
                            </wps:cNvSpPr>
                            <wps:spPr bwMode="auto">
                              <a:xfrm>
                                <a:off x="3368" y="9842"/>
                                <a:ext cx="2292" cy="927"/>
                              </a:xfrm>
                              <a:prstGeom prst="ellipse">
                                <a:avLst/>
                              </a:prstGeom>
                              <a:solidFill>
                                <a:srgbClr val="FFFFFF"/>
                              </a:solidFill>
                              <a:ln w="9525">
                                <a:solidFill>
                                  <a:srgbClr val="000000"/>
                                </a:solidFill>
                                <a:round/>
                                <a:headEnd/>
                                <a:tailEnd/>
                              </a:ln>
                            </wps:spPr>
                            <wps:txbx>
                              <w:txbxContent>
                                <w:p w14:paraId="15E3CC8C" w14:textId="77777777" w:rsidR="00B77127" w:rsidRPr="002A08A3" w:rsidRDefault="00B77127" w:rsidP="002A08A3">
                                  <w:pPr>
                                    <w:pStyle w:val="NoSpacing"/>
                                    <w:spacing w:line="240" w:lineRule="auto"/>
                                    <w:jc w:val="center"/>
                                    <w:rPr>
                                      <w:sz w:val="22"/>
                                      <w:szCs w:val="22"/>
                                    </w:rPr>
                                  </w:pPr>
                                  <w:r w:rsidRPr="002A08A3">
                                    <w:rPr>
                                      <w:sz w:val="22"/>
                                      <w:szCs w:val="22"/>
                                    </w:rPr>
                                    <w:t>In treatment</w:t>
                                  </w:r>
                                </w:p>
                                <w:p w14:paraId="30844E50" w14:textId="7CA6A48F" w:rsidR="00C454A4" w:rsidRPr="002A08A3" w:rsidRDefault="00C454A4" w:rsidP="002A08A3">
                                  <w:pPr>
                                    <w:pStyle w:val="NoSpacing"/>
                                    <w:spacing w:line="240" w:lineRule="auto"/>
                                    <w:jc w:val="center"/>
                                    <w:rPr>
                                      <w:sz w:val="22"/>
                                      <w:szCs w:val="22"/>
                                    </w:rPr>
                                  </w:pPr>
                                  <w:r w:rsidRPr="002A08A3">
                                    <w:rPr>
                                      <w:sz w:val="22"/>
                                      <w:szCs w:val="22"/>
                                    </w:rPr>
                                    <w:t xml:space="preserve">  (State A)</w:t>
                                  </w:r>
                                </w:p>
                              </w:txbxContent>
                            </wps:txbx>
                            <wps:bodyPr rot="0" vert="horz" wrap="square" lIns="91440" tIns="45720" rIns="91440" bIns="45720" anchor="t" anchorCtr="0" upright="1">
                              <a:noAutofit/>
                            </wps:bodyPr>
                          </wps:wsp>
                          <wps:wsp>
                            <wps:cNvPr id="1190697292" name="Freeform 11"/>
                            <wps:cNvSpPr>
                              <a:spLocks/>
                            </wps:cNvSpPr>
                            <wps:spPr bwMode="auto">
                              <a:xfrm>
                                <a:off x="3245" y="10017"/>
                                <a:ext cx="134" cy="185"/>
                              </a:xfrm>
                              <a:custGeom>
                                <a:avLst/>
                                <a:gdLst>
                                  <a:gd name="T0" fmla="*/ 52836 w 18"/>
                                  <a:gd name="T1" fmla="*/ 317013 h 18"/>
                                  <a:gd name="T2" fmla="*/ 317013 w 18"/>
                                  <a:gd name="T3" fmla="*/ 88059 h 18"/>
                                  <a:gd name="T4" fmla="*/ 0 w 18"/>
                                  <a:gd name="T5" fmla="*/ 0 h 18"/>
                                  <a:gd name="T6" fmla="*/ 0 60000 65536"/>
                                  <a:gd name="T7" fmla="*/ 0 60000 65536"/>
                                  <a:gd name="T8" fmla="*/ 0 60000 65536"/>
                                </a:gdLst>
                                <a:ahLst/>
                                <a:cxnLst>
                                  <a:cxn ang="T6">
                                    <a:pos x="T0" y="T1"/>
                                  </a:cxn>
                                  <a:cxn ang="T7">
                                    <a:pos x="T2" y="T3"/>
                                  </a:cxn>
                                  <a:cxn ang="T8">
                                    <a:pos x="T4" y="T5"/>
                                  </a:cxn>
                                </a:cxnLst>
                                <a:rect l="0" t="0" r="r" b="b"/>
                                <a:pathLst>
                                  <a:path w="18" h="18">
                                    <a:moveTo>
                                      <a:pt x="3" y="18"/>
                                    </a:moveTo>
                                    <a:lnTo>
                                      <a:pt x="18" y="5"/>
                                    </a:lnTo>
                                    <a:lnTo>
                                      <a:pt x="0" y="0"/>
                                    </a:ln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861226" name="Oval 55"/>
                            <wps:cNvSpPr>
                              <a:spLocks noChangeArrowheads="1"/>
                            </wps:cNvSpPr>
                            <wps:spPr bwMode="auto">
                              <a:xfrm>
                                <a:off x="3579" y="11622"/>
                                <a:ext cx="702" cy="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309333" name="Oval 56"/>
                            <wps:cNvSpPr>
                              <a:spLocks noChangeArrowheads="1"/>
                            </wps:cNvSpPr>
                            <wps:spPr bwMode="auto">
                              <a:xfrm>
                                <a:off x="3931" y="11372"/>
                                <a:ext cx="2292" cy="927"/>
                              </a:xfrm>
                              <a:prstGeom prst="ellipse">
                                <a:avLst/>
                              </a:prstGeom>
                              <a:solidFill>
                                <a:srgbClr val="FFFFFF"/>
                              </a:solidFill>
                              <a:ln w="9525">
                                <a:solidFill>
                                  <a:srgbClr val="000000"/>
                                </a:solidFill>
                                <a:round/>
                                <a:headEnd/>
                                <a:tailEnd/>
                              </a:ln>
                            </wps:spPr>
                            <wps:txbx>
                              <w:txbxContent>
                                <w:p w14:paraId="5F2AD978" w14:textId="77777777" w:rsidR="00B77127" w:rsidRPr="002A08A3" w:rsidRDefault="00B77127" w:rsidP="002A08A3">
                                  <w:pPr>
                                    <w:pStyle w:val="NoSpacing"/>
                                    <w:spacing w:line="240" w:lineRule="auto"/>
                                    <w:jc w:val="center"/>
                                    <w:rPr>
                                      <w:sz w:val="22"/>
                                      <w:szCs w:val="22"/>
                                    </w:rPr>
                                  </w:pPr>
                                  <w:r w:rsidRPr="002A08A3">
                                    <w:rPr>
                                      <w:sz w:val="22"/>
                                      <w:szCs w:val="22"/>
                                    </w:rPr>
                                    <w:t>In remission</w:t>
                                  </w:r>
                                </w:p>
                                <w:p w14:paraId="533E1639" w14:textId="749E60F1" w:rsidR="00C454A4" w:rsidRPr="002A08A3" w:rsidRDefault="00C454A4" w:rsidP="002A08A3">
                                  <w:pPr>
                                    <w:pStyle w:val="NoSpacing"/>
                                    <w:spacing w:line="240" w:lineRule="auto"/>
                                    <w:jc w:val="center"/>
                                    <w:rPr>
                                      <w:sz w:val="22"/>
                                      <w:szCs w:val="22"/>
                                    </w:rPr>
                                  </w:pPr>
                                  <w:r w:rsidRPr="002A08A3">
                                    <w:rPr>
                                      <w:sz w:val="22"/>
                                      <w:szCs w:val="22"/>
                                    </w:rPr>
                                    <w:t xml:space="preserve"> (State B)</w:t>
                                  </w:r>
                                </w:p>
                              </w:txbxContent>
                            </wps:txbx>
                            <wps:bodyPr rot="0" vert="horz" wrap="square" lIns="91440" tIns="45720" rIns="91440" bIns="45720" anchor="t" anchorCtr="0" upright="1">
                              <a:noAutofit/>
                            </wps:bodyPr>
                          </wps:wsp>
                          <wps:wsp>
                            <wps:cNvPr id="1561069677" name="Freeform 11"/>
                            <wps:cNvSpPr>
                              <a:spLocks/>
                            </wps:cNvSpPr>
                            <wps:spPr bwMode="auto">
                              <a:xfrm>
                                <a:off x="3808" y="11547"/>
                                <a:ext cx="134" cy="185"/>
                              </a:xfrm>
                              <a:custGeom>
                                <a:avLst/>
                                <a:gdLst>
                                  <a:gd name="T0" fmla="*/ 52836 w 18"/>
                                  <a:gd name="T1" fmla="*/ 317013 h 18"/>
                                  <a:gd name="T2" fmla="*/ 317013 w 18"/>
                                  <a:gd name="T3" fmla="*/ 88059 h 18"/>
                                  <a:gd name="T4" fmla="*/ 0 w 18"/>
                                  <a:gd name="T5" fmla="*/ 0 h 18"/>
                                  <a:gd name="T6" fmla="*/ 0 60000 65536"/>
                                  <a:gd name="T7" fmla="*/ 0 60000 65536"/>
                                  <a:gd name="T8" fmla="*/ 0 60000 65536"/>
                                </a:gdLst>
                                <a:ahLst/>
                                <a:cxnLst>
                                  <a:cxn ang="T6">
                                    <a:pos x="T0" y="T1"/>
                                  </a:cxn>
                                  <a:cxn ang="T7">
                                    <a:pos x="T2" y="T3"/>
                                  </a:cxn>
                                  <a:cxn ang="T8">
                                    <a:pos x="T4" y="T5"/>
                                  </a:cxn>
                                </a:cxnLst>
                                <a:rect l="0" t="0" r="r" b="b"/>
                                <a:pathLst>
                                  <a:path w="18" h="18">
                                    <a:moveTo>
                                      <a:pt x="3" y="18"/>
                                    </a:moveTo>
                                    <a:lnTo>
                                      <a:pt x="18" y="5"/>
                                    </a:lnTo>
                                    <a:lnTo>
                                      <a:pt x="0" y="0"/>
                                    </a:ln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750330" name="Oval 58"/>
                            <wps:cNvSpPr>
                              <a:spLocks noChangeArrowheads="1"/>
                            </wps:cNvSpPr>
                            <wps:spPr bwMode="auto">
                              <a:xfrm>
                                <a:off x="1588" y="13000"/>
                                <a:ext cx="702" cy="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710988" name="Oval 59"/>
                            <wps:cNvSpPr>
                              <a:spLocks noChangeArrowheads="1"/>
                            </wps:cNvSpPr>
                            <wps:spPr bwMode="auto">
                              <a:xfrm>
                                <a:off x="1940" y="12750"/>
                                <a:ext cx="3142" cy="1412"/>
                              </a:xfrm>
                              <a:prstGeom prst="ellipse">
                                <a:avLst/>
                              </a:prstGeom>
                              <a:solidFill>
                                <a:srgbClr val="FFFFFF"/>
                              </a:solidFill>
                              <a:ln w="9525">
                                <a:solidFill>
                                  <a:srgbClr val="000000"/>
                                </a:solidFill>
                                <a:round/>
                                <a:headEnd/>
                                <a:tailEnd/>
                              </a:ln>
                            </wps:spPr>
                            <wps:txbx>
                              <w:txbxContent>
                                <w:p w14:paraId="64F6F7CB" w14:textId="0CDD4D03" w:rsidR="00C454A4" w:rsidRPr="00C454A4" w:rsidRDefault="00B77127" w:rsidP="00C454A4">
                                  <w:pPr>
                                    <w:pStyle w:val="NoSpacing"/>
                                    <w:spacing w:line="240" w:lineRule="auto"/>
                                    <w:jc w:val="center"/>
                                    <w:rPr>
                                      <w:sz w:val="22"/>
                                      <w:szCs w:val="22"/>
                                    </w:rPr>
                                  </w:pPr>
                                  <w:r w:rsidRPr="00C454A4">
                                    <w:rPr>
                                      <w:sz w:val="22"/>
                                      <w:szCs w:val="22"/>
                                    </w:rPr>
                                    <w:t>Not in treatment and not in remission</w:t>
                                  </w:r>
                                  <w:r w:rsidR="00C454A4" w:rsidRPr="00C454A4">
                                    <w:rPr>
                                      <w:sz w:val="22"/>
                                      <w:szCs w:val="22"/>
                                    </w:rPr>
                                    <w:t xml:space="preserve"> (State </w:t>
                                  </w:r>
                                  <w:r w:rsidR="003A55C3">
                                    <w:rPr>
                                      <w:sz w:val="22"/>
                                      <w:szCs w:val="22"/>
                                    </w:rPr>
                                    <w:t>C</w:t>
                                  </w:r>
                                  <w:r w:rsidR="00C454A4" w:rsidRPr="00C454A4">
                                    <w:rPr>
                                      <w:sz w:val="22"/>
                                      <w:szCs w:val="22"/>
                                    </w:rPr>
                                    <w:t>)</w:t>
                                  </w:r>
                                </w:p>
                                <w:p w14:paraId="09E5BCCB" w14:textId="718D0E4B" w:rsidR="00B77127" w:rsidRPr="000A632C" w:rsidRDefault="00B77127" w:rsidP="00B77127">
                                  <w:pPr>
                                    <w:jc w:val="center"/>
                                    <w:rPr>
                                      <w:rFonts w:cs="Arial"/>
                                    </w:rPr>
                                  </w:pPr>
                                </w:p>
                              </w:txbxContent>
                            </wps:txbx>
                            <wps:bodyPr rot="0" vert="horz" wrap="square" lIns="91440" tIns="45720" rIns="91440" bIns="45720" anchor="t" anchorCtr="0" upright="1">
                              <a:noAutofit/>
                            </wps:bodyPr>
                          </wps:wsp>
                          <wps:wsp>
                            <wps:cNvPr id="790453287" name="Freeform 11"/>
                            <wps:cNvSpPr>
                              <a:spLocks/>
                            </wps:cNvSpPr>
                            <wps:spPr bwMode="auto">
                              <a:xfrm>
                                <a:off x="1817" y="12925"/>
                                <a:ext cx="134" cy="185"/>
                              </a:xfrm>
                              <a:custGeom>
                                <a:avLst/>
                                <a:gdLst>
                                  <a:gd name="T0" fmla="*/ 52836 w 18"/>
                                  <a:gd name="T1" fmla="*/ 317013 h 18"/>
                                  <a:gd name="T2" fmla="*/ 317013 w 18"/>
                                  <a:gd name="T3" fmla="*/ 88059 h 18"/>
                                  <a:gd name="T4" fmla="*/ 0 w 18"/>
                                  <a:gd name="T5" fmla="*/ 0 h 18"/>
                                  <a:gd name="T6" fmla="*/ 0 60000 65536"/>
                                  <a:gd name="T7" fmla="*/ 0 60000 65536"/>
                                  <a:gd name="T8" fmla="*/ 0 60000 65536"/>
                                </a:gdLst>
                                <a:ahLst/>
                                <a:cxnLst>
                                  <a:cxn ang="T6">
                                    <a:pos x="T0" y="T1"/>
                                  </a:cxn>
                                  <a:cxn ang="T7">
                                    <a:pos x="T2" y="T3"/>
                                  </a:cxn>
                                  <a:cxn ang="T8">
                                    <a:pos x="T4" y="T5"/>
                                  </a:cxn>
                                </a:cxnLst>
                                <a:rect l="0" t="0" r="r" b="b"/>
                                <a:pathLst>
                                  <a:path w="18" h="18">
                                    <a:moveTo>
                                      <a:pt x="3" y="18"/>
                                    </a:moveTo>
                                    <a:lnTo>
                                      <a:pt x="18" y="5"/>
                                    </a:lnTo>
                                    <a:lnTo>
                                      <a:pt x="0" y="0"/>
                                    </a:ln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595659" name="Rectangle 62"/>
                            <wps:cNvSpPr>
                              <a:spLocks noChangeArrowheads="1"/>
                            </wps:cNvSpPr>
                            <wps:spPr bwMode="auto">
                              <a:xfrm>
                                <a:off x="6950" y="11232"/>
                                <a:ext cx="2266" cy="939"/>
                              </a:xfrm>
                              <a:prstGeom prst="rect">
                                <a:avLst/>
                              </a:prstGeom>
                              <a:solidFill>
                                <a:srgbClr val="FFFFFF"/>
                              </a:solidFill>
                              <a:ln w="9525">
                                <a:solidFill>
                                  <a:srgbClr val="000000"/>
                                </a:solidFill>
                                <a:miter lim="800000"/>
                                <a:headEnd/>
                                <a:tailEnd/>
                              </a:ln>
                            </wps:spPr>
                            <wps:txbx>
                              <w:txbxContent>
                                <w:p w14:paraId="4D887650" w14:textId="77777777" w:rsidR="00B77127" w:rsidRPr="002A08A3" w:rsidRDefault="00B77127" w:rsidP="00B77127">
                                  <w:pPr>
                                    <w:jc w:val="center"/>
                                    <w:rPr>
                                      <w:rFonts w:cs="Arial"/>
                                      <w:sz w:val="22"/>
                                    </w:rPr>
                                  </w:pPr>
                                  <w:r w:rsidRPr="002A08A3">
                                    <w:rPr>
                                      <w:rFonts w:cs="Arial"/>
                                      <w:sz w:val="22"/>
                                    </w:rPr>
                                    <w:t>Died</w:t>
                                  </w:r>
                                </w:p>
                                <w:p w14:paraId="3DDF0483" w14:textId="04ED87B3" w:rsidR="002A08A3" w:rsidRPr="002A08A3" w:rsidRDefault="002A08A3" w:rsidP="002A08A3">
                                  <w:pPr>
                                    <w:pStyle w:val="NoSpacing"/>
                                    <w:jc w:val="center"/>
                                    <w:rPr>
                                      <w:sz w:val="22"/>
                                      <w:szCs w:val="22"/>
                                    </w:rPr>
                                  </w:pPr>
                                  <w:r w:rsidRPr="002A08A3">
                                    <w:rPr>
                                      <w:sz w:val="22"/>
                                      <w:szCs w:val="22"/>
                                    </w:rPr>
                                    <w:t>(State D)</w:t>
                                  </w:r>
                                </w:p>
                              </w:txbxContent>
                            </wps:txbx>
                            <wps:bodyPr rot="0" vert="horz" wrap="square" lIns="91440" tIns="45720" rIns="91440" bIns="45720" anchor="t" anchorCtr="0" upright="1">
                              <a:noAutofit/>
                            </wps:bodyPr>
                          </wps:wsp>
                          <wps:wsp>
                            <wps:cNvPr id="74993156" name="AutoShape 63"/>
                            <wps:cNvCnPr>
                              <a:cxnSpLocks noChangeShapeType="1"/>
                            </wps:cNvCnPr>
                            <wps:spPr bwMode="auto">
                              <a:xfrm>
                                <a:off x="5660" y="10381"/>
                                <a:ext cx="2442" cy="8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4685532" name="AutoShape 64"/>
                            <wps:cNvCnPr>
                              <a:cxnSpLocks noChangeShapeType="1"/>
                            </wps:cNvCnPr>
                            <wps:spPr bwMode="auto">
                              <a:xfrm>
                                <a:off x="6223" y="11822"/>
                                <a:ext cx="727"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8986239" name="AutoShape 65"/>
                            <wps:cNvCnPr>
                              <a:cxnSpLocks noChangeShapeType="1"/>
                            </wps:cNvCnPr>
                            <wps:spPr bwMode="auto">
                              <a:xfrm flipV="1">
                                <a:off x="4844" y="12171"/>
                                <a:ext cx="3145" cy="93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0459585" name="AutoShape 66"/>
                            <wps:cNvCnPr>
                              <a:cxnSpLocks noChangeShapeType="1"/>
                            </wps:cNvCnPr>
                            <wps:spPr bwMode="auto">
                              <a:xfrm flipH="1" flipV="1">
                                <a:off x="4583" y="10766"/>
                                <a:ext cx="363" cy="603"/>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wps:wsp>
                            <wps:cNvPr id="1329092777" name="AutoShape 67"/>
                            <wps:cNvCnPr>
                              <a:cxnSpLocks noChangeShapeType="1"/>
                            </wps:cNvCnPr>
                            <wps:spPr bwMode="auto">
                              <a:xfrm flipH="1">
                                <a:off x="2930" y="10606"/>
                                <a:ext cx="649" cy="2144"/>
                              </a:xfrm>
                              <a:prstGeom prst="straightConnector1">
                                <a:avLst/>
                              </a:prstGeom>
                              <a:noFill/>
                              <a:ln w="9525">
                                <a:solidFill>
                                  <a:srgbClr val="000000"/>
                                </a:solidFill>
                                <a:round/>
                                <a:headEnd type="arrow" w="med" len="med"/>
                                <a:tailEnd type="none" w="med" len="med"/>
                              </a:ln>
                              <a:extLst>
                                <a:ext uri="{909E8E84-426E-40DD-AFC4-6F175D3DCCD1}">
                                  <a14:hiddenFill xmlns:a14="http://schemas.microsoft.com/office/drawing/2010/main">
                                    <a:noFill/>
                                  </a14:hiddenFill>
                                </a:ext>
                              </a:extLst>
                            </wps:spPr>
                            <wps:bodyPr/>
                          </wps:wsp>
                        </wpg:grpSp>
                        <wps:wsp>
                          <wps:cNvPr id="148165810" name="AutoShape 67"/>
                          <wps:cNvCnPr>
                            <a:cxnSpLocks noChangeShapeType="1"/>
                          </wps:cNvCnPr>
                          <wps:spPr bwMode="auto">
                            <a:xfrm flipH="1">
                              <a:off x="1011306" y="540689"/>
                              <a:ext cx="412115" cy="1361440"/>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wpg:grpSp>
                      <wps:wsp>
                        <wps:cNvPr id="47959653" name="AutoShape 66"/>
                        <wps:cNvCnPr>
                          <a:cxnSpLocks noChangeShapeType="1"/>
                        </wps:cNvCnPr>
                        <wps:spPr bwMode="auto">
                          <a:xfrm flipH="1" flipV="1">
                            <a:off x="2130949" y="588397"/>
                            <a:ext cx="230505" cy="382905"/>
                          </a:xfrm>
                          <a:prstGeom prst="straightConnector1">
                            <a:avLst/>
                          </a:prstGeom>
                          <a:noFill/>
                          <a:ln w="9525">
                            <a:solidFill>
                              <a:srgbClr val="000000"/>
                            </a:solidFill>
                            <a:round/>
                            <a:headEnd type="arrow"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9080D8B" id="Group 2" o:spid="_x0000_s1072" style="position:absolute;margin-left:7.5pt;margin-top:13.1pt;width:381.4pt;height:3in;z-index:251687936" coordsize="4843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">
                <v:group id="_x0000_s1073" style="position:absolute;width:48437;height:27432" coordsize="4843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">
                  <v:group id="Group 69" o:spid="_x0000_s1074" style="position:absolute;width:48437;height:27432" coordorigin="1588,9842" coordsize="762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">
                    <v:oval id="Oval 52" o:spid="_x0000_s1075" style="position:absolute;left:3016;top:10092;width:7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" filled="f"/>
                    <v:oval id="Oval 53" o:spid="_x0000_s1076" style="position:absolute;left:3368;top:9842;width:229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">
                      <v:textbox>
                        <w:txbxContent>
                          <w:p w14:paraId="15E3CC8C" w14:textId="77777777" w:rsidR="00B77127" w:rsidRPr="002A08A3" w:rsidRDefault="00B77127" w:rsidP="002A08A3">
                            <w:pPr>
                              <w:pStyle w:val="NoSpacing"/>
                              <w:spacing w:line="240" w:lineRule="auto"/>
                              <w:jc w:val="center"/>
                              <w:rPr>
                                <w:sz w:val="22"/>
                                <w:szCs w:val="22"/>
                              </w:rPr>
                            </w:pPr>
                            <w:r w:rsidRPr="002A08A3">
                              <w:rPr>
                                <w:sz w:val="22"/>
                                <w:szCs w:val="22"/>
                              </w:rPr>
                              <w:t>In treatment</w:t>
                            </w:r>
                          </w:p>
                          <w:p w14:paraId="30844E50" w14:textId="7CA6A48F" w:rsidR="00C454A4" w:rsidRPr="002A08A3" w:rsidRDefault="00C454A4" w:rsidP="002A08A3">
                            <w:pPr>
                              <w:pStyle w:val="NoSpacing"/>
                              <w:spacing w:line="240" w:lineRule="auto"/>
                              <w:jc w:val="center"/>
                              <w:rPr>
                                <w:sz w:val="22"/>
                                <w:szCs w:val="22"/>
                              </w:rPr>
                            </w:pPr>
                            <w:r w:rsidRPr="002A08A3">
                              <w:rPr>
                                <w:sz w:val="22"/>
                                <w:szCs w:val="22"/>
                              </w:rPr>
                              <w:t xml:space="preserve">  (State A)</w:t>
                            </w:r>
                          </w:p>
                        </w:txbxContent>
                      </v:textbox>
                    </v:oval>
                    <v:shape id="Freeform 11" o:spid="_x0000_s1077" style="position:absolute;left:3245;top:10017;width:134;height:185;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" path="m3,18l18,5,,e" filled="f" strokecolor="black [3213]">
                      <v:path arrowok="t" o:connecttype="custom" o:connectlocs="393335,3258189;2359986,905051;0,0" o:connectangles="0,0,0"/>
                    </v:shape>
                    <v:oval id="Oval 55" o:spid="_x0000_s1078" style="position:absolute;left:3579;top:11622;width:7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" filled="f"/>
                    <v:oval id="Oval 56" o:spid="_x0000_s1079" style="position:absolute;left:3931;top:11372;width:229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">
                      <v:textbox>
                        <w:txbxContent>
                          <w:p w14:paraId="5F2AD978" w14:textId="77777777" w:rsidR="00B77127" w:rsidRPr="002A08A3" w:rsidRDefault="00B77127" w:rsidP="002A08A3">
                            <w:pPr>
                              <w:pStyle w:val="NoSpacing"/>
                              <w:spacing w:line="240" w:lineRule="auto"/>
                              <w:jc w:val="center"/>
                              <w:rPr>
                                <w:sz w:val="22"/>
                                <w:szCs w:val="22"/>
                              </w:rPr>
                            </w:pPr>
                            <w:r w:rsidRPr="002A08A3">
                              <w:rPr>
                                <w:sz w:val="22"/>
                                <w:szCs w:val="22"/>
                              </w:rPr>
                              <w:t>In remission</w:t>
                            </w:r>
                          </w:p>
                          <w:p w14:paraId="533E1639" w14:textId="749E60F1" w:rsidR="00C454A4" w:rsidRPr="002A08A3" w:rsidRDefault="00C454A4" w:rsidP="002A08A3">
                            <w:pPr>
                              <w:pStyle w:val="NoSpacing"/>
                              <w:spacing w:line="240" w:lineRule="auto"/>
                              <w:jc w:val="center"/>
                              <w:rPr>
                                <w:sz w:val="22"/>
                                <w:szCs w:val="22"/>
                              </w:rPr>
                            </w:pPr>
                            <w:r w:rsidRPr="002A08A3">
                              <w:rPr>
                                <w:sz w:val="22"/>
                                <w:szCs w:val="22"/>
                              </w:rPr>
                              <w:t xml:space="preserve"> (State B)</w:t>
                            </w:r>
                          </w:p>
                        </w:txbxContent>
                      </v:textbox>
                    </v:oval>
                    <v:shape id="Freeform 11" o:spid="_x0000_s1080" style="position:absolute;left:3808;top:11547;width:134;height:185;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" path="m3,18l18,5,,e" filled="f" strokecolor="black [3213]">
                      <v:path arrowok="t" o:connecttype="custom" o:connectlocs="393335,3258189;2359986,905051;0,0" o:connectangles="0,0,0"/>
                    </v:shape>
                    <v:oval id="Oval 58" o:spid="_x0000_s1081" style="position:absolute;left:1588;top:13000;width:7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" filled="f"/>
                    <v:oval id="Oval 59" o:spid="_x0000_s1082" style="position:absolute;left:1940;top:12750;width:3142;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">
                      <v:textbox>
                        <w:txbxContent>
                          <w:p w14:paraId="64F6F7CB" w14:textId="0CDD4D03" w:rsidR="00C454A4" w:rsidRPr="00C454A4" w:rsidRDefault="00B77127" w:rsidP="00C454A4">
                            <w:pPr>
                              <w:pStyle w:val="NoSpacing"/>
                              <w:spacing w:line="240" w:lineRule="auto"/>
                              <w:jc w:val="center"/>
                              <w:rPr>
                                <w:sz w:val="22"/>
                                <w:szCs w:val="22"/>
                              </w:rPr>
                            </w:pPr>
                            <w:r w:rsidRPr="00C454A4">
                              <w:rPr>
                                <w:sz w:val="22"/>
                                <w:szCs w:val="22"/>
                              </w:rPr>
                              <w:t>Not in treatment and not in remission</w:t>
                            </w:r>
                            <w:r w:rsidR="00C454A4" w:rsidRPr="00C454A4">
                              <w:rPr>
                                <w:sz w:val="22"/>
                                <w:szCs w:val="22"/>
                              </w:rPr>
                              <w:t xml:space="preserve"> (State </w:t>
                            </w:r>
                            <w:r w:rsidR="003A55C3">
                              <w:rPr>
                                <w:sz w:val="22"/>
                                <w:szCs w:val="22"/>
                              </w:rPr>
                              <w:t>C</w:t>
                            </w:r>
                            <w:r w:rsidR="00C454A4" w:rsidRPr="00C454A4">
                              <w:rPr>
                                <w:sz w:val="22"/>
                                <w:szCs w:val="22"/>
                              </w:rPr>
                              <w:t>)</w:t>
                            </w:r>
                          </w:p>
                          <w:p w14:paraId="09E5BCCB" w14:textId="718D0E4B" w:rsidR="00B77127" w:rsidRPr="000A632C" w:rsidRDefault="00B77127" w:rsidP="00B77127">
                            <w:pPr>
                              <w:jc w:val="center"/>
                              <w:rPr>
                                <w:rFonts w:cs="Arial"/>
                              </w:rPr>
                            </w:pPr>
                          </w:p>
                        </w:txbxContent>
                      </v:textbox>
                    </v:oval>
                    <v:shape id="Freeform 11" o:spid="_x0000_s1083" style="position:absolute;left:1817;top:12925;width:134;height:185;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" path="m3,18l18,5,,e" filled="f" strokecolor="black [3213]">
                      <v:path arrowok="t" o:connecttype="custom" o:connectlocs="393335,3258189;2359986,905051;0,0" o:connectangles="0,0,0"/>
                    </v:shape>
                    <v:rect id="Rectangle 62" o:spid="_x0000_s1084" style="position:absolute;left:6950;top:11232;width:2266;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">
                      <v:textbox>
                        <w:txbxContent>
                          <w:p w14:paraId="4D887650" w14:textId="77777777" w:rsidR="00B77127" w:rsidRPr="002A08A3" w:rsidRDefault="00B77127" w:rsidP="00B77127">
                            <w:pPr>
                              <w:jc w:val="center"/>
                              <w:rPr>
                                <w:rFonts w:cs="Arial"/>
                                <w:sz w:val="22"/>
                              </w:rPr>
                            </w:pPr>
                            <w:r w:rsidRPr="002A08A3">
                              <w:rPr>
                                <w:rFonts w:cs="Arial"/>
                                <w:sz w:val="22"/>
                              </w:rPr>
                              <w:t>Died</w:t>
                            </w:r>
                          </w:p>
                          <w:p w14:paraId="3DDF0483" w14:textId="04ED87B3" w:rsidR="002A08A3" w:rsidRPr="002A08A3" w:rsidRDefault="002A08A3" w:rsidP="002A08A3">
                            <w:pPr>
                              <w:pStyle w:val="NoSpacing"/>
                              <w:jc w:val="center"/>
                              <w:rPr>
                                <w:sz w:val="22"/>
                                <w:szCs w:val="22"/>
                              </w:rPr>
                            </w:pPr>
                            <w:r w:rsidRPr="002A08A3">
                              <w:rPr>
                                <w:sz w:val="22"/>
                                <w:szCs w:val="22"/>
                              </w:rPr>
                              <w:t>(State D)</w:t>
                            </w:r>
                          </w:p>
                        </w:txbxContent>
                      </v:textbox>
                    </v:rect>
                    <v:shape id="AutoShape 63" o:spid="_x0000_s1085" type="#_x0000_t32" style="position:absolute;left:5660;top:10381;width:24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">
                      <v:stroke endarrow="open"/>
                    </v:shape>
                    <v:shape id="AutoShape 64" o:spid="_x0000_s1086" type="#_x0000_t32" style="position:absolute;left:6223;top:11822;width:7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">
                      <v:stroke endarrow="open"/>
                    </v:shape>
                    <v:shape id="AutoShape 65" o:spid="_x0000_s1087" type="#_x0000_t32" style="position:absolute;left:4844;top:12171;width:3145;height:9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">
                      <v:stroke endarrow="open"/>
                    </v:shape>
                    <v:shape id="AutoShape 66" o:spid="_x0000_s1088" type="#_x0000_t32" style="position:absolute;left:4583;top:10766;width:363;height:6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">
                      <v:stroke endarrow="open"/>
                    </v:shape>
                    <v:shape id="AutoShape 67" o:spid="_x0000_s1089" type="#_x0000_t32" style="position:absolute;left:2930;top:10606;width:649;height:2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">
                      <v:stroke startarrow="open"/>
                    </v:shape>
                  </v:group>
                  <v:shape id="AutoShape 67" o:spid="_x0000_s1090" type="#_x0000_t32" style="position:absolute;left:10113;top:5406;width:4121;height:136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">
                    <v:stroke endarrow="open"/>
                  </v:shape>
                </v:group>
                <v:shape id="AutoShape 66" o:spid="_x0000_s1091" type="#_x0000_t32" style="position:absolute;left:21309;top:5883;width:2305;height:38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">
                  <v:stroke startarrow="open"/>
                </v:shape>
              </v:group>
            </w:pict>
          </mc:Fallback>
        </mc:AlternateContent>
      </w:r>
    </w:p>
    <w:p w14:paraId="61B539B9" w14:textId="77777777" w:rsidR="00B77127" w:rsidRDefault="00B77127" w:rsidP="00B77127">
      <w:pPr>
        <w:pStyle w:val="NoSpacing"/>
        <w:spacing w:line="360" w:lineRule="auto"/>
        <w:rPr>
          <w:b/>
          <w:bCs/>
          <w:color w:val="000000"/>
          <w:shd w:val="clear" w:color="auto" w:fill="FFFFFF"/>
        </w:rPr>
      </w:pPr>
    </w:p>
    <w:p w14:paraId="007449D9" w14:textId="7F587E16" w:rsidR="00B77127" w:rsidRDefault="00B77127" w:rsidP="00B77127">
      <w:pPr>
        <w:pStyle w:val="NoSpacing"/>
        <w:spacing w:line="360" w:lineRule="auto"/>
        <w:rPr>
          <w:b/>
          <w:bCs/>
          <w:color w:val="000000"/>
          <w:shd w:val="clear" w:color="auto" w:fill="FFFFFF"/>
        </w:rPr>
      </w:pPr>
    </w:p>
    <w:p w14:paraId="0841C2EE" w14:textId="2C74B2D9" w:rsidR="00B77127" w:rsidRDefault="00B77127" w:rsidP="00B77127">
      <w:pPr>
        <w:pStyle w:val="NoSpacing"/>
        <w:spacing w:line="360" w:lineRule="auto"/>
        <w:rPr>
          <w:b/>
          <w:bCs/>
          <w:color w:val="000000"/>
          <w:shd w:val="clear" w:color="auto" w:fill="FFFFFF"/>
        </w:rPr>
      </w:pPr>
    </w:p>
    <w:p w14:paraId="5DDFE7AC" w14:textId="3A5D473C" w:rsidR="00B77127" w:rsidRDefault="00B77127" w:rsidP="00B77127">
      <w:pPr>
        <w:pStyle w:val="NoSpacing"/>
        <w:spacing w:line="360" w:lineRule="auto"/>
        <w:rPr>
          <w:b/>
          <w:bCs/>
          <w:color w:val="000000"/>
          <w:shd w:val="clear" w:color="auto" w:fill="FFFFFF"/>
        </w:rPr>
      </w:pPr>
    </w:p>
    <w:p w14:paraId="71C79433" w14:textId="77777777" w:rsidR="00B77127" w:rsidRDefault="00B77127" w:rsidP="00B77127">
      <w:pPr>
        <w:pStyle w:val="NoSpacing"/>
        <w:spacing w:line="360" w:lineRule="auto"/>
        <w:rPr>
          <w:b/>
          <w:bCs/>
          <w:color w:val="000000"/>
          <w:shd w:val="clear" w:color="auto" w:fill="FFFFFF"/>
        </w:rPr>
      </w:pPr>
    </w:p>
    <w:p w14:paraId="108D6177" w14:textId="0B77E607" w:rsidR="00B77127" w:rsidRDefault="00C5680A" w:rsidP="00B77127">
      <w:pPr>
        <w:pStyle w:val="NoSpacing"/>
        <w:spacing w:line="360" w:lineRule="auto"/>
        <w:rPr>
          <w:b/>
          <w:bCs/>
          <w:color w:val="000000"/>
          <w:shd w:val="clear" w:color="auto" w:fill="FFFFFF"/>
        </w:rPr>
      </w:pPr>
      <w:r>
        <w:rPr>
          <w:b/>
          <w:bCs/>
          <w:noProof/>
          <w:color w:val="000000"/>
        </w:rPr>
        <mc:AlternateContent>
          <mc:Choice Requires="wps">
            <w:drawing>
              <wp:anchor distT="0" distB="0" distL="114300" distR="114300" simplePos="0" relativeHeight="251698176" behindDoc="0" locked="0" layoutInCell="1" allowOverlap="1" wp14:anchorId="11C05EE1" wp14:editId="3B8A3762">
                <wp:simplePos x="0" y="0"/>
                <wp:positionH relativeFrom="column">
                  <wp:posOffset>1868390</wp:posOffset>
                </wp:positionH>
                <wp:positionV relativeFrom="paragraph">
                  <wp:posOffset>150964</wp:posOffset>
                </wp:positionV>
                <wp:extent cx="238760" cy="397510"/>
                <wp:effectExtent l="38100" t="0" r="27940" b="59690"/>
                <wp:wrapNone/>
                <wp:docPr id="2033899762" name="Straight Arrow Connector 2"/>
                <wp:cNvGraphicFramePr/>
                <a:graphic xmlns:a="http://schemas.openxmlformats.org/drawingml/2006/main">
                  <a:graphicData uri="http://schemas.microsoft.com/office/word/2010/wordprocessingShape">
                    <wps:wsp>
                      <wps:cNvCnPr/>
                      <wps:spPr>
                        <a:xfrm flipH="1">
                          <a:off x="0" y="0"/>
                          <a:ext cx="238760" cy="397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75BCA" id="Straight Arrow Connector 2" o:spid="_x0000_s1026" type="#_x0000_t32" style="position:absolute;margin-left:147.1pt;margin-top:11.9pt;width:18.8pt;height:31.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" strokecolor="black [3213]">
                <v:stroke endarrow="open"/>
              </v:shape>
            </w:pict>
          </mc:Fallback>
        </mc:AlternateContent>
      </w:r>
      <w:r w:rsidR="006B5D0B">
        <w:rPr>
          <w:b/>
          <w:bCs/>
          <w:noProof/>
          <w:color w:val="000000"/>
        </w:rPr>
        <mc:AlternateContent>
          <mc:Choice Requires="wps">
            <w:drawing>
              <wp:anchor distT="0" distB="0" distL="114300" distR="114300" simplePos="0" relativeHeight="251693056" behindDoc="0" locked="0" layoutInCell="1" allowOverlap="1" wp14:anchorId="7D051B61" wp14:editId="3C062678">
                <wp:simplePos x="0" y="0"/>
                <wp:positionH relativeFrom="column">
                  <wp:posOffset>1717482</wp:posOffset>
                </wp:positionH>
                <wp:positionV relativeFrom="paragraph">
                  <wp:posOffset>68220</wp:posOffset>
                </wp:positionV>
                <wp:extent cx="279759" cy="417609"/>
                <wp:effectExtent l="0" t="38100" r="63500" b="20955"/>
                <wp:wrapNone/>
                <wp:docPr id="380331741" name="Straight Arrow Connector 1"/>
                <wp:cNvGraphicFramePr/>
                <a:graphic xmlns:a="http://schemas.openxmlformats.org/drawingml/2006/main">
                  <a:graphicData uri="http://schemas.microsoft.com/office/word/2010/wordprocessingShape">
                    <wps:wsp>
                      <wps:cNvCnPr/>
                      <wps:spPr>
                        <a:xfrm flipV="1">
                          <a:off x="0" y="0"/>
                          <a:ext cx="279759" cy="41760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222F4" id="Straight Arrow Connector 1" o:spid="_x0000_s1026" type="#_x0000_t32" style="position:absolute;margin-left:135.25pt;margin-top:5.35pt;width:22.05pt;height:32.9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" strokecolor="black [3213]">
                <v:stroke endarrow="open"/>
              </v:shape>
            </w:pict>
          </mc:Fallback>
        </mc:AlternateContent>
      </w:r>
    </w:p>
    <w:p w14:paraId="0E21ADE6" w14:textId="77777777" w:rsidR="00B77127" w:rsidRDefault="00B77127" w:rsidP="001A37CE">
      <w:pPr>
        <w:pStyle w:val="NoSpacing"/>
        <w:spacing w:line="360" w:lineRule="auto"/>
      </w:pPr>
    </w:p>
    <w:p w14:paraId="03635C97" w14:textId="77777777" w:rsidR="00B77127" w:rsidRDefault="00B77127" w:rsidP="001A37CE">
      <w:pPr>
        <w:pStyle w:val="NoSpacing"/>
        <w:spacing w:line="360" w:lineRule="auto"/>
      </w:pPr>
    </w:p>
    <w:p w14:paraId="2E947484" w14:textId="77777777" w:rsidR="00B77127" w:rsidRDefault="00B77127" w:rsidP="001A37CE">
      <w:pPr>
        <w:pStyle w:val="NoSpacing"/>
        <w:spacing w:line="360" w:lineRule="auto"/>
      </w:pPr>
    </w:p>
    <w:p w14:paraId="0313D178" w14:textId="77777777" w:rsidR="00B77127" w:rsidRDefault="00B77127" w:rsidP="001A37CE">
      <w:pPr>
        <w:pStyle w:val="NoSpacing"/>
        <w:spacing w:line="360" w:lineRule="auto"/>
      </w:pPr>
    </w:p>
    <w:p w14:paraId="1F1A6F57" w14:textId="77777777" w:rsidR="007A2501" w:rsidRDefault="007A2501" w:rsidP="001A37CE">
      <w:pPr>
        <w:pStyle w:val="NoSpacing"/>
        <w:spacing w:line="360" w:lineRule="auto"/>
      </w:pPr>
    </w:p>
    <w:p w14:paraId="2C7DDC7F" w14:textId="415457FF" w:rsidR="000A6301" w:rsidRDefault="005868DE" w:rsidP="001A37CE">
      <w:pPr>
        <w:pStyle w:val="NoSpacing"/>
        <w:spacing w:line="360" w:lineRule="auto"/>
      </w:pPr>
      <w:r>
        <w:t xml:space="preserve">The </w:t>
      </w:r>
      <w:r w:rsidRPr="3EE3ED99">
        <w:rPr>
          <w:i/>
          <w:iCs/>
        </w:rPr>
        <w:t xml:space="preserve">msm </w:t>
      </w:r>
      <w:r>
        <w:t xml:space="preserve">package for multi-state modelling in R </w:t>
      </w:r>
      <w:r>
        <w:fldChar w:fldCharType="begin"/>
      </w:r>
      <w:r w:rsidR="00B9334F">
        <w:instrText xml:space="preserve"> ADDIN EN.CITE &lt;EndNote&gt;&lt;Cite&gt;&lt;Author&gt;Jackson&lt;/Author&gt;&lt;Year&gt;2011&lt;/Year&gt;&lt;RecNum&gt;373&lt;/RecNum&gt;&lt;DisplayText&gt;(Jackson, 2011)&lt;/DisplayText&gt;&lt;record&gt;&lt;rec-number&gt;373&lt;/rec-number&gt;&lt;foreign-keys&gt;&lt;key app="EN" db-id="ffzvr5fstavwxoe9v04xf0wmp5t50as52da0" timestamp="1731671665" guid="9418fb0b-b0f7-442a-b4cd-a0d2491e9920"&gt;373&lt;/key&gt;&lt;/foreign-keys&gt;&lt;ref-type name="Journal Article"&gt;17&lt;/ref-type&gt;&lt;contributors&gt;&lt;authors&gt;&lt;author&gt;Jackson, Christopher&lt;/author&gt;&lt;/authors&gt;&lt;/contributors&gt;&lt;titles&gt;&lt;title&gt;Multi-State Models for Panel Data: The msm Package for R&lt;/title&gt;&lt;secondary-title&gt;Journal of Statistical Software&lt;/secondary-title&gt;&lt;/titles&gt;&lt;periodical&gt;&lt;full-title&gt;Journal of Statistical Software&lt;/full-title&gt;&lt;/periodical&gt;&lt;pages&gt;1 - 28&lt;/pages&gt;&lt;volume&gt;38&lt;/volume&gt;&lt;number&gt;8&lt;/number&gt;&lt;section&gt;Articles&lt;/section&gt;&lt;dates&gt;&lt;year&gt;2011&lt;/year&gt;&lt;pub-dates&gt;&lt;date&gt;01/04&lt;/date&gt;&lt;/pub-dates&gt;&lt;/dates&gt;&lt;urls&gt;&lt;related-urls&gt;&lt;url&gt;https://www.jstatsoft.org/index.php/jss/article/view/v038i08&lt;/url&gt;&lt;/related-urls&gt;&lt;/urls&gt;&lt;electronic-resource-num&gt;10.18637/jss.v038.i08&lt;/electronic-resource-num&gt;&lt;access-date&gt;2024/09/08&lt;/access-date&gt;&lt;/record&gt;&lt;/Cite&gt;&lt;/EndNote&gt;</w:instrText>
      </w:r>
      <w:r>
        <w:fldChar w:fldCharType="separate"/>
      </w:r>
      <w:r w:rsidR="00A77498">
        <w:rPr>
          <w:noProof/>
        </w:rPr>
        <w:t>(Jackson, 2011)</w:t>
      </w:r>
      <w:r>
        <w:fldChar w:fldCharType="end"/>
      </w:r>
      <w:r>
        <w:t xml:space="preserve"> produces estimated hazard rates and transition probabilities for a chosen cycle length for a model (in our case, annual).</w:t>
      </w:r>
      <w:r w:rsidR="003D0CE6">
        <w:t xml:space="preserve"> </w:t>
      </w:r>
      <w:r w:rsidR="00CE5CF0">
        <w:t xml:space="preserve">Using our NDTMS data extract we were able to </w:t>
      </w:r>
      <w:r w:rsidR="00FD0FFE">
        <w:t xml:space="preserve">estimate </w:t>
      </w:r>
      <w:r w:rsidR="00647938">
        <w:t xml:space="preserve">how long it took for everyone </w:t>
      </w:r>
      <w:r w:rsidR="001D2B7C">
        <w:t xml:space="preserve">in treatment to transition </w:t>
      </w:r>
      <w:r w:rsidR="00B512C7">
        <w:t xml:space="preserve">from </w:t>
      </w:r>
      <w:r w:rsidR="00FC1F49">
        <w:t>their first time in treatment</w:t>
      </w:r>
      <w:r w:rsidR="00B512C7">
        <w:t xml:space="preserve"> </w:t>
      </w:r>
      <w:r w:rsidR="001D2B7C">
        <w:t>to</w:t>
      </w:r>
      <w:r w:rsidR="00080C13">
        <w:t xml:space="preserve"> one of the four health states (A-</w:t>
      </w:r>
      <w:r w:rsidR="002C7394">
        <w:t>D</w:t>
      </w:r>
      <w:r w:rsidR="00080C13">
        <w:t>) above</w:t>
      </w:r>
      <w:r w:rsidR="009961C7">
        <w:t xml:space="preserve">. </w:t>
      </w:r>
      <w:r w:rsidR="003A6FB8">
        <w:t>However, u</w:t>
      </w:r>
      <w:r w:rsidR="0060168B">
        <w:t>sing</w:t>
      </w:r>
      <w:r w:rsidR="004D48D9">
        <w:t xml:space="preserve"> NDTMS data </w:t>
      </w:r>
      <w:r w:rsidR="0060168B">
        <w:t xml:space="preserve">only, we could </w:t>
      </w:r>
      <w:r w:rsidR="00BE6AAC">
        <w:t xml:space="preserve">not </w:t>
      </w:r>
      <w:r w:rsidR="0060168B">
        <w:t xml:space="preserve">estimate the </w:t>
      </w:r>
      <w:r w:rsidR="004D48D9">
        <w:t>transition</w:t>
      </w:r>
      <w:r w:rsidR="00C74633">
        <w:t xml:space="preserve"> </w:t>
      </w:r>
      <w:r w:rsidR="0060168B">
        <w:t>probabilit</w:t>
      </w:r>
      <w:r w:rsidR="00947A0E">
        <w:t>ies</w:t>
      </w:r>
      <w:r w:rsidR="0060168B">
        <w:t xml:space="preserve"> (</w:t>
      </w:r>
      <w:r w:rsidR="0060168B" w:rsidRPr="0060168B">
        <w:rPr>
          <w:i/>
          <w:iCs/>
        </w:rPr>
        <w:t>tp</w:t>
      </w:r>
      <w:r w:rsidR="0060168B">
        <w:t xml:space="preserve">) </w:t>
      </w:r>
      <w:r w:rsidR="00BE6AAC">
        <w:t>from ‘</w:t>
      </w:r>
      <w:r w:rsidR="00A619BA">
        <w:t>I</w:t>
      </w:r>
      <w:r w:rsidR="00BE6AAC">
        <w:t>n remission’ to ‘</w:t>
      </w:r>
      <w:r w:rsidR="00A619BA">
        <w:t>N</w:t>
      </w:r>
      <w:r w:rsidR="00BE6AAC">
        <w:t>ot in treatment and not in remission’ (</w:t>
      </w:r>
      <w:r w:rsidR="00BE6AAC" w:rsidRPr="00BE6AAC">
        <w:rPr>
          <w:i/>
          <w:iCs/>
        </w:rPr>
        <w:t>tpB2C</w:t>
      </w:r>
      <w:r w:rsidR="00BE6AAC">
        <w:t>) or vice versa (</w:t>
      </w:r>
      <w:r w:rsidR="00BE6AAC" w:rsidRPr="00BE6AAC">
        <w:rPr>
          <w:i/>
          <w:iCs/>
        </w:rPr>
        <w:t>tpC2B</w:t>
      </w:r>
      <w:r w:rsidR="00BE6AAC">
        <w:t>)</w:t>
      </w:r>
      <w:r w:rsidR="00A3225C">
        <w:t xml:space="preserve"> and from </w:t>
      </w:r>
      <w:r w:rsidR="00AB516E">
        <w:t xml:space="preserve">either </w:t>
      </w:r>
      <w:r w:rsidR="00BE0BF5">
        <w:t>‘</w:t>
      </w:r>
      <w:r w:rsidR="00A619BA">
        <w:t>I</w:t>
      </w:r>
      <w:r w:rsidR="00AB516E">
        <w:t>n remission</w:t>
      </w:r>
      <w:r w:rsidR="00BE0BF5">
        <w:t>’</w:t>
      </w:r>
      <w:r w:rsidR="00AB516E">
        <w:t xml:space="preserve"> </w:t>
      </w:r>
      <w:r w:rsidR="00246F74">
        <w:t xml:space="preserve">or </w:t>
      </w:r>
      <w:r w:rsidR="00BE0BF5">
        <w:t>‘</w:t>
      </w:r>
      <w:r w:rsidR="00A619BA">
        <w:t>N</w:t>
      </w:r>
      <w:r w:rsidR="00246F74">
        <w:t>ot in treatment and not in remission</w:t>
      </w:r>
      <w:r w:rsidR="00BE0BF5">
        <w:t>’</w:t>
      </w:r>
      <w:r w:rsidR="00246F74">
        <w:t xml:space="preserve"> </w:t>
      </w:r>
      <w:r w:rsidR="00033D66">
        <w:t xml:space="preserve">to </w:t>
      </w:r>
      <w:r w:rsidR="00BE0BF5">
        <w:t>‘</w:t>
      </w:r>
      <w:r w:rsidR="00A619BA">
        <w:t>D</w:t>
      </w:r>
      <w:r w:rsidR="00033D66">
        <w:t>eath</w:t>
      </w:r>
      <w:r w:rsidR="00BE0BF5">
        <w:t>’</w:t>
      </w:r>
      <w:r w:rsidR="00033D66">
        <w:t xml:space="preserve"> (</w:t>
      </w:r>
      <w:r w:rsidR="00033D66" w:rsidRPr="00424E3E">
        <w:rPr>
          <w:i/>
          <w:iCs/>
        </w:rPr>
        <w:t>tpB2D</w:t>
      </w:r>
      <w:r w:rsidR="00033D66">
        <w:t xml:space="preserve"> or tp</w:t>
      </w:r>
      <w:r w:rsidR="00424E3E" w:rsidRPr="00424E3E">
        <w:rPr>
          <w:i/>
          <w:iCs/>
        </w:rPr>
        <w:t>C2D</w:t>
      </w:r>
      <w:r w:rsidR="00424E3E">
        <w:t>)</w:t>
      </w:r>
      <w:r w:rsidR="00910A79">
        <w:t xml:space="preserve">. </w:t>
      </w:r>
      <w:r w:rsidR="00673E2C">
        <w:t>The</w:t>
      </w:r>
      <w:r w:rsidR="00E52EAF">
        <w:t xml:space="preserve"> </w:t>
      </w:r>
      <w:r w:rsidR="00E52EAF">
        <w:rPr>
          <w:i/>
          <w:iCs/>
        </w:rPr>
        <w:t>msm</w:t>
      </w:r>
      <w:r w:rsidR="00E52EAF">
        <w:t xml:space="preserve"> </w:t>
      </w:r>
      <w:r w:rsidR="00673E2C">
        <w:t xml:space="preserve">package </w:t>
      </w:r>
      <w:r w:rsidR="006E79B9">
        <w:t xml:space="preserve">was able to </w:t>
      </w:r>
      <w:r w:rsidR="00F22173">
        <w:t>use</w:t>
      </w:r>
      <w:r w:rsidR="006E79B9">
        <w:t xml:space="preserve"> our</w:t>
      </w:r>
      <w:r w:rsidR="00673E2C">
        <w:t xml:space="preserve"> observed data and pro</w:t>
      </w:r>
      <w:r w:rsidR="005E75FC">
        <w:t xml:space="preserve">duce hazard rates and </w:t>
      </w:r>
      <w:r w:rsidR="000F6769">
        <w:t xml:space="preserve">estimated transition probabilities for </w:t>
      </w:r>
      <w:r w:rsidR="004D2D03">
        <w:t xml:space="preserve">every year in our model </w:t>
      </w:r>
      <w:r w:rsidR="005576C7">
        <w:t xml:space="preserve">for each of the state transitions </w:t>
      </w:r>
      <w:r w:rsidR="00C466FA" w:rsidRPr="002D3F3C">
        <w:t xml:space="preserve">shown in </w:t>
      </w:r>
      <w:r w:rsidR="00C466FA" w:rsidRPr="002D3F3C">
        <w:fldChar w:fldCharType="begin"/>
      </w:r>
      <w:r w:rsidR="00C466FA" w:rsidRPr="002D3F3C">
        <w:instrText xml:space="preserve"> REF _Ref176700936 \h  \* MERGEFORMAT </w:instrText>
      </w:r>
      <w:r w:rsidR="00C466FA" w:rsidRPr="002D3F3C">
        <w:fldChar w:fldCharType="separate"/>
      </w:r>
      <w:r w:rsidR="002E06BB" w:rsidRPr="002D3F3C">
        <w:t xml:space="preserve">Figure </w:t>
      </w:r>
      <w:r w:rsidR="002E06BB" w:rsidRPr="002D3F3C">
        <w:rPr>
          <w:noProof/>
        </w:rPr>
        <w:t>5.3</w:t>
      </w:r>
      <w:r w:rsidR="002E06BB" w:rsidRPr="002D3F3C">
        <w:rPr>
          <w:noProof/>
        </w:rPr>
        <w:noBreakHyphen/>
        <w:t>2</w:t>
      </w:r>
      <w:r w:rsidR="00C466FA" w:rsidRPr="002D3F3C">
        <w:fldChar w:fldCharType="end"/>
      </w:r>
      <w:r w:rsidR="00C466FA" w:rsidRPr="002D3F3C">
        <w:t>.</w:t>
      </w:r>
    </w:p>
    <w:p w14:paraId="117E5797" w14:textId="77777777" w:rsidR="004C216A" w:rsidRDefault="004C216A" w:rsidP="001A37CE">
      <w:pPr>
        <w:pStyle w:val="NoSpacing"/>
        <w:spacing w:line="360" w:lineRule="auto"/>
      </w:pPr>
    </w:p>
    <w:p w14:paraId="69552754" w14:textId="71C93704" w:rsidR="004C216A" w:rsidRPr="00635FF9" w:rsidRDefault="004C216A" w:rsidP="00691326">
      <w:pPr>
        <w:pStyle w:val="Heading3"/>
        <w:numPr>
          <w:ilvl w:val="2"/>
          <w:numId w:val="19"/>
        </w:numPr>
        <w:spacing w:after="240" w:line="240" w:lineRule="auto"/>
      </w:pPr>
      <w:bookmarkStart w:id="130" w:name="_Toc189229707"/>
      <w:r w:rsidRPr="00635FF9">
        <w:t xml:space="preserve">Estimating transition probabilities for treatment </w:t>
      </w:r>
      <w:r w:rsidR="00545D7B">
        <w:t>plus</w:t>
      </w:r>
      <w:r w:rsidRPr="00635FF9">
        <w:t xml:space="preserve"> parenting and/or </w:t>
      </w:r>
      <w:r>
        <w:t xml:space="preserve">family </w:t>
      </w:r>
      <w:r w:rsidRPr="00635FF9">
        <w:t>recovery support</w:t>
      </w:r>
      <w:bookmarkEnd w:id="130"/>
    </w:p>
    <w:p w14:paraId="66B84B8B" w14:textId="13DE0712" w:rsidR="004C216A" w:rsidRDefault="004C216A" w:rsidP="004C216A">
      <w:pPr>
        <w:pStyle w:val="NoSpacing"/>
        <w:spacing w:line="360" w:lineRule="auto"/>
      </w:pPr>
      <w:r>
        <w:t xml:space="preserve">Our previous quasi-experimental study used NDTMS data to explore the effectiveness of treatment only compared with treatment </w:t>
      </w:r>
      <w:r w:rsidR="00545D7B">
        <w:t>plus</w:t>
      </w:r>
      <w:r>
        <w:t xml:space="preserve"> parenting and/or family recovery support  </w:t>
      </w:r>
      <w:r>
        <w:fldChar w:fldCharType="begin"/>
      </w:r>
      <w:r w:rsidR="00B9334F">
        <w:instrText xml:space="preserve"> ADDIN EN.CITE &lt;EndNote&gt;&lt;Cite&gt;&lt;Author&gt;Musto Wright&lt;/Author&gt;&lt;Year&gt;2024&lt;/Year&gt;&lt;RecNum&gt;297&lt;/RecNum&gt;&lt;DisplayText&gt;(Musto Wright et al., 2024b)&lt;/DisplayText&gt;&lt;record&gt;&lt;rec-number&gt;297&lt;/rec-number&gt;&lt;foreign-keys&gt;&lt;key app="EN" db-id="ffzvr5fstavwxoe9v04xf0wmp5t50as52da0" timestamp="1731671657" guid="374df23f-bbff-422b-bb98-43e741de65b5"&gt;297&lt;/key&gt;&lt;/foreign-keys&gt;&lt;ref-type name="Journal Article"&gt;17&lt;/ref-type&gt;&lt;contributors&gt;&lt;authors&gt;&lt;author&gt;Musto Wright, V.&lt;/author&gt;&lt;author&gt;Eastwood, B.&lt;/author&gt;&lt;author&gt;Meier, P&lt;/author&gt;&lt;author&gt;Brennan, A&lt;/author&gt;&lt;/authors&gt;&lt;/contributors&gt;&lt;titles&gt;&lt;title&gt;Do parenting or child welfare support interventions improve alcohol and drug treatment completions among parents with a substance use disorder? A quasi-experimental study using generalized boosted models.&lt;/title&gt;&lt;secondary-title&gt;Manuscript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fldChar w:fldCharType="separate"/>
      </w:r>
      <w:r w:rsidR="00A77498">
        <w:rPr>
          <w:noProof/>
        </w:rPr>
        <w:t>(Musto Wright et al., 2024b)</w:t>
      </w:r>
      <w:r>
        <w:fldChar w:fldCharType="end"/>
      </w:r>
      <w:r>
        <w:t xml:space="preserve">. Briefly, the quasi-experimental study involved 4 models for NDTMS participants in alcohol treatment, splitting by sex and by child living arrangements (LWC/NWC). To compare the two interventions, propensity scores were calculated then weighted via Generalised Boosted Modelling with 20,000 iterations each to estimate average treatment effects (ATEs) derived </w:t>
      </w:r>
      <w:r>
        <w:lastRenderedPageBreak/>
        <w:t xml:space="preserve">from the proportion of successful completions of treatment. E-values were also estimated to test the robustness of significant findings. </w:t>
      </w:r>
    </w:p>
    <w:p w14:paraId="0D84EEFE" w14:textId="77777777" w:rsidR="00682716" w:rsidRPr="00682716" w:rsidRDefault="00682716" w:rsidP="00682716">
      <w:pPr>
        <w:pStyle w:val="NoSpacing"/>
        <w:spacing w:line="240" w:lineRule="auto"/>
        <w:rPr>
          <w:highlight w:val="cyan"/>
        </w:rPr>
      </w:pPr>
    </w:p>
    <w:p w14:paraId="2FCFCA8A" w14:textId="5DA4CBA4" w:rsidR="00C247A5" w:rsidRDefault="003544A3" w:rsidP="007F1653">
      <w:pPr>
        <w:pStyle w:val="Caption"/>
        <w:ind w:left="1440" w:hanging="1440"/>
        <w:rPr>
          <w:b w:val="0"/>
          <w:bCs w:val="0"/>
          <w:i/>
          <w:iCs/>
          <w:color w:val="auto"/>
          <w:sz w:val="24"/>
          <w:szCs w:val="24"/>
        </w:rPr>
      </w:pPr>
      <w:bookmarkStart w:id="131" w:name="_Ref176703453"/>
      <w:bookmarkStart w:id="132" w:name="_Toc185844999"/>
      <w:r>
        <w:rPr>
          <w:b w:val="0"/>
          <w:bCs w:val="0"/>
          <w:i/>
          <w:iCs/>
          <w:color w:val="auto"/>
          <w:sz w:val="24"/>
          <w:szCs w:val="24"/>
        </w:rPr>
        <w:t>Table</w:t>
      </w:r>
      <w:r w:rsidR="004C216A" w:rsidRPr="00D27DBE">
        <w:rPr>
          <w:b w:val="0"/>
          <w:bCs w:val="0"/>
          <w:i/>
          <w:iCs/>
          <w:color w:val="auto"/>
          <w:sz w:val="24"/>
          <w:szCs w:val="24"/>
        </w:rPr>
        <w:t xml:space="preserv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5.3</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2B011C">
        <w:rPr>
          <w:b w:val="0"/>
          <w:bCs w:val="0"/>
          <w:i/>
          <w:iCs/>
          <w:noProof/>
          <w:color w:val="auto"/>
          <w:sz w:val="24"/>
          <w:szCs w:val="24"/>
        </w:rPr>
        <w:t>1</w:t>
      </w:r>
      <w:r w:rsidR="00367870">
        <w:rPr>
          <w:b w:val="0"/>
          <w:bCs w:val="0"/>
          <w:i/>
          <w:iCs/>
          <w:color w:val="auto"/>
          <w:sz w:val="24"/>
          <w:szCs w:val="24"/>
        </w:rPr>
        <w:fldChar w:fldCharType="end"/>
      </w:r>
      <w:bookmarkEnd w:id="131"/>
      <w:r w:rsidR="004C216A" w:rsidRPr="00D27DBE">
        <w:rPr>
          <w:b w:val="0"/>
          <w:bCs w:val="0"/>
          <w:i/>
          <w:iCs/>
          <w:color w:val="auto"/>
          <w:sz w:val="24"/>
          <w:szCs w:val="24"/>
        </w:rPr>
        <w:tab/>
        <w:t xml:space="preserve">Average treatment effects from previous quasi-experimental study </w:t>
      </w:r>
      <w:r w:rsidR="004C216A" w:rsidRPr="00D27DBE">
        <w:rPr>
          <w:b w:val="0"/>
          <w:bCs w:val="0"/>
          <w:i/>
          <w:iCs/>
          <w:color w:val="auto"/>
          <w:sz w:val="24"/>
          <w:szCs w:val="24"/>
        </w:rPr>
        <w:fldChar w:fldCharType="begin"/>
      </w:r>
      <w:r w:rsidR="00B9334F">
        <w:rPr>
          <w:b w:val="0"/>
          <w:bCs w:val="0"/>
          <w:i/>
          <w:iCs/>
          <w:color w:val="auto"/>
          <w:sz w:val="24"/>
          <w:szCs w:val="24"/>
        </w:rPr>
        <w:instrText xml:space="preserve"> ADDIN EN.CITE &lt;EndNote&gt;&lt;Cite&gt;&lt;Author&gt;Musto Wright&lt;/Author&gt;&lt;Year&gt;2024&lt;/Year&gt;&lt;RecNum&gt;297&lt;/RecNum&gt;&lt;DisplayText&gt;(Musto Wright et al., 2024b)&lt;/DisplayText&gt;&lt;record&gt;&lt;rec-number&gt;297&lt;/rec-number&gt;&lt;foreign-keys&gt;&lt;key app="EN" db-id="ffzvr5fstavwxoe9v04xf0wmp5t50as52da0" timestamp="1731671657" guid="374df23f-bbff-422b-bb98-43e741de65b5"&gt;297&lt;/key&gt;&lt;/foreign-keys&gt;&lt;ref-type name="Journal Article"&gt;17&lt;/ref-type&gt;&lt;contributors&gt;&lt;authors&gt;&lt;author&gt;Musto Wright, V.&lt;/author&gt;&lt;author&gt;Eastwood, B.&lt;/author&gt;&lt;author&gt;Meier, P&lt;/author&gt;&lt;author&gt;Brennan, A&lt;/author&gt;&lt;/authors&gt;&lt;/contributors&gt;&lt;titles&gt;&lt;title&gt;Do parenting or child welfare support interventions improve alcohol and drug treatment completions among parents with a substance use disorder? A quasi-experimental study using generalized boosted models.&lt;/title&gt;&lt;secondary-title&gt;Manuscript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rsidR="004C216A" w:rsidRPr="00D27DBE">
        <w:rPr>
          <w:b w:val="0"/>
          <w:bCs w:val="0"/>
          <w:i/>
          <w:iCs/>
          <w:color w:val="auto"/>
          <w:sz w:val="24"/>
          <w:szCs w:val="24"/>
        </w:rPr>
        <w:fldChar w:fldCharType="separate"/>
      </w:r>
      <w:r w:rsidR="00A77498">
        <w:rPr>
          <w:b w:val="0"/>
          <w:bCs w:val="0"/>
          <w:i/>
          <w:iCs/>
          <w:noProof/>
          <w:color w:val="auto"/>
          <w:sz w:val="24"/>
          <w:szCs w:val="24"/>
        </w:rPr>
        <w:t>(Musto Wright et al., 2024b)</w:t>
      </w:r>
      <w:r w:rsidR="004C216A" w:rsidRPr="00D27DBE">
        <w:rPr>
          <w:b w:val="0"/>
          <w:bCs w:val="0"/>
          <w:i/>
          <w:iCs/>
          <w:color w:val="auto"/>
          <w:sz w:val="24"/>
          <w:szCs w:val="24"/>
        </w:rPr>
        <w:fldChar w:fldCharType="end"/>
      </w:r>
      <w:r w:rsidR="004C216A" w:rsidRPr="00D27DBE">
        <w:rPr>
          <w:b w:val="0"/>
          <w:bCs w:val="0"/>
          <w:i/>
          <w:iCs/>
          <w:color w:val="auto"/>
          <w:sz w:val="24"/>
          <w:szCs w:val="24"/>
        </w:rPr>
        <w:t xml:space="preserve"> used to generate </w:t>
      </w:r>
      <w:r w:rsidR="00537539">
        <w:rPr>
          <w:b w:val="0"/>
          <w:bCs w:val="0"/>
          <w:i/>
          <w:iCs/>
          <w:color w:val="auto"/>
          <w:sz w:val="24"/>
          <w:szCs w:val="24"/>
        </w:rPr>
        <w:t>relative risks</w:t>
      </w:r>
      <w:r w:rsidR="004C216A" w:rsidRPr="00D27DBE">
        <w:rPr>
          <w:b w:val="0"/>
          <w:bCs w:val="0"/>
          <w:i/>
          <w:iCs/>
          <w:color w:val="auto"/>
          <w:sz w:val="24"/>
          <w:szCs w:val="24"/>
        </w:rPr>
        <w:t xml:space="preserve"> of successful completion by living arrangements and sex (n=18,241)</w:t>
      </w:r>
      <w:bookmarkEnd w:id="132"/>
    </w:p>
    <w:p w14:paraId="2EF85A5B" w14:textId="77777777" w:rsidR="007F1653" w:rsidRPr="007F1653" w:rsidRDefault="007F1653" w:rsidP="007F1653"/>
    <w:tbl>
      <w:tblPr>
        <w:tblW w:w="9356" w:type="dxa"/>
        <w:tblLayout w:type="fixed"/>
        <w:tblLook w:val="04A0" w:firstRow="1" w:lastRow="0" w:firstColumn="1" w:lastColumn="0" w:noHBand="0" w:noVBand="1"/>
      </w:tblPr>
      <w:tblGrid>
        <w:gridCol w:w="906"/>
        <w:gridCol w:w="1487"/>
        <w:gridCol w:w="2143"/>
        <w:gridCol w:w="1134"/>
        <w:gridCol w:w="851"/>
        <w:gridCol w:w="1701"/>
        <w:gridCol w:w="709"/>
        <w:gridCol w:w="425"/>
      </w:tblGrid>
      <w:tr w:rsidR="00C247A5" w:rsidRPr="00C247A5" w14:paraId="1E71DD3E" w14:textId="77777777" w:rsidTr="007F1653">
        <w:trPr>
          <w:gridAfter w:val="1"/>
          <w:wAfter w:w="425" w:type="dxa"/>
          <w:trHeight w:val="517"/>
        </w:trPr>
        <w:tc>
          <w:tcPr>
            <w:tcW w:w="906" w:type="dxa"/>
            <w:vMerge w:val="restart"/>
            <w:tcBorders>
              <w:top w:val="nil"/>
              <w:left w:val="nil"/>
              <w:right w:val="nil"/>
            </w:tcBorders>
            <w:shd w:val="clear" w:color="auto" w:fill="auto"/>
            <w:vAlign w:val="center"/>
            <w:hideMark/>
          </w:tcPr>
          <w:p w14:paraId="71A8880F"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Sex</w:t>
            </w:r>
          </w:p>
        </w:tc>
        <w:tc>
          <w:tcPr>
            <w:tcW w:w="1487" w:type="dxa"/>
            <w:vMerge w:val="restart"/>
            <w:tcBorders>
              <w:top w:val="nil"/>
              <w:left w:val="nil"/>
              <w:right w:val="nil"/>
            </w:tcBorders>
            <w:shd w:val="clear" w:color="auto" w:fill="auto"/>
            <w:vAlign w:val="center"/>
            <w:hideMark/>
          </w:tcPr>
          <w:p w14:paraId="6978A8FF"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Child living arrangements</w:t>
            </w:r>
          </w:p>
        </w:tc>
        <w:tc>
          <w:tcPr>
            <w:tcW w:w="2143" w:type="dxa"/>
            <w:vMerge w:val="restart"/>
            <w:tcBorders>
              <w:top w:val="nil"/>
              <w:left w:val="nil"/>
              <w:right w:val="single" w:sz="4" w:space="0" w:color="auto"/>
            </w:tcBorders>
            <w:shd w:val="clear" w:color="auto" w:fill="auto"/>
            <w:vAlign w:val="center"/>
            <w:hideMark/>
          </w:tcPr>
          <w:p w14:paraId="54F84116"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Strategy</w:t>
            </w:r>
          </w:p>
        </w:tc>
        <w:tc>
          <w:tcPr>
            <w:tcW w:w="1134" w:type="dxa"/>
            <w:vMerge w:val="restart"/>
            <w:tcBorders>
              <w:top w:val="nil"/>
              <w:left w:val="single" w:sz="4" w:space="0" w:color="auto"/>
              <w:right w:val="nil"/>
            </w:tcBorders>
            <w:shd w:val="clear" w:color="auto" w:fill="auto"/>
            <w:vAlign w:val="center"/>
            <w:hideMark/>
          </w:tcPr>
          <w:p w14:paraId="52E5CBE6"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Estimated outcome (%)</w:t>
            </w:r>
          </w:p>
        </w:tc>
        <w:tc>
          <w:tcPr>
            <w:tcW w:w="851" w:type="dxa"/>
            <w:vMerge w:val="restart"/>
            <w:tcBorders>
              <w:top w:val="nil"/>
              <w:left w:val="nil"/>
              <w:right w:val="nil"/>
            </w:tcBorders>
            <w:shd w:val="clear" w:color="auto" w:fill="auto"/>
            <w:vAlign w:val="center"/>
            <w:hideMark/>
          </w:tcPr>
          <w:p w14:paraId="54CC0767"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ATE</w:t>
            </w:r>
          </w:p>
        </w:tc>
        <w:tc>
          <w:tcPr>
            <w:tcW w:w="1701" w:type="dxa"/>
            <w:vMerge w:val="restart"/>
            <w:tcBorders>
              <w:top w:val="nil"/>
              <w:left w:val="nil"/>
              <w:right w:val="nil"/>
            </w:tcBorders>
            <w:shd w:val="clear" w:color="auto" w:fill="auto"/>
            <w:vAlign w:val="center"/>
            <w:hideMark/>
          </w:tcPr>
          <w:p w14:paraId="3244D3E2" w14:textId="77777777" w:rsidR="00C247A5" w:rsidRPr="00C247A5" w:rsidRDefault="00C247A5" w:rsidP="007F1653">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 xml:space="preserve">OR </w:t>
            </w:r>
            <w:r w:rsidRPr="00C247A5">
              <w:rPr>
                <w:rFonts w:eastAsia="Times New Roman" w:cs="Arial"/>
                <w:color w:val="000000"/>
                <w:sz w:val="16"/>
                <w:szCs w:val="16"/>
                <w:lang w:eastAsia="en-GB"/>
              </w:rPr>
              <w:t> </w:t>
            </w:r>
            <w:r w:rsidRPr="00C247A5">
              <w:rPr>
                <w:rFonts w:eastAsia="Times New Roman" w:cs="Arial"/>
                <w:color w:val="000000"/>
                <w:sz w:val="20"/>
                <w:szCs w:val="20"/>
                <w:lang w:eastAsia="en-GB"/>
              </w:rPr>
              <w:t>(95% CI)</w:t>
            </w:r>
          </w:p>
        </w:tc>
        <w:tc>
          <w:tcPr>
            <w:tcW w:w="709" w:type="dxa"/>
            <w:vMerge w:val="restart"/>
            <w:tcBorders>
              <w:top w:val="nil"/>
              <w:left w:val="nil"/>
              <w:right w:val="nil"/>
            </w:tcBorders>
            <w:shd w:val="clear" w:color="auto" w:fill="auto"/>
            <w:vAlign w:val="center"/>
            <w:hideMark/>
          </w:tcPr>
          <w:p w14:paraId="15815A4C"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RR</w:t>
            </w:r>
          </w:p>
        </w:tc>
      </w:tr>
      <w:tr w:rsidR="00C247A5" w:rsidRPr="00C247A5" w14:paraId="15100A45" w14:textId="77777777" w:rsidTr="007F1653">
        <w:trPr>
          <w:trHeight w:val="300"/>
        </w:trPr>
        <w:tc>
          <w:tcPr>
            <w:tcW w:w="906" w:type="dxa"/>
            <w:vMerge/>
            <w:tcBorders>
              <w:left w:val="nil"/>
              <w:bottom w:val="nil"/>
              <w:right w:val="nil"/>
            </w:tcBorders>
            <w:vAlign w:val="center"/>
            <w:hideMark/>
          </w:tcPr>
          <w:p w14:paraId="11415FE1" w14:textId="77777777" w:rsidR="00C247A5" w:rsidRPr="00C247A5" w:rsidRDefault="00C247A5" w:rsidP="00C247A5">
            <w:pPr>
              <w:contextualSpacing w:val="0"/>
              <w:rPr>
                <w:rFonts w:eastAsia="Times New Roman" w:cs="Arial"/>
                <w:color w:val="000000"/>
                <w:sz w:val="20"/>
                <w:szCs w:val="20"/>
                <w:lang w:eastAsia="en-GB"/>
              </w:rPr>
            </w:pPr>
          </w:p>
        </w:tc>
        <w:tc>
          <w:tcPr>
            <w:tcW w:w="1487" w:type="dxa"/>
            <w:vMerge/>
            <w:tcBorders>
              <w:left w:val="nil"/>
              <w:bottom w:val="nil"/>
              <w:right w:val="nil"/>
            </w:tcBorders>
            <w:vAlign w:val="center"/>
            <w:hideMark/>
          </w:tcPr>
          <w:p w14:paraId="1407F1BD" w14:textId="77777777" w:rsidR="00C247A5" w:rsidRPr="00C247A5" w:rsidRDefault="00C247A5" w:rsidP="00C247A5">
            <w:pPr>
              <w:contextualSpacing w:val="0"/>
              <w:rPr>
                <w:rFonts w:eastAsia="Times New Roman" w:cs="Arial"/>
                <w:color w:val="000000"/>
                <w:sz w:val="20"/>
                <w:szCs w:val="20"/>
                <w:lang w:eastAsia="en-GB"/>
              </w:rPr>
            </w:pPr>
          </w:p>
        </w:tc>
        <w:tc>
          <w:tcPr>
            <w:tcW w:w="2143" w:type="dxa"/>
            <w:vMerge/>
            <w:tcBorders>
              <w:left w:val="nil"/>
              <w:bottom w:val="nil"/>
              <w:right w:val="single" w:sz="4" w:space="0" w:color="auto"/>
            </w:tcBorders>
            <w:vAlign w:val="center"/>
            <w:hideMark/>
          </w:tcPr>
          <w:p w14:paraId="0FD19F94" w14:textId="77777777" w:rsidR="00C247A5" w:rsidRPr="00C247A5" w:rsidRDefault="00C247A5" w:rsidP="00C247A5">
            <w:pPr>
              <w:contextualSpacing w:val="0"/>
              <w:rPr>
                <w:rFonts w:eastAsia="Times New Roman" w:cs="Arial"/>
                <w:color w:val="000000"/>
                <w:sz w:val="20"/>
                <w:szCs w:val="20"/>
                <w:lang w:eastAsia="en-GB"/>
              </w:rPr>
            </w:pPr>
          </w:p>
        </w:tc>
        <w:tc>
          <w:tcPr>
            <w:tcW w:w="1134" w:type="dxa"/>
            <w:vMerge/>
            <w:tcBorders>
              <w:left w:val="single" w:sz="4" w:space="0" w:color="auto"/>
              <w:bottom w:val="nil"/>
              <w:right w:val="nil"/>
            </w:tcBorders>
            <w:vAlign w:val="center"/>
            <w:hideMark/>
          </w:tcPr>
          <w:p w14:paraId="77E3A1EA" w14:textId="77777777" w:rsidR="00C247A5" w:rsidRPr="00C247A5" w:rsidRDefault="00C247A5" w:rsidP="00C247A5">
            <w:pPr>
              <w:contextualSpacing w:val="0"/>
              <w:rPr>
                <w:rFonts w:eastAsia="Times New Roman" w:cs="Arial"/>
                <w:color w:val="000000"/>
                <w:sz w:val="20"/>
                <w:szCs w:val="20"/>
                <w:lang w:eastAsia="en-GB"/>
              </w:rPr>
            </w:pPr>
          </w:p>
        </w:tc>
        <w:tc>
          <w:tcPr>
            <w:tcW w:w="851" w:type="dxa"/>
            <w:vMerge/>
            <w:tcBorders>
              <w:left w:val="nil"/>
              <w:bottom w:val="nil"/>
              <w:right w:val="nil"/>
            </w:tcBorders>
            <w:vAlign w:val="center"/>
            <w:hideMark/>
          </w:tcPr>
          <w:p w14:paraId="72C79434" w14:textId="77777777" w:rsidR="00C247A5" w:rsidRPr="00C247A5" w:rsidRDefault="00C247A5" w:rsidP="00C247A5">
            <w:pPr>
              <w:contextualSpacing w:val="0"/>
              <w:rPr>
                <w:rFonts w:eastAsia="Times New Roman" w:cs="Arial"/>
                <w:color w:val="000000"/>
                <w:sz w:val="20"/>
                <w:szCs w:val="20"/>
                <w:lang w:eastAsia="en-GB"/>
              </w:rPr>
            </w:pPr>
          </w:p>
        </w:tc>
        <w:tc>
          <w:tcPr>
            <w:tcW w:w="1701" w:type="dxa"/>
            <w:vMerge/>
            <w:tcBorders>
              <w:left w:val="nil"/>
              <w:bottom w:val="nil"/>
              <w:right w:val="nil"/>
            </w:tcBorders>
            <w:vAlign w:val="center"/>
            <w:hideMark/>
          </w:tcPr>
          <w:p w14:paraId="6D8D7504" w14:textId="77777777" w:rsidR="00C247A5" w:rsidRPr="00C247A5" w:rsidRDefault="00C247A5" w:rsidP="00C247A5">
            <w:pPr>
              <w:contextualSpacing w:val="0"/>
              <w:rPr>
                <w:rFonts w:eastAsia="Times New Roman" w:cs="Arial"/>
                <w:color w:val="000000"/>
                <w:sz w:val="20"/>
                <w:szCs w:val="20"/>
                <w:lang w:eastAsia="en-GB"/>
              </w:rPr>
            </w:pPr>
          </w:p>
        </w:tc>
        <w:tc>
          <w:tcPr>
            <w:tcW w:w="709" w:type="dxa"/>
            <w:vMerge/>
            <w:tcBorders>
              <w:left w:val="nil"/>
              <w:bottom w:val="nil"/>
              <w:right w:val="nil"/>
            </w:tcBorders>
            <w:vAlign w:val="center"/>
            <w:hideMark/>
          </w:tcPr>
          <w:p w14:paraId="66CF0A78" w14:textId="77777777" w:rsidR="00C247A5" w:rsidRPr="00C247A5" w:rsidRDefault="00C247A5" w:rsidP="00C247A5">
            <w:pPr>
              <w:contextualSpacing w:val="0"/>
              <w:rPr>
                <w:rFonts w:eastAsia="Times New Roman" w:cs="Arial"/>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FD18CB7" w14:textId="77777777" w:rsidR="00C247A5" w:rsidRPr="00C247A5" w:rsidRDefault="00C247A5" w:rsidP="00C247A5">
            <w:pPr>
              <w:contextualSpacing w:val="0"/>
              <w:rPr>
                <w:rFonts w:eastAsia="Times New Roman" w:cs="Arial"/>
                <w:color w:val="000000"/>
                <w:sz w:val="20"/>
                <w:szCs w:val="20"/>
                <w:lang w:eastAsia="en-GB"/>
              </w:rPr>
            </w:pPr>
          </w:p>
        </w:tc>
      </w:tr>
      <w:tr w:rsidR="00C247A5" w:rsidRPr="00C247A5" w14:paraId="0DCA621D" w14:textId="77777777" w:rsidTr="007F1653">
        <w:trPr>
          <w:trHeight w:val="300"/>
        </w:trPr>
        <w:tc>
          <w:tcPr>
            <w:tcW w:w="906" w:type="dxa"/>
            <w:vMerge w:val="restart"/>
            <w:tcBorders>
              <w:top w:val="nil"/>
              <w:left w:val="nil"/>
              <w:bottom w:val="nil"/>
              <w:right w:val="nil"/>
            </w:tcBorders>
            <w:shd w:val="clear" w:color="auto" w:fill="auto"/>
            <w:vAlign w:val="center"/>
            <w:hideMark/>
          </w:tcPr>
          <w:p w14:paraId="2366BEFA"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Women</w:t>
            </w:r>
          </w:p>
        </w:tc>
        <w:tc>
          <w:tcPr>
            <w:tcW w:w="1487" w:type="dxa"/>
            <w:vMerge w:val="restart"/>
            <w:tcBorders>
              <w:top w:val="nil"/>
              <w:left w:val="nil"/>
              <w:bottom w:val="nil"/>
              <w:right w:val="nil"/>
            </w:tcBorders>
            <w:shd w:val="clear" w:color="auto" w:fill="auto"/>
            <w:vAlign w:val="center"/>
            <w:hideMark/>
          </w:tcPr>
          <w:p w14:paraId="37B9425B"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LWC*</w:t>
            </w:r>
          </w:p>
        </w:tc>
        <w:tc>
          <w:tcPr>
            <w:tcW w:w="2143" w:type="dxa"/>
            <w:tcBorders>
              <w:top w:val="nil"/>
              <w:left w:val="nil"/>
              <w:bottom w:val="nil"/>
              <w:right w:val="single" w:sz="4" w:space="0" w:color="auto"/>
            </w:tcBorders>
            <w:shd w:val="clear" w:color="auto" w:fill="auto"/>
            <w:noWrap/>
            <w:vAlign w:val="center"/>
            <w:hideMark/>
          </w:tcPr>
          <w:p w14:paraId="5933661D"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Treatment ('Trt') only</w:t>
            </w:r>
          </w:p>
        </w:tc>
        <w:tc>
          <w:tcPr>
            <w:tcW w:w="1134" w:type="dxa"/>
            <w:tcBorders>
              <w:top w:val="nil"/>
              <w:left w:val="single" w:sz="4" w:space="0" w:color="auto"/>
              <w:bottom w:val="nil"/>
              <w:right w:val="nil"/>
            </w:tcBorders>
            <w:shd w:val="clear" w:color="auto" w:fill="auto"/>
            <w:noWrap/>
            <w:vAlign w:val="center"/>
            <w:hideMark/>
          </w:tcPr>
          <w:p w14:paraId="23E14433"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65.50%</w:t>
            </w:r>
          </w:p>
        </w:tc>
        <w:tc>
          <w:tcPr>
            <w:tcW w:w="851" w:type="dxa"/>
            <w:tcBorders>
              <w:top w:val="nil"/>
              <w:left w:val="nil"/>
              <w:bottom w:val="nil"/>
              <w:right w:val="nil"/>
            </w:tcBorders>
            <w:shd w:val="clear" w:color="auto" w:fill="auto"/>
            <w:noWrap/>
            <w:vAlign w:val="center"/>
            <w:hideMark/>
          </w:tcPr>
          <w:p w14:paraId="14020DF4" w14:textId="77777777" w:rsidR="00C247A5" w:rsidRPr="00C247A5" w:rsidRDefault="00C247A5" w:rsidP="00C247A5">
            <w:pPr>
              <w:contextualSpacing w:val="0"/>
              <w:jc w:val="center"/>
              <w:rPr>
                <w:rFonts w:eastAsia="Times New Roman" w:cs="Arial"/>
                <w:color w:val="000000"/>
                <w:sz w:val="20"/>
                <w:szCs w:val="20"/>
                <w:lang w:eastAsia="en-GB"/>
              </w:rPr>
            </w:pPr>
          </w:p>
        </w:tc>
        <w:tc>
          <w:tcPr>
            <w:tcW w:w="1701" w:type="dxa"/>
            <w:tcBorders>
              <w:top w:val="nil"/>
              <w:left w:val="nil"/>
              <w:bottom w:val="nil"/>
              <w:right w:val="nil"/>
            </w:tcBorders>
            <w:shd w:val="clear" w:color="auto" w:fill="auto"/>
            <w:noWrap/>
            <w:vAlign w:val="center"/>
            <w:hideMark/>
          </w:tcPr>
          <w:p w14:paraId="2DDE10AD" w14:textId="77777777" w:rsidR="00C247A5" w:rsidRPr="00C247A5" w:rsidRDefault="00C247A5" w:rsidP="00C247A5">
            <w:pPr>
              <w:contextualSpacing w:val="0"/>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vAlign w:val="center"/>
            <w:hideMark/>
          </w:tcPr>
          <w:p w14:paraId="3B3277D1" w14:textId="77777777" w:rsidR="00C247A5" w:rsidRPr="00C247A5" w:rsidRDefault="00C247A5" w:rsidP="00C247A5">
            <w:pPr>
              <w:contextualSpacing w:val="0"/>
              <w:rPr>
                <w:rFonts w:ascii="Times New Roman" w:eastAsia="Times New Roman" w:hAnsi="Times New Roman" w:cs="Times New Roman"/>
                <w:sz w:val="20"/>
                <w:szCs w:val="20"/>
                <w:lang w:eastAsia="en-GB"/>
              </w:rPr>
            </w:pPr>
          </w:p>
        </w:tc>
        <w:tc>
          <w:tcPr>
            <w:tcW w:w="425" w:type="dxa"/>
            <w:vAlign w:val="center"/>
            <w:hideMark/>
          </w:tcPr>
          <w:p w14:paraId="1A2B64E5" w14:textId="77777777" w:rsidR="00C247A5" w:rsidRPr="00C247A5" w:rsidRDefault="00C247A5" w:rsidP="00C247A5">
            <w:pPr>
              <w:contextualSpacing w:val="0"/>
              <w:rPr>
                <w:rFonts w:ascii="Times New Roman" w:eastAsia="Times New Roman" w:hAnsi="Times New Roman" w:cs="Times New Roman"/>
                <w:sz w:val="20"/>
                <w:szCs w:val="20"/>
                <w:lang w:eastAsia="en-GB"/>
              </w:rPr>
            </w:pPr>
          </w:p>
        </w:tc>
      </w:tr>
      <w:tr w:rsidR="00C247A5" w:rsidRPr="00C247A5" w14:paraId="47FFE752" w14:textId="77777777" w:rsidTr="007F1653">
        <w:trPr>
          <w:trHeight w:val="300"/>
        </w:trPr>
        <w:tc>
          <w:tcPr>
            <w:tcW w:w="906" w:type="dxa"/>
            <w:vMerge/>
            <w:tcBorders>
              <w:top w:val="nil"/>
              <w:left w:val="nil"/>
              <w:bottom w:val="nil"/>
              <w:right w:val="nil"/>
            </w:tcBorders>
            <w:vAlign w:val="center"/>
            <w:hideMark/>
          </w:tcPr>
          <w:p w14:paraId="28229980" w14:textId="77777777" w:rsidR="00C247A5" w:rsidRPr="00C247A5" w:rsidRDefault="00C247A5" w:rsidP="00C247A5">
            <w:pPr>
              <w:contextualSpacing w:val="0"/>
              <w:rPr>
                <w:rFonts w:eastAsia="Times New Roman" w:cs="Arial"/>
                <w:color w:val="000000"/>
                <w:sz w:val="20"/>
                <w:szCs w:val="20"/>
                <w:lang w:eastAsia="en-GB"/>
              </w:rPr>
            </w:pPr>
          </w:p>
        </w:tc>
        <w:tc>
          <w:tcPr>
            <w:tcW w:w="1487" w:type="dxa"/>
            <w:vMerge/>
            <w:tcBorders>
              <w:top w:val="nil"/>
              <w:left w:val="nil"/>
              <w:bottom w:val="nil"/>
              <w:right w:val="nil"/>
            </w:tcBorders>
            <w:vAlign w:val="center"/>
            <w:hideMark/>
          </w:tcPr>
          <w:p w14:paraId="5267885C" w14:textId="77777777" w:rsidR="00C247A5" w:rsidRPr="00C247A5" w:rsidRDefault="00C247A5" w:rsidP="00C247A5">
            <w:pPr>
              <w:contextualSpacing w:val="0"/>
              <w:rPr>
                <w:rFonts w:eastAsia="Times New Roman" w:cs="Arial"/>
                <w:color w:val="000000"/>
                <w:sz w:val="20"/>
                <w:szCs w:val="20"/>
                <w:lang w:eastAsia="en-GB"/>
              </w:rPr>
            </w:pPr>
          </w:p>
        </w:tc>
        <w:tc>
          <w:tcPr>
            <w:tcW w:w="2143" w:type="dxa"/>
            <w:tcBorders>
              <w:top w:val="nil"/>
              <w:left w:val="nil"/>
              <w:bottom w:val="nil"/>
              <w:right w:val="single" w:sz="4" w:space="0" w:color="auto"/>
            </w:tcBorders>
            <w:shd w:val="clear" w:color="auto" w:fill="auto"/>
            <w:noWrap/>
            <w:vAlign w:val="center"/>
            <w:hideMark/>
          </w:tcPr>
          <w:p w14:paraId="68E7087D" w14:textId="2F3E7AAB"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 xml:space="preserve">Trt + parenting/family </w:t>
            </w:r>
          </w:p>
        </w:tc>
        <w:tc>
          <w:tcPr>
            <w:tcW w:w="1134" w:type="dxa"/>
            <w:tcBorders>
              <w:top w:val="nil"/>
              <w:left w:val="single" w:sz="4" w:space="0" w:color="auto"/>
              <w:bottom w:val="nil"/>
              <w:right w:val="nil"/>
            </w:tcBorders>
            <w:shd w:val="clear" w:color="auto" w:fill="auto"/>
            <w:noWrap/>
            <w:vAlign w:val="center"/>
            <w:hideMark/>
          </w:tcPr>
          <w:p w14:paraId="023D7FCD"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78.50%</w:t>
            </w:r>
          </w:p>
        </w:tc>
        <w:tc>
          <w:tcPr>
            <w:tcW w:w="851" w:type="dxa"/>
            <w:tcBorders>
              <w:top w:val="nil"/>
              <w:left w:val="nil"/>
              <w:bottom w:val="nil"/>
              <w:right w:val="nil"/>
            </w:tcBorders>
            <w:shd w:val="clear" w:color="auto" w:fill="auto"/>
            <w:noWrap/>
            <w:vAlign w:val="center"/>
            <w:hideMark/>
          </w:tcPr>
          <w:p w14:paraId="0C5C8D87" w14:textId="535F4199"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0.13</w:t>
            </w:r>
            <w:r w:rsidR="007F1653">
              <w:rPr>
                <w:rFonts w:eastAsia="Times New Roman" w:cs="Arial"/>
                <w:color w:val="000000"/>
                <w:sz w:val="20"/>
                <w:szCs w:val="20"/>
                <w:lang w:eastAsia="en-GB"/>
              </w:rPr>
              <w:t>0</w:t>
            </w:r>
          </w:p>
        </w:tc>
        <w:tc>
          <w:tcPr>
            <w:tcW w:w="1701" w:type="dxa"/>
            <w:tcBorders>
              <w:top w:val="nil"/>
              <w:left w:val="nil"/>
              <w:bottom w:val="nil"/>
              <w:right w:val="nil"/>
            </w:tcBorders>
            <w:shd w:val="clear" w:color="auto" w:fill="auto"/>
            <w:noWrap/>
            <w:vAlign w:val="center"/>
            <w:hideMark/>
          </w:tcPr>
          <w:p w14:paraId="55AE3468" w14:textId="5C6BD104" w:rsidR="00C247A5" w:rsidRPr="00C247A5" w:rsidRDefault="00C247A5" w:rsidP="007F1653">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1.84 (1.39</w:t>
            </w:r>
            <w:r w:rsidR="007F1653">
              <w:rPr>
                <w:rFonts w:eastAsia="Times New Roman" w:cs="Arial"/>
                <w:color w:val="000000"/>
                <w:sz w:val="20"/>
                <w:szCs w:val="20"/>
                <w:lang w:eastAsia="en-GB"/>
              </w:rPr>
              <w:t xml:space="preserve"> -</w:t>
            </w:r>
            <w:r w:rsidRPr="00C247A5">
              <w:rPr>
                <w:rFonts w:eastAsia="Times New Roman" w:cs="Arial"/>
                <w:color w:val="000000"/>
                <w:sz w:val="20"/>
                <w:szCs w:val="20"/>
                <w:lang w:eastAsia="en-GB"/>
              </w:rPr>
              <w:t>2.43)</w:t>
            </w:r>
          </w:p>
        </w:tc>
        <w:tc>
          <w:tcPr>
            <w:tcW w:w="709" w:type="dxa"/>
            <w:tcBorders>
              <w:top w:val="nil"/>
              <w:left w:val="nil"/>
              <w:bottom w:val="nil"/>
              <w:right w:val="nil"/>
            </w:tcBorders>
            <w:shd w:val="clear" w:color="auto" w:fill="auto"/>
            <w:noWrap/>
            <w:vAlign w:val="center"/>
            <w:hideMark/>
          </w:tcPr>
          <w:p w14:paraId="171D6BBE"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1.19</w:t>
            </w:r>
          </w:p>
        </w:tc>
        <w:tc>
          <w:tcPr>
            <w:tcW w:w="425" w:type="dxa"/>
            <w:vAlign w:val="center"/>
            <w:hideMark/>
          </w:tcPr>
          <w:p w14:paraId="5EBB06C7" w14:textId="77777777" w:rsidR="00C247A5" w:rsidRPr="00C247A5" w:rsidRDefault="00C247A5" w:rsidP="00C247A5">
            <w:pPr>
              <w:contextualSpacing w:val="0"/>
              <w:rPr>
                <w:rFonts w:ascii="Times New Roman" w:eastAsia="Times New Roman" w:hAnsi="Times New Roman" w:cs="Times New Roman"/>
                <w:sz w:val="20"/>
                <w:szCs w:val="20"/>
                <w:lang w:eastAsia="en-GB"/>
              </w:rPr>
            </w:pPr>
          </w:p>
        </w:tc>
      </w:tr>
      <w:tr w:rsidR="00C247A5" w:rsidRPr="00C247A5" w14:paraId="783B3B5A" w14:textId="77777777" w:rsidTr="007F1653">
        <w:trPr>
          <w:trHeight w:val="300"/>
        </w:trPr>
        <w:tc>
          <w:tcPr>
            <w:tcW w:w="906" w:type="dxa"/>
            <w:vMerge/>
            <w:tcBorders>
              <w:top w:val="nil"/>
              <w:left w:val="nil"/>
              <w:bottom w:val="nil"/>
              <w:right w:val="nil"/>
            </w:tcBorders>
            <w:vAlign w:val="center"/>
            <w:hideMark/>
          </w:tcPr>
          <w:p w14:paraId="3F5A0543" w14:textId="77777777" w:rsidR="00C247A5" w:rsidRPr="00C247A5" w:rsidRDefault="00C247A5" w:rsidP="00C247A5">
            <w:pPr>
              <w:contextualSpacing w:val="0"/>
              <w:rPr>
                <w:rFonts w:eastAsia="Times New Roman" w:cs="Arial"/>
                <w:color w:val="000000"/>
                <w:sz w:val="20"/>
                <w:szCs w:val="20"/>
                <w:lang w:eastAsia="en-GB"/>
              </w:rPr>
            </w:pPr>
          </w:p>
        </w:tc>
        <w:tc>
          <w:tcPr>
            <w:tcW w:w="1487" w:type="dxa"/>
            <w:vMerge w:val="restart"/>
            <w:tcBorders>
              <w:top w:val="nil"/>
              <w:left w:val="nil"/>
              <w:bottom w:val="nil"/>
              <w:right w:val="nil"/>
            </w:tcBorders>
            <w:shd w:val="clear" w:color="auto" w:fill="auto"/>
            <w:vAlign w:val="center"/>
            <w:hideMark/>
          </w:tcPr>
          <w:p w14:paraId="7B88B853"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NWC</w:t>
            </w:r>
          </w:p>
        </w:tc>
        <w:tc>
          <w:tcPr>
            <w:tcW w:w="2143" w:type="dxa"/>
            <w:tcBorders>
              <w:top w:val="nil"/>
              <w:left w:val="nil"/>
              <w:bottom w:val="nil"/>
              <w:right w:val="single" w:sz="4" w:space="0" w:color="auto"/>
            </w:tcBorders>
            <w:shd w:val="clear" w:color="auto" w:fill="auto"/>
            <w:noWrap/>
            <w:vAlign w:val="center"/>
            <w:hideMark/>
          </w:tcPr>
          <w:p w14:paraId="471431F3"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Trt</w:t>
            </w:r>
          </w:p>
        </w:tc>
        <w:tc>
          <w:tcPr>
            <w:tcW w:w="1134" w:type="dxa"/>
            <w:tcBorders>
              <w:top w:val="nil"/>
              <w:left w:val="single" w:sz="4" w:space="0" w:color="auto"/>
              <w:bottom w:val="nil"/>
              <w:right w:val="nil"/>
            </w:tcBorders>
            <w:shd w:val="clear" w:color="auto" w:fill="auto"/>
            <w:noWrap/>
            <w:vAlign w:val="center"/>
            <w:hideMark/>
          </w:tcPr>
          <w:p w14:paraId="6CCD2365"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69.10%</w:t>
            </w:r>
          </w:p>
        </w:tc>
        <w:tc>
          <w:tcPr>
            <w:tcW w:w="851" w:type="dxa"/>
            <w:tcBorders>
              <w:top w:val="nil"/>
              <w:left w:val="nil"/>
              <w:bottom w:val="nil"/>
              <w:right w:val="nil"/>
            </w:tcBorders>
            <w:shd w:val="clear" w:color="auto" w:fill="auto"/>
            <w:noWrap/>
            <w:vAlign w:val="center"/>
            <w:hideMark/>
          </w:tcPr>
          <w:p w14:paraId="14D3DE05" w14:textId="77777777" w:rsidR="00C247A5" w:rsidRPr="00C247A5" w:rsidRDefault="00C247A5" w:rsidP="00C247A5">
            <w:pPr>
              <w:contextualSpacing w:val="0"/>
              <w:jc w:val="center"/>
              <w:rPr>
                <w:rFonts w:eastAsia="Times New Roman" w:cs="Arial"/>
                <w:color w:val="000000"/>
                <w:sz w:val="20"/>
                <w:szCs w:val="20"/>
                <w:lang w:eastAsia="en-GB"/>
              </w:rPr>
            </w:pPr>
          </w:p>
        </w:tc>
        <w:tc>
          <w:tcPr>
            <w:tcW w:w="1701" w:type="dxa"/>
            <w:tcBorders>
              <w:top w:val="nil"/>
              <w:left w:val="nil"/>
              <w:bottom w:val="nil"/>
              <w:right w:val="nil"/>
            </w:tcBorders>
            <w:shd w:val="clear" w:color="auto" w:fill="auto"/>
            <w:noWrap/>
            <w:vAlign w:val="center"/>
            <w:hideMark/>
          </w:tcPr>
          <w:p w14:paraId="1EF910E7" w14:textId="77777777" w:rsidR="00C247A5" w:rsidRPr="00C247A5" w:rsidRDefault="00C247A5" w:rsidP="007F1653">
            <w:pPr>
              <w:contextualSpacing w:val="0"/>
              <w:jc w:val="center"/>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center"/>
            <w:hideMark/>
          </w:tcPr>
          <w:p w14:paraId="540A3267" w14:textId="77777777" w:rsidR="00C247A5" w:rsidRPr="00C247A5" w:rsidRDefault="00C247A5" w:rsidP="00C247A5">
            <w:pPr>
              <w:contextualSpacing w:val="0"/>
              <w:jc w:val="center"/>
              <w:rPr>
                <w:rFonts w:ascii="Times New Roman" w:eastAsia="Times New Roman" w:hAnsi="Times New Roman" w:cs="Times New Roman"/>
                <w:sz w:val="20"/>
                <w:szCs w:val="20"/>
                <w:lang w:eastAsia="en-GB"/>
              </w:rPr>
            </w:pPr>
          </w:p>
        </w:tc>
        <w:tc>
          <w:tcPr>
            <w:tcW w:w="425" w:type="dxa"/>
            <w:vAlign w:val="center"/>
            <w:hideMark/>
          </w:tcPr>
          <w:p w14:paraId="263C7402" w14:textId="77777777" w:rsidR="00C247A5" w:rsidRPr="00C247A5" w:rsidRDefault="00C247A5" w:rsidP="00C247A5">
            <w:pPr>
              <w:contextualSpacing w:val="0"/>
              <w:rPr>
                <w:rFonts w:ascii="Times New Roman" w:eastAsia="Times New Roman" w:hAnsi="Times New Roman" w:cs="Times New Roman"/>
                <w:sz w:val="20"/>
                <w:szCs w:val="20"/>
                <w:lang w:eastAsia="en-GB"/>
              </w:rPr>
            </w:pPr>
          </w:p>
        </w:tc>
      </w:tr>
      <w:tr w:rsidR="00C247A5" w:rsidRPr="00C247A5" w14:paraId="1B885A54" w14:textId="77777777" w:rsidTr="007F1653">
        <w:trPr>
          <w:trHeight w:val="300"/>
        </w:trPr>
        <w:tc>
          <w:tcPr>
            <w:tcW w:w="906" w:type="dxa"/>
            <w:vMerge/>
            <w:tcBorders>
              <w:top w:val="nil"/>
              <w:left w:val="nil"/>
              <w:right w:val="nil"/>
            </w:tcBorders>
            <w:vAlign w:val="center"/>
            <w:hideMark/>
          </w:tcPr>
          <w:p w14:paraId="1360E89B" w14:textId="77777777" w:rsidR="00C247A5" w:rsidRPr="00C247A5" w:rsidRDefault="00C247A5" w:rsidP="00C247A5">
            <w:pPr>
              <w:contextualSpacing w:val="0"/>
              <w:rPr>
                <w:rFonts w:eastAsia="Times New Roman" w:cs="Arial"/>
                <w:color w:val="000000"/>
                <w:sz w:val="20"/>
                <w:szCs w:val="20"/>
                <w:lang w:eastAsia="en-GB"/>
              </w:rPr>
            </w:pPr>
          </w:p>
        </w:tc>
        <w:tc>
          <w:tcPr>
            <w:tcW w:w="1487" w:type="dxa"/>
            <w:vMerge/>
            <w:tcBorders>
              <w:top w:val="nil"/>
              <w:left w:val="nil"/>
              <w:right w:val="nil"/>
            </w:tcBorders>
            <w:vAlign w:val="center"/>
            <w:hideMark/>
          </w:tcPr>
          <w:p w14:paraId="07C82DFF" w14:textId="77777777" w:rsidR="00C247A5" w:rsidRPr="00C247A5" w:rsidRDefault="00C247A5" w:rsidP="00C247A5">
            <w:pPr>
              <w:contextualSpacing w:val="0"/>
              <w:rPr>
                <w:rFonts w:eastAsia="Times New Roman" w:cs="Arial"/>
                <w:color w:val="000000"/>
                <w:sz w:val="20"/>
                <w:szCs w:val="20"/>
                <w:lang w:eastAsia="en-GB"/>
              </w:rPr>
            </w:pPr>
          </w:p>
        </w:tc>
        <w:tc>
          <w:tcPr>
            <w:tcW w:w="2143" w:type="dxa"/>
            <w:tcBorders>
              <w:top w:val="nil"/>
              <w:left w:val="nil"/>
              <w:right w:val="single" w:sz="4" w:space="0" w:color="auto"/>
            </w:tcBorders>
            <w:shd w:val="clear" w:color="auto" w:fill="auto"/>
            <w:noWrap/>
            <w:vAlign w:val="center"/>
            <w:hideMark/>
          </w:tcPr>
          <w:p w14:paraId="25993F25" w14:textId="0AF4C166"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 xml:space="preserve">Trt + parenting/family </w:t>
            </w:r>
          </w:p>
        </w:tc>
        <w:tc>
          <w:tcPr>
            <w:tcW w:w="1134" w:type="dxa"/>
            <w:tcBorders>
              <w:top w:val="nil"/>
              <w:left w:val="single" w:sz="4" w:space="0" w:color="auto"/>
              <w:right w:val="nil"/>
            </w:tcBorders>
            <w:shd w:val="clear" w:color="auto" w:fill="auto"/>
            <w:noWrap/>
            <w:vAlign w:val="center"/>
            <w:hideMark/>
          </w:tcPr>
          <w:p w14:paraId="03182811"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82.50%</w:t>
            </w:r>
          </w:p>
        </w:tc>
        <w:tc>
          <w:tcPr>
            <w:tcW w:w="851" w:type="dxa"/>
            <w:tcBorders>
              <w:top w:val="nil"/>
              <w:left w:val="nil"/>
              <w:right w:val="nil"/>
            </w:tcBorders>
            <w:shd w:val="clear" w:color="auto" w:fill="auto"/>
            <w:noWrap/>
            <w:vAlign w:val="center"/>
            <w:hideMark/>
          </w:tcPr>
          <w:p w14:paraId="50C5BB70"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0.134</w:t>
            </w:r>
          </w:p>
        </w:tc>
        <w:tc>
          <w:tcPr>
            <w:tcW w:w="1701" w:type="dxa"/>
            <w:tcBorders>
              <w:top w:val="nil"/>
              <w:left w:val="nil"/>
              <w:right w:val="nil"/>
            </w:tcBorders>
            <w:shd w:val="clear" w:color="auto" w:fill="auto"/>
            <w:noWrap/>
            <w:vAlign w:val="center"/>
            <w:hideMark/>
          </w:tcPr>
          <w:p w14:paraId="4CB4986C" w14:textId="77777777" w:rsidR="00C247A5" w:rsidRPr="00C247A5" w:rsidRDefault="00C247A5" w:rsidP="007F1653">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1.79 (1.33-2.41)</w:t>
            </w:r>
          </w:p>
        </w:tc>
        <w:tc>
          <w:tcPr>
            <w:tcW w:w="709" w:type="dxa"/>
            <w:tcBorders>
              <w:top w:val="nil"/>
              <w:left w:val="nil"/>
              <w:right w:val="nil"/>
            </w:tcBorders>
            <w:shd w:val="clear" w:color="auto" w:fill="auto"/>
            <w:noWrap/>
            <w:vAlign w:val="center"/>
            <w:hideMark/>
          </w:tcPr>
          <w:p w14:paraId="474844D2"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1.16</w:t>
            </w:r>
          </w:p>
        </w:tc>
        <w:tc>
          <w:tcPr>
            <w:tcW w:w="425" w:type="dxa"/>
            <w:vAlign w:val="center"/>
            <w:hideMark/>
          </w:tcPr>
          <w:p w14:paraId="3A85011C" w14:textId="77777777" w:rsidR="00C247A5" w:rsidRPr="00C247A5" w:rsidRDefault="00C247A5" w:rsidP="00C247A5">
            <w:pPr>
              <w:contextualSpacing w:val="0"/>
              <w:rPr>
                <w:rFonts w:ascii="Times New Roman" w:eastAsia="Times New Roman" w:hAnsi="Times New Roman" w:cs="Times New Roman"/>
                <w:sz w:val="20"/>
                <w:szCs w:val="20"/>
                <w:lang w:eastAsia="en-GB"/>
              </w:rPr>
            </w:pPr>
          </w:p>
        </w:tc>
      </w:tr>
      <w:tr w:rsidR="00C247A5" w:rsidRPr="00C247A5" w14:paraId="1A2BD5F6" w14:textId="77777777" w:rsidTr="007F1653">
        <w:trPr>
          <w:trHeight w:val="300"/>
        </w:trPr>
        <w:tc>
          <w:tcPr>
            <w:tcW w:w="906" w:type="dxa"/>
            <w:vMerge w:val="restart"/>
            <w:tcBorders>
              <w:top w:val="nil"/>
              <w:left w:val="nil"/>
              <w:bottom w:val="nil"/>
              <w:right w:val="nil"/>
            </w:tcBorders>
            <w:shd w:val="clear" w:color="auto" w:fill="auto"/>
            <w:vAlign w:val="center"/>
            <w:hideMark/>
          </w:tcPr>
          <w:p w14:paraId="58FE031C"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Men</w:t>
            </w:r>
          </w:p>
        </w:tc>
        <w:tc>
          <w:tcPr>
            <w:tcW w:w="1487" w:type="dxa"/>
            <w:vMerge w:val="restart"/>
            <w:tcBorders>
              <w:top w:val="nil"/>
              <w:left w:val="nil"/>
              <w:bottom w:val="nil"/>
              <w:right w:val="nil"/>
            </w:tcBorders>
            <w:shd w:val="clear" w:color="auto" w:fill="auto"/>
            <w:vAlign w:val="center"/>
            <w:hideMark/>
          </w:tcPr>
          <w:p w14:paraId="23CA24A9"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LWC</w:t>
            </w:r>
          </w:p>
        </w:tc>
        <w:tc>
          <w:tcPr>
            <w:tcW w:w="2143" w:type="dxa"/>
            <w:tcBorders>
              <w:top w:val="nil"/>
              <w:left w:val="nil"/>
              <w:bottom w:val="nil"/>
              <w:right w:val="single" w:sz="4" w:space="0" w:color="auto"/>
            </w:tcBorders>
            <w:shd w:val="clear" w:color="auto" w:fill="auto"/>
            <w:noWrap/>
            <w:vAlign w:val="center"/>
            <w:hideMark/>
          </w:tcPr>
          <w:p w14:paraId="1CED38EB"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Trt</w:t>
            </w:r>
          </w:p>
        </w:tc>
        <w:tc>
          <w:tcPr>
            <w:tcW w:w="1134" w:type="dxa"/>
            <w:tcBorders>
              <w:top w:val="nil"/>
              <w:left w:val="single" w:sz="4" w:space="0" w:color="auto"/>
              <w:bottom w:val="nil"/>
              <w:right w:val="nil"/>
            </w:tcBorders>
            <w:shd w:val="clear" w:color="auto" w:fill="auto"/>
            <w:noWrap/>
            <w:vAlign w:val="center"/>
            <w:hideMark/>
          </w:tcPr>
          <w:p w14:paraId="53AD5AD3"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65.20%</w:t>
            </w:r>
          </w:p>
        </w:tc>
        <w:tc>
          <w:tcPr>
            <w:tcW w:w="851" w:type="dxa"/>
            <w:tcBorders>
              <w:top w:val="nil"/>
              <w:left w:val="nil"/>
              <w:bottom w:val="nil"/>
              <w:right w:val="nil"/>
            </w:tcBorders>
            <w:shd w:val="clear" w:color="auto" w:fill="auto"/>
            <w:noWrap/>
            <w:vAlign w:val="center"/>
            <w:hideMark/>
          </w:tcPr>
          <w:p w14:paraId="3C82271F" w14:textId="77777777" w:rsidR="00C247A5" w:rsidRPr="00C247A5" w:rsidRDefault="00C247A5" w:rsidP="00C247A5">
            <w:pPr>
              <w:contextualSpacing w:val="0"/>
              <w:jc w:val="center"/>
              <w:rPr>
                <w:rFonts w:eastAsia="Times New Roman" w:cs="Arial"/>
                <w:color w:val="000000"/>
                <w:sz w:val="20"/>
                <w:szCs w:val="20"/>
                <w:lang w:eastAsia="en-GB"/>
              </w:rPr>
            </w:pPr>
          </w:p>
        </w:tc>
        <w:tc>
          <w:tcPr>
            <w:tcW w:w="1701" w:type="dxa"/>
            <w:tcBorders>
              <w:top w:val="nil"/>
              <w:left w:val="nil"/>
              <w:bottom w:val="nil"/>
              <w:right w:val="nil"/>
            </w:tcBorders>
            <w:shd w:val="clear" w:color="auto" w:fill="auto"/>
            <w:noWrap/>
            <w:vAlign w:val="center"/>
            <w:hideMark/>
          </w:tcPr>
          <w:p w14:paraId="68239B43" w14:textId="77777777" w:rsidR="00C247A5" w:rsidRPr="00C247A5" w:rsidRDefault="00C247A5" w:rsidP="007F1653">
            <w:pPr>
              <w:contextualSpacing w:val="0"/>
              <w:jc w:val="center"/>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center"/>
            <w:hideMark/>
          </w:tcPr>
          <w:p w14:paraId="390852B9" w14:textId="77777777" w:rsidR="00C247A5" w:rsidRPr="00C247A5" w:rsidRDefault="00C247A5" w:rsidP="00C247A5">
            <w:pPr>
              <w:contextualSpacing w:val="0"/>
              <w:jc w:val="center"/>
              <w:rPr>
                <w:rFonts w:ascii="Times New Roman" w:eastAsia="Times New Roman" w:hAnsi="Times New Roman" w:cs="Times New Roman"/>
                <w:sz w:val="20"/>
                <w:szCs w:val="20"/>
                <w:lang w:eastAsia="en-GB"/>
              </w:rPr>
            </w:pPr>
          </w:p>
        </w:tc>
        <w:tc>
          <w:tcPr>
            <w:tcW w:w="425" w:type="dxa"/>
            <w:vAlign w:val="center"/>
            <w:hideMark/>
          </w:tcPr>
          <w:p w14:paraId="0F5A66F1" w14:textId="77777777" w:rsidR="00C247A5" w:rsidRPr="00C247A5" w:rsidRDefault="00C247A5" w:rsidP="00C247A5">
            <w:pPr>
              <w:contextualSpacing w:val="0"/>
              <w:rPr>
                <w:rFonts w:ascii="Times New Roman" w:eastAsia="Times New Roman" w:hAnsi="Times New Roman" w:cs="Times New Roman"/>
                <w:sz w:val="20"/>
                <w:szCs w:val="20"/>
                <w:lang w:eastAsia="en-GB"/>
              </w:rPr>
            </w:pPr>
          </w:p>
        </w:tc>
      </w:tr>
      <w:tr w:rsidR="00C247A5" w:rsidRPr="00C247A5" w14:paraId="789FBD91" w14:textId="77777777" w:rsidTr="007F1653">
        <w:trPr>
          <w:trHeight w:val="300"/>
        </w:trPr>
        <w:tc>
          <w:tcPr>
            <w:tcW w:w="906" w:type="dxa"/>
            <w:vMerge/>
            <w:tcBorders>
              <w:top w:val="nil"/>
              <w:left w:val="nil"/>
              <w:bottom w:val="nil"/>
              <w:right w:val="nil"/>
            </w:tcBorders>
            <w:vAlign w:val="center"/>
            <w:hideMark/>
          </w:tcPr>
          <w:p w14:paraId="1EBC10DE" w14:textId="77777777" w:rsidR="00C247A5" w:rsidRPr="00C247A5" w:rsidRDefault="00C247A5" w:rsidP="00C247A5">
            <w:pPr>
              <w:contextualSpacing w:val="0"/>
              <w:rPr>
                <w:rFonts w:eastAsia="Times New Roman" w:cs="Arial"/>
                <w:color w:val="000000"/>
                <w:sz w:val="20"/>
                <w:szCs w:val="20"/>
                <w:lang w:eastAsia="en-GB"/>
              </w:rPr>
            </w:pPr>
          </w:p>
        </w:tc>
        <w:tc>
          <w:tcPr>
            <w:tcW w:w="1487" w:type="dxa"/>
            <w:vMerge/>
            <w:tcBorders>
              <w:top w:val="nil"/>
              <w:left w:val="nil"/>
              <w:bottom w:val="nil"/>
              <w:right w:val="nil"/>
            </w:tcBorders>
            <w:vAlign w:val="center"/>
            <w:hideMark/>
          </w:tcPr>
          <w:p w14:paraId="2FDFC79A" w14:textId="77777777" w:rsidR="00C247A5" w:rsidRPr="00C247A5" w:rsidRDefault="00C247A5" w:rsidP="00C247A5">
            <w:pPr>
              <w:contextualSpacing w:val="0"/>
              <w:rPr>
                <w:rFonts w:eastAsia="Times New Roman" w:cs="Arial"/>
                <w:color w:val="000000"/>
                <w:sz w:val="20"/>
                <w:szCs w:val="20"/>
                <w:lang w:eastAsia="en-GB"/>
              </w:rPr>
            </w:pPr>
          </w:p>
        </w:tc>
        <w:tc>
          <w:tcPr>
            <w:tcW w:w="2143" w:type="dxa"/>
            <w:tcBorders>
              <w:top w:val="nil"/>
              <w:left w:val="nil"/>
              <w:bottom w:val="nil"/>
              <w:right w:val="single" w:sz="4" w:space="0" w:color="auto"/>
            </w:tcBorders>
            <w:shd w:val="clear" w:color="auto" w:fill="auto"/>
            <w:noWrap/>
            <w:vAlign w:val="center"/>
            <w:hideMark/>
          </w:tcPr>
          <w:p w14:paraId="36F92634" w14:textId="6AAC2046"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 xml:space="preserve">Trt + parenting/family </w:t>
            </w:r>
          </w:p>
        </w:tc>
        <w:tc>
          <w:tcPr>
            <w:tcW w:w="1134" w:type="dxa"/>
            <w:tcBorders>
              <w:top w:val="nil"/>
              <w:left w:val="single" w:sz="4" w:space="0" w:color="auto"/>
              <w:bottom w:val="nil"/>
              <w:right w:val="nil"/>
            </w:tcBorders>
            <w:shd w:val="clear" w:color="auto" w:fill="auto"/>
            <w:noWrap/>
            <w:vAlign w:val="center"/>
            <w:hideMark/>
          </w:tcPr>
          <w:p w14:paraId="0F3B68C4"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75.90%</w:t>
            </w:r>
          </w:p>
        </w:tc>
        <w:tc>
          <w:tcPr>
            <w:tcW w:w="851" w:type="dxa"/>
            <w:tcBorders>
              <w:top w:val="nil"/>
              <w:left w:val="nil"/>
              <w:bottom w:val="nil"/>
              <w:right w:val="nil"/>
            </w:tcBorders>
            <w:shd w:val="clear" w:color="auto" w:fill="auto"/>
            <w:noWrap/>
            <w:vAlign w:val="center"/>
            <w:hideMark/>
          </w:tcPr>
          <w:p w14:paraId="752EF2CE"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0.106</w:t>
            </w:r>
          </w:p>
        </w:tc>
        <w:tc>
          <w:tcPr>
            <w:tcW w:w="1701" w:type="dxa"/>
            <w:tcBorders>
              <w:top w:val="nil"/>
              <w:left w:val="nil"/>
              <w:bottom w:val="nil"/>
              <w:right w:val="nil"/>
            </w:tcBorders>
            <w:shd w:val="clear" w:color="auto" w:fill="auto"/>
            <w:noWrap/>
            <w:vAlign w:val="center"/>
            <w:hideMark/>
          </w:tcPr>
          <w:p w14:paraId="2525AD3E" w14:textId="77777777" w:rsidR="00C247A5" w:rsidRPr="00C247A5" w:rsidRDefault="00C247A5" w:rsidP="007F1653">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1.89 (1.55-2.39)</w:t>
            </w:r>
          </w:p>
        </w:tc>
        <w:tc>
          <w:tcPr>
            <w:tcW w:w="709" w:type="dxa"/>
            <w:tcBorders>
              <w:top w:val="nil"/>
              <w:left w:val="nil"/>
              <w:bottom w:val="nil"/>
              <w:right w:val="nil"/>
            </w:tcBorders>
            <w:shd w:val="clear" w:color="auto" w:fill="auto"/>
            <w:noWrap/>
            <w:vAlign w:val="center"/>
            <w:hideMark/>
          </w:tcPr>
          <w:p w14:paraId="3173E649"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1.20</w:t>
            </w:r>
          </w:p>
        </w:tc>
        <w:tc>
          <w:tcPr>
            <w:tcW w:w="425" w:type="dxa"/>
            <w:vAlign w:val="center"/>
            <w:hideMark/>
          </w:tcPr>
          <w:p w14:paraId="4656524A" w14:textId="77777777" w:rsidR="00C247A5" w:rsidRPr="00C247A5" w:rsidRDefault="00C247A5" w:rsidP="00C247A5">
            <w:pPr>
              <w:contextualSpacing w:val="0"/>
              <w:rPr>
                <w:rFonts w:ascii="Times New Roman" w:eastAsia="Times New Roman" w:hAnsi="Times New Roman" w:cs="Times New Roman"/>
                <w:sz w:val="20"/>
                <w:szCs w:val="20"/>
                <w:lang w:eastAsia="en-GB"/>
              </w:rPr>
            </w:pPr>
          </w:p>
        </w:tc>
      </w:tr>
      <w:tr w:rsidR="00C247A5" w:rsidRPr="00C247A5" w14:paraId="6D96FCD5" w14:textId="77777777" w:rsidTr="007F1653">
        <w:trPr>
          <w:trHeight w:val="300"/>
        </w:trPr>
        <w:tc>
          <w:tcPr>
            <w:tcW w:w="906" w:type="dxa"/>
            <w:vMerge/>
            <w:tcBorders>
              <w:top w:val="nil"/>
              <w:left w:val="nil"/>
              <w:bottom w:val="nil"/>
              <w:right w:val="nil"/>
            </w:tcBorders>
            <w:vAlign w:val="center"/>
            <w:hideMark/>
          </w:tcPr>
          <w:p w14:paraId="233857F7" w14:textId="77777777" w:rsidR="00C247A5" w:rsidRPr="00C247A5" w:rsidRDefault="00C247A5" w:rsidP="00C247A5">
            <w:pPr>
              <w:contextualSpacing w:val="0"/>
              <w:rPr>
                <w:rFonts w:eastAsia="Times New Roman" w:cs="Arial"/>
                <w:color w:val="000000"/>
                <w:sz w:val="20"/>
                <w:szCs w:val="20"/>
                <w:lang w:eastAsia="en-GB"/>
              </w:rPr>
            </w:pPr>
          </w:p>
        </w:tc>
        <w:tc>
          <w:tcPr>
            <w:tcW w:w="1487" w:type="dxa"/>
            <w:vMerge w:val="restart"/>
            <w:tcBorders>
              <w:top w:val="nil"/>
              <w:left w:val="nil"/>
              <w:bottom w:val="nil"/>
              <w:right w:val="nil"/>
            </w:tcBorders>
            <w:shd w:val="clear" w:color="auto" w:fill="auto"/>
            <w:vAlign w:val="center"/>
            <w:hideMark/>
          </w:tcPr>
          <w:p w14:paraId="439374F9"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NWC</w:t>
            </w:r>
          </w:p>
        </w:tc>
        <w:tc>
          <w:tcPr>
            <w:tcW w:w="2143" w:type="dxa"/>
            <w:tcBorders>
              <w:top w:val="nil"/>
              <w:left w:val="nil"/>
              <w:bottom w:val="nil"/>
              <w:right w:val="single" w:sz="4" w:space="0" w:color="auto"/>
            </w:tcBorders>
            <w:shd w:val="clear" w:color="auto" w:fill="auto"/>
            <w:noWrap/>
            <w:vAlign w:val="center"/>
            <w:hideMark/>
          </w:tcPr>
          <w:p w14:paraId="0AFB50EC" w14:textId="77777777"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Trt</w:t>
            </w:r>
          </w:p>
        </w:tc>
        <w:tc>
          <w:tcPr>
            <w:tcW w:w="1134" w:type="dxa"/>
            <w:tcBorders>
              <w:top w:val="nil"/>
              <w:left w:val="single" w:sz="4" w:space="0" w:color="auto"/>
              <w:bottom w:val="nil"/>
              <w:right w:val="nil"/>
            </w:tcBorders>
            <w:shd w:val="clear" w:color="auto" w:fill="auto"/>
            <w:noWrap/>
            <w:vAlign w:val="center"/>
            <w:hideMark/>
          </w:tcPr>
          <w:p w14:paraId="665C26C1"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58.50%</w:t>
            </w:r>
          </w:p>
        </w:tc>
        <w:tc>
          <w:tcPr>
            <w:tcW w:w="851" w:type="dxa"/>
            <w:tcBorders>
              <w:top w:val="nil"/>
              <w:left w:val="nil"/>
              <w:bottom w:val="nil"/>
              <w:right w:val="nil"/>
            </w:tcBorders>
            <w:shd w:val="clear" w:color="auto" w:fill="auto"/>
            <w:noWrap/>
            <w:vAlign w:val="center"/>
            <w:hideMark/>
          </w:tcPr>
          <w:p w14:paraId="78479CB7" w14:textId="77777777" w:rsidR="00C247A5" w:rsidRPr="00C247A5" w:rsidRDefault="00C247A5" w:rsidP="00C247A5">
            <w:pPr>
              <w:contextualSpacing w:val="0"/>
              <w:jc w:val="center"/>
              <w:rPr>
                <w:rFonts w:eastAsia="Times New Roman" w:cs="Arial"/>
                <w:color w:val="000000"/>
                <w:sz w:val="20"/>
                <w:szCs w:val="20"/>
                <w:lang w:eastAsia="en-GB"/>
              </w:rPr>
            </w:pPr>
          </w:p>
        </w:tc>
        <w:tc>
          <w:tcPr>
            <w:tcW w:w="1701" w:type="dxa"/>
            <w:tcBorders>
              <w:top w:val="nil"/>
              <w:left w:val="nil"/>
              <w:bottom w:val="nil"/>
              <w:right w:val="nil"/>
            </w:tcBorders>
            <w:shd w:val="clear" w:color="auto" w:fill="auto"/>
            <w:noWrap/>
            <w:vAlign w:val="center"/>
            <w:hideMark/>
          </w:tcPr>
          <w:p w14:paraId="6E541A2E" w14:textId="77777777" w:rsidR="00C247A5" w:rsidRPr="00C247A5" w:rsidRDefault="00C247A5" w:rsidP="007F1653">
            <w:pPr>
              <w:contextualSpacing w:val="0"/>
              <w:jc w:val="center"/>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center"/>
            <w:hideMark/>
          </w:tcPr>
          <w:p w14:paraId="2B7D40BC" w14:textId="77777777" w:rsidR="00C247A5" w:rsidRPr="00C247A5" w:rsidRDefault="00C247A5" w:rsidP="00C247A5">
            <w:pPr>
              <w:contextualSpacing w:val="0"/>
              <w:jc w:val="center"/>
              <w:rPr>
                <w:rFonts w:ascii="Times New Roman" w:eastAsia="Times New Roman" w:hAnsi="Times New Roman" w:cs="Times New Roman"/>
                <w:sz w:val="20"/>
                <w:szCs w:val="20"/>
                <w:lang w:eastAsia="en-GB"/>
              </w:rPr>
            </w:pPr>
          </w:p>
        </w:tc>
        <w:tc>
          <w:tcPr>
            <w:tcW w:w="425" w:type="dxa"/>
            <w:vAlign w:val="center"/>
            <w:hideMark/>
          </w:tcPr>
          <w:p w14:paraId="7F294708" w14:textId="77777777" w:rsidR="00C247A5" w:rsidRPr="00C247A5" w:rsidRDefault="00C247A5" w:rsidP="00C247A5">
            <w:pPr>
              <w:contextualSpacing w:val="0"/>
              <w:rPr>
                <w:rFonts w:ascii="Times New Roman" w:eastAsia="Times New Roman" w:hAnsi="Times New Roman" w:cs="Times New Roman"/>
                <w:sz w:val="20"/>
                <w:szCs w:val="20"/>
                <w:lang w:eastAsia="en-GB"/>
              </w:rPr>
            </w:pPr>
          </w:p>
        </w:tc>
      </w:tr>
      <w:tr w:rsidR="00C247A5" w:rsidRPr="00C247A5" w14:paraId="2E1DECC9" w14:textId="77777777" w:rsidTr="007F1653">
        <w:trPr>
          <w:trHeight w:val="300"/>
        </w:trPr>
        <w:tc>
          <w:tcPr>
            <w:tcW w:w="906" w:type="dxa"/>
            <w:vMerge/>
            <w:tcBorders>
              <w:top w:val="nil"/>
              <w:left w:val="nil"/>
              <w:bottom w:val="single" w:sz="4" w:space="0" w:color="auto"/>
              <w:right w:val="nil"/>
            </w:tcBorders>
            <w:vAlign w:val="center"/>
            <w:hideMark/>
          </w:tcPr>
          <w:p w14:paraId="546E6C31" w14:textId="77777777" w:rsidR="00C247A5" w:rsidRPr="00C247A5" w:rsidRDefault="00C247A5" w:rsidP="00C247A5">
            <w:pPr>
              <w:contextualSpacing w:val="0"/>
              <w:rPr>
                <w:rFonts w:eastAsia="Times New Roman" w:cs="Arial"/>
                <w:color w:val="000000"/>
                <w:sz w:val="20"/>
                <w:szCs w:val="20"/>
                <w:lang w:eastAsia="en-GB"/>
              </w:rPr>
            </w:pPr>
          </w:p>
        </w:tc>
        <w:tc>
          <w:tcPr>
            <w:tcW w:w="1487" w:type="dxa"/>
            <w:vMerge/>
            <w:tcBorders>
              <w:top w:val="nil"/>
              <w:left w:val="nil"/>
              <w:bottom w:val="single" w:sz="4" w:space="0" w:color="auto"/>
              <w:right w:val="nil"/>
            </w:tcBorders>
            <w:vAlign w:val="center"/>
            <w:hideMark/>
          </w:tcPr>
          <w:p w14:paraId="2B397489" w14:textId="77777777" w:rsidR="00C247A5" w:rsidRPr="00C247A5" w:rsidRDefault="00C247A5" w:rsidP="00C247A5">
            <w:pPr>
              <w:contextualSpacing w:val="0"/>
              <w:rPr>
                <w:rFonts w:eastAsia="Times New Roman" w:cs="Arial"/>
                <w:color w:val="000000"/>
                <w:sz w:val="20"/>
                <w:szCs w:val="20"/>
                <w:lang w:eastAsia="en-GB"/>
              </w:rPr>
            </w:pPr>
          </w:p>
        </w:tc>
        <w:tc>
          <w:tcPr>
            <w:tcW w:w="2143" w:type="dxa"/>
            <w:tcBorders>
              <w:top w:val="nil"/>
              <w:left w:val="nil"/>
              <w:bottom w:val="single" w:sz="4" w:space="0" w:color="auto"/>
              <w:right w:val="single" w:sz="4" w:space="0" w:color="auto"/>
            </w:tcBorders>
            <w:shd w:val="clear" w:color="auto" w:fill="auto"/>
            <w:noWrap/>
            <w:vAlign w:val="center"/>
            <w:hideMark/>
          </w:tcPr>
          <w:p w14:paraId="5638725A" w14:textId="1F073AD1" w:rsidR="00C247A5" w:rsidRPr="00C247A5" w:rsidRDefault="00C247A5" w:rsidP="00C247A5">
            <w:pPr>
              <w:contextualSpacing w:val="0"/>
              <w:rPr>
                <w:rFonts w:eastAsia="Times New Roman" w:cs="Arial"/>
                <w:color w:val="000000"/>
                <w:sz w:val="20"/>
                <w:szCs w:val="20"/>
                <w:lang w:eastAsia="en-GB"/>
              </w:rPr>
            </w:pPr>
            <w:r w:rsidRPr="00C247A5">
              <w:rPr>
                <w:rFonts w:eastAsia="Times New Roman" w:cs="Arial"/>
                <w:color w:val="000000"/>
                <w:sz w:val="20"/>
                <w:szCs w:val="20"/>
                <w:lang w:eastAsia="en-GB"/>
              </w:rPr>
              <w:t>Trt + parenting/family</w:t>
            </w:r>
          </w:p>
        </w:tc>
        <w:tc>
          <w:tcPr>
            <w:tcW w:w="1134" w:type="dxa"/>
            <w:tcBorders>
              <w:top w:val="nil"/>
              <w:left w:val="single" w:sz="4" w:space="0" w:color="auto"/>
              <w:bottom w:val="single" w:sz="4" w:space="0" w:color="auto"/>
              <w:right w:val="nil"/>
            </w:tcBorders>
            <w:shd w:val="clear" w:color="auto" w:fill="auto"/>
            <w:noWrap/>
            <w:vAlign w:val="center"/>
            <w:hideMark/>
          </w:tcPr>
          <w:p w14:paraId="4E87C494"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69.30%</w:t>
            </w:r>
          </w:p>
        </w:tc>
        <w:tc>
          <w:tcPr>
            <w:tcW w:w="851" w:type="dxa"/>
            <w:tcBorders>
              <w:top w:val="nil"/>
              <w:left w:val="nil"/>
              <w:bottom w:val="single" w:sz="4" w:space="0" w:color="auto"/>
              <w:right w:val="nil"/>
            </w:tcBorders>
            <w:shd w:val="clear" w:color="auto" w:fill="auto"/>
            <w:noWrap/>
            <w:vAlign w:val="center"/>
            <w:hideMark/>
          </w:tcPr>
          <w:p w14:paraId="498D5275"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0.108</w:t>
            </w:r>
          </w:p>
        </w:tc>
        <w:tc>
          <w:tcPr>
            <w:tcW w:w="1701" w:type="dxa"/>
            <w:tcBorders>
              <w:top w:val="nil"/>
              <w:left w:val="nil"/>
              <w:bottom w:val="single" w:sz="4" w:space="0" w:color="auto"/>
              <w:right w:val="nil"/>
            </w:tcBorders>
            <w:shd w:val="clear" w:color="auto" w:fill="auto"/>
            <w:noWrap/>
            <w:vAlign w:val="center"/>
            <w:hideMark/>
          </w:tcPr>
          <w:p w14:paraId="4DA13389" w14:textId="77777777" w:rsidR="00C247A5" w:rsidRPr="00C247A5" w:rsidRDefault="00C247A5" w:rsidP="007F1653">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1.58 (1.26-1.98)</w:t>
            </w:r>
          </w:p>
        </w:tc>
        <w:tc>
          <w:tcPr>
            <w:tcW w:w="709" w:type="dxa"/>
            <w:tcBorders>
              <w:top w:val="nil"/>
              <w:left w:val="nil"/>
              <w:bottom w:val="single" w:sz="4" w:space="0" w:color="auto"/>
              <w:right w:val="nil"/>
            </w:tcBorders>
            <w:shd w:val="clear" w:color="auto" w:fill="auto"/>
            <w:noWrap/>
            <w:vAlign w:val="center"/>
            <w:hideMark/>
          </w:tcPr>
          <w:p w14:paraId="3C42F13A" w14:textId="77777777" w:rsidR="00C247A5" w:rsidRPr="00C247A5" w:rsidRDefault="00C247A5" w:rsidP="00C247A5">
            <w:pPr>
              <w:contextualSpacing w:val="0"/>
              <w:jc w:val="center"/>
              <w:rPr>
                <w:rFonts w:eastAsia="Times New Roman" w:cs="Arial"/>
                <w:color w:val="000000"/>
                <w:sz w:val="20"/>
                <w:szCs w:val="20"/>
                <w:lang w:eastAsia="en-GB"/>
              </w:rPr>
            </w:pPr>
            <w:r w:rsidRPr="00C247A5">
              <w:rPr>
                <w:rFonts w:eastAsia="Times New Roman" w:cs="Arial"/>
                <w:color w:val="000000"/>
                <w:sz w:val="20"/>
                <w:szCs w:val="20"/>
                <w:lang w:eastAsia="en-GB"/>
              </w:rPr>
              <w:t>1.18</w:t>
            </w:r>
          </w:p>
        </w:tc>
        <w:tc>
          <w:tcPr>
            <w:tcW w:w="425" w:type="dxa"/>
            <w:vAlign w:val="center"/>
            <w:hideMark/>
          </w:tcPr>
          <w:p w14:paraId="6F2D0B78" w14:textId="77777777" w:rsidR="00C247A5" w:rsidRPr="00C247A5" w:rsidRDefault="00C247A5" w:rsidP="00C247A5">
            <w:pPr>
              <w:contextualSpacing w:val="0"/>
              <w:rPr>
                <w:rFonts w:ascii="Times New Roman" w:eastAsia="Times New Roman" w:hAnsi="Times New Roman" w:cs="Times New Roman"/>
                <w:sz w:val="20"/>
                <w:szCs w:val="20"/>
                <w:lang w:eastAsia="en-GB"/>
              </w:rPr>
            </w:pPr>
          </w:p>
        </w:tc>
      </w:tr>
    </w:tbl>
    <w:p w14:paraId="3C0FA30D" w14:textId="255A8EA3" w:rsidR="00682716" w:rsidRPr="00682716" w:rsidRDefault="004C216A" w:rsidP="00682716">
      <w:pPr>
        <w:pStyle w:val="NoSpacing"/>
        <w:rPr>
          <w:i/>
          <w:iCs/>
          <w:sz w:val="18"/>
          <w:szCs w:val="18"/>
        </w:rPr>
      </w:pPr>
      <w:r w:rsidRPr="000F0AED">
        <w:rPr>
          <w:i/>
          <w:iCs/>
          <w:sz w:val="18"/>
          <w:szCs w:val="18"/>
        </w:rPr>
        <w:t>*LWC = parent living with children, NWC = parent not living with children</w:t>
      </w:r>
    </w:p>
    <w:p w14:paraId="0CC6208D" w14:textId="77777777" w:rsidR="00682716" w:rsidRDefault="00682716" w:rsidP="00682716">
      <w:pPr>
        <w:pStyle w:val="NoSpacing"/>
        <w:spacing w:line="240" w:lineRule="auto"/>
      </w:pPr>
    </w:p>
    <w:p w14:paraId="75F7DD69" w14:textId="1867FE6F" w:rsidR="00226A76" w:rsidRDefault="00881C85" w:rsidP="004F1227">
      <w:pPr>
        <w:pStyle w:val="NoSpacing"/>
        <w:spacing w:line="360" w:lineRule="auto"/>
      </w:pPr>
      <w:r>
        <w:t>Using the odds ratios derived from the ATE sh</w:t>
      </w:r>
      <w:r w:rsidRPr="00CF678A">
        <w:t xml:space="preserve">own </w:t>
      </w:r>
      <w:r>
        <w:t xml:space="preserve">above </w:t>
      </w:r>
      <w:r w:rsidRPr="00D812E5">
        <w:t xml:space="preserve">in </w:t>
      </w:r>
      <w:r w:rsidRPr="00D812E5">
        <w:fldChar w:fldCharType="begin"/>
      </w:r>
      <w:r w:rsidRPr="00D812E5">
        <w:instrText xml:space="preserve"> REF _Ref176703453 \h  \* MERGEFORMAT </w:instrText>
      </w:r>
      <w:r w:rsidRPr="00D812E5">
        <w:fldChar w:fldCharType="separate"/>
      </w:r>
      <w:r w:rsidRPr="00D812E5">
        <w:t>Table 5.3</w:t>
      </w:r>
      <w:r w:rsidRPr="00D812E5">
        <w:noBreakHyphen/>
        <w:t>1</w:t>
      </w:r>
      <w:r w:rsidRPr="00D812E5">
        <w:fldChar w:fldCharType="end"/>
      </w:r>
      <w:r w:rsidRPr="00D812E5">
        <w:t>,</w:t>
      </w:r>
      <w:r w:rsidRPr="00CF678A">
        <w:t xml:space="preserve"> we</w:t>
      </w:r>
      <w:r>
        <w:t xml:space="preserve"> estimated the </w:t>
      </w:r>
      <w:r w:rsidRPr="001C6E0F">
        <w:t>relative risk (RR) of having a successful completion of treatment for the intervention group. The RR was used to adjust the transition probability from ‘In treatment’ to ‘In remission’ (</w:t>
      </w:r>
      <w:r w:rsidRPr="001C6E0F">
        <w:rPr>
          <w:i/>
          <w:iCs/>
        </w:rPr>
        <w:t xml:space="preserve">tpA2B) </w:t>
      </w:r>
      <w:r w:rsidRPr="001C6E0F">
        <w:t>upwards (</w:t>
      </w:r>
      <w:r w:rsidRPr="001C6E0F">
        <w:rPr>
          <w:i/>
          <w:iCs/>
        </w:rPr>
        <w:t>tpA2B</w:t>
      </w:r>
      <w:r w:rsidRPr="001C6E0F">
        <w:t>* RR</w:t>
      </w:r>
      <w:r>
        <w:t xml:space="preserve"> </w:t>
      </w:r>
      <w:r w:rsidRPr="001C6E0F">
        <w:t>=</w:t>
      </w:r>
      <w:r>
        <w:t xml:space="preserve"> </w:t>
      </w:r>
      <w:r w:rsidRPr="001C6E0F">
        <w:rPr>
          <w:i/>
          <w:iCs/>
        </w:rPr>
        <w:t>tpA2B_2</w:t>
      </w:r>
      <w:r w:rsidRPr="001C6E0F">
        <w:t>). Using the absolute difference between the two (</w:t>
      </w:r>
      <w:r w:rsidRPr="001C6E0F">
        <w:rPr>
          <w:i/>
          <w:iCs/>
        </w:rPr>
        <w:t>tpA2B_2</w:t>
      </w:r>
      <w:r w:rsidRPr="001C6E0F">
        <w:t xml:space="preserve"> - </w:t>
      </w:r>
      <w:r w:rsidRPr="001C6E0F">
        <w:rPr>
          <w:i/>
          <w:iCs/>
        </w:rPr>
        <w:t>tpA2B)</w:t>
      </w:r>
      <w:r>
        <w:t>,</w:t>
      </w:r>
      <w:r w:rsidRPr="001C6E0F">
        <w:rPr>
          <w:i/>
          <w:iCs/>
        </w:rPr>
        <w:t xml:space="preserve"> </w:t>
      </w:r>
      <w:r w:rsidRPr="001C6E0F">
        <w:t xml:space="preserve">we correspondingly reduced the transition probability from ‘In treatment’ to ‘Not in treatment and not in remission’ </w:t>
      </w:r>
      <w:r>
        <w:t>(</w:t>
      </w:r>
      <w:r w:rsidRPr="001C6E0F">
        <w:rPr>
          <w:i/>
          <w:iCs/>
        </w:rPr>
        <w:t>tpA2C</w:t>
      </w:r>
      <w:r>
        <w:t xml:space="preserve">) </w:t>
      </w:r>
      <w:r w:rsidRPr="001C6E0F">
        <w:t>for the intervention group (</w:t>
      </w:r>
      <w:r w:rsidRPr="001C6E0F">
        <w:rPr>
          <w:i/>
          <w:iCs/>
        </w:rPr>
        <w:t>tpA2C_2 = tpA2C * (tpA2B_2 - tpA2B</w:t>
      </w:r>
      <w:r w:rsidRPr="001C6E0F">
        <w:t>)</w:t>
      </w:r>
      <w:r>
        <w:t>)</w:t>
      </w:r>
      <w:r w:rsidRPr="001C6E0F">
        <w:t>.</w:t>
      </w:r>
      <w:r w:rsidRPr="00FD269B">
        <w:t xml:space="preserve"> </w:t>
      </w:r>
      <w:r>
        <w:t>To account for fewer people transitioning from being ‘In remission’ to ‘Not in remission’ (</w:t>
      </w:r>
      <w:r w:rsidRPr="00940998">
        <w:rPr>
          <w:i/>
          <w:iCs/>
        </w:rPr>
        <w:t>tpB2C</w:t>
      </w:r>
      <w:r>
        <w:t xml:space="preserve">) as a result of the intervention, we applied the same calculations above to the ‘In remission’ cohort. The final full estimated transition probability matrix for each of the 16 subgroups </w:t>
      </w:r>
      <w:r w:rsidR="0082545C">
        <w:t>(</w:t>
      </w:r>
      <w:r>
        <w:t>both treatment only and the intervention</w:t>
      </w:r>
      <w:r w:rsidR="0082545C">
        <w:t>)</w:t>
      </w:r>
      <w:r>
        <w:t xml:space="preserve"> is shown </w:t>
      </w:r>
      <w:r w:rsidRPr="004F1227">
        <w:t xml:space="preserve">below in </w:t>
      </w:r>
      <w:r w:rsidRPr="00D812E5">
        <w:fldChar w:fldCharType="begin"/>
      </w:r>
      <w:r w:rsidRPr="00D812E5">
        <w:instrText xml:space="preserve"> REF _Ref176701901 \h </w:instrText>
      </w:r>
      <w:r w:rsidR="00D812E5" w:rsidRPr="00D812E5">
        <w:instrText xml:space="preserve"> \* MERGEFORMAT </w:instrText>
      </w:r>
      <w:r w:rsidRPr="00D812E5">
        <w:fldChar w:fldCharType="separate"/>
      </w:r>
      <w:r w:rsidRPr="00D812E5">
        <w:t xml:space="preserve">Table </w:t>
      </w:r>
      <w:r w:rsidRPr="00D812E5">
        <w:rPr>
          <w:noProof/>
        </w:rPr>
        <w:t>5.3</w:t>
      </w:r>
      <w:r w:rsidRPr="00D812E5">
        <w:noBreakHyphen/>
      </w:r>
      <w:r w:rsidRPr="00D812E5">
        <w:rPr>
          <w:noProof/>
        </w:rPr>
        <w:t>2</w:t>
      </w:r>
      <w:r w:rsidRPr="00D812E5">
        <w:fldChar w:fldCharType="end"/>
      </w:r>
      <w:r w:rsidRPr="00D812E5">
        <w:rPr>
          <w:noProof/>
        </w:rPr>
        <w:t>.</w:t>
      </w:r>
      <w:r w:rsidR="0082545C" w:rsidRPr="00D812E5">
        <w:t xml:space="preserve"> </w:t>
      </w:r>
      <w:r w:rsidR="004C216A" w:rsidRPr="00D812E5">
        <w:t>As a</w:t>
      </w:r>
      <w:r w:rsidR="004C216A">
        <w:t xml:space="preserve">ge was not included in </w:t>
      </w:r>
      <w:r w:rsidR="004C216A">
        <w:fldChar w:fldCharType="begin"/>
      </w:r>
      <w:r w:rsidR="00B9334F">
        <w:instrText xml:space="preserve"> ADDIN EN.CITE &lt;EndNote&gt;&lt;Cite AuthorYear="1"&gt;&lt;Author&gt;Musto Wright&lt;/Author&gt;&lt;Year&gt;2024&lt;/Year&gt;&lt;RecNum&gt;297&lt;/RecNum&gt;&lt;DisplayText&gt;Musto Wright et al. (2024b)&lt;/DisplayText&gt;&lt;record&gt;&lt;rec-number&gt;297&lt;/rec-number&gt;&lt;foreign-keys&gt;&lt;key app="EN" db-id="ffzvr5fstavwxoe9v04xf0wmp5t50as52da0" timestamp="1731671657" guid="374df23f-bbff-422b-bb98-43e741de65b5"&gt;297&lt;/key&gt;&lt;/foreign-keys&gt;&lt;ref-type name="Journal Article"&gt;17&lt;/ref-type&gt;&lt;contributors&gt;&lt;authors&gt;&lt;author&gt;Musto Wright, V.&lt;/author&gt;&lt;author&gt;Eastwood, B.&lt;/author&gt;&lt;author&gt;Meier, P&lt;/author&gt;&lt;author&gt;Brennan, A&lt;/author&gt;&lt;/authors&gt;&lt;/contributors&gt;&lt;titles&gt;&lt;title&gt;Do parenting or child welfare support interventions improve alcohol and drug treatment completions among parents with a substance use disorder? A quasi-experimental study using generalized boosted models.&lt;/title&gt;&lt;secondary-title&gt;Manuscript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rsidR="004C216A">
        <w:fldChar w:fldCharType="separate"/>
      </w:r>
      <w:r w:rsidR="00A77498">
        <w:rPr>
          <w:noProof/>
        </w:rPr>
        <w:t>Musto Wright et al. (2024b)</w:t>
      </w:r>
      <w:r w:rsidR="004C216A">
        <w:fldChar w:fldCharType="end"/>
      </w:r>
      <w:r w:rsidR="004C216A">
        <w:t xml:space="preserve">, for this study we assumed that the relative treatment effect measured by ATE applied equally to each of our four age groups in our cost-effectiveness analysis. We applied these to the comparator Markov models to estimate the differential health state transition probabilities associated with an increased likelihood of successful completion among those in the treatment </w:t>
      </w:r>
      <w:r w:rsidR="00545D7B">
        <w:t>plus</w:t>
      </w:r>
      <w:r w:rsidR="004C216A">
        <w:t xml:space="preserve"> parenting and/or </w:t>
      </w:r>
      <w:r w:rsidR="00065143">
        <w:t xml:space="preserve">family </w:t>
      </w:r>
      <w:r w:rsidR="004C216A">
        <w:t xml:space="preserve">recovery support interventions cohort.  </w:t>
      </w:r>
    </w:p>
    <w:p w14:paraId="658FEC85" w14:textId="77777777" w:rsidR="005A7252" w:rsidRDefault="005A7252" w:rsidP="004F1227">
      <w:pPr>
        <w:pStyle w:val="NoSpacing"/>
        <w:spacing w:line="360" w:lineRule="auto"/>
      </w:pPr>
    </w:p>
    <w:p w14:paraId="15D3DD64" w14:textId="12EB5D18" w:rsidR="00D7304A" w:rsidRPr="00D7304A" w:rsidRDefault="00226A76" w:rsidP="00691326">
      <w:pPr>
        <w:pStyle w:val="Heading3"/>
        <w:numPr>
          <w:ilvl w:val="2"/>
          <w:numId w:val="19"/>
        </w:numPr>
        <w:spacing w:after="240" w:line="240" w:lineRule="auto"/>
      </w:pPr>
      <w:bookmarkStart w:id="133" w:name="_Toc189229708"/>
      <w:r w:rsidRPr="00AD6D08">
        <w:lastRenderedPageBreak/>
        <w:t>Utility scores</w:t>
      </w:r>
      <w:bookmarkEnd w:id="133"/>
      <w:r w:rsidRPr="00AD6D08">
        <w:t xml:space="preserve"> </w:t>
      </w:r>
    </w:p>
    <w:p w14:paraId="14BB6638" w14:textId="09F2CA03" w:rsidR="00982B10" w:rsidRPr="00982B10" w:rsidRDefault="009852AA" w:rsidP="00982B10">
      <w:pPr>
        <w:pStyle w:val="NoSpacing"/>
        <w:spacing w:line="360" w:lineRule="auto"/>
        <w:rPr>
          <w:i/>
          <w:iCs/>
        </w:rPr>
      </w:pPr>
      <w:r>
        <w:rPr>
          <w:i/>
          <w:iCs/>
        </w:rPr>
        <w:t>Treatment as usual (t</w:t>
      </w:r>
      <w:r w:rsidR="00982B10">
        <w:rPr>
          <w:i/>
          <w:iCs/>
        </w:rPr>
        <w:t>reatment only</w:t>
      </w:r>
      <w:r>
        <w:rPr>
          <w:i/>
          <w:iCs/>
        </w:rPr>
        <w:t>)</w:t>
      </w:r>
    </w:p>
    <w:p w14:paraId="3A658C05" w14:textId="056DFD74" w:rsidR="00226A76" w:rsidRDefault="00226A76" w:rsidP="00226A76">
      <w:pPr>
        <w:pStyle w:val="NoSpacing"/>
        <w:spacing w:line="360" w:lineRule="auto"/>
      </w:pPr>
      <w:r>
        <w:fldChar w:fldCharType="begin"/>
      </w:r>
      <w:r w:rsidR="00B9334F">
        <w:instrText xml:space="preserve"> ADDIN EN.CITE &lt;EndNote&gt;&lt;Cite AuthorYear="1"&gt;&lt;Author&gt;Barbosa&lt;/Author&gt;&lt;Year&gt;2010&lt;/Year&gt;&lt;RecNum&gt;694&lt;/RecNum&gt;&lt;DisplayText&gt;Barbosa et al. (2010)&lt;/DisplayText&gt;&lt;record&gt;&lt;rec-number&gt;694&lt;/rec-number&gt;&lt;foreign-keys&gt;&lt;key app="EN" db-id="ffzvr5fstavwxoe9v04xf0wmp5t50as52da0" timestamp="1731671737" guid="9e423196-ae72-4534-9cad-4d19f808703b"&gt;694&lt;/key&gt;&lt;/foreign-keys&gt;&lt;ref-type name="Journal Article"&gt;17&lt;/ref-type&gt;&lt;contributors&gt;&lt;authors&gt;&lt;author&gt;Barbosa, Carolina&lt;/author&gt;&lt;author&gt;Taylor, Benjamin&lt;/author&gt;&lt;author&gt;Godfrey, Christine&lt;/author&gt;&lt;author&gt;Rehm, Juergen&lt;/author&gt;&lt;author&gt;Parrott, Steve&lt;/author&gt;&lt;author&gt;Drummond, Colin&lt;/author&gt;&lt;/authors&gt;&lt;/contributors&gt;&lt;titles&gt;&lt;title&gt;Modelling lifetime QALYs and health care costs from different drinking patterns over time: A Markov model&lt;/title&gt;&lt;secondary-title&gt;International Journal of Methods in Psychiatric Research&lt;/secondary-title&gt;&lt;/titles&gt;&lt;periodical&gt;&lt;full-title&gt;International Journal of Methods in Psychiatric Research&lt;/full-title&gt;&lt;/periodical&gt;&lt;pages&gt;97-109&lt;/pages&gt;&lt;volume&gt;19&lt;/volume&gt;&lt;number&gt;2&lt;/number&gt;&lt;dates&gt;&lt;year&gt;2010&lt;/year&gt;&lt;/dates&gt;&lt;isbn&gt;1049-8931&lt;/isbn&gt;&lt;urls&gt;&lt;related-urls&gt;&lt;url&gt;https://onlinelibrary.wiley.com/doi/abs/10.1002/mpr.306&lt;/url&gt;&lt;/related-urls&gt;&lt;/urls&gt;&lt;electronic-resource-num&gt;https://doi.org/10.1002/mpr.306&lt;/electronic-resource-num&gt;&lt;/record&gt;&lt;/Cite&gt;&lt;/EndNote&gt;</w:instrText>
      </w:r>
      <w:r>
        <w:fldChar w:fldCharType="separate"/>
      </w:r>
      <w:r w:rsidR="00A77498">
        <w:rPr>
          <w:noProof/>
        </w:rPr>
        <w:t>Barbosa et al. (2010)</w:t>
      </w:r>
      <w:r>
        <w:fldChar w:fldCharType="end"/>
      </w:r>
      <w:r>
        <w:t xml:space="preserve"> estimated EuroQol-5 Dimensions (EQ-5D) </w:t>
      </w:r>
      <w:r>
        <w:fldChar w:fldCharType="begin"/>
      </w:r>
      <w:r w:rsidR="00B9334F">
        <w:instrText xml:space="preserve"> ADDIN EN.CITE &lt;EndNote&gt;&lt;Cite&gt;&lt;Author&gt;The EuroQol Research&lt;/Author&gt;&lt;Year&gt;2020&lt;/Year&gt;&lt;RecNum&gt;595&lt;/RecNum&gt;&lt;DisplayText&gt;(The EuroQol Research, 2020)&lt;/DisplayText&gt;&lt;record&gt;&lt;rec-number&gt;595&lt;/rec-number&gt;&lt;foreign-keys&gt;&lt;key app="EN" db-id="ffzvr5fstavwxoe9v04xf0wmp5t50as52da0" timestamp="1731671712" guid="349e8dee-3fc8-4c8f-923e-1ebbcae4e023"&gt;595&lt;/key&gt;&lt;/foreign-keys&gt;&lt;ref-type name="Generic"&gt;13&lt;/ref-type&gt;&lt;contributors&gt;&lt;authors&gt;&lt;author&gt;The EuroQol Research, Foundation&lt;/author&gt;&lt;/authors&gt;&lt;/contributors&gt;&lt;titles&gt;&lt;title&gt;EQ-5D-5L: About&lt;/title&gt;&lt;/titles&gt;&lt;dates&gt;&lt;year&gt;2020&lt;/year&gt;&lt;/dates&gt;&lt;pub-location&gt;Rotterdam&lt;/pub-location&gt;&lt;publisher&gt;The EuroQol Research Foundation&lt;/publisher&gt;&lt;label&gt;85.&lt;/label&gt;&lt;urls&gt;&lt;/urls&gt;&lt;/record&gt;&lt;/Cite&gt;&lt;/EndNote&gt;</w:instrText>
      </w:r>
      <w:r>
        <w:fldChar w:fldCharType="separate"/>
      </w:r>
      <w:r w:rsidR="00A77498">
        <w:rPr>
          <w:noProof/>
        </w:rPr>
        <w:t>(The EuroQol Research, 2020)</w:t>
      </w:r>
      <w:r>
        <w:fldChar w:fldCharType="end"/>
      </w:r>
      <w:r>
        <w:t xml:space="preserve"> derived utility scores from the UKATT study. The utilities presented were 0.6597 for ‘hazardous’ drinkers, 0.6349 for ‘harmful’ drinkers, 0.7001 for ‘ex-hazardous’ drinkers and 0.6459 for ‘ex-harmful’ drinkers. We assumed that ‘harmful’ and ‘hazardous’ drinker utility scores could be applied to our ‘not in treatment and not in remission’ health state</w:t>
      </w:r>
      <w:r w:rsidR="009D2858">
        <w:t xml:space="preserve"> (State C)</w:t>
      </w:r>
      <w:r>
        <w:t xml:space="preserve">. Of the trial participants, 26% were ‘hazardous’ drinkers at baseline and the remainder were ‘harmful’ drinkers </w:t>
      </w:r>
      <w:r>
        <w:fldChar w:fldCharType="begin"/>
      </w:r>
      <w:r w:rsidR="00B9334F">
        <w:instrText xml:space="preserve"> ADDIN EN.CITE &lt;EndNote&gt;&lt;Cite&gt;&lt;Author&gt;UKATT Research Team&lt;/Author&gt;&lt;Year&gt;2005&lt;/Year&gt;&lt;RecNum&gt;374&lt;/RecNum&gt;&lt;DisplayText&gt;(UKATT Research Team, 2005b)&lt;/DisplayText&gt;&lt;record&gt;&lt;rec-number&gt;374&lt;/rec-number&gt;&lt;foreign-keys&gt;&lt;key app="EN" db-id="ffzvr5fstavwxoe9v04xf0wmp5t50as52da0" timestamp="1731671665" guid="d2724832-2c29-48cd-9406-5c8317da5851"&gt;374&lt;/key&gt;&lt;/foreign-keys&gt;&lt;ref-type name="Journal Article"&gt;17&lt;/ref-type&gt;&lt;contributors&gt;&lt;authors&gt;&lt;author&gt;UKATT Research Team,&lt;/author&gt;&lt;/authors&gt;&lt;/contributors&gt;&lt;titles&gt;&lt;title&gt;Effectiveness of treatment for alcohol problems: findings of the randomised UK alcohol treatment trial (UKATT)&lt;/title&gt;&lt;secondary-title&gt;BMJ&lt;/secondary-title&gt;&lt;/titles&gt;&lt;periodical&gt;&lt;full-title&gt;BMJ&lt;/full-title&gt;&lt;/periodical&gt;&lt;pages&gt;541&lt;/pages&gt;&lt;volume&gt;331&lt;/volume&gt;&lt;number&gt;7516&lt;/number&gt;&lt;dates&gt;&lt;year&gt;2005&lt;/year&gt;&lt;/dates&gt;&lt;urls&gt;&lt;related-urls&gt;&lt;url&gt;https://www.bmj.com/content/bmj/331/7516/541.full.pdf&lt;/url&gt;&lt;/related-urls&gt;&lt;/urls&gt;&lt;electronic-resource-num&gt;10.1136/bmj.331.7516.541&lt;/electronic-resource-num&gt;&lt;/record&gt;&lt;/Cite&gt;&lt;/EndNote&gt;</w:instrText>
      </w:r>
      <w:r>
        <w:fldChar w:fldCharType="separate"/>
      </w:r>
      <w:r w:rsidR="00A77498">
        <w:rPr>
          <w:noProof/>
        </w:rPr>
        <w:t>(UKATT Research Team, 2005b)</w:t>
      </w:r>
      <w:r>
        <w:fldChar w:fldCharType="end"/>
      </w:r>
      <w:r>
        <w:t xml:space="preserve"> and used these proportions to estimate a weighted mean average utility score for ‘Not in treatment and not in remission’ (State C)</w:t>
      </w:r>
      <w:r w:rsidRPr="00354D01">
        <w:t>:</w:t>
      </w:r>
      <w:r>
        <w:t xml:space="preserve"> </w:t>
      </w:r>
    </w:p>
    <w:p w14:paraId="64B96339" w14:textId="77777777" w:rsidR="00226A76" w:rsidRPr="00354D01" w:rsidRDefault="00226A76" w:rsidP="00226A76">
      <w:pPr>
        <w:pStyle w:val="NoSpacing"/>
        <w:spacing w:line="360" w:lineRule="auto"/>
        <w:ind w:left="1440" w:firstLine="720"/>
        <w:rPr>
          <w:i/>
          <w:iCs/>
        </w:rPr>
      </w:pPr>
      <w:r w:rsidRPr="00354D01">
        <w:rPr>
          <w:i/>
          <w:iCs/>
        </w:rPr>
        <w:t>(0.6597*0.26+0.6349*(1-0.26)</w:t>
      </w:r>
      <w:r>
        <w:rPr>
          <w:i/>
          <w:iCs/>
        </w:rPr>
        <w:t xml:space="preserve"> </w:t>
      </w:r>
      <w:r w:rsidRPr="00354D01">
        <w:rPr>
          <w:i/>
          <w:iCs/>
        </w:rPr>
        <w:t>=</w:t>
      </w:r>
      <w:r>
        <w:rPr>
          <w:i/>
          <w:iCs/>
        </w:rPr>
        <w:t xml:space="preserve"> </w:t>
      </w:r>
      <w:r w:rsidRPr="00354D01">
        <w:rPr>
          <w:i/>
          <w:iCs/>
        </w:rPr>
        <w:t>0.6413)</w:t>
      </w:r>
    </w:p>
    <w:p w14:paraId="37205F85" w14:textId="77777777" w:rsidR="00226A76" w:rsidRDefault="00226A76" w:rsidP="00226A76">
      <w:pPr>
        <w:pStyle w:val="NoSpacing"/>
        <w:spacing w:line="360" w:lineRule="auto"/>
      </w:pPr>
    </w:p>
    <w:p w14:paraId="6FFD34AD" w14:textId="77777777" w:rsidR="00226A76" w:rsidRDefault="00226A76" w:rsidP="00226A76">
      <w:pPr>
        <w:pStyle w:val="NoSpacing"/>
        <w:spacing w:line="360" w:lineRule="auto"/>
      </w:pPr>
      <w:r>
        <w:t xml:space="preserve">An equivalent calculation for those in the ‘in remission’ (State B) health state was calculated using ‘ex-hazardous’ and ‘ex-harmful’ utility scores: </w:t>
      </w:r>
    </w:p>
    <w:p w14:paraId="5FDAB600" w14:textId="77777777" w:rsidR="00226A76" w:rsidRPr="00D06A17" w:rsidRDefault="00226A76" w:rsidP="00226A76">
      <w:pPr>
        <w:pStyle w:val="NoSpacing"/>
        <w:spacing w:line="360" w:lineRule="auto"/>
        <w:ind w:left="1440" w:firstLine="720"/>
        <w:rPr>
          <w:i/>
          <w:iCs/>
        </w:rPr>
      </w:pPr>
      <w:r w:rsidRPr="00354D01">
        <w:rPr>
          <w:i/>
          <w:iCs/>
        </w:rPr>
        <w:t>(0.7001*0.26+0.6459*(1-0.26) = 0.6600)</w:t>
      </w:r>
    </w:p>
    <w:p w14:paraId="6485003B" w14:textId="77777777" w:rsidR="00226A76" w:rsidRDefault="00226A76" w:rsidP="00226A76">
      <w:pPr>
        <w:pStyle w:val="NoSpacing"/>
        <w:spacing w:line="360" w:lineRule="auto"/>
      </w:pPr>
    </w:p>
    <w:p w14:paraId="5D66B64B" w14:textId="77777777" w:rsidR="00226A76" w:rsidRDefault="00226A76" w:rsidP="00226A76">
      <w:pPr>
        <w:pStyle w:val="NoSpacing"/>
        <w:spacing w:line="360" w:lineRule="auto"/>
      </w:pPr>
      <w:r>
        <w:t xml:space="preserve">We assumed the ‘in treatment’ (State A) utility score in our model to be an average of the two results above: </w:t>
      </w:r>
    </w:p>
    <w:p w14:paraId="486C3370" w14:textId="77777777" w:rsidR="00226A76" w:rsidRPr="00D77E77" w:rsidRDefault="00226A76" w:rsidP="00226A76">
      <w:pPr>
        <w:pStyle w:val="NoSpacing"/>
        <w:spacing w:line="360" w:lineRule="auto"/>
        <w:ind w:left="1440" w:firstLine="720"/>
        <w:rPr>
          <w:i/>
          <w:iCs/>
        </w:rPr>
      </w:pPr>
      <w:r w:rsidRPr="00D77E77">
        <w:rPr>
          <w:i/>
          <w:iCs/>
        </w:rPr>
        <w:t>((0.6413 + 0.6600</w:t>
      </w:r>
      <w:r>
        <w:rPr>
          <w:i/>
          <w:iCs/>
        </w:rPr>
        <w:t>)</w:t>
      </w:r>
      <w:r w:rsidRPr="00D77E77">
        <w:rPr>
          <w:i/>
          <w:iCs/>
        </w:rPr>
        <w:t xml:space="preserve"> / 2 = 0.6507)</w:t>
      </w:r>
    </w:p>
    <w:p w14:paraId="79FE2182" w14:textId="77777777" w:rsidR="00226A76" w:rsidRDefault="00226A76" w:rsidP="00226A76">
      <w:pPr>
        <w:pStyle w:val="NoSpacing"/>
        <w:spacing w:line="360" w:lineRule="auto"/>
      </w:pPr>
    </w:p>
    <w:p w14:paraId="25585F8E" w14:textId="4BBFE813" w:rsidR="00226A76" w:rsidRDefault="00226A76" w:rsidP="00226A76">
      <w:pPr>
        <w:pStyle w:val="NoSpacing"/>
        <w:spacing w:line="360" w:lineRule="auto"/>
      </w:pPr>
      <w:r>
        <w:t xml:space="preserve">According to the effectiveness study </w:t>
      </w:r>
      <w:r>
        <w:fldChar w:fldCharType="begin"/>
      </w:r>
      <w:r w:rsidR="00B9334F">
        <w:instrText xml:space="preserve"> ADDIN EN.CITE &lt;EndNote&gt;&lt;Cite&gt;&lt;Author&gt;UKATT Research Team&lt;/Author&gt;&lt;Year&gt;2005&lt;/Year&gt;&lt;RecNum&gt;374&lt;/RecNum&gt;&lt;DisplayText&gt;(UKATT Research Team, 2005b)&lt;/DisplayText&gt;&lt;record&gt;&lt;rec-number&gt;374&lt;/rec-number&gt;&lt;foreign-keys&gt;&lt;key app="EN" db-id="ffzvr5fstavwxoe9v04xf0wmp5t50as52da0" timestamp="1731671665" guid="d2724832-2c29-48cd-9406-5c8317da5851"&gt;374&lt;/key&gt;&lt;/foreign-keys&gt;&lt;ref-type name="Journal Article"&gt;17&lt;/ref-type&gt;&lt;contributors&gt;&lt;authors&gt;&lt;author&gt;UKATT Research Team,&lt;/author&gt;&lt;/authors&gt;&lt;/contributors&gt;&lt;titles&gt;&lt;title&gt;Effectiveness of treatment for alcohol problems: findings of the randomised UK alcohol treatment trial (UKATT)&lt;/title&gt;&lt;secondary-title&gt;BMJ&lt;/secondary-title&gt;&lt;/titles&gt;&lt;periodical&gt;&lt;full-title&gt;BMJ&lt;/full-title&gt;&lt;/periodical&gt;&lt;pages&gt;541&lt;/pages&gt;&lt;volume&gt;331&lt;/volume&gt;&lt;number&gt;7516&lt;/number&gt;&lt;dates&gt;&lt;year&gt;2005&lt;/year&gt;&lt;/dates&gt;&lt;urls&gt;&lt;related-urls&gt;&lt;url&gt;https://www.bmj.com/content/bmj/331/7516/541.full.pdf&lt;/url&gt;&lt;/related-urls&gt;&lt;/urls&gt;&lt;electronic-resource-num&gt;10.1136/bmj.331.7516.541&lt;/electronic-resource-num&gt;&lt;/record&gt;&lt;/Cite&gt;&lt;/EndNote&gt;</w:instrText>
      </w:r>
      <w:r>
        <w:fldChar w:fldCharType="separate"/>
      </w:r>
      <w:r w:rsidR="00A77498">
        <w:rPr>
          <w:noProof/>
        </w:rPr>
        <w:t>(UKATT Research Team, 2005b)</w:t>
      </w:r>
      <w:r>
        <w:fldChar w:fldCharType="end"/>
      </w:r>
      <w:r>
        <w:t xml:space="preserve">, trial participants were mostly men, aged 42 and single/ married but not living with a partner, and so the socio-demographics are not comparable to many in our cohort. Unfortunately, it was not possible to estimate different scores for women, different child living arrangements and for different age groups. </w:t>
      </w:r>
    </w:p>
    <w:p w14:paraId="01A547ED" w14:textId="77777777" w:rsidR="005A5B2A" w:rsidRDefault="005A5B2A" w:rsidP="00226A76">
      <w:pPr>
        <w:pStyle w:val="NoSpacing"/>
        <w:spacing w:line="360" w:lineRule="auto"/>
      </w:pPr>
    </w:p>
    <w:p w14:paraId="797B8867" w14:textId="7789E9A3" w:rsidR="00982B10" w:rsidRDefault="00982B10" w:rsidP="00982B10">
      <w:pPr>
        <w:pStyle w:val="NoSpacing"/>
        <w:spacing w:line="360" w:lineRule="auto"/>
        <w:rPr>
          <w:i/>
          <w:iCs/>
        </w:rPr>
      </w:pPr>
      <w:r>
        <w:rPr>
          <w:i/>
          <w:iCs/>
        </w:rPr>
        <w:t xml:space="preserve">Intervention </w:t>
      </w:r>
      <w:r w:rsidR="009852AA">
        <w:rPr>
          <w:i/>
          <w:iCs/>
        </w:rPr>
        <w:t xml:space="preserve">(treatment </w:t>
      </w:r>
      <w:r w:rsidR="00545D7B">
        <w:rPr>
          <w:i/>
          <w:iCs/>
        </w:rPr>
        <w:t>plus</w:t>
      </w:r>
      <w:r w:rsidR="009852AA">
        <w:rPr>
          <w:i/>
          <w:iCs/>
        </w:rPr>
        <w:t xml:space="preserve"> parenting and/or family recovery support)</w:t>
      </w:r>
    </w:p>
    <w:p w14:paraId="1771AD7F" w14:textId="02557341" w:rsidR="008244D2" w:rsidRDefault="000A1FD0" w:rsidP="00B76261">
      <w:pPr>
        <w:pStyle w:val="NoSpacing"/>
        <w:spacing w:line="360" w:lineRule="auto"/>
      </w:pPr>
      <w:r>
        <w:t xml:space="preserve">In the PuP programme trial, </w:t>
      </w:r>
      <w:r w:rsidR="00363EE1">
        <w:t xml:space="preserve">EQ-5D-5L derived </w:t>
      </w:r>
      <w:r>
        <w:t xml:space="preserve">utility scores were calculated at baseline, at 6 months and at 12 months follow up. </w:t>
      </w:r>
      <w:r w:rsidR="00A11720">
        <w:t xml:space="preserve">We assumed the difference </w:t>
      </w:r>
      <w:r w:rsidR="00F51559">
        <w:t xml:space="preserve">for those who received the parenting programme </w:t>
      </w:r>
      <w:r w:rsidR="00A11720">
        <w:t>between 6 months and baseline (</w:t>
      </w:r>
      <w:r w:rsidR="00A11720" w:rsidRPr="00737649">
        <w:rPr>
          <w:i/>
          <w:iCs/>
        </w:rPr>
        <w:t>0.03</w:t>
      </w:r>
      <w:r w:rsidR="00F51559" w:rsidRPr="00737649">
        <w:rPr>
          <w:i/>
          <w:iCs/>
        </w:rPr>
        <w:t>0</w:t>
      </w:r>
      <w:r w:rsidR="00A11720">
        <w:t xml:space="preserve">) could be applied to our ‘In treatment’ (State B) utility score calculation above to get an equivalent </w:t>
      </w:r>
      <w:r w:rsidR="00896E4B">
        <w:t xml:space="preserve">utility score </w:t>
      </w:r>
      <w:r w:rsidR="00A11720">
        <w:t>for those receiving the intervention</w:t>
      </w:r>
      <w:r w:rsidR="00896E4B">
        <w:t xml:space="preserve"> </w:t>
      </w:r>
      <w:r w:rsidR="00896E4B">
        <w:lastRenderedPageBreak/>
        <w:t>(</w:t>
      </w:r>
      <w:r w:rsidR="00C54E25" w:rsidRPr="00737649">
        <w:rPr>
          <w:i/>
          <w:iCs/>
        </w:rPr>
        <w:t>0.6413+0.0300=0.67</w:t>
      </w:r>
      <w:r w:rsidR="00737649" w:rsidRPr="00737649">
        <w:rPr>
          <w:i/>
          <w:iCs/>
        </w:rPr>
        <w:t>43</w:t>
      </w:r>
      <w:r w:rsidR="00737649">
        <w:t>)</w:t>
      </w:r>
      <w:r w:rsidR="00A11720">
        <w:t>. We assumed the differences between 12 months and baseline (0.0</w:t>
      </w:r>
      <w:r w:rsidR="00EE24D4">
        <w:t>610</w:t>
      </w:r>
      <w:r w:rsidR="00A11720">
        <w:t>) could be applied to our ‘In remission’ (State C) cohort</w:t>
      </w:r>
      <w:r w:rsidR="000A5D53">
        <w:t xml:space="preserve"> using the same approach (</w:t>
      </w:r>
      <w:r w:rsidR="000A5D53" w:rsidRPr="00737649">
        <w:rPr>
          <w:i/>
          <w:iCs/>
        </w:rPr>
        <w:t>0.6413+0.0</w:t>
      </w:r>
      <w:r w:rsidR="000A5D53">
        <w:rPr>
          <w:i/>
          <w:iCs/>
        </w:rPr>
        <w:t>610</w:t>
      </w:r>
      <w:r w:rsidR="000A5D53" w:rsidRPr="00737649">
        <w:rPr>
          <w:i/>
          <w:iCs/>
        </w:rPr>
        <w:t>=0.</w:t>
      </w:r>
      <w:r w:rsidR="000A5D53">
        <w:rPr>
          <w:i/>
          <w:iCs/>
        </w:rPr>
        <w:t>7023</w:t>
      </w:r>
      <w:r w:rsidR="00BD678B">
        <w:t>)</w:t>
      </w:r>
      <w:r w:rsidR="00A11720">
        <w:t>.</w:t>
      </w:r>
      <w:r w:rsidR="00BD678B">
        <w:t xml:space="preserve"> </w:t>
      </w:r>
      <w:r w:rsidR="00C24AE6">
        <w:t xml:space="preserve">While the trial did include alcohol users, most people in the study were drug using mothers </w:t>
      </w:r>
      <w:r w:rsidR="00A76161">
        <w:t xml:space="preserve">with an infant and so not directly comparable to our cohort. </w:t>
      </w:r>
      <w:r w:rsidR="00BD678B">
        <w:t xml:space="preserve">In the </w:t>
      </w:r>
      <w:r w:rsidR="000A3258">
        <w:t>study, t</w:t>
      </w:r>
      <w:r w:rsidR="008244D2">
        <w:t xml:space="preserve">he control group </w:t>
      </w:r>
      <w:r w:rsidR="00A11720">
        <w:t xml:space="preserve">who did not receive a parenting intervention had </w:t>
      </w:r>
      <w:r w:rsidR="004369B0">
        <w:t xml:space="preserve">a utility gain from baseline to 12 months of 0.02, similar to the observed gain from the UKATT study </w:t>
      </w:r>
      <w:r w:rsidR="004369B0">
        <w:fldChar w:fldCharType="begin"/>
      </w:r>
      <w:r w:rsidR="00B9334F">
        <w:instrText xml:space="preserve"> ADDIN EN.CITE &lt;EndNote&gt;&lt;Cite&gt;&lt;Author&gt;Barlow&lt;/Author&gt;&lt;Year&gt;2019&lt;/Year&gt;&lt;RecNum&gt;352&lt;/RecNum&gt;&lt;DisplayText&gt;(Barlow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rsidR="004369B0">
        <w:fldChar w:fldCharType="separate"/>
      </w:r>
      <w:r w:rsidR="00A77498">
        <w:rPr>
          <w:noProof/>
        </w:rPr>
        <w:t>(Barlow et al., 2019)</w:t>
      </w:r>
      <w:r w:rsidR="004369B0">
        <w:fldChar w:fldCharType="end"/>
      </w:r>
      <w:r w:rsidR="004369B0">
        <w:t xml:space="preserve">.  </w:t>
      </w:r>
      <w:r w:rsidR="00530162">
        <w:t xml:space="preserve"> </w:t>
      </w:r>
    </w:p>
    <w:p w14:paraId="3D2FB63A" w14:textId="77777777" w:rsidR="004369B0" w:rsidRDefault="004369B0" w:rsidP="00B76261">
      <w:pPr>
        <w:pStyle w:val="NoSpacing"/>
        <w:spacing w:line="360" w:lineRule="auto"/>
      </w:pPr>
    </w:p>
    <w:p w14:paraId="7F0E560F" w14:textId="77777777" w:rsidR="004369B0" w:rsidRPr="00EE6DAA" w:rsidRDefault="004369B0" w:rsidP="009C3BBC">
      <w:pPr>
        <w:pStyle w:val="Heading3"/>
        <w:numPr>
          <w:ilvl w:val="2"/>
          <w:numId w:val="19"/>
        </w:numPr>
        <w:spacing w:line="360" w:lineRule="auto"/>
      </w:pPr>
      <w:bookmarkStart w:id="134" w:name="_Toc189229709"/>
      <w:r w:rsidRPr="00EE6DAA">
        <w:t>Costs</w:t>
      </w:r>
      <w:bookmarkEnd w:id="134"/>
      <w:r w:rsidRPr="00EE6DAA">
        <w:t xml:space="preserve"> </w:t>
      </w:r>
    </w:p>
    <w:p w14:paraId="6408866B" w14:textId="77777777" w:rsidR="004369B0" w:rsidRDefault="004369B0" w:rsidP="004369B0">
      <w:pPr>
        <w:pStyle w:val="NoSpacing"/>
        <w:spacing w:line="360" w:lineRule="auto"/>
      </w:pPr>
      <w:r>
        <w:t xml:space="preserve">All costs were inflated to 2020/21 prices. </w:t>
      </w:r>
    </w:p>
    <w:p w14:paraId="36199236" w14:textId="77777777" w:rsidR="004369B0" w:rsidRDefault="004369B0" w:rsidP="004369B0">
      <w:pPr>
        <w:pStyle w:val="NoSpacing"/>
        <w:spacing w:line="360" w:lineRule="auto"/>
      </w:pPr>
    </w:p>
    <w:p w14:paraId="0E0AE535" w14:textId="3A2B3281" w:rsidR="004369B0" w:rsidRDefault="004369B0" w:rsidP="004369B0">
      <w:pPr>
        <w:pStyle w:val="NoSpacing"/>
        <w:spacing w:line="360" w:lineRule="auto"/>
      </w:pPr>
      <w:r>
        <w:t xml:space="preserve">The annual cost of treatment for AUD is estimated to be £1,300 using a combination of official treatment expenditure data reported by local authorities and NDTMS data to apportion annual spend on people with AUD specifically </w:t>
      </w:r>
      <w:r>
        <w:fldChar w:fldCharType="begin"/>
      </w:r>
      <w:r w:rsidR="00B9334F">
        <w:instrText xml:space="preserve"> ADDIN EN.CITE &lt;EndNote&gt;&lt;Cite&gt;&lt;Author&gt;Musto Wright&lt;/Author&gt;&lt;Year&gt;2021&lt;/Year&gt;&lt;RecNum&gt;271&lt;/RecNum&gt;&lt;DisplayText&gt;(Musto Wright, 2021)&lt;/DisplayText&gt;&lt;record&gt;&lt;rec-number&gt;271&lt;/rec-number&gt;&lt;foreign-keys&gt;&lt;key app="EN" db-id="ffzvr5fstavwxoe9v04xf0wmp5t50as52da0" timestamp="1731671653" guid="d3a638ec-abda-42e6-a07f-5b277d242bc8"&gt;271&lt;/key&gt;&lt;/foreign-keys&gt;&lt;ref-type name="Electronic Article"&gt;43&lt;/ref-type&gt;&lt;contributors&gt;&lt;authors&gt;&lt;author&gt;Musto Wright, V.&lt;/author&gt;&lt;/authors&gt;&lt;/contributors&gt;&lt;titles&gt;&lt;title&gt;Parents with alcohol and drug problems: investing in families workbook&lt;/title&gt;&lt;/titles&gt;&lt;dates&gt;&lt;year&gt;2021&lt;/year&gt;&lt;/dates&gt;&lt;pub-location&gt;London&lt;/pub-location&gt;&lt;publisher&gt;Public Health England,&lt;/publisher&gt;&lt;urls&gt;&lt;/urls&gt;&lt;/record&gt;&lt;/Cite&gt;&lt;/EndNote&gt;</w:instrText>
      </w:r>
      <w:r>
        <w:fldChar w:fldCharType="separate"/>
      </w:r>
      <w:r w:rsidR="00A77498">
        <w:rPr>
          <w:noProof/>
        </w:rPr>
        <w:t>(Musto Wright, 2021)</w:t>
      </w:r>
      <w:r>
        <w:fldChar w:fldCharType="end"/>
      </w:r>
      <w:r>
        <w:t xml:space="preserve">. </w:t>
      </w:r>
    </w:p>
    <w:p w14:paraId="5307CF96" w14:textId="77777777" w:rsidR="004369B0" w:rsidRDefault="004369B0" w:rsidP="004369B0">
      <w:pPr>
        <w:pStyle w:val="NoSpacing"/>
        <w:spacing w:line="360" w:lineRule="auto"/>
      </w:pPr>
    </w:p>
    <w:p w14:paraId="6DB38335" w14:textId="10E97577" w:rsidR="004369B0" w:rsidRPr="00D976A2" w:rsidRDefault="004369B0" w:rsidP="004369B0">
      <w:pPr>
        <w:pStyle w:val="NoSpacing"/>
        <w:spacing w:line="360" w:lineRule="auto"/>
        <w:rPr>
          <w:rFonts w:ascii="Georgia" w:hAnsi="Georgia"/>
          <w:color w:val="333333"/>
          <w:sz w:val="27"/>
          <w:szCs w:val="27"/>
        </w:rPr>
      </w:pPr>
      <w:r>
        <w:fldChar w:fldCharType="begin"/>
      </w:r>
      <w:r w:rsidR="00B9334F">
        <w:instrText xml:space="preserve"> ADDIN EN.CITE &lt;EndNote&gt;&lt;Cite AuthorYear="1"&gt;&lt;Author&gt;Bonin&lt;/Author&gt;&lt;Year&gt;2011&lt;/Year&gt;&lt;RecNum&gt;691&lt;/RecNum&gt;&lt;DisplayText&gt;Bonin et al. (2011)&lt;/DisplayText&gt;&lt;record&gt;&lt;rec-number&gt;691&lt;/rec-number&gt;&lt;foreign-keys&gt;&lt;key app="EN" db-id="ffzvr5fstavwxoe9v04xf0wmp5t50as52da0" timestamp="1731671737" guid="35adea0d-917f-4727-a40c-be86d906c959"&gt;691&lt;/key&gt;&lt;/foreign-keys&gt;&lt;ref-type name="Journal Article"&gt;17&lt;/ref-type&gt;&lt;contributors&gt;&lt;authors&gt;&lt;author&gt;Bonin, Eva-Maria&lt;/author&gt;&lt;author&gt;Stevens, Madeleine&lt;/author&gt;&lt;author&gt;Beecham, Jennifer&lt;/author&gt;&lt;author&gt;Byford, Sarah&lt;/author&gt;&lt;author&gt;Parsonage, Michael&lt;/author&gt;&lt;/authors&gt;&lt;/contributors&gt;&lt;titles&gt;&lt;title&gt;Costs and longer-term savings of parenting programmes for the prevention of persistent conduct disorder: A modelling study&lt;/title&gt;&lt;secondary-title&gt;BMC Public Health&lt;/secondary-title&gt;&lt;/titles&gt;&lt;periodical&gt;&lt;full-title&gt;BMC public health&lt;/full-title&gt;&lt;/periodical&gt;&lt;pages&gt;803&lt;/pages&gt;&lt;volume&gt;11&lt;/volume&gt;&lt;number&gt;1&lt;/number&gt;&lt;dates&gt;&lt;year&gt;2011&lt;/year&gt;&lt;pub-dates&gt;&lt;date&gt;2011/10/14&lt;/date&gt;&lt;/pub-dates&gt;&lt;/dates&gt;&lt;isbn&gt;1471-2458&lt;/isbn&gt;&lt;urls&gt;&lt;related-urls&gt;&lt;url&gt;https://doi.org/10.1186/1471-2458-11-803&lt;/url&gt;&lt;/related-urls&gt;&lt;/urls&gt;&lt;electronic-resource-num&gt;10.1186/1471-2458-11-803&lt;/electronic-resource-num&gt;&lt;/record&gt;&lt;/Cite&gt;&lt;/EndNote&gt;</w:instrText>
      </w:r>
      <w:r>
        <w:fldChar w:fldCharType="separate"/>
      </w:r>
      <w:r w:rsidR="00A77498">
        <w:rPr>
          <w:noProof/>
        </w:rPr>
        <w:t>Bonin et al. (2011)</w:t>
      </w:r>
      <w:r>
        <w:fldChar w:fldCharType="end"/>
      </w:r>
      <w:r>
        <w:t xml:space="preserve"> modelled the cost of parenting programmes from five studies. They estimated the (median) costs of delivering group-based programmes to be £952 per person and of £2,078 for individual-based ones (2008/09 prices). As most parenting programmes delivered in the community are group based, we assumed the group-based cost in our base case analysis, which we applied to everyone on the intervention.</w:t>
      </w:r>
    </w:p>
    <w:p w14:paraId="1ABD80AB" w14:textId="77777777" w:rsidR="004369B0" w:rsidRDefault="004369B0" w:rsidP="004369B0">
      <w:pPr>
        <w:pStyle w:val="NoSpacing"/>
        <w:spacing w:line="360" w:lineRule="auto"/>
      </w:pPr>
    </w:p>
    <w:p w14:paraId="72FDCFB3" w14:textId="13BB153D" w:rsidR="004369B0" w:rsidRDefault="004369B0" w:rsidP="004369B0">
      <w:pPr>
        <w:pStyle w:val="NoSpacing"/>
        <w:spacing w:line="360" w:lineRule="auto"/>
      </w:pPr>
      <w:r>
        <w:t xml:space="preserve">Public sector cost savings were taken from UKATT </w:t>
      </w:r>
      <w:r>
        <w:fldChar w:fldCharType="begin"/>
      </w:r>
      <w:r w:rsidR="00B9334F">
        <w:instrText xml:space="preserve"> ADDIN EN.CITE &lt;EndNote&gt;&lt;Cite&gt;&lt;Author&gt;UKATT Research Team&lt;/Author&gt;&lt;Year&gt;2005&lt;/Year&gt;&lt;RecNum&gt;301&lt;/RecNum&gt;&lt;DisplayText&gt;(UKATT Research Team, 2005a)&lt;/DisplayText&gt;&lt;record&gt;&lt;rec-number&gt;301&lt;/rec-number&gt;&lt;foreign-keys&gt;&lt;key app="EN" db-id="ffzvr5fstavwxoe9v04xf0wmp5t50as52da0" timestamp="1731671657" guid="a22c9b17-0b13-411b-a436-6aa3f7c5b1bb"&gt;301&lt;/key&gt;&lt;/foreign-keys&gt;&lt;ref-type name="Journal Article"&gt;17&lt;/ref-type&gt;&lt;contributors&gt;&lt;authors&gt;&lt;author&gt;UKATT Research Team,&lt;/author&gt;&lt;/authors&gt;&lt;/contributors&gt;&lt;titles&gt;&lt;title&gt;Cost effectiveness of treatment for alcohol problems: findings of the randomised UK alcohol treatment trial (UKATT)&lt;/title&gt;&lt;secondary-title&gt;BMJ&lt;/secondary-title&gt;&lt;/titles&gt;&lt;periodical&gt;&lt;full-title&gt;BMJ&lt;/full-title&gt;&lt;/periodical&gt;&lt;pages&gt;544&lt;/pages&gt;&lt;volume&gt;331&lt;/volume&gt;&lt;number&gt;7516&lt;/number&gt;&lt;dates&gt;&lt;year&gt;2005&lt;/year&gt;&lt;/dates&gt;&lt;urls&gt;&lt;related-urls&gt;&lt;url&gt;https://www.bmj.com/content/bmj/331/7516/544.full.pdf&lt;/url&gt;&lt;/related-urls&gt;&lt;/urls&gt;&lt;electronic-resource-num&gt;10.1136/bmj.331.7516.544&lt;/electronic-resource-num&gt;&lt;/record&gt;&lt;/Cite&gt;&lt;/EndNote&gt;</w:instrText>
      </w:r>
      <w:r>
        <w:fldChar w:fldCharType="separate"/>
      </w:r>
      <w:r w:rsidR="00A77498">
        <w:rPr>
          <w:noProof/>
        </w:rPr>
        <w:t>(UKATT Research Team, 2005a)</w:t>
      </w:r>
      <w:r>
        <w:fldChar w:fldCharType="end"/>
      </w:r>
      <w:r>
        <w:t xml:space="preserve"> which compared differences in public sector resources used by trial participants 6 months before randomisation and 6 months before follow-up. Excluding treatment costs, cost savings amounted to £1486 (2000/01 prices) per person per full year. UKATT savings were mostly from reductions in criminal justice costs because of less offending by participants (51%), followed by National Health Service (NHS) costs from improved health (45%) and social care costs (4%). Given the profile of trial participants described earlier, we applied these savings to NWC parents. Our previous research study has shown that LWCs had less complex support needs than NWCs and were less likely to be referred into treatment via a criminal justice referral. We therefore felt it would not be appropriate to apply the crime savings from UKATT </w:t>
      </w:r>
      <w:r>
        <w:lastRenderedPageBreak/>
        <w:t xml:space="preserve">to LWCs in our model, and as such cost savings amounted to £382 per person (2000/01 prices). This is likely to be conservative. In the PuP programme described earlier, 17% of participants (who were mostly mothers living with babies) had a criminal record and this increased to 28% among alcohol users </w:t>
      </w:r>
      <w:r>
        <w:fldChar w:fldCharType="begin"/>
      </w:r>
      <w:r w:rsidR="00B9334F">
        <w:instrText xml:space="preserve"> ADDIN EN.CITE &lt;EndNote&gt;&lt;Cite&gt;&lt;Author&gt;Barlow&lt;/Author&gt;&lt;Year&gt;2019&lt;/Year&gt;&lt;RecNum&gt;352&lt;/RecNum&gt;&lt;DisplayText&gt;(Barlow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fldChar w:fldCharType="separate"/>
      </w:r>
      <w:r w:rsidR="00A77498">
        <w:rPr>
          <w:noProof/>
        </w:rPr>
        <w:t>(Barlow et al., 2019)</w:t>
      </w:r>
      <w:r>
        <w:fldChar w:fldCharType="end"/>
      </w:r>
      <w:r>
        <w:t>.</w:t>
      </w:r>
    </w:p>
    <w:p w14:paraId="4447C747" w14:textId="77777777" w:rsidR="004369B0" w:rsidRDefault="004369B0" w:rsidP="004369B0">
      <w:pPr>
        <w:pStyle w:val="NoSpacing"/>
        <w:spacing w:line="360" w:lineRule="auto"/>
      </w:pPr>
    </w:p>
    <w:p w14:paraId="13DB2721" w14:textId="77777777" w:rsidR="004369B0" w:rsidRPr="007C24B1" w:rsidRDefault="004369B0" w:rsidP="4DFD1BBF">
      <w:pPr>
        <w:pStyle w:val="Heading3"/>
        <w:numPr>
          <w:ilvl w:val="2"/>
          <w:numId w:val="19"/>
        </w:numPr>
        <w:spacing w:line="360" w:lineRule="auto"/>
      </w:pPr>
      <w:bookmarkStart w:id="135" w:name="_Toc189229710"/>
      <w:r w:rsidRPr="007C24B1">
        <w:t>Perspective and thresholds</w:t>
      </w:r>
      <w:bookmarkEnd w:id="135"/>
    </w:p>
    <w:p w14:paraId="5978D722" w14:textId="2BCF4029" w:rsidR="004369B0" w:rsidRDefault="004369B0" w:rsidP="004369B0">
      <w:pPr>
        <w:pStyle w:val="NoSpacing"/>
        <w:spacing w:line="360" w:lineRule="auto"/>
      </w:pPr>
      <w:r>
        <w:t xml:space="preserve">In England, the National Institute for Health and Care Excellence (NICE) use QALY gains and differences in costs to help decide whether new treatments should be provided by the National Health Service (NHS). Government departments compare costs with gains in QALYs and other potential benefits associated with an intervention, such as reductions in public sector costs, to assess whether health and social care policy options represent value for money to the public purse </w:t>
      </w:r>
      <w:r>
        <w:fldChar w:fldCharType="begin"/>
      </w:r>
      <w:r w:rsidR="00B9334F">
        <w:instrText xml:space="preserve"> ADDIN EN.CITE &lt;EndNote&gt;&lt;Cite&gt;&lt;Author&gt;HM Treasury&lt;/Author&gt;&lt;Year&gt;2022&lt;/Year&gt;&lt;RecNum&gt;300&lt;/RecNum&gt;&lt;DisplayText&gt;(HM Treasury, 2022)&lt;/DisplayText&gt;&lt;record&gt;&lt;rec-number&gt;300&lt;/rec-number&gt;&lt;foreign-keys&gt;&lt;key app="EN" db-id="ffzvr5fstavwxoe9v04xf0wmp5t50as52da0" timestamp="1731671657" guid="ff60ec08-57ca-4944-82af-1cb17a3049ad"&gt;300&lt;/key&gt;&lt;/foreign-keys&gt;&lt;ref-type name="Government Document"&gt;46&lt;/ref-type&gt;&lt;contributors&gt;&lt;authors&gt;&lt;author&gt;HM Treasury,&lt;/author&gt;&lt;/authors&gt;&lt;secondary-authors&gt;&lt;author&gt;HM Treasury,&lt;/author&gt;&lt;/secondary-authors&gt;&lt;/contributors&gt;&lt;titles&gt;&lt;title&gt;The Green Book: Central Government guidance on appraisal and evaluation&lt;/title&gt;&lt;/titles&gt;&lt;dates&gt;&lt;year&gt;2022&lt;/year&gt;&lt;/dates&gt;&lt;pub-location&gt;London&lt;/pub-location&gt;&lt;publisher&gt;HM Treasury,&lt;/publisher&gt;&lt;urls&gt;&lt;/urls&gt;&lt;/record&gt;&lt;/Cite&gt;&lt;/EndNote&gt;</w:instrText>
      </w:r>
      <w:r>
        <w:fldChar w:fldCharType="separate"/>
      </w:r>
      <w:r w:rsidR="00A77498">
        <w:rPr>
          <w:noProof/>
        </w:rPr>
        <w:t>(HM Treasury, 2022)</w:t>
      </w:r>
      <w:r>
        <w:fldChar w:fldCharType="end"/>
      </w:r>
      <w:r>
        <w:t xml:space="preserve">. According to NICE, because public health </w:t>
      </w:r>
      <w:r w:rsidR="00081A49">
        <w:t>is much broader</w:t>
      </w:r>
      <w:r>
        <w:t xml:space="preserve"> than health alone, analyses of public health interventions, of which AUD treatment would be an example, require a more comprehensive approach and a subsequent change from the standard health perspective to a public sector one </w:t>
      </w:r>
      <w:r>
        <w:fldChar w:fldCharType="begin"/>
      </w:r>
      <w:r w:rsidR="00B9334F">
        <w:instrText xml:space="preserve"> ADDIN EN.CITE &lt;EndNote&gt;&lt;Cite&gt;&lt;Author&gt;NICE&lt;/Author&gt;&lt;Year&gt;2012&lt;/Year&gt;&lt;RecNum&gt;330&lt;/RecNum&gt;&lt;DisplayText&gt;(NICE, 2012b)&lt;/DisplayText&gt;&lt;record&gt;&lt;rec-number&gt;330&lt;/rec-number&gt;&lt;foreign-keys&gt;&lt;key app="EN" db-id="ffzvr5fstavwxoe9v04xf0wmp5t50as52da0" timestamp="1731671659" guid="4569e038-58f8-4116-b986-4e28b2c687a0"&gt;330&lt;/key&gt;&lt;/foreign-keys&gt;&lt;ref-type name="Electronic Article"&gt;43&lt;/ref-type&gt;&lt;contributors&gt;&lt;authors&gt;&lt;author&gt;NICE&lt;/author&gt;&lt;/authors&gt;&lt;/contributors&gt;&lt;titles&gt;&lt;title&gt;Methods for the development of NICE public health guidance (third edition). NICE process and methods [PMG4]&lt;/title&gt;&lt;/titles&gt;&lt;dates&gt;&lt;year&gt;2012&lt;/year&gt;&lt;pub-dates&gt;&lt;date&gt;01/09/2024&lt;/date&gt;&lt;/pub-dates&gt;&lt;/dates&gt;&lt;urls&gt;&lt;related-urls&gt;&lt;url&gt;https://www.nice.org.uk/process/pmg4/chapter/incorporating-health-economics&lt;/url&gt;&lt;/related-urls&gt;&lt;/urls&gt;&lt;/record&gt;&lt;/Cite&gt;&lt;/EndNote&gt;</w:instrText>
      </w:r>
      <w:r>
        <w:fldChar w:fldCharType="separate"/>
      </w:r>
      <w:r w:rsidR="00A77498">
        <w:rPr>
          <w:noProof/>
        </w:rPr>
        <w:t>(NICE, 2012b)</w:t>
      </w:r>
      <w:r>
        <w:fldChar w:fldCharType="end"/>
      </w:r>
      <w:r>
        <w:t xml:space="preserve">. </w:t>
      </w:r>
    </w:p>
    <w:p w14:paraId="0BE216E6" w14:textId="77777777" w:rsidR="004369B0" w:rsidRDefault="004369B0" w:rsidP="004369B0">
      <w:pPr>
        <w:pStyle w:val="NoSpacing"/>
        <w:spacing w:line="360" w:lineRule="auto"/>
      </w:pPr>
    </w:p>
    <w:p w14:paraId="7B9521C2" w14:textId="77777777" w:rsidR="004369B0" w:rsidRDefault="004369B0" w:rsidP="004369B0">
      <w:pPr>
        <w:pStyle w:val="NoSpacing"/>
        <w:spacing w:line="360" w:lineRule="auto"/>
      </w:pPr>
      <w:r>
        <w:t xml:space="preserve">Hence, we present cost-effectiveness results as incremental cost-effectiveness ratios (ICERs) using a health (incremental treatment costs divided by QALY gains) and public sector perspective (differences in treatment and public sector costs divided by QALY gains). From a health perspective, the National Institute for Health and Care Excellence (NICE) use a threshold of £20-30,000 for NHS approvals. </w:t>
      </w:r>
    </w:p>
    <w:p w14:paraId="00C154B4" w14:textId="77777777" w:rsidR="004369B0" w:rsidRDefault="004369B0" w:rsidP="004369B0">
      <w:pPr>
        <w:pStyle w:val="NoSpacing"/>
        <w:spacing w:line="360" w:lineRule="auto"/>
      </w:pPr>
    </w:p>
    <w:p w14:paraId="31C8CA86" w14:textId="77777777" w:rsidR="004369B0" w:rsidRDefault="004369B0" w:rsidP="00B76261">
      <w:pPr>
        <w:pStyle w:val="NoSpacing"/>
        <w:spacing w:line="360" w:lineRule="auto"/>
      </w:pPr>
    </w:p>
    <w:p w14:paraId="26E4BDB9" w14:textId="77777777" w:rsidR="00B76261" w:rsidRPr="00982B10" w:rsidRDefault="00B76261" w:rsidP="00982B10">
      <w:pPr>
        <w:pStyle w:val="NoSpacing"/>
        <w:spacing w:line="360" w:lineRule="auto"/>
        <w:rPr>
          <w:i/>
          <w:iCs/>
        </w:rPr>
      </w:pPr>
    </w:p>
    <w:p w14:paraId="3350B6DA" w14:textId="35E1DE64" w:rsidR="004F1227" w:rsidRPr="0082545C" w:rsidRDefault="004C216A" w:rsidP="004F1227">
      <w:pPr>
        <w:pStyle w:val="NoSpacing"/>
        <w:spacing w:line="360" w:lineRule="auto"/>
        <w:rPr>
          <w:highlight w:val="cyan"/>
        </w:rPr>
        <w:sectPr w:rsidR="004F1227" w:rsidRPr="0082545C" w:rsidSect="004F1227">
          <w:pgSz w:w="11906" w:h="16838"/>
          <w:pgMar w:top="1440" w:right="1440" w:bottom="1440" w:left="1440" w:header="708" w:footer="708" w:gutter="0"/>
          <w:cols w:space="708"/>
          <w:docGrid w:linePitch="360"/>
        </w:sectPr>
      </w:pPr>
      <w:r w:rsidRPr="3EE3ED99">
        <w:rPr>
          <w:i/>
          <w:iCs/>
        </w:rPr>
        <w:fldChar w:fldCharType="begin"/>
      </w:r>
      <w:r w:rsidRPr="00B825F0">
        <w:rPr>
          <w:i/>
          <w:iCs/>
        </w:rPr>
        <w:instrText xml:space="preserve"> REF _Ref176701901 \h  \* MERGEFORMAT </w:instrText>
      </w:r>
      <w:r w:rsidRPr="3EE3ED99">
        <w:rPr>
          <w:i/>
          <w:iCs/>
        </w:rPr>
      </w:r>
      <w:r w:rsidRPr="3EE3ED99">
        <w:rPr>
          <w:i/>
          <w:iCs/>
        </w:rPr>
        <w:fldChar w:fldCharType="separate"/>
      </w:r>
    </w:p>
    <w:p w14:paraId="27917BFF" w14:textId="6D235767" w:rsidR="00142BE4" w:rsidRDefault="004C216A" w:rsidP="00AD2DF1">
      <w:pPr>
        <w:pStyle w:val="NoSpacing"/>
        <w:spacing w:line="240" w:lineRule="auto"/>
        <w:ind w:left="1440" w:hanging="1440"/>
        <w:rPr>
          <w:i/>
          <w:iCs/>
        </w:rPr>
      </w:pPr>
      <w:r w:rsidRPr="3EE3ED99">
        <w:rPr>
          <w:i/>
          <w:iCs/>
        </w:rPr>
        <w:lastRenderedPageBreak/>
        <w:fldChar w:fldCharType="end"/>
      </w:r>
      <w:bookmarkStart w:id="136" w:name="_Ref176701901"/>
      <w:bookmarkStart w:id="137" w:name="_Toc185845000"/>
      <w:r w:rsidR="003544A3">
        <w:rPr>
          <w:i/>
          <w:iCs/>
        </w:rPr>
        <w:t>Table</w:t>
      </w:r>
      <w:r w:rsidR="00C90305" w:rsidRPr="3EE3ED99">
        <w:rPr>
          <w:i/>
          <w:iCs/>
        </w:rPr>
        <w:t xml:space="preserve"> </w:t>
      </w:r>
      <w:r w:rsidR="00367870">
        <w:rPr>
          <w:i/>
          <w:iCs/>
        </w:rPr>
        <w:fldChar w:fldCharType="begin"/>
      </w:r>
      <w:r w:rsidR="00367870">
        <w:rPr>
          <w:i/>
          <w:iCs/>
        </w:rPr>
        <w:instrText xml:space="preserve"> STYLEREF 2 \s </w:instrText>
      </w:r>
      <w:r w:rsidR="00367870">
        <w:rPr>
          <w:i/>
          <w:iCs/>
        </w:rPr>
        <w:fldChar w:fldCharType="separate"/>
      </w:r>
      <w:r w:rsidR="00367870">
        <w:rPr>
          <w:i/>
          <w:iCs/>
          <w:noProof/>
        </w:rPr>
        <w:t>5.3</w:t>
      </w:r>
      <w:r w:rsidR="00367870">
        <w:rPr>
          <w:i/>
          <w:iCs/>
        </w:rPr>
        <w:fldChar w:fldCharType="end"/>
      </w:r>
      <w:r w:rsidR="00367870">
        <w:rPr>
          <w:i/>
          <w:iCs/>
        </w:rPr>
        <w:noBreakHyphen/>
      </w:r>
      <w:r w:rsidR="00367870">
        <w:rPr>
          <w:i/>
          <w:iCs/>
        </w:rPr>
        <w:fldChar w:fldCharType="begin"/>
      </w:r>
      <w:r w:rsidR="00367870">
        <w:rPr>
          <w:i/>
          <w:iCs/>
        </w:rPr>
        <w:instrText xml:space="preserve"> SEQ Table \* ARABIC \s 2 </w:instrText>
      </w:r>
      <w:r w:rsidR="00367870">
        <w:rPr>
          <w:i/>
          <w:iCs/>
        </w:rPr>
        <w:fldChar w:fldCharType="separate"/>
      </w:r>
      <w:r w:rsidR="00367870">
        <w:rPr>
          <w:i/>
          <w:iCs/>
          <w:noProof/>
        </w:rPr>
        <w:t>2</w:t>
      </w:r>
      <w:r w:rsidR="00367870">
        <w:rPr>
          <w:i/>
          <w:iCs/>
        </w:rPr>
        <w:fldChar w:fldCharType="end"/>
      </w:r>
      <w:bookmarkEnd w:id="136"/>
      <w:r w:rsidR="00C90305" w:rsidRPr="004F1227">
        <w:rPr>
          <w:i/>
          <w:iCs/>
        </w:rPr>
        <w:tab/>
      </w:r>
      <w:r w:rsidR="00C90305" w:rsidRPr="3EE3ED99">
        <w:rPr>
          <w:i/>
          <w:iCs/>
        </w:rPr>
        <w:t>Transition probability for each of the 16 subgroups</w:t>
      </w:r>
      <w:r w:rsidR="008F26D8" w:rsidRPr="3EE3ED99">
        <w:rPr>
          <w:i/>
          <w:iCs/>
        </w:rPr>
        <w:t xml:space="preserve"> (LWC = parents living with children, NWC = parents not living with children)</w:t>
      </w:r>
      <w:bookmarkEnd w:id="137"/>
    </w:p>
    <w:p w14:paraId="0FAA76E9" w14:textId="77777777" w:rsidR="004431AA" w:rsidRDefault="004431AA" w:rsidP="006E2174">
      <w:pPr>
        <w:pStyle w:val="NoSpacing"/>
        <w:spacing w:line="240" w:lineRule="auto"/>
        <w:rPr>
          <w:i/>
          <w:iCs/>
        </w:rPr>
      </w:pPr>
    </w:p>
    <w:tbl>
      <w:tblPr>
        <w:tblW w:w="12998" w:type="dxa"/>
        <w:tblLook w:val="04A0" w:firstRow="1" w:lastRow="0" w:firstColumn="1" w:lastColumn="0" w:noHBand="0" w:noVBand="1"/>
      </w:tblPr>
      <w:tblGrid>
        <w:gridCol w:w="1350"/>
        <w:gridCol w:w="728"/>
        <w:gridCol w:w="728"/>
        <w:gridCol w:w="728"/>
        <w:gridCol w:w="728"/>
        <w:gridCol w:w="728"/>
        <w:gridCol w:w="728"/>
        <w:gridCol w:w="728"/>
        <w:gridCol w:w="728"/>
        <w:gridCol w:w="728"/>
        <w:gridCol w:w="728"/>
        <w:gridCol w:w="728"/>
        <w:gridCol w:w="728"/>
        <w:gridCol w:w="728"/>
        <w:gridCol w:w="728"/>
        <w:gridCol w:w="728"/>
        <w:gridCol w:w="728"/>
      </w:tblGrid>
      <w:tr w:rsidR="004431AA" w:rsidRPr="004431AA" w14:paraId="05A5944B" w14:textId="77777777" w:rsidTr="002559BF">
        <w:trPr>
          <w:trHeight w:val="300"/>
        </w:trPr>
        <w:tc>
          <w:tcPr>
            <w:tcW w:w="1350" w:type="dxa"/>
            <w:tcBorders>
              <w:top w:val="nil"/>
              <w:left w:val="nil"/>
              <w:bottom w:val="nil"/>
              <w:right w:val="nil"/>
            </w:tcBorders>
            <w:shd w:val="clear" w:color="auto" w:fill="auto"/>
            <w:noWrap/>
            <w:vAlign w:val="bottom"/>
            <w:hideMark/>
          </w:tcPr>
          <w:p w14:paraId="01879E6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Sex</w:t>
            </w:r>
          </w:p>
        </w:tc>
        <w:tc>
          <w:tcPr>
            <w:tcW w:w="5824" w:type="dxa"/>
            <w:gridSpan w:val="8"/>
            <w:tcBorders>
              <w:top w:val="nil"/>
              <w:left w:val="nil"/>
              <w:bottom w:val="nil"/>
              <w:right w:val="nil"/>
            </w:tcBorders>
            <w:shd w:val="clear" w:color="auto" w:fill="auto"/>
            <w:noWrap/>
            <w:vAlign w:val="bottom"/>
            <w:hideMark/>
          </w:tcPr>
          <w:p w14:paraId="4AD5336E"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Women</w:t>
            </w:r>
          </w:p>
        </w:tc>
        <w:tc>
          <w:tcPr>
            <w:tcW w:w="5824" w:type="dxa"/>
            <w:gridSpan w:val="8"/>
            <w:tcBorders>
              <w:top w:val="nil"/>
              <w:left w:val="nil"/>
              <w:bottom w:val="nil"/>
              <w:right w:val="nil"/>
            </w:tcBorders>
            <w:shd w:val="clear" w:color="auto" w:fill="auto"/>
            <w:noWrap/>
            <w:vAlign w:val="bottom"/>
            <w:hideMark/>
          </w:tcPr>
          <w:p w14:paraId="7022E484"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Men</w:t>
            </w:r>
          </w:p>
        </w:tc>
      </w:tr>
      <w:tr w:rsidR="004431AA" w:rsidRPr="004431AA" w14:paraId="6432669F" w14:textId="77777777" w:rsidTr="002559BF">
        <w:trPr>
          <w:trHeight w:val="300"/>
        </w:trPr>
        <w:tc>
          <w:tcPr>
            <w:tcW w:w="1350" w:type="dxa"/>
            <w:tcBorders>
              <w:top w:val="nil"/>
              <w:left w:val="nil"/>
              <w:bottom w:val="nil"/>
              <w:right w:val="nil"/>
            </w:tcBorders>
            <w:shd w:val="clear" w:color="auto" w:fill="auto"/>
            <w:noWrap/>
            <w:vAlign w:val="bottom"/>
            <w:hideMark/>
          </w:tcPr>
          <w:p w14:paraId="3C36A9E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Age ranges</w:t>
            </w:r>
          </w:p>
        </w:tc>
        <w:tc>
          <w:tcPr>
            <w:tcW w:w="1456" w:type="dxa"/>
            <w:gridSpan w:val="2"/>
            <w:tcBorders>
              <w:top w:val="nil"/>
              <w:left w:val="nil"/>
              <w:bottom w:val="nil"/>
              <w:right w:val="nil"/>
            </w:tcBorders>
            <w:shd w:val="clear" w:color="auto" w:fill="auto"/>
            <w:noWrap/>
            <w:vAlign w:val="bottom"/>
            <w:hideMark/>
          </w:tcPr>
          <w:p w14:paraId="18220181"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18-24</w:t>
            </w:r>
          </w:p>
        </w:tc>
        <w:tc>
          <w:tcPr>
            <w:tcW w:w="1456" w:type="dxa"/>
            <w:gridSpan w:val="2"/>
            <w:tcBorders>
              <w:top w:val="nil"/>
              <w:left w:val="nil"/>
              <w:bottom w:val="nil"/>
              <w:right w:val="nil"/>
            </w:tcBorders>
            <w:shd w:val="clear" w:color="auto" w:fill="auto"/>
            <w:noWrap/>
            <w:vAlign w:val="bottom"/>
            <w:hideMark/>
          </w:tcPr>
          <w:p w14:paraId="6BA076DF"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25-34</w:t>
            </w:r>
          </w:p>
        </w:tc>
        <w:tc>
          <w:tcPr>
            <w:tcW w:w="1456" w:type="dxa"/>
            <w:gridSpan w:val="2"/>
            <w:tcBorders>
              <w:top w:val="nil"/>
              <w:left w:val="nil"/>
              <w:bottom w:val="nil"/>
              <w:right w:val="nil"/>
            </w:tcBorders>
            <w:shd w:val="clear" w:color="auto" w:fill="auto"/>
            <w:noWrap/>
            <w:vAlign w:val="bottom"/>
            <w:hideMark/>
          </w:tcPr>
          <w:p w14:paraId="05FD2E05"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35-44</w:t>
            </w:r>
          </w:p>
        </w:tc>
        <w:tc>
          <w:tcPr>
            <w:tcW w:w="1456" w:type="dxa"/>
            <w:gridSpan w:val="2"/>
            <w:tcBorders>
              <w:top w:val="nil"/>
              <w:left w:val="nil"/>
              <w:bottom w:val="nil"/>
              <w:right w:val="nil"/>
            </w:tcBorders>
            <w:shd w:val="clear" w:color="auto" w:fill="auto"/>
            <w:noWrap/>
            <w:vAlign w:val="bottom"/>
            <w:hideMark/>
          </w:tcPr>
          <w:p w14:paraId="5CDB2399"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45+</w:t>
            </w:r>
          </w:p>
        </w:tc>
        <w:tc>
          <w:tcPr>
            <w:tcW w:w="1456" w:type="dxa"/>
            <w:gridSpan w:val="2"/>
            <w:tcBorders>
              <w:top w:val="nil"/>
              <w:left w:val="nil"/>
              <w:bottom w:val="nil"/>
              <w:right w:val="nil"/>
            </w:tcBorders>
            <w:shd w:val="clear" w:color="auto" w:fill="auto"/>
            <w:noWrap/>
            <w:vAlign w:val="bottom"/>
            <w:hideMark/>
          </w:tcPr>
          <w:p w14:paraId="5DF17DBF"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18-24</w:t>
            </w:r>
          </w:p>
        </w:tc>
        <w:tc>
          <w:tcPr>
            <w:tcW w:w="1456" w:type="dxa"/>
            <w:gridSpan w:val="2"/>
            <w:tcBorders>
              <w:top w:val="nil"/>
              <w:left w:val="nil"/>
              <w:bottom w:val="nil"/>
              <w:right w:val="nil"/>
            </w:tcBorders>
            <w:shd w:val="clear" w:color="auto" w:fill="auto"/>
            <w:noWrap/>
            <w:vAlign w:val="bottom"/>
            <w:hideMark/>
          </w:tcPr>
          <w:p w14:paraId="1471E813"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25-34</w:t>
            </w:r>
          </w:p>
        </w:tc>
        <w:tc>
          <w:tcPr>
            <w:tcW w:w="1456" w:type="dxa"/>
            <w:gridSpan w:val="2"/>
            <w:tcBorders>
              <w:top w:val="nil"/>
              <w:left w:val="nil"/>
              <w:bottom w:val="nil"/>
              <w:right w:val="nil"/>
            </w:tcBorders>
            <w:shd w:val="clear" w:color="auto" w:fill="auto"/>
            <w:noWrap/>
            <w:vAlign w:val="bottom"/>
            <w:hideMark/>
          </w:tcPr>
          <w:p w14:paraId="70E0D2A7"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35-44</w:t>
            </w:r>
          </w:p>
        </w:tc>
        <w:tc>
          <w:tcPr>
            <w:tcW w:w="1456" w:type="dxa"/>
            <w:gridSpan w:val="2"/>
            <w:tcBorders>
              <w:top w:val="nil"/>
              <w:left w:val="nil"/>
              <w:bottom w:val="nil"/>
              <w:right w:val="nil"/>
            </w:tcBorders>
            <w:shd w:val="clear" w:color="auto" w:fill="auto"/>
            <w:noWrap/>
            <w:vAlign w:val="bottom"/>
            <w:hideMark/>
          </w:tcPr>
          <w:p w14:paraId="7BFE41E2"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45+</w:t>
            </w:r>
          </w:p>
        </w:tc>
      </w:tr>
      <w:tr w:rsidR="004431AA" w:rsidRPr="004431AA" w14:paraId="2444EDAB" w14:textId="77777777" w:rsidTr="002559BF">
        <w:trPr>
          <w:trHeight w:val="615"/>
        </w:trPr>
        <w:tc>
          <w:tcPr>
            <w:tcW w:w="1350" w:type="dxa"/>
            <w:tcBorders>
              <w:top w:val="nil"/>
              <w:left w:val="nil"/>
              <w:bottom w:val="single" w:sz="4" w:space="0" w:color="auto"/>
              <w:right w:val="nil"/>
            </w:tcBorders>
            <w:shd w:val="clear" w:color="auto" w:fill="auto"/>
            <w:vAlign w:val="center"/>
            <w:hideMark/>
          </w:tcPr>
          <w:p w14:paraId="7C97D4C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Child living arrangement</w:t>
            </w:r>
          </w:p>
        </w:tc>
        <w:tc>
          <w:tcPr>
            <w:tcW w:w="728" w:type="dxa"/>
            <w:tcBorders>
              <w:top w:val="nil"/>
              <w:left w:val="nil"/>
              <w:bottom w:val="single" w:sz="4" w:space="0" w:color="auto"/>
              <w:right w:val="nil"/>
            </w:tcBorders>
            <w:shd w:val="clear" w:color="auto" w:fill="auto"/>
            <w:noWrap/>
            <w:vAlign w:val="center"/>
            <w:hideMark/>
          </w:tcPr>
          <w:p w14:paraId="67CAA929"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LWC</w:t>
            </w:r>
          </w:p>
        </w:tc>
        <w:tc>
          <w:tcPr>
            <w:tcW w:w="728" w:type="dxa"/>
            <w:tcBorders>
              <w:top w:val="nil"/>
              <w:left w:val="nil"/>
              <w:bottom w:val="single" w:sz="4" w:space="0" w:color="auto"/>
              <w:right w:val="nil"/>
            </w:tcBorders>
            <w:shd w:val="clear" w:color="auto" w:fill="auto"/>
            <w:noWrap/>
            <w:vAlign w:val="center"/>
            <w:hideMark/>
          </w:tcPr>
          <w:p w14:paraId="64C88633"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NWC</w:t>
            </w:r>
          </w:p>
        </w:tc>
        <w:tc>
          <w:tcPr>
            <w:tcW w:w="728" w:type="dxa"/>
            <w:tcBorders>
              <w:top w:val="nil"/>
              <w:left w:val="nil"/>
              <w:bottom w:val="single" w:sz="4" w:space="0" w:color="auto"/>
              <w:right w:val="nil"/>
            </w:tcBorders>
            <w:shd w:val="clear" w:color="auto" w:fill="auto"/>
            <w:noWrap/>
            <w:vAlign w:val="center"/>
            <w:hideMark/>
          </w:tcPr>
          <w:p w14:paraId="7BD1397A"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LWC</w:t>
            </w:r>
          </w:p>
        </w:tc>
        <w:tc>
          <w:tcPr>
            <w:tcW w:w="728" w:type="dxa"/>
            <w:tcBorders>
              <w:top w:val="nil"/>
              <w:left w:val="nil"/>
              <w:bottom w:val="single" w:sz="4" w:space="0" w:color="auto"/>
              <w:right w:val="nil"/>
            </w:tcBorders>
            <w:shd w:val="clear" w:color="auto" w:fill="auto"/>
            <w:noWrap/>
            <w:vAlign w:val="center"/>
            <w:hideMark/>
          </w:tcPr>
          <w:p w14:paraId="2496ED31"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NWC</w:t>
            </w:r>
          </w:p>
        </w:tc>
        <w:tc>
          <w:tcPr>
            <w:tcW w:w="728" w:type="dxa"/>
            <w:tcBorders>
              <w:top w:val="nil"/>
              <w:left w:val="nil"/>
              <w:bottom w:val="single" w:sz="4" w:space="0" w:color="auto"/>
              <w:right w:val="nil"/>
            </w:tcBorders>
            <w:shd w:val="clear" w:color="auto" w:fill="auto"/>
            <w:noWrap/>
            <w:vAlign w:val="center"/>
            <w:hideMark/>
          </w:tcPr>
          <w:p w14:paraId="4D162B9E"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LWC</w:t>
            </w:r>
          </w:p>
        </w:tc>
        <w:tc>
          <w:tcPr>
            <w:tcW w:w="728" w:type="dxa"/>
            <w:tcBorders>
              <w:top w:val="nil"/>
              <w:left w:val="nil"/>
              <w:bottom w:val="single" w:sz="4" w:space="0" w:color="auto"/>
              <w:right w:val="nil"/>
            </w:tcBorders>
            <w:shd w:val="clear" w:color="auto" w:fill="auto"/>
            <w:noWrap/>
            <w:vAlign w:val="center"/>
            <w:hideMark/>
          </w:tcPr>
          <w:p w14:paraId="66943CCA"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NWC</w:t>
            </w:r>
          </w:p>
        </w:tc>
        <w:tc>
          <w:tcPr>
            <w:tcW w:w="728" w:type="dxa"/>
            <w:tcBorders>
              <w:top w:val="nil"/>
              <w:left w:val="nil"/>
              <w:bottom w:val="single" w:sz="4" w:space="0" w:color="auto"/>
              <w:right w:val="nil"/>
            </w:tcBorders>
            <w:shd w:val="clear" w:color="auto" w:fill="auto"/>
            <w:noWrap/>
            <w:vAlign w:val="center"/>
            <w:hideMark/>
          </w:tcPr>
          <w:p w14:paraId="5FECFCE7"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LWC</w:t>
            </w:r>
          </w:p>
        </w:tc>
        <w:tc>
          <w:tcPr>
            <w:tcW w:w="728" w:type="dxa"/>
            <w:tcBorders>
              <w:top w:val="nil"/>
              <w:left w:val="nil"/>
              <w:bottom w:val="single" w:sz="4" w:space="0" w:color="auto"/>
              <w:right w:val="nil"/>
            </w:tcBorders>
            <w:shd w:val="clear" w:color="auto" w:fill="auto"/>
            <w:noWrap/>
            <w:vAlign w:val="center"/>
            <w:hideMark/>
          </w:tcPr>
          <w:p w14:paraId="21AF1CDC"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NWC</w:t>
            </w:r>
          </w:p>
        </w:tc>
        <w:tc>
          <w:tcPr>
            <w:tcW w:w="728" w:type="dxa"/>
            <w:tcBorders>
              <w:top w:val="nil"/>
              <w:left w:val="nil"/>
              <w:bottom w:val="single" w:sz="4" w:space="0" w:color="auto"/>
              <w:right w:val="nil"/>
            </w:tcBorders>
            <w:shd w:val="clear" w:color="auto" w:fill="auto"/>
            <w:noWrap/>
            <w:vAlign w:val="center"/>
            <w:hideMark/>
          </w:tcPr>
          <w:p w14:paraId="55F2EFD3"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LWC</w:t>
            </w:r>
          </w:p>
        </w:tc>
        <w:tc>
          <w:tcPr>
            <w:tcW w:w="728" w:type="dxa"/>
            <w:tcBorders>
              <w:top w:val="nil"/>
              <w:left w:val="nil"/>
              <w:bottom w:val="single" w:sz="4" w:space="0" w:color="auto"/>
              <w:right w:val="nil"/>
            </w:tcBorders>
            <w:shd w:val="clear" w:color="auto" w:fill="auto"/>
            <w:noWrap/>
            <w:vAlign w:val="center"/>
            <w:hideMark/>
          </w:tcPr>
          <w:p w14:paraId="63E74B90"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NWC</w:t>
            </w:r>
          </w:p>
        </w:tc>
        <w:tc>
          <w:tcPr>
            <w:tcW w:w="728" w:type="dxa"/>
            <w:tcBorders>
              <w:top w:val="nil"/>
              <w:left w:val="nil"/>
              <w:bottom w:val="single" w:sz="4" w:space="0" w:color="auto"/>
              <w:right w:val="nil"/>
            </w:tcBorders>
            <w:shd w:val="clear" w:color="auto" w:fill="auto"/>
            <w:noWrap/>
            <w:vAlign w:val="center"/>
            <w:hideMark/>
          </w:tcPr>
          <w:p w14:paraId="3B4AD251"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LWC</w:t>
            </w:r>
          </w:p>
        </w:tc>
        <w:tc>
          <w:tcPr>
            <w:tcW w:w="728" w:type="dxa"/>
            <w:tcBorders>
              <w:top w:val="nil"/>
              <w:left w:val="nil"/>
              <w:bottom w:val="single" w:sz="4" w:space="0" w:color="auto"/>
              <w:right w:val="nil"/>
            </w:tcBorders>
            <w:shd w:val="clear" w:color="auto" w:fill="auto"/>
            <w:noWrap/>
            <w:vAlign w:val="center"/>
            <w:hideMark/>
          </w:tcPr>
          <w:p w14:paraId="407342B2"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NWC</w:t>
            </w:r>
          </w:p>
        </w:tc>
        <w:tc>
          <w:tcPr>
            <w:tcW w:w="728" w:type="dxa"/>
            <w:tcBorders>
              <w:top w:val="nil"/>
              <w:left w:val="nil"/>
              <w:bottom w:val="single" w:sz="4" w:space="0" w:color="auto"/>
              <w:right w:val="nil"/>
            </w:tcBorders>
            <w:shd w:val="clear" w:color="auto" w:fill="auto"/>
            <w:noWrap/>
            <w:vAlign w:val="center"/>
            <w:hideMark/>
          </w:tcPr>
          <w:p w14:paraId="20D27544"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LWC</w:t>
            </w:r>
          </w:p>
        </w:tc>
        <w:tc>
          <w:tcPr>
            <w:tcW w:w="728" w:type="dxa"/>
            <w:tcBorders>
              <w:top w:val="nil"/>
              <w:left w:val="nil"/>
              <w:bottom w:val="single" w:sz="4" w:space="0" w:color="auto"/>
              <w:right w:val="nil"/>
            </w:tcBorders>
            <w:shd w:val="clear" w:color="auto" w:fill="auto"/>
            <w:noWrap/>
            <w:vAlign w:val="center"/>
            <w:hideMark/>
          </w:tcPr>
          <w:p w14:paraId="44E979EF"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NWC</w:t>
            </w:r>
          </w:p>
        </w:tc>
        <w:tc>
          <w:tcPr>
            <w:tcW w:w="728" w:type="dxa"/>
            <w:tcBorders>
              <w:top w:val="nil"/>
              <w:left w:val="nil"/>
              <w:bottom w:val="single" w:sz="4" w:space="0" w:color="auto"/>
              <w:right w:val="nil"/>
            </w:tcBorders>
            <w:shd w:val="clear" w:color="auto" w:fill="auto"/>
            <w:noWrap/>
            <w:vAlign w:val="center"/>
            <w:hideMark/>
          </w:tcPr>
          <w:p w14:paraId="4BF7A38F"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LWC</w:t>
            </w:r>
          </w:p>
        </w:tc>
        <w:tc>
          <w:tcPr>
            <w:tcW w:w="728" w:type="dxa"/>
            <w:tcBorders>
              <w:top w:val="nil"/>
              <w:left w:val="nil"/>
              <w:bottom w:val="single" w:sz="4" w:space="0" w:color="auto"/>
              <w:right w:val="nil"/>
            </w:tcBorders>
            <w:shd w:val="clear" w:color="auto" w:fill="auto"/>
            <w:noWrap/>
            <w:vAlign w:val="center"/>
            <w:hideMark/>
          </w:tcPr>
          <w:p w14:paraId="764A87B4" w14:textId="77777777" w:rsidR="004431AA" w:rsidRPr="004431AA" w:rsidRDefault="004431AA" w:rsidP="004431AA">
            <w:pPr>
              <w:contextualSpacing w:val="0"/>
              <w:jc w:val="center"/>
              <w:rPr>
                <w:rFonts w:eastAsia="Times New Roman" w:cs="Arial"/>
                <w:color w:val="000000"/>
                <w:sz w:val="20"/>
                <w:szCs w:val="20"/>
                <w:lang w:eastAsia="en-GB"/>
              </w:rPr>
            </w:pPr>
            <w:r w:rsidRPr="004431AA">
              <w:rPr>
                <w:rFonts w:eastAsia="Times New Roman" w:cs="Arial"/>
                <w:color w:val="000000"/>
                <w:sz w:val="20"/>
                <w:szCs w:val="20"/>
                <w:lang w:eastAsia="en-GB"/>
              </w:rPr>
              <w:t>NWC</w:t>
            </w:r>
          </w:p>
        </w:tc>
      </w:tr>
      <w:tr w:rsidR="004431AA" w:rsidRPr="004431AA" w14:paraId="59A9AD8B" w14:textId="77777777" w:rsidTr="002559BF">
        <w:trPr>
          <w:trHeight w:val="300"/>
        </w:trPr>
        <w:tc>
          <w:tcPr>
            <w:tcW w:w="12998" w:type="dxa"/>
            <w:gridSpan w:val="17"/>
            <w:tcBorders>
              <w:top w:val="nil"/>
              <w:left w:val="nil"/>
              <w:bottom w:val="nil"/>
              <w:right w:val="nil"/>
            </w:tcBorders>
            <w:shd w:val="clear" w:color="auto" w:fill="auto"/>
            <w:noWrap/>
            <w:vAlign w:val="bottom"/>
            <w:hideMark/>
          </w:tcPr>
          <w:p w14:paraId="035E748B" w14:textId="77777777"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 xml:space="preserve"> Transitions from state A (in treatment) for Treatment Only   </w:t>
            </w:r>
          </w:p>
        </w:tc>
      </w:tr>
      <w:tr w:rsidR="004431AA" w:rsidRPr="004431AA" w14:paraId="495C24B5" w14:textId="77777777" w:rsidTr="002559BF">
        <w:trPr>
          <w:trHeight w:val="300"/>
        </w:trPr>
        <w:tc>
          <w:tcPr>
            <w:tcW w:w="1350" w:type="dxa"/>
            <w:tcBorders>
              <w:top w:val="nil"/>
              <w:left w:val="nil"/>
              <w:bottom w:val="nil"/>
              <w:right w:val="nil"/>
            </w:tcBorders>
            <w:shd w:val="clear" w:color="auto" w:fill="auto"/>
            <w:noWrap/>
            <w:vAlign w:val="bottom"/>
            <w:hideMark/>
          </w:tcPr>
          <w:p w14:paraId="5D739E6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tpA2A </w:t>
            </w:r>
          </w:p>
        </w:tc>
        <w:tc>
          <w:tcPr>
            <w:tcW w:w="728" w:type="dxa"/>
            <w:tcBorders>
              <w:top w:val="nil"/>
              <w:left w:val="nil"/>
              <w:bottom w:val="nil"/>
              <w:right w:val="nil"/>
            </w:tcBorders>
            <w:shd w:val="clear" w:color="auto" w:fill="auto"/>
            <w:noWrap/>
            <w:vAlign w:val="bottom"/>
            <w:hideMark/>
          </w:tcPr>
          <w:p w14:paraId="3791181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0.055 </w:t>
            </w:r>
          </w:p>
        </w:tc>
        <w:tc>
          <w:tcPr>
            <w:tcW w:w="728" w:type="dxa"/>
            <w:tcBorders>
              <w:top w:val="nil"/>
              <w:left w:val="nil"/>
              <w:bottom w:val="nil"/>
              <w:right w:val="nil"/>
            </w:tcBorders>
            <w:shd w:val="clear" w:color="auto" w:fill="auto"/>
            <w:noWrap/>
            <w:vAlign w:val="bottom"/>
            <w:hideMark/>
          </w:tcPr>
          <w:p w14:paraId="5455B3B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0.092 </w:t>
            </w:r>
          </w:p>
        </w:tc>
        <w:tc>
          <w:tcPr>
            <w:tcW w:w="728" w:type="dxa"/>
            <w:tcBorders>
              <w:top w:val="nil"/>
              <w:left w:val="nil"/>
              <w:bottom w:val="nil"/>
              <w:right w:val="nil"/>
            </w:tcBorders>
            <w:shd w:val="clear" w:color="auto" w:fill="auto"/>
            <w:noWrap/>
            <w:vAlign w:val="bottom"/>
            <w:hideMark/>
          </w:tcPr>
          <w:p w14:paraId="76DC8EB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0.119 </w:t>
            </w:r>
          </w:p>
        </w:tc>
        <w:tc>
          <w:tcPr>
            <w:tcW w:w="728" w:type="dxa"/>
            <w:tcBorders>
              <w:top w:val="nil"/>
              <w:left w:val="nil"/>
              <w:bottom w:val="nil"/>
              <w:right w:val="nil"/>
            </w:tcBorders>
            <w:shd w:val="clear" w:color="auto" w:fill="auto"/>
            <w:noWrap/>
            <w:vAlign w:val="bottom"/>
            <w:hideMark/>
          </w:tcPr>
          <w:p w14:paraId="065C839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0.163 </w:t>
            </w:r>
          </w:p>
        </w:tc>
        <w:tc>
          <w:tcPr>
            <w:tcW w:w="728" w:type="dxa"/>
            <w:tcBorders>
              <w:top w:val="nil"/>
              <w:left w:val="nil"/>
              <w:bottom w:val="nil"/>
              <w:right w:val="nil"/>
            </w:tcBorders>
            <w:shd w:val="clear" w:color="auto" w:fill="auto"/>
            <w:noWrap/>
            <w:vAlign w:val="bottom"/>
            <w:hideMark/>
          </w:tcPr>
          <w:p w14:paraId="262FE6E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0.159 </w:t>
            </w:r>
          </w:p>
        </w:tc>
        <w:tc>
          <w:tcPr>
            <w:tcW w:w="728" w:type="dxa"/>
            <w:tcBorders>
              <w:top w:val="nil"/>
              <w:left w:val="nil"/>
              <w:bottom w:val="nil"/>
              <w:right w:val="nil"/>
            </w:tcBorders>
            <w:shd w:val="clear" w:color="auto" w:fill="auto"/>
            <w:noWrap/>
            <w:vAlign w:val="bottom"/>
            <w:hideMark/>
          </w:tcPr>
          <w:p w14:paraId="16B92F1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0.152 </w:t>
            </w:r>
          </w:p>
        </w:tc>
        <w:tc>
          <w:tcPr>
            <w:tcW w:w="728" w:type="dxa"/>
            <w:tcBorders>
              <w:top w:val="nil"/>
              <w:left w:val="nil"/>
              <w:bottom w:val="nil"/>
              <w:right w:val="nil"/>
            </w:tcBorders>
            <w:shd w:val="clear" w:color="auto" w:fill="auto"/>
            <w:noWrap/>
            <w:vAlign w:val="bottom"/>
            <w:hideMark/>
          </w:tcPr>
          <w:p w14:paraId="595047A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0.134 </w:t>
            </w:r>
          </w:p>
        </w:tc>
        <w:tc>
          <w:tcPr>
            <w:tcW w:w="728" w:type="dxa"/>
            <w:tcBorders>
              <w:top w:val="nil"/>
              <w:left w:val="nil"/>
              <w:bottom w:val="nil"/>
              <w:right w:val="nil"/>
            </w:tcBorders>
            <w:shd w:val="clear" w:color="auto" w:fill="auto"/>
            <w:noWrap/>
            <w:vAlign w:val="bottom"/>
            <w:hideMark/>
          </w:tcPr>
          <w:p w14:paraId="77DA3B7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0.160 </w:t>
            </w:r>
          </w:p>
        </w:tc>
        <w:tc>
          <w:tcPr>
            <w:tcW w:w="728" w:type="dxa"/>
            <w:tcBorders>
              <w:top w:val="nil"/>
              <w:left w:val="nil"/>
              <w:bottom w:val="nil"/>
              <w:right w:val="nil"/>
            </w:tcBorders>
            <w:shd w:val="clear" w:color="auto" w:fill="auto"/>
            <w:noWrap/>
            <w:vAlign w:val="bottom"/>
            <w:hideMark/>
          </w:tcPr>
          <w:p w14:paraId="0A27537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0.015 </w:t>
            </w:r>
          </w:p>
        </w:tc>
        <w:tc>
          <w:tcPr>
            <w:tcW w:w="728" w:type="dxa"/>
            <w:tcBorders>
              <w:top w:val="nil"/>
              <w:left w:val="nil"/>
              <w:bottom w:val="nil"/>
              <w:right w:val="nil"/>
            </w:tcBorders>
            <w:shd w:val="clear" w:color="auto" w:fill="auto"/>
            <w:noWrap/>
            <w:vAlign w:val="bottom"/>
            <w:hideMark/>
          </w:tcPr>
          <w:p w14:paraId="21B9C7F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0.058 </w:t>
            </w:r>
          </w:p>
        </w:tc>
        <w:tc>
          <w:tcPr>
            <w:tcW w:w="728" w:type="dxa"/>
            <w:tcBorders>
              <w:top w:val="nil"/>
              <w:left w:val="nil"/>
              <w:bottom w:val="nil"/>
              <w:right w:val="nil"/>
            </w:tcBorders>
            <w:shd w:val="clear" w:color="auto" w:fill="auto"/>
            <w:noWrap/>
            <w:vAlign w:val="bottom"/>
            <w:hideMark/>
          </w:tcPr>
          <w:p w14:paraId="6F39DA8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0.102 </w:t>
            </w:r>
          </w:p>
        </w:tc>
        <w:tc>
          <w:tcPr>
            <w:tcW w:w="728" w:type="dxa"/>
            <w:tcBorders>
              <w:top w:val="nil"/>
              <w:left w:val="nil"/>
              <w:bottom w:val="nil"/>
              <w:right w:val="nil"/>
            </w:tcBorders>
            <w:shd w:val="clear" w:color="auto" w:fill="auto"/>
            <w:noWrap/>
            <w:vAlign w:val="bottom"/>
            <w:hideMark/>
          </w:tcPr>
          <w:p w14:paraId="1981279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0.139 </w:t>
            </w:r>
          </w:p>
        </w:tc>
        <w:tc>
          <w:tcPr>
            <w:tcW w:w="728" w:type="dxa"/>
            <w:tcBorders>
              <w:top w:val="nil"/>
              <w:left w:val="nil"/>
              <w:bottom w:val="nil"/>
              <w:right w:val="nil"/>
            </w:tcBorders>
            <w:shd w:val="clear" w:color="auto" w:fill="auto"/>
            <w:noWrap/>
            <w:vAlign w:val="bottom"/>
            <w:hideMark/>
          </w:tcPr>
          <w:p w14:paraId="0AD793E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0.127 </w:t>
            </w:r>
          </w:p>
        </w:tc>
        <w:tc>
          <w:tcPr>
            <w:tcW w:w="728" w:type="dxa"/>
            <w:tcBorders>
              <w:top w:val="nil"/>
              <w:left w:val="nil"/>
              <w:bottom w:val="nil"/>
              <w:right w:val="nil"/>
            </w:tcBorders>
            <w:shd w:val="clear" w:color="auto" w:fill="auto"/>
            <w:noWrap/>
            <w:vAlign w:val="bottom"/>
            <w:hideMark/>
          </w:tcPr>
          <w:p w14:paraId="0B5207E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0.168 </w:t>
            </w:r>
          </w:p>
        </w:tc>
        <w:tc>
          <w:tcPr>
            <w:tcW w:w="728" w:type="dxa"/>
            <w:tcBorders>
              <w:top w:val="nil"/>
              <w:left w:val="nil"/>
              <w:bottom w:val="nil"/>
              <w:right w:val="nil"/>
            </w:tcBorders>
            <w:shd w:val="clear" w:color="auto" w:fill="auto"/>
            <w:noWrap/>
            <w:vAlign w:val="bottom"/>
            <w:hideMark/>
          </w:tcPr>
          <w:p w14:paraId="6505A32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0.121 </w:t>
            </w:r>
          </w:p>
        </w:tc>
        <w:tc>
          <w:tcPr>
            <w:tcW w:w="728" w:type="dxa"/>
            <w:tcBorders>
              <w:top w:val="nil"/>
              <w:left w:val="nil"/>
              <w:bottom w:val="nil"/>
              <w:right w:val="nil"/>
            </w:tcBorders>
            <w:shd w:val="clear" w:color="auto" w:fill="auto"/>
            <w:noWrap/>
            <w:vAlign w:val="bottom"/>
            <w:hideMark/>
          </w:tcPr>
          <w:p w14:paraId="2450C32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0.156 </w:t>
            </w:r>
          </w:p>
        </w:tc>
      </w:tr>
      <w:tr w:rsidR="004431AA" w:rsidRPr="004431AA" w14:paraId="482BB9AB" w14:textId="77777777" w:rsidTr="002559BF">
        <w:trPr>
          <w:trHeight w:val="300"/>
        </w:trPr>
        <w:tc>
          <w:tcPr>
            <w:tcW w:w="1350" w:type="dxa"/>
            <w:tcBorders>
              <w:top w:val="nil"/>
              <w:left w:val="nil"/>
              <w:bottom w:val="nil"/>
              <w:right w:val="nil"/>
            </w:tcBorders>
            <w:shd w:val="clear" w:color="auto" w:fill="auto"/>
            <w:noWrap/>
            <w:vAlign w:val="bottom"/>
            <w:hideMark/>
          </w:tcPr>
          <w:p w14:paraId="6EF916A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tpA2B </w:t>
            </w:r>
          </w:p>
        </w:tc>
        <w:tc>
          <w:tcPr>
            <w:tcW w:w="728" w:type="dxa"/>
            <w:tcBorders>
              <w:top w:val="nil"/>
              <w:left w:val="nil"/>
              <w:bottom w:val="nil"/>
              <w:right w:val="nil"/>
            </w:tcBorders>
            <w:shd w:val="clear" w:color="auto" w:fill="auto"/>
            <w:noWrap/>
            <w:vAlign w:val="bottom"/>
            <w:hideMark/>
          </w:tcPr>
          <w:p w14:paraId="64E7223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0.663 </w:t>
            </w:r>
          </w:p>
        </w:tc>
        <w:tc>
          <w:tcPr>
            <w:tcW w:w="728" w:type="dxa"/>
            <w:tcBorders>
              <w:top w:val="nil"/>
              <w:left w:val="nil"/>
              <w:bottom w:val="nil"/>
              <w:right w:val="nil"/>
            </w:tcBorders>
            <w:shd w:val="clear" w:color="auto" w:fill="auto"/>
            <w:noWrap/>
            <w:vAlign w:val="bottom"/>
            <w:hideMark/>
          </w:tcPr>
          <w:p w14:paraId="12197E1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0.496 </w:t>
            </w:r>
          </w:p>
        </w:tc>
        <w:tc>
          <w:tcPr>
            <w:tcW w:w="728" w:type="dxa"/>
            <w:tcBorders>
              <w:top w:val="nil"/>
              <w:left w:val="nil"/>
              <w:bottom w:val="nil"/>
              <w:right w:val="nil"/>
            </w:tcBorders>
            <w:shd w:val="clear" w:color="auto" w:fill="auto"/>
            <w:noWrap/>
            <w:vAlign w:val="bottom"/>
            <w:hideMark/>
          </w:tcPr>
          <w:p w14:paraId="770607F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0.617 </w:t>
            </w:r>
          </w:p>
        </w:tc>
        <w:tc>
          <w:tcPr>
            <w:tcW w:w="728" w:type="dxa"/>
            <w:tcBorders>
              <w:top w:val="nil"/>
              <w:left w:val="nil"/>
              <w:bottom w:val="nil"/>
              <w:right w:val="nil"/>
            </w:tcBorders>
            <w:shd w:val="clear" w:color="auto" w:fill="auto"/>
            <w:noWrap/>
            <w:vAlign w:val="bottom"/>
            <w:hideMark/>
          </w:tcPr>
          <w:p w14:paraId="3D6CC55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0.470 </w:t>
            </w:r>
          </w:p>
        </w:tc>
        <w:tc>
          <w:tcPr>
            <w:tcW w:w="728" w:type="dxa"/>
            <w:tcBorders>
              <w:top w:val="nil"/>
              <w:left w:val="nil"/>
              <w:bottom w:val="nil"/>
              <w:right w:val="nil"/>
            </w:tcBorders>
            <w:shd w:val="clear" w:color="auto" w:fill="auto"/>
            <w:noWrap/>
            <w:vAlign w:val="bottom"/>
            <w:hideMark/>
          </w:tcPr>
          <w:p w14:paraId="10DB1AA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0.569 </w:t>
            </w:r>
          </w:p>
        </w:tc>
        <w:tc>
          <w:tcPr>
            <w:tcW w:w="728" w:type="dxa"/>
            <w:tcBorders>
              <w:top w:val="nil"/>
              <w:left w:val="nil"/>
              <w:bottom w:val="nil"/>
              <w:right w:val="nil"/>
            </w:tcBorders>
            <w:shd w:val="clear" w:color="auto" w:fill="auto"/>
            <w:noWrap/>
            <w:vAlign w:val="bottom"/>
            <w:hideMark/>
          </w:tcPr>
          <w:p w14:paraId="409B660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0.576 </w:t>
            </w:r>
          </w:p>
        </w:tc>
        <w:tc>
          <w:tcPr>
            <w:tcW w:w="728" w:type="dxa"/>
            <w:tcBorders>
              <w:top w:val="nil"/>
              <w:left w:val="nil"/>
              <w:bottom w:val="nil"/>
              <w:right w:val="nil"/>
            </w:tcBorders>
            <w:shd w:val="clear" w:color="auto" w:fill="auto"/>
            <w:noWrap/>
            <w:vAlign w:val="bottom"/>
            <w:hideMark/>
          </w:tcPr>
          <w:p w14:paraId="24A59B5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0.598 </w:t>
            </w:r>
          </w:p>
        </w:tc>
        <w:tc>
          <w:tcPr>
            <w:tcW w:w="728" w:type="dxa"/>
            <w:tcBorders>
              <w:top w:val="nil"/>
              <w:left w:val="nil"/>
              <w:bottom w:val="nil"/>
              <w:right w:val="nil"/>
            </w:tcBorders>
            <w:shd w:val="clear" w:color="auto" w:fill="auto"/>
            <w:noWrap/>
            <w:vAlign w:val="bottom"/>
            <w:hideMark/>
          </w:tcPr>
          <w:p w14:paraId="00463EE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0.549 </w:t>
            </w:r>
          </w:p>
        </w:tc>
        <w:tc>
          <w:tcPr>
            <w:tcW w:w="728" w:type="dxa"/>
            <w:tcBorders>
              <w:top w:val="nil"/>
              <w:left w:val="nil"/>
              <w:bottom w:val="nil"/>
              <w:right w:val="nil"/>
            </w:tcBorders>
            <w:shd w:val="clear" w:color="auto" w:fill="auto"/>
            <w:noWrap/>
            <w:vAlign w:val="bottom"/>
            <w:hideMark/>
          </w:tcPr>
          <w:p w14:paraId="21E861B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0.611 </w:t>
            </w:r>
          </w:p>
        </w:tc>
        <w:tc>
          <w:tcPr>
            <w:tcW w:w="728" w:type="dxa"/>
            <w:tcBorders>
              <w:top w:val="nil"/>
              <w:left w:val="nil"/>
              <w:bottom w:val="nil"/>
              <w:right w:val="nil"/>
            </w:tcBorders>
            <w:shd w:val="clear" w:color="auto" w:fill="auto"/>
            <w:noWrap/>
            <w:vAlign w:val="bottom"/>
            <w:hideMark/>
          </w:tcPr>
          <w:p w14:paraId="6AF960A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0.481 </w:t>
            </w:r>
          </w:p>
        </w:tc>
        <w:tc>
          <w:tcPr>
            <w:tcW w:w="728" w:type="dxa"/>
            <w:tcBorders>
              <w:top w:val="nil"/>
              <w:left w:val="nil"/>
              <w:bottom w:val="nil"/>
              <w:right w:val="nil"/>
            </w:tcBorders>
            <w:shd w:val="clear" w:color="auto" w:fill="auto"/>
            <w:noWrap/>
            <w:vAlign w:val="bottom"/>
            <w:hideMark/>
          </w:tcPr>
          <w:p w14:paraId="7BFCDCB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0.539 </w:t>
            </w:r>
          </w:p>
        </w:tc>
        <w:tc>
          <w:tcPr>
            <w:tcW w:w="728" w:type="dxa"/>
            <w:tcBorders>
              <w:top w:val="nil"/>
              <w:left w:val="nil"/>
              <w:bottom w:val="nil"/>
              <w:right w:val="nil"/>
            </w:tcBorders>
            <w:shd w:val="clear" w:color="auto" w:fill="auto"/>
            <w:noWrap/>
            <w:vAlign w:val="bottom"/>
            <w:hideMark/>
          </w:tcPr>
          <w:p w14:paraId="2EAC962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0.440 </w:t>
            </w:r>
          </w:p>
        </w:tc>
        <w:tc>
          <w:tcPr>
            <w:tcW w:w="728" w:type="dxa"/>
            <w:tcBorders>
              <w:top w:val="nil"/>
              <w:left w:val="nil"/>
              <w:bottom w:val="nil"/>
              <w:right w:val="nil"/>
            </w:tcBorders>
            <w:shd w:val="clear" w:color="auto" w:fill="auto"/>
            <w:noWrap/>
            <w:vAlign w:val="bottom"/>
            <w:hideMark/>
          </w:tcPr>
          <w:p w14:paraId="2E08194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0.589 </w:t>
            </w:r>
          </w:p>
        </w:tc>
        <w:tc>
          <w:tcPr>
            <w:tcW w:w="728" w:type="dxa"/>
            <w:tcBorders>
              <w:top w:val="nil"/>
              <w:left w:val="nil"/>
              <w:bottom w:val="nil"/>
              <w:right w:val="nil"/>
            </w:tcBorders>
            <w:shd w:val="clear" w:color="auto" w:fill="auto"/>
            <w:noWrap/>
            <w:vAlign w:val="bottom"/>
            <w:hideMark/>
          </w:tcPr>
          <w:p w14:paraId="07BE6F7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0.446 </w:t>
            </w:r>
          </w:p>
        </w:tc>
        <w:tc>
          <w:tcPr>
            <w:tcW w:w="728" w:type="dxa"/>
            <w:tcBorders>
              <w:top w:val="nil"/>
              <w:left w:val="nil"/>
              <w:bottom w:val="nil"/>
              <w:right w:val="nil"/>
            </w:tcBorders>
            <w:shd w:val="clear" w:color="auto" w:fill="auto"/>
            <w:noWrap/>
            <w:vAlign w:val="bottom"/>
            <w:hideMark/>
          </w:tcPr>
          <w:p w14:paraId="2FC7FF2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0.601 </w:t>
            </w:r>
          </w:p>
        </w:tc>
        <w:tc>
          <w:tcPr>
            <w:tcW w:w="728" w:type="dxa"/>
            <w:tcBorders>
              <w:top w:val="nil"/>
              <w:left w:val="nil"/>
              <w:bottom w:val="nil"/>
              <w:right w:val="nil"/>
            </w:tcBorders>
            <w:shd w:val="clear" w:color="auto" w:fill="auto"/>
            <w:noWrap/>
            <w:vAlign w:val="bottom"/>
            <w:hideMark/>
          </w:tcPr>
          <w:p w14:paraId="2695495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0.505 </w:t>
            </w:r>
          </w:p>
        </w:tc>
      </w:tr>
      <w:tr w:rsidR="004431AA" w:rsidRPr="004431AA" w14:paraId="244F059F" w14:textId="77777777" w:rsidTr="002559BF">
        <w:trPr>
          <w:trHeight w:val="300"/>
        </w:trPr>
        <w:tc>
          <w:tcPr>
            <w:tcW w:w="1350" w:type="dxa"/>
            <w:tcBorders>
              <w:top w:val="nil"/>
              <w:left w:val="nil"/>
              <w:right w:val="nil"/>
            </w:tcBorders>
            <w:shd w:val="clear" w:color="auto" w:fill="auto"/>
            <w:noWrap/>
            <w:vAlign w:val="bottom"/>
            <w:hideMark/>
          </w:tcPr>
          <w:p w14:paraId="507EA2E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tpA2C </w:t>
            </w:r>
          </w:p>
        </w:tc>
        <w:tc>
          <w:tcPr>
            <w:tcW w:w="728" w:type="dxa"/>
            <w:tcBorders>
              <w:top w:val="nil"/>
              <w:left w:val="nil"/>
              <w:right w:val="nil"/>
            </w:tcBorders>
            <w:shd w:val="clear" w:color="auto" w:fill="auto"/>
            <w:noWrap/>
            <w:vAlign w:val="bottom"/>
            <w:hideMark/>
          </w:tcPr>
          <w:p w14:paraId="253C19D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0.261 </w:t>
            </w:r>
          </w:p>
        </w:tc>
        <w:tc>
          <w:tcPr>
            <w:tcW w:w="728" w:type="dxa"/>
            <w:tcBorders>
              <w:top w:val="nil"/>
              <w:left w:val="nil"/>
              <w:right w:val="nil"/>
            </w:tcBorders>
            <w:shd w:val="clear" w:color="auto" w:fill="auto"/>
            <w:noWrap/>
            <w:vAlign w:val="bottom"/>
            <w:hideMark/>
          </w:tcPr>
          <w:p w14:paraId="0DB8F1A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0.379 </w:t>
            </w:r>
          </w:p>
        </w:tc>
        <w:tc>
          <w:tcPr>
            <w:tcW w:w="728" w:type="dxa"/>
            <w:tcBorders>
              <w:top w:val="nil"/>
              <w:left w:val="nil"/>
              <w:right w:val="nil"/>
            </w:tcBorders>
            <w:shd w:val="clear" w:color="auto" w:fill="auto"/>
            <w:noWrap/>
            <w:vAlign w:val="bottom"/>
            <w:hideMark/>
          </w:tcPr>
          <w:p w14:paraId="0B1A65C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0.256 </w:t>
            </w:r>
          </w:p>
        </w:tc>
        <w:tc>
          <w:tcPr>
            <w:tcW w:w="728" w:type="dxa"/>
            <w:tcBorders>
              <w:top w:val="nil"/>
              <w:left w:val="nil"/>
              <w:right w:val="nil"/>
            </w:tcBorders>
            <w:shd w:val="clear" w:color="auto" w:fill="auto"/>
            <w:noWrap/>
            <w:vAlign w:val="bottom"/>
            <w:hideMark/>
          </w:tcPr>
          <w:p w14:paraId="0EBEAD2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0.357 </w:t>
            </w:r>
          </w:p>
        </w:tc>
        <w:tc>
          <w:tcPr>
            <w:tcW w:w="728" w:type="dxa"/>
            <w:tcBorders>
              <w:top w:val="nil"/>
              <w:left w:val="nil"/>
              <w:right w:val="nil"/>
            </w:tcBorders>
            <w:shd w:val="clear" w:color="auto" w:fill="auto"/>
            <w:noWrap/>
            <w:vAlign w:val="bottom"/>
            <w:hideMark/>
          </w:tcPr>
          <w:p w14:paraId="440482C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0.261 </w:t>
            </w:r>
          </w:p>
        </w:tc>
        <w:tc>
          <w:tcPr>
            <w:tcW w:w="728" w:type="dxa"/>
            <w:tcBorders>
              <w:top w:val="nil"/>
              <w:left w:val="nil"/>
              <w:right w:val="nil"/>
            </w:tcBorders>
            <w:shd w:val="clear" w:color="auto" w:fill="auto"/>
            <w:noWrap/>
            <w:vAlign w:val="bottom"/>
            <w:hideMark/>
          </w:tcPr>
          <w:p w14:paraId="7C1B256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0.259 </w:t>
            </w:r>
          </w:p>
        </w:tc>
        <w:tc>
          <w:tcPr>
            <w:tcW w:w="728" w:type="dxa"/>
            <w:tcBorders>
              <w:top w:val="nil"/>
              <w:left w:val="nil"/>
              <w:right w:val="nil"/>
            </w:tcBorders>
            <w:shd w:val="clear" w:color="auto" w:fill="auto"/>
            <w:noWrap/>
            <w:vAlign w:val="bottom"/>
            <w:hideMark/>
          </w:tcPr>
          <w:p w14:paraId="3876B0F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0.256 </w:t>
            </w:r>
          </w:p>
        </w:tc>
        <w:tc>
          <w:tcPr>
            <w:tcW w:w="728" w:type="dxa"/>
            <w:tcBorders>
              <w:top w:val="nil"/>
              <w:left w:val="nil"/>
              <w:right w:val="nil"/>
            </w:tcBorders>
            <w:shd w:val="clear" w:color="auto" w:fill="auto"/>
            <w:noWrap/>
            <w:vAlign w:val="bottom"/>
            <w:hideMark/>
          </w:tcPr>
          <w:p w14:paraId="3C6FD7C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0.261 </w:t>
            </w:r>
          </w:p>
        </w:tc>
        <w:tc>
          <w:tcPr>
            <w:tcW w:w="728" w:type="dxa"/>
            <w:tcBorders>
              <w:top w:val="nil"/>
              <w:left w:val="nil"/>
              <w:right w:val="nil"/>
            </w:tcBorders>
            <w:shd w:val="clear" w:color="auto" w:fill="auto"/>
            <w:noWrap/>
            <w:vAlign w:val="bottom"/>
            <w:hideMark/>
          </w:tcPr>
          <w:p w14:paraId="29B51A2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0.373 </w:t>
            </w:r>
          </w:p>
        </w:tc>
        <w:tc>
          <w:tcPr>
            <w:tcW w:w="728" w:type="dxa"/>
            <w:tcBorders>
              <w:top w:val="nil"/>
              <w:left w:val="nil"/>
              <w:right w:val="nil"/>
            </w:tcBorders>
            <w:shd w:val="clear" w:color="auto" w:fill="auto"/>
            <w:noWrap/>
            <w:vAlign w:val="bottom"/>
            <w:hideMark/>
          </w:tcPr>
          <w:p w14:paraId="23B7FFA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0.460 </w:t>
            </w:r>
          </w:p>
        </w:tc>
        <w:tc>
          <w:tcPr>
            <w:tcW w:w="728" w:type="dxa"/>
            <w:tcBorders>
              <w:top w:val="nil"/>
              <w:left w:val="nil"/>
              <w:right w:val="nil"/>
            </w:tcBorders>
            <w:shd w:val="clear" w:color="auto" w:fill="auto"/>
            <w:noWrap/>
            <w:vAlign w:val="bottom"/>
            <w:hideMark/>
          </w:tcPr>
          <w:p w14:paraId="64D6EB0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0.352 </w:t>
            </w:r>
          </w:p>
        </w:tc>
        <w:tc>
          <w:tcPr>
            <w:tcW w:w="728" w:type="dxa"/>
            <w:tcBorders>
              <w:top w:val="nil"/>
              <w:left w:val="nil"/>
              <w:right w:val="nil"/>
            </w:tcBorders>
            <w:shd w:val="clear" w:color="auto" w:fill="auto"/>
            <w:noWrap/>
            <w:vAlign w:val="bottom"/>
            <w:hideMark/>
          </w:tcPr>
          <w:p w14:paraId="24034B1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0.409 </w:t>
            </w:r>
          </w:p>
        </w:tc>
        <w:tc>
          <w:tcPr>
            <w:tcW w:w="728" w:type="dxa"/>
            <w:tcBorders>
              <w:top w:val="nil"/>
              <w:left w:val="nil"/>
              <w:right w:val="nil"/>
            </w:tcBorders>
            <w:shd w:val="clear" w:color="auto" w:fill="auto"/>
            <w:noWrap/>
            <w:vAlign w:val="bottom"/>
            <w:hideMark/>
          </w:tcPr>
          <w:p w14:paraId="2D64087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0.275 </w:t>
            </w:r>
          </w:p>
        </w:tc>
        <w:tc>
          <w:tcPr>
            <w:tcW w:w="728" w:type="dxa"/>
            <w:tcBorders>
              <w:top w:val="nil"/>
              <w:left w:val="nil"/>
              <w:right w:val="nil"/>
            </w:tcBorders>
            <w:shd w:val="clear" w:color="auto" w:fill="auto"/>
            <w:noWrap/>
            <w:vAlign w:val="bottom"/>
            <w:hideMark/>
          </w:tcPr>
          <w:p w14:paraId="71A4D08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0.359 </w:t>
            </w:r>
          </w:p>
        </w:tc>
        <w:tc>
          <w:tcPr>
            <w:tcW w:w="728" w:type="dxa"/>
            <w:tcBorders>
              <w:top w:val="nil"/>
              <w:left w:val="nil"/>
              <w:right w:val="nil"/>
            </w:tcBorders>
            <w:shd w:val="clear" w:color="auto" w:fill="auto"/>
            <w:noWrap/>
            <w:vAlign w:val="bottom"/>
            <w:hideMark/>
          </w:tcPr>
          <w:p w14:paraId="5ADFF5E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0.256 </w:t>
            </w:r>
          </w:p>
        </w:tc>
        <w:tc>
          <w:tcPr>
            <w:tcW w:w="728" w:type="dxa"/>
            <w:tcBorders>
              <w:top w:val="nil"/>
              <w:left w:val="nil"/>
              <w:right w:val="nil"/>
            </w:tcBorders>
            <w:shd w:val="clear" w:color="auto" w:fill="auto"/>
            <w:noWrap/>
            <w:vAlign w:val="bottom"/>
            <w:hideMark/>
          </w:tcPr>
          <w:p w14:paraId="5CEA51B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0.299 </w:t>
            </w:r>
          </w:p>
        </w:tc>
      </w:tr>
      <w:tr w:rsidR="004431AA" w:rsidRPr="004431AA" w14:paraId="731898BD" w14:textId="77777777" w:rsidTr="002559BF">
        <w:trPr>
          <w:trHeight w:val="300"/>
        </w:trPr>
        <w:tc>
          <w:tcPr>
            <w:tcW w:w="1350" w:type="dxa"/>
            <w:tcBorders>
              <w:top w:val="nil"/>
              <w:left w:val="nil"/>
              <w:bottom w:val="single" w:sz="4" w:space="0" w:color="auto"/>
              <w:right w:val="nil"/>
            </w:tcBorders>
            <w:shd w:val="clear" w:color="auto" w:fill="auto"/>
            <w:noWrap/>
            <w:vAlign w:val="bottom"/>
            <w:hideMark/>
          </w:tcPr>
          <w:p w14:paraId="06977A8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tpA2D </w:t>
            </w:r>
          </w:p>
        </w:tc>
        <w:tc>
          <w:tcPr>
            <w:tcW w:w="728" w:type="dxa"/>
            <w:tcBorders>
              <w:top w:val="nil"/>
              <w:left w:val="nil"/>
              <w:bottom w:val="single" w:sz="4" w:space="0" w:color="auto"/>
              <w:right w:val="nil"/>
            </w:tcBorders>
            <w:shd w:val="clear" w:color="auto" w:fill="auto"/>
            <w:noWrap/>
            <w:vAlign w:val="bottom"/>
            <w:hideMark/>
          </w:tcPr>
          <w:p w14:paraId="7C45729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0.021 </w:t>
            </w:r>
          </w:p>
        </w:tc>
        <w:tc>
          <w:tcPr>
            <w:tcW w:w="728" w:type="dxa"/>
            <w:tcBorders>
              <w:top w:val="nil"/>
              <w:left w:val="nil"/>
              <w:bottom w:val="single" w:sz="4" w:space="0" w:color="auto"/>
              <w:right w:val="nil"/>
            </w:tcBorders>
            <w:shd w:val="clear" w:color="auto" w:fill="auto"/>
            <w:noWrap/>
            <w:vAlign w:val="bottom"/>
            <w:hideMark/>
          </w:tcPr>
          <w:p w14:paraId="0F4A4FB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0.033 </w:t>
            </w:r>
          </w:p>
        </w:tc>
        <w:tc>
          <w:tcPr>
            <w:tcW w:w="728" w:type="dxa"/>
            <w:tcBorders>
              <w:top w:val="nil"/>
              <w:left w:val="nil"/>
              <w:bottom w:val="single" w:sz="4" w:space="0" w:color="auto"/>
              <w:right w:val="nil"/>
            </w:tcBorders>
            <w:shd w:val="clear" w:color="auto" w:fill="auto"/>
            <w:noWrap/>
            <w:vAlign w:val="bottom"/>
            <w:hideMark/>
          </w:tcPr>
          <w:p w14:paraId="30E019B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0.008 </w:t>
            </w:r>
          </w:p>
        </w:tc>
        <w:tc>
          <w:tcPr>
            <w:tcW w:w="728" w:type="dxa"/>
            <w:tcBorders>
              <w:top w:val="nil"/>
              <w:left w:val="nil"/>
              <w:bottom w:val="single" w:sz="4" w:space="0" w:color="auto"/>
              <w:right w:val="nil"/>
            </w:tcBorders>
            <w:shd w:val="clear" w:color="auto" w:fill="auto"/>
            <w:noWrap/>
            <w:vAlign w:val="bottom"/>
            <w:hideMark/>
          </w:tcPr>
          <w:p w14:paraId="2048125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0.010 </w:t>
            </w:r>
          </w:p>
        </w:tc>
        <w:tc>
          <w:tcPr>
            <w:tcW w:w="728" w:type="dxa"/>
            <w:tcBorders>
              <w:top w:val="nil"/>
              <w:left w:val="nil"/>
              <w:bottom w:val="single" w:sz="4" w:space="0" w:color="auto"/>
              <w:right w:val="nil"/>
            </w:tcBorders>
            <w:shd w:val="clear" w:color="auto" w:fill="auto"/>
            <w:noWrap/>
            <w:vAlign w:val="bottom"/>
            <w:hideMark/>
          </w:tcPr>
          <w:p w14:paraId="07F58E8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72694D2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0.013 </w:t>
            </w:r>
          </w:p>
        </w:tc>
        <w:tc>
          <w:tcPr>
            <w:tcW w:w="728" w:type="dxa"/>
            <w:tcBorders>
              <w:top w:val="nil"/>
              <w:left w:val="nil"/>
              <w:bottom w:val="single" w:sz="4" w:space="0" w:color="auto"/>
              <w:right w:val="nil"/>
            </w:tcBorders>
            <w:shd w:val="clear" w:color="auto" w:fill="auto"/>
            <w:noWrap/>
            <w:vAlign w:val="bottom"/>
            <w:hideMark/>
          </w:tcPr>
          <w:p w14:paraId="4CC1738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347B1D2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0.029 </w:t>
            </w:r>
          </w:p>
        </w:tc>
        <w:tc>
          <w:tcPr>
            <w:tcW w:w="728" w:type="dxa"/>
            <w:tcBorders>
              <w:top w:val="nil"/>
              <w:left w:val="nil"/>
              <w:bottom w:val="single" w:sz="4" w:space="0" w:color="auto"/>
              <w:right w:val="nil"/>
            </w:tcBorders>
            <w:shd w:val="clear" w:color="auto" w:fill="auto"/>
            <w:noWrap/>
            <w:vAlign w:val="bottom"/>
            <w:hideMark/>
          </w:tcPr>
          <w:p w14:paraId="721B143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0.002 </w:t>
            </w:r>
          </w:p>
        </w:tc>
        <w:tc>
          <w:tcPr>
            <w:tcW w:w="728" w:type="dxa"/>
            <w:tcBorders>
              <w:top w:val="nil"/>
              <w:left w:val="nil"/>
              <w:bottom w:val="single" w:sz="4" w:space="0" w:color="auto"/>
              <w:right w:val="nil"/>
            </w:tcBorders>
            <w:shd w:val="clear" w:color="auto" w:fill="auto"/>
            <w:noWrap/>
            <w:vAlign w:val="bottom"/>
            <w:hideMark/>
          </w:tcPr>
          <w:p w14:paraId="13E3B67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0.001 </w:t>
            </w:r>
          </w:p>
        </w:tc>
        <w:tc>
          <w:tcPr>
            <w:tcW w:w="728" w:type="dxa"/>
            <w:tcBorders>
              <w:top w:val="nil"/>
              <w:left w:val="nil"/>
              <w:bottom w:val="single" w:sz="4" w:space="0" w:color="auto"/>
              <w:right w:val="nil"/>
            </w:tcBorders>
            <w:shd w:val="clear" w:color="auto" w:fill="auto"/>
            <w:noWrap/>
            <w:vAlign w:val="bottom"/>
            <w:hideMark/>
          </w:tcPr>
          <w:p w14:paraId="21DC7C8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0.008 </w:t>
            </w:r>
          </w:p>
        </w:tc>
        <w:tc>
          <w:tcPr>
            <w:tcW w:w="728" w:type="dxa"/>
            <w:tcBorders>
              <w:top w:val="nil"/>
              <w:left w:val="nil"/>
              <w:bottom w:val="single" w:sz="4" w:space="0" w:color="auto"/>
              <w:right w:val="nil"/>
            </w:tcBorders>
            <w:shd w:val="clear" w:color="auto" w:fill="auto"/>
            <w:noWrap/>
            <w:vAlign w:val="bottom"/>
            <w:hideMark/>
          </w:tcPr>
          <w:p w14:paraId="22A30E5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646995F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0.009 </w:t>
            </w:r>
          </w:p>
        </w:tc>
        <w:tc>
          <w:tcPr>
            <w:tcW w:w="728" w:type="dxa"/>
            <w:tcBorders>
              <w:top w:val="nil"/>
              <w:left w:val="nil"/>
              <w:bottom w:val="single" w:sz="4" w:space="0" w:color="auto"/>
              <w:right w:val="nil"/>
            </w:tcBorders>
            <w:shd w:val="clear" w:color="auto" w:fill="auto"/>
            <w:noWrap/>
            <w:vAlign w:val="bottom"/>
            <w:hideMark/>
          </w:tcPr>
          <w:p w14:paraId="41AA07D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0.027 </w:t>
            </w:r>
          </w:p>
        </w:tc>
        <w:tc>
          <w:tcPr>
            <w:tcW w:w="728" w:type="dxa"/>
            <w:tcBorders>
              <w:top w:val="nil"/>
              <w:left w:val="nil"/>
              <w:bottom w:val="single" w:sz="4" w:space="0" w:color="auto"/>
              <w:right w:val="nil"/>
            </w:tcBorders>
            <w:shd w:val="clear" w:color="auto" w:fill="auto"/>
            <w:noWrap/>
            <w:vAlign w:val="bottom"/>
            <w:hideMark/>
          </w:tcPr>
          <w:p w14:paraId="32FB429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0.022 </w:t>
            </w:r>
          </w:p>
        </w:tc>
        <w:tc>
          <w:tcPr>
            <w:tcW w:w="728" w:type="dxa"/>
            <w:tcBorders>
              <w:top w:val="nil"/>
              <w:left w:val="nil"/>
              <w:bottom w:val="single" w:sz="4" w:space="0" w:color="auto"/>
              <w:right w:val="nil"/>
            </w:tcBorders>
            <w:shd w:val="clear" w:color="auto" w:fill="auto"/>
            <w:noWrap/>
            <w:vAlign w:val="bottom"/>
            <w:hideMark/>
          </w:tcPr>
          <w:p w14:paraId="6C361D8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0.040 </w:t>
            </w:r>
          </w:p>
        </w:tc>
      </w:tr>
      <w:tr w:rsidR="004431AA" w:rsidRPr="004431AA" w14:paraId="55E1AF25" w14:textId="77777777" w:rsidTr="002559BF">
        <w:trPr>
          <w:trHeight w:val="300"/>
        </w:trPr>
        <w:tc>
          <w:tcPr>
            <w:tcW w:w="12998" w:type="dxa"/>
            <w:gridSpan w:val="17"/>
            <w:tcBorders>
              <w:top w:val="single" w:sz="4" w:space="0" w:color="auto"/>
              <w:left w:val="nil"/>
              <w:bottom w:val="nil"/>
              <w:right w:val="nil"/>
            </w:tcBorders>
            <w:shd w:val="clear" w:color="auto" w:fill="auto"/>
            <w:noWrap/>
            <w:vAlign w:val="bottom"/>
            <w:hideMark/>
          </w:tcPr>
          <w:p w14:paraId="4BC168E3" w14:textId="00D510C6"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 xml:space="preserve"> Transitions from state A (in treatment) for Treatment </w:t>
            </w:r>
            <w:r w:rsidR="00545D7B">
              <w:rPr>
                <w:rFonts w:eastAsia="Times New Roman" w:cs="Arial"/>
                <w:i/>
                <w:iCs/>
                <w:color w:val="000000"/>
                <w:sz w:val="20"/>
                <w:szCs w:val="20"/>
                <w:lang w:eastAsia="en-GB"/>
              </w:rPr>
              <w:t>plus</w:t>
            </w:r>
            <w:r w:rsidRPr="004431AA">
              <w:rPr>
                <w:rFonts w:eastAsia="Times New Roman" w:cs="Arial"/>
                <w:i/>
                <w:iCs/>
                <w:color w:val="000000"/>
                <w:sz w:val="20"/>
                <w:szCs w:val="20"/>
                <w:lang w:eastAsia="en-GB"/>
              </w:rPr>
              <w:t xml:space="preserve"> parenting and/or family recovery support  </w:t>
            </w:r>
          </w:p>
        </w:tc>
      </w:tr>
      <w:tr w:rsidR="004431AA" w:rsidRPr="004431AA" w14:paraId="21200548" w14:textId="77777777" w:rsidTr="002559BF">
        <w:trPr>
          <w:trHeight w:val="300"/>
        </w:trPr>
        <w:tc>
          <w:tcPr>
            <w:tcW w:w="1350" w:type="dxa"/>
            <w:tcBorders>
              <w:top w:val="nil"/>
              <w:left w:val="nil"/>
              <w:bottom w:val="nil"/>
              <w:right w:val="nil"/>
            </w:tcBorders>
            <w:shd w:val="clear" w:color="auto" w:fill="auto"/>
            <w:noWrap/>
            <w:vAlign w:val="bottom"/>
            <w:hideMark/>
          </w:tcPr>
          <w:p w14:paraId="4E0900B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tpA2A_2 </w:t>
            </w:r>
          </w:p>
        </w:tc>
        <w:tc>
          <w:tcPr>
            <w:tcW w:w="728" w:type="dxa"/>
            <w:tcBorders>
              <w:top w:val="nil"/>
              <w:left w:val="nil"/>
              <w:bottom w:val="nil"/>
              <w:right w:val="nil"/>
            </w:tcBorders>
            <w:shd w:val="clear" w:color="auto" w:fill="auto"/>
            <w:noWrap/>
            <w:vAlign w:val="bottom"/>
            <w:hideMark/>
          </w:tcPr>
          <w:p w14:paraId="4A6E853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0.055 </w:t>
            </w:r>
          </w:p>
        </w:tc>
        <w:tc>
          <w:tcPr>
            <w:tcW w:w="728" w:type="dxa"/>
            <w:tcBorders>
              <w:top w:val="nil"/>
              <w:left w:val="nil"/>
              <w:bottom w:val="nil"/>
              <w:right w:val="nil"/>
            </w:tcBorders>
            <w:shd w:val="clear" w:color="auto" w:fill="auto"/>
            <w:noWrap/>
            <w:vAlign w:val="bottom"/>
            <w:hideMark/>
          </w:tcPr>
          <w:p w14:paraId="0CF9630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0.092 </w:t>
            </w:r>
          </w:p>
        </w:tc>
        <w:tc>
          <w:tcPr>
            <w:tcW w:w="728" w:type="dxa"/>
            <w:tcBorders>
              <w:top w:val="nil"/>
              <w:left w:val="nil"/>
              <w:bottom w:val="nil"/>
              <w:right w:val="nil"/>
            </w:tcBorders>
            <w:shd w:val="clear" w:color="auto" w:fill="auto"/>
            <w:noWrap/>
            <w:vAlign w:val="bottom"/>
            <w:hideMark/>
          </w:tcPr>
          <w:p w14:paraId="5659BBE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0.119 </w:t>
            </w:r>
          </w:p>
        </w:tc>
        <w:tc>
          <w:tcPr>
            <w:tcW w:w="728" w:type="dxa"/>
            <w:tcBorders>
              <w:top w:val="nil"/>
              <w:left w:val="nil"/>
              <w:bottom w:val="nil"/>
              <w:right w:val="nil"/>
            </w:tcBorders>
            <w:shd w:val="clear" w:color="auto" w:fill="auto"/>
            <w:noWrap/>
            <w:vAlign w:val="bottom"/>
            <w:hideMark/>
          </w:tcPr>
          <w:p w14:paraId="4B8B0A2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0.163 </w:t>
            </w:r>
          </w:p>
        </w:tc>
        <w:tc>
          <w:tcPr>
            <w:tcW w:w="728" w:type="dxa"/>
            <w:tcBorders>
              <w:top w:val="nil"/>
              <w:left w:val="nil"/>
              <w:bottom w:val="nil"/>
              <w:right w:val="nil"/>
            </w:tcBorders>
            <w:shd w:val="clear" w:color="auto" w:fill="auto"/>
            <w:noWrap/>
            <w:vAlign w:val="bottom"/>
            <w:hideMark/>
          </w:tcPr>
          <w:p w14:paraId="3012381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0.159 </w:t>
            </w:r>
          </w:p>
        </w:tc>
        <w:tc>
          <w:tcPr>
            <w:tcW w:w="728" w:type="dxa"/>
            <w:tcBorders>
              <w:top w:val="nil"/>
              <w:left w:val="nil"/>
              <w:bottom w:val="nil"/>
              <w:right w:val="nil"/>
            </w:tcBorders>
            <w:shd w:val="clear" w:color="auto" w:fill="auto"/>
            <w:noWrap/>
            <w:vAlign w:val="bottom"/>
            <w:hideMark/>
          </w:tcPr>
          <w:p w14:paraId="45FE98B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0.152 </w:t>
            </w:r>
          </w:p>
        </w:tc>
        <w:tc>
          <w:tcPr>
            <w:tcW w:w="728" w:type="dxa"/>
            <w:tcBorders>
              <w:top w:val="nil"/>
              <w:left w:val="nil"/>
              <w:bottom w:val="nil"/>
              <w:right w:val="nil"/>
            </w:tcBorders>
            <w:shd w:val="clear" w:color="auto" w:fill="auto"/>
            <w:noWrap/>
            <w:vAlign w:val="bottom"/>
            <w:hideMark/>
          </w:tcPr>
          <w:p w14:paraId="5336179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0.134 </w:t>
            </w:r>
          </w:p>
        </w:tc>
        <w:tc>
          <w:tcPr>
            <w:tcW w:w="728" w:type="dxa"/>
            <w:tcBorders>
              <w:top w:val="nil"/>
              <w:left w:val="nil"/>
              <w:bottom w:val="nil"/>
              <w:right w:val="nil"/>
            </w:tcBorders>
            <w:shd w:val="clear" w:color="auto" w:fill="auto"/>
            <w:noWrap/>
            <w:vAlign w:val="bottom"/>
            <w:hideMark/>
          </w:tcPr>
          <w:p w14:paraId="5D3518D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0.160 </w:t>
            </w:r>
          </w:p>
        </w:tc>
        <w:tc>
          <w:tcPr>
            <w:tcW w:w="728" w:type="dxa"/>
            <w:tcBorders>
              <w:top w:val="nil"/>
              <w:left w:val="nil"/>
              <w:bottom w:val="nil"/>
              <w:right w:val="nil"/>
            </w:tcBorders>
            <w:shd w:val="clear" w:color="auto" w:fill="auto"/>
            <w:noWrap/>
            <w:vAlign w:val="bottom"/>
            <w:hideMark/>
          </w:tcPr>
          <w:p w14:paraId="5907918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0.015 </w:t>
            </w:r>
          </w:p>
        </w:tc>
        <w:tc>
          <w:tcPr>
            <w:tcW w:w="728" w:type="dxa"/>
            <w:tcBorders>
              <w:top w:val="nil"/>
              <w:left w:val="nil"/>
              <w:bottom w:val="nil"/>
              <w:right w:val="nil"/>
            </w:tcBorders>
            <w:shd w:val="clear" w:color="auto" w:fill="auto"/>
            <w:noWrap/>
            <w:vAlign w:val="bottom"/>
            <w:hideMark/>
          </w:tcPr>
          <w:p w14:paraId="1267C21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0.058 </w:t>
            </w:r>
          </w:p>
        </w:tc>
        <w:tc>
          <w:tcPr>
            <w:tcW w:w="728" w:type="dxa"/>
            <w:tcBorders>
              <w:top w:val="nil"/>
              <w:left w:val="nil"/>
              <w:bottom w:val="nil"/>
              <w:right w:val="nil"/>
            </w:tcBorders>
            <w:shd w:val="clear" w:color="auto" w:fill="auto"/>
            <w:noWrap/>
            <w:vAlign w:val="bottom"/>
            <w:hideMark/>
          </w:tcPr>
          <w:p w14:paraId="318CB29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0.102 </w:t>
            </w:r>
          </w:p>
        </w:tc>
        <w:tc>
          <w:tcPr>
            <w:tcW w:w="728" w:type="dxa"/>
            <w:tcBorders>
              <w:top w:val="nil"/>
              <w:left w:val="nil"/>
              <w:bottom w:val="nil"/>
              <w:right w:val="nil"/>
            </w:tcBorders>
            <w:shd w:val="clear" w:color="auto" w:fill="auto"/>
            <w:noWrap/>
            <w:vAlign w:val="bottom"/>
            <w:hideMark/>
          </w:tcPr>
          <w:p w14:paraId="7DACD97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0.139 </w:t>
            </w:r>
          </w:p>
        </w:tc>
        <w:tc>
          <w:tcPr>
            <w:tcW w:w="728" w:type="dxa"/>
            <w:tcBorders>
              <w:top w:val="nil"/>
              <w:left w:val="nil"/>
              <w:bottom w:val="nil"/>
              <w:right w:val="nil"/>
            </w:tcBorders>
            <w:shd w:val="clear" w:color="auto" w:fill="auto"/>
            <w:noWrap/>
            <w:vAlign w:val="bottom"/>
            <w:hideMark/>
          </w:tcPr>
          <w:p w14:paraId="6B20BA4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0.127 </w:t>
            </w:r>
          </w:p>
        </w:tc>
        <w:tc>
          <w:tcPr>
            <w:tcW w:w="728" w:type="dxa"/>
            <w:tcBorders>
              <w:top w:val="nil"/>
              <w:left w:val="nil"/>
              <w:bottom w:val="nil"/>
              <w:right w:val="nil"/>
            </w:tcBorders>
            <w:shd w:val="clear" w:color="auto" w:fill="auto"/>
            <w:noWrap/>
            <w:vAlign w:val="bottom"/>
            <w:hideMark/>
          </w:tcPr>
          <w:p w14:paraId="6196E0E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0.168 </w:t>
            </w:r>
          </w:p>
        </w:tc>
        <w:tc>
          <w:tcPr>
            <w:tcW w:w="728" w:type="dxa"/>
            <w:tcBorders>
              <w:top w:val="nil"/>
              <w:left w:val="nil"/>
              <w:bottom w:val="nil"/>
              <w:right w:val="nil"/>
            </w:tcBorders>
            <w:shd w:val="clear" w:color="auto" w:fill="auto"/>
            <w:noWrap/>
            <w:vAlign w:val="bottom"/>
            <w:hideMark/>
          </w:tcPr>
          <w:p w14:paraId="743DDC4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0.121 </w:t>
            </w:r>
          </w:p>
        </w:tc>
        <w:tc>
          <w:tcPr>
            <w:tcW w:w="728" w:type="dxa"/>
            <w:tcBorders>
              <w:top w:val="nil"/>
              <w:left w:val="nil"/>
              <w:bottom w:val="nil"/>
              <w:right w:val="nil"/>
            </w:tcBorders>
            <w:shd w:val="clear" w:color="auto" w:fill="auto"/>
            <w:noWrap/>
            <w:vAlign w:val="bottom"/>
            <w:hideMark/>
          </w:tcPr>
          <w:p w14:paraId="0439312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0.156 </w:t>
            </w:r>
          </w:p>
        </w:tc>
      </w:tr>
      <w:tr w:rsidR="004431AA" w:rsidRPr="004431AA" w14:paraId="351DAA99" w14:textId="77777777" w:rsidTr="002559BF">
        <w:trPr>
          <w:trHeight w:val="300"/>
        </w:trPr>
        <w:tc>
          <w:tcPr>
            <w:tcW w:w="1350" w:type="dxa"/>
            <w:tcBorders>
              <w:top w:val="nil"/>
              <w:left w:val="nil"/>
              <w:bottom w:val="nil"/>
              <w:right w:val="nil"/>
            </w:tcBorders>
            <w:shd w:val="clear" w:color="auto" w:fill="auto"/>
            <w:noWrap/>
            <w:vAlign w:val="bottom"/>
            <w:hideMark/>
          </w:tcPr>
          <w:p w14:paraId="647759A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tpA2B_2 </w:t>
            </w:r>
          </w:p>
        </w:tc>
        <w:tc>
          <w:tcPr>
            <w:tcW w:w="728" w:type="dxa"/>
            <w:tcBorders>
              <w:top w:val="nil"/>
              <w:left w:val="nil"/>
              <w:bottom w:val="nil"/>
              <w:right w:val="nil"/>
            </w:tcBorders>
            <w:shd w:val="clear" w:color="auto" w:fill="auto"/>
            <w:noWrap/>
            <w:vAlign w:val="bottom"/>
            <w:hideMark/>
          </w:tcPr>
          <w:p w14:paraId="51B6FB8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0.787 </w:t>
            </w:r>
          </w:p>
        </w:tc>
        <w:tc>
          <w:tcPr>
            <w:tcW w:w="728" w:type="dxa"/>
            <w:tcBorders>
              <w:top w:val="nil"/>
              <w:left w:val="nil"/>
              <w:bottom w:val="nil"/>
              <w:right w:val="nil"/>
            </w:tcBorders>
            <w:shd w:val="clear" w:color="auto" w:fill="auto"/>
            <w:noWrap/>
            <w:vAlign w:val="bottom"/>
            <w:hideMark/>
          </w:tcPr>
          <w:p w14:paraId="73DBB1F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0.575 </w:t>
            </w:r>
          </w:p>
        </w:tc>
        <w:tc>
          <w:tcPr>
            <w:tcW w:w="728" w:type="dxa"/>
            <w:tcBorders>
              <w:top w:val="nil"/>
              <w:left w:val="nil"/>
              <w:bottom w:val="nil"/>
              <w:right w:val="nil"/>
            </w:tcBorders>
            <w:shd w:val="clear" w:color="auto" w:fill="auto"/>
            <w:noWrap/>
            <w:vAlign w:val="bottom"/>
            <w:hideMark/>
          </w:tcPr>
          <w:p w14:paraId="4E48629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0.732 </w:t>
            </w:r>
          </w:p>
        </w:tc>
        <w:tc>
          <w:tcPr>
            <w:tcW w:w="728" w:type="dxa"/>
            <w:tcBorders>
              <w:top w:val="nil"/>
              <w:left w:val="nil"/>
              <w:bottom w:val="nil"/>
              <w:right w:val="nil"/>
            </w:tcBorders>
            <w:shd w:val="clear" w:color="auto" w:fill="auto"/>
            <w:noWrap/>
            <w:vAlign w:val="bottom"/>
            <w:hideMark/>
          </w:tcPr>
          <w:p w14:paraId="49FA5A4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0.545 </w:t>
            </w:r>
          </w:p>
        </w:tc>
        <w:tc>
          <w:tcPr>
            <w:tcW w:w="728" w:type="dxa"/>
            <w:tcBorders>
              <w:top w:val="nil"/>
              <w:left w:val="nil"/>
              <w:bottom w:val="nil"/>
              <w:right w:val="nil"/>
            </w:tcBorders>
            <w:shd w:val="clear" w:color="auto" w:fill="auto"/>
            <w:noWrap/>
            <w:vAlign w:val="bottom"/>
            <w:hideMark/>
          </w:tcPr>
          <w:p w14:paraId="2466041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0.675 </w:t>
            </w:r>
          </w:p>
        </w:tc>
        <w:tc>
          <w:tcPr>
            <w:tcW w:w="728" w:type="dxa"/>
            <w:tcBorders>
              <w:top w:val="nil"/>
              <w:left w:val="nil"/>
              <w:bottom w:val="nil"/>
              <w:right w:val="nil"/>
            </w:tcBorders>
            <w:shd w:val="clear" w:color="auto" w:fill="auto"/>
            <w:noWrap/>
            <w:vAlign w:val="bottom"/>
            <w:hideMark/>
          </w:tcPr>
          <w:p w14:paraId="78B816A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0.667 </w:t>
            </w:r>
          </w:p>
        </w:tc>
        <w:tc>
          <w:tcPr>
            <w:tcW w:w="728" w:type="dxa"/>
            <w:tcBorders>
              <w:top w:val="nil"/>
              <w:left w:val="nil"/>
              <w:bottom w:val="nil"/>
              <w:right w:val="nil"/>
            </w:tcBorders>
            <w:shd w:val="clear" w:color="auto" w:fill="auto"/>
            <w:noWrap/>
            <w:vAlign w:val="bottom"/>
            <w:hideMark/>
          </w:tcPr>
          <w:p w14:paraId="494A3A9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0.710 </w:t>
            </w:r>
          </w:p>
        </w:tc>
        <w:tc>
          <w:tcPr>
            <w:tcW w:w="728" w:type="dxa"/>
            <w:tcBorders>
              <w:top w:val="nil"/>
              <w:left w:val="nil"/>
              <w:bottom w:val="nil"/>
              <w:right w:val="nil"/>
            </w:tcBorders>
            <w:shd w:val="clear" w:color="auto" w:fill="auto"/>
            <w:noWrap/>
            <w:vAlign w:val="bottom"/>
            <w:hideMark/>
          </w:tcPr>
          <w:p w14:paraId="3FB6B3F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0.636 </w:t>
            </w:r>
          </w:p>
        </w:tc>
        <w:tc>
          <w:tcPr>
            <w:tcW w:w="728" w:type="dxa"/>
            <w:tcBorders>
              <w:top w:val="nil"/>
              <w:left w:val="nil"/>
              <w:bottom w:val="nil"/>
              <w:right w:val="nil"/>
            </w:tcBorders>
            <w:shd w:val="clear" w:color="auto" w:fill="auto"/>
            <w:noWrap/>
            <w:vAlign w:val="bottom"/>
            <w:hideMark/>
          </w:tcPr>
          <w:p w14:paraId="5F22969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0.731 </w:t>
            </w:r>
          </w:p>
        </w:tc>
        <w:tc>
          <w:tcPr>
            <w:tcW w:w="728" w:type="dxa"/>
            <w:tcBorders>
              <w:top w:val="nil"/>
              <w:left w:val="nil"/>
              <w:bottom w:val="nil"/>
              <w:right w:val="nil"/>
            </w:tcBorders>
            <w:shd w:val="clear" w:color="auto" w:fill="auto"/>
            <w:noWrap/>
            <w:vAlign w:val="bottom"/>
            <w:hideMark/>
          </w:tcPr>
          <w:p w14:paraId="4CF72D5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0.568 </w:t>
            </w:r>
          </w:p>
        </w:tc>
        <w:tc>
          <w:tcPr>
            <w:tcW w:w="728" w:type="dxa"/>
            <w:tcBorders>
              <w:top w:val="nil"/>
              <w:left w:val="nil"/>
              <w:bottom w:val="nil"/>
              <w:right w:val="nil"/>
            </w:tcBorders>
            <w:shd w:val="clear" w:color="auto" w:fill="auto"/>
            <w:noWrap/>
            <w:vAlign w:val="bottom"/>
            <w:hideMark/>
          </w:tcPr>
          <w:p w14:paraId="4193355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0.644 </w:t>
            </w:r>
          </w:p>
        </w:tc>
        <w:tc>
          <w:tcPr>
            <w:tcW w:w="728" w:type="dxa"/>
            <w:tcBorders>
              <w:top w:val="nil"/>
              <w:left w:val="nil"/>
              <w:bottom w:val="nil"/>
              <w:right w:val="nil"/>
            </w:tcBorders>
            <w:shd w:val="clear" w:color="auto" w:fill="auto"/>
            <w:noWrap/>
            <w:vAlign w:val="bottom"/>
            <w:hideMark/>
          </w:tcPr>
          <w:p w14:paraId="47719F5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0.520 </w:t>
            </w:r>
          </w:p>
        </w:tc>
        <w:tc>
          <w:tcPr>
            <w:tcW w:w="728" w:type="dxa"/>
            <w:tcBorders>
              <w:top w:val="nil"/>
              <w:left w:val="nil"/>
              <w:bottom w:val="nil"/>
              <w:right w:val="nil"/>
            </w:tcBorders>
            <w:shd w:val="clear" w:color="auto" w:fill="auto"/>
            <w:noWrap/>
            <w:vAlign w:val="bottom"/>
            <w:hideMark/>
          </w:tcPr>
          <w:p w14:paraId="6CFBE0C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0.704 </w:t>
            </w:r>
          </w:p>
        </w:tc>
        <w:tc>
          <w:tcPr>
            <w:tcW w:w="728" w:type="dxa"/>
            <w:tcBorders>
              <w:top w:val="nil"/>
              <w:left w:val="nil"/>
              <w:bottom w:val="nil"/>
              <w:right w:val="nil"/>
            </w:tcBorders>
            <w:shd w:val="clear" w:color="auto" w:fill="auto"/>
            <w:noWrap/>
            <w:vAlign w:val="bottom"/>
            <w:hideMark/>
          </w:tcPr>
          <w:p w14:paraId="15EAB69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0.526 </w:t>
            </w:r>
          </w:p>
        </w:tc>
        <w:tc>
          <w:tcPr>
            <w:tcW w:w="728" w:type="dxa"/>
            <w:tcBorders>
              <w:top w:val="nil"/>
              <w:left w:val="nil"/>
              <w:bottom w:val="nil"/>
              <w:right w:val="nil"/>
            </w:tcBorders>
            <w:shd w:val="clear" w:color="auto" w:fill="auto"/>
            <w:noWrap/>
            <w:vAlign w:val="bottom"/>
            <w:hideMark/>
          </w:tcPr>
          <w:p w14:paraId="686A99C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0.719 </w:t>
            </w:r>
          </w:p>
        </w:tc>
        <w:tc>
          <w:tcPr>
            <w:tcW w:w="728" w:type="dxa"/>
            <w:tcBorders>
              <w:top w:val="nil"/>
              <w:left w:val="nil"/>
              <w:bottom w:val="nil"/>
              <w:right w:val="nil"/>
            </w:tcBorders>
            <w:shd w:val="clear" w:color="auto" w:fill="auto"/>
            <w:noWrap/>
            <w:vAlign w:val="bottom"/>
            <w:hideMark/>
          </w:tcPr>
          <w:p w14:paraId="5C9AAE4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0.596 </w:t>
            </w:r>
          </w:p>
        </w:tc>
      </w:tr>
      <w:tr w:rsidR="004431AA" w:rsidRPr="004431AA" w14:paraId="2AC1C8BD" w14:textId="77777777" w:rsidTr="002559BF">
        <w:trPr>
          <w:trHeight w:val="300"/>
        </w:trPr>
        <w:tc>
          <w:tcPr>
            <w:tcW w:w="1350" w:type="dxa"/>
            <w:tcBorders>
              <w:top w:val="nil"/>
              <w:left w:val="nil"/>
              <w:right w:val="nil"/>
            </w:tcBorders>
            <w:shd w:val="clear" w:color="auto" w:fill="auto"/>
            <w:noWrap/>
            <w:vAlign w:val="bottom"/>
            <w:hideMark/>
          </w:tcPr>
          <w:p w14:paraId="4E26754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tpA2C_2 </w:t>
            </w:r>
          </w:p>
        </w:tc>
        <w:tc>
          <w:tcPr>
            <w:tcW w:w="728" w:type="dxa"/>
            <w:tcBorders>
              <w:top w:val="nil"/>
              <w:left w:val="nil"/>
              <w:right w:val="nil"/>
            </w:tcBorders>
            <w:shd w:val="clear" w:color="auto" w:fill="auto"/>
            <w:noWrap/>
            <w:vAlign w:val="bottom"/>
            <w:hideMark/>
          </w:tcPr>
          <w:p w14:paraId="346D88B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0.137 </w:t>
            </w:r>
          </w:p>
        </w:tc>
        <w:tc>
          <w:tcPr>
            <w:tcW w:w="728" w:type="dxa"/>
            <w:tcBorders>
              <w:top w:val="nil"/>
              <w:left w:val="nil"/>
              <w:right w:val="nil"/>
            </w:tcBorders>
            <w:shd w:val="clear" w:color="auto" w:fill="auto"/>
            <w:noWrap/>
            <w:vAlign w:val="bottom"/>
            <w:hideMark/>
          </w:tcPr>
          <w:p w14:paraId="6921EA1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0.300 </w:t>
            </w:r>
          </w:p>
        </w:tc>
        <w:tc>
          <w:tcPr>
            <w:tcW w:w="728" w:type="dxa"/>
            <w:tcBorders>
              <w:top w:val="nil"/>
              <w:left w:val="nil"/>
              <w:right w:val="nil"/>
            </w:tcBorders>
            <w:shd w:val="clear" w:color="auto" w:fill="auto"/>
            <w:noWrap/>
            <w:vAlign w:val="bottom"/>
            <w:hideMark/>
          </w:tcPr>
          <w:p w14:paraId="551E042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0.140 </w:t>
            </w:r>
          </w:p>
        </w:tc>
        <w:tc>
          <w:tcPr>
            <w:tcW w:w="728" w:type="dxa"/>
            <w:tcBorders>
              <w:top w:val="nil"/>
              <w:left w:val="nil"/>
              <w:right w:val="nil"/>
            </w:tcBorders>
            <w:shd w:val="clear" w:color="auto" w:fill="auto"/>
            <w:noWrap/>
            <w:vAlign w:val="bottom"/>
            <w:hideMark/>
          </w:tcPr>
          <w:p w14:paraId="7B92A59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0.282 </w:t>
            </w:r>
          </w:p>
        </w:tc>
        <w:tc>
          <w:tcPr>
            <w:tcW w:w="728" w:type="dxa"/>
            <w:tcBorders>
              <w:top w:val="nil"/>
              <w:left w:val="nil"/>
              <w:right w:val="nil"/>
            </w:tcBorders>
            <w:shd w:val="clear" w:color="auto" w:fill="auto"/>
            <w:noWrap/>
            <w:vAlign w:val="bottom"/>
            <w:hideMark/>
          </w:tcPr>
          <w:p w14:paraId="43E8302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0.155 </w:t>
            </w:r>
          </w:p>
        </w:tc>
        <w:tc>
          <w:tcPr>
            <w:tcW w:w="728" w:type="dxa"/>
            <w:tcBorders>
              <w:top w:val="nil"/>
              <w:left w:val="nil"/>
              <w:right w:val="nil"/>
            </w:tcBorders>
            <w:shd w:val="clear" w:color="auto" w:fill="auto"/>
            <w:noWrap/>
            <w:vAlign w:val="bottom"/>
            <w:hideMark/>
          </w:tcPr>
          <w:p w14:paraId="3D8C4A5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0.168 </w:t>
            </w:r>
          </w:p>
        </w:tc>
        <w:tc>
          <w:tcPr>
            <w:tcW w:w="728" w:type="dxa"/>
            <w:tcBorders>
              <w:top w:val="nil"/>
              <w:left w:val="nil"/>
              <w:right w:val="nil"/>
            </w:tcBorders>
            <w:shd w:val="clear" w:color="auto" w:fill="auto"/>
            <w:noWrap/>
            <w:vAlign w:val="bottom"/>
            <w:hideMark/>
          </w:tcPr>
          <w:p w14:paraId="4A0BF2D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0.144 </w:t>
            </w:r>
          </w:p>
        </w:tc>
        <w:tc>
          <w:tcPr>
            <w:tcW w:w="728" w:type="dxa"/>
            <w:tcBorders>
              <w:top w:val="nil"/>
              <w:left w:val="nil"/>
              <w:right w:val="nil"/>
            </w:tcBorders>
            <w:shd w:val="clear" w:color="auto" w:fill="auto"/>
            <w:noWrap/>
            <w:vAlign w:val="bottom"/>
            <w:hideMark/>
          </w:tcPr>
          <w:p w14:paraId="476F439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0.175 </w:t>
            </w:r>
          </w:p>
        </w:tc>
        <w:tc>
          <w:tcPr>
            <w:tcW w:w="728" w:type="dxa"/>
            <w:tcBorders>
              <w:top w:val="nil"/>
              <w:left w:val="nil"/>
              <w:right w:val="nil"/>
            </w:tcBorders>
            <w:shd w:val="clear" w:color="auto" w:fill="auto"/>
            <w:noWrap/>
            <w:vAlign w:val="bottom"/>
            <w:hideMark/>
          </w:tcPr>
          <w:p w14:paraId="128202B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0.253 </w:t>
            </w:r>
          </w:p>
        </w:tc>
        <w:tc>
          <w:tcPr>
            <w:tcW w:w="728" w:type="dxa"/>
            <w:tcBorders>
              <w:top w:val="nil"/>
              <w:left w:val="nil"/>
              <w:right w:val="nil"/>
            </w:tcBorders>
            <w:shd w:val="clear" w:color="auto" w:fill="auto"/>
            <w:noWrap/>
            <w:vAlign w:val="bottom"/>
            <w:hideMark/>
          </w:tcPr>
          <w:p w14:paraId="20AF7CD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0.374 </w:t>
            </w:r>
          </w:p>
        </w:tc>
        <w:tc>
          <w:tcPr>
            <w:tcW w:w="728" w:type="dxa"/>
            <w:tcBorders>
              <w:top w:val="nil"/>
              <w:left w:val="nil"/>
              <w:right w:val="nil"/>
            </w:tcBorders>
            <w:shd w:val="clear" w:color="auto" w:fill="auto"/>
            <w:noWrap/>
            <w:vAlign w:val="bottom"/>
            <w:hideMark/>
          </w:tcPr>
          <w:p w14:paraId="0755848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0.246 </w:t>
            </w:r>
          </w:p>
        </w:tc>
        <w:tc>
          <w:tcPr>
            <w:tcW w:w="728" w:type="dxa"/>
            <w:tcBorders>
              <w:top w:val="nil"/>
              <w:left w:val="nil"/>
              <w:right w:val="nil"/>
            </w:tcBorders>
            <w:shd w:val="clear" w:color="auto" w:fill="auto"/>
            <w:noWrap/>
            <w:vAlign w:val="bottom"/>
            <w:hideMark/>
          </w:tcPr>
          <w:p w14:paraId="76C9CD8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0.329 </w:t>
            </w:r>
          </w:p>
        </w:tc>
        <w:tc>
          <w:tcPr>
            <w:tcW w:w="728" w:type="dxa"/>
            <w:tcBorders>
              <w:top w:val="nil"/>
              <w:left w:val="nil"/>
              <w:right w:val="nil"/>
            </w:tcBorders>
            <w:shd w:val="clear" w:color="auto" w:fill="auto"/>
            <w:noWrap/>
            <w:vAlign w:val="bottom"/>
            <w:hideMark/>
          </w:tcPr>
          <w:p w14:paraId="36DEFE3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0.160 </w:t>
            </w:r>
          </w:p>
        </w:tc>
        <w:tc>
          <w:tcPr>
            <w:tcW w:w="728" w:type="dxa"/>
            <w:tcBorders>
              <w:top w:val="nil"/>
              <w:left w:val="nil"/>
              <w:right w:val="nil"/>
            </w:tcBorders>
            <w:shd w:val="clear" w:color="auto" w:fill="auto"/>
            <w:noWrap/>
            <w:vAlign w:val="bottom"/>
            <w:hideMark/>
          </w:tcPr>
          <w:p w14:paraId="23CAC71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0.279 </w:t>
            </w:r>
          </w:p>
        </w:tc>
        <w:tc>
          <w:tcPr>
            <w:tcW w:w="728" w:type="dxa"/>
            <w:tcBorders>
              <w:top w:val="nil"/>
              <w:left w:val="nil"/>
              <w:right w:val="nil"/>
            </w:tcBorders>
            <w:shd w:val="clear" w:color="auto" w:fill="auto"/>
            <w:noWrap/>
            <w:vAlign w:val="bottom"/>
            <w:hideMark/>
          </w:tcPr>
          <w:p w14:paraId="3543972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0.139 </w:t>
            </w:r>
          </w:p>
        </w:tc>
        <w:tc>
          <w:tcPr>
            <w:tcW w:w="728" w:type="dxa"/>
            <w:tcBorders>
              <w:top w:val="nil"/>
              <w:left w:val="nil"/>
              <w:right w:val="nil"/>
            </w:tcBorders>
            <w:shd w:val="clear" w:color="auto" w:fill="auto"/>
            <w:noWrap/>
            <w:vAlign w:val="bottom"/>
            <w:hideMark/>
          </w:tcPr>
          <w:p w14:paraId="7D0B04B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0.208 </w:t>
            </w:r>
          </w:p>
        </w:tc>
      </w:tr>
      <w:tr w:rsidR="004431AA" w:rsidRPr="004431AA" w14:paraId="63129A28" w14:textId="77777777" w:rsidTr="002559BF">
        <w:trPr>
          <w:trHeight w:val="300"/>
        </w:trPr>
        <w:tc>
          <w:tcPr>
            <w:tcW w:w="1350" w:type="dxa"/>
            <w:tcBorders>
              <w:top w:val="nil"/>
              <w:left w:val="nil"/>
              <w:bottom w:val="single" w:sz="4" w:space="0" w:color="auto"/>
              <w:right w:val="nil"/>
            </w:tcBorders>
            <w:shd w:val="clear" w:color="auto" w:fill="auto"/>
            <w:noWrap/>
            <w:vAlign w:val="bottom"/>
            <w:hideMark/>
          </w:tcPr>
          <w:p w14:paraId="673EBAB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tpA2D_3 </w:t>
            </w:r>
          </w:p>
        </w:tc>
        <w:tc>
          <w:tcPr>
            <w:tcW w:w="728" w:type="dxa"/>
            <w:tcBorders>
              <w:top w:val="nil"/>
              <w:left w:val="nil"/>
              <w:bottom w:val="single" w:sz="4" w:space="0" w:color="auto"/>
              <w:right w:val="nil"/>
            </w:tcBorders>
            <w:shd w:val="clear" w:color="auto" w:fill="auto"/>
            <w:noWrap/>
            <w:vAlign w:val="bottom"/>
            <w:hideMark/>
          </w:tcPr>
          <w:p w14:paraId="6C8E30A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0.021 </w:t>
            </w:r>
          </w:p>
        </w:tc>
        <w:tc>
          <w:tcPr>
            <w:tcW w:w="728" w:type="dxa"/>
            <w:tcBorders>
              <w:top w:val="nil"/>
              <w:left w:val="nil"/>
              <w:bottom w:val="single" w:sz="4" w:space="0" w:color="auto"/>
              <w:right w:val="nil"/>
            </w:tcBorders>
            <w:shd w:val="clear" w:color="auto" w:fill="auto"/>
            <w:noWrap/>
            <w:vAlign w:val="bottom"/>
            <w:hideMark/>
          </w:tcPr>
          <w:p w14:paraId="25ED9AF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0.033 </w:t>
            </w:r>
          </w:p>
        </w:tc>
        <w:tc>
          <w:tcPr>
            <w:tcW w:w="728" w:type="dxa"/>
            <w:tcBorders>
              <w:top w:val="nil"/>
              <w:left w:val="nil"/>
              <w:bottom w:val="single" w:sz="4" w:space="0" w:color="auto"/>
              <w:right w:val="nil"/>
            </w:tcBorders>
            <w:shd w:val="clear" w:color="auto" w:fill="auto"/>
            <w:noWrap/>
            <w:vAlign w:val="bottom"/>
            <w:hideMark/>
          </w:tcPr>
          <w:p w14:paraId="275F9C6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0.008 </w:t>
            </w:r>
          </w:p>
        </w:tc>
        <w:tc>
          <w:tcPr>
            <w:tcW w:w="728" w:type="dxa"/>
            <w:tcBorders>
              <w:top w:val="nil"/>
              <w:left w:val="nil"/>
              <w:bottom w:val="single" w:sz="4" w:space="0" w:color="auto"/>
              <w:right w:val="nil"/>
            </w:tcBorders>
            <w:shd w:val="clear" w:color="auto" w:fill="auto"/>
            <w:noWrap/>
            <w:vAlign w:val="bottom"/>
            <w:hideMark/>
          </w:tcPr>
          <w:p w14:paraId="1A00C42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0.010 </w:t>
            </w:r>
          </w:p>
        </w:tc>
        <w:tc>
          <w:tcPr>
            <w:tcW w:w="728" w:type="dxa"/>
            <w:tcBorders>
              <w:top w:val="nil"/>
              <w:left w:val="nil"/>
              <w:bottom w:val="single" w:sz="4" w:space="0" w:color="auto"/>
              <w:right w:val="nil"/>
            </w:tcBorders>
            <w:shd w:val="clear" w:color="auto" w:fill="auto"/>
            <w:noWrap/>
            <w:vAlign w:val="bottom"/>
            <w:hideMark/>
          </w:tcPr>
          <w:p w14:paraId="2A71319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5387E3D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0.013 </w:t>
            </w:r>
          </w:p>
        </w:tc>
        <w:tc>
          <w:tcPr>
            <w:tcW w:w="728" w:type="dxa"/>
            <w:tcBorders>
              <w:top w:val="nil"/>
              <w:left w:val="nil"/>
              <w:bottom w:val="single" w:sz="4" w:space="0" w:color="auto"/>
              <w:right w:val="nil"/>
            </w:tcBorders>
            <w:shd w:val="clear" w:color="auto" w:fill="auto"/>
            <w:noWrap/>
            <w:vAlign w:val="bottom"/>
            <w:hideMark/>
          </w:tcPr>
          <w:p w14:paraId="1F3B95B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4BEBE16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0.029 </w:t>
            </w:r>
          </w:p>
        </w:tc>
        <w:tc>
          <w:tcPr>
            <w:tcW w:w="728" w:type="dxa"/>
            <w:tcBorders>
              <w:top w:val="nil"/>
              <w:left w:val="nil"/>
              <w:bottom w:val="single" w:sz="4" w:space="0" w:color="auto"/>
              <w:right w:val="nil"/>
            </w:tcBorders>
            <w:shd w:val="clear" w:color="auto" w:fill="auto"/>
            <w:noWrap/>
            <w:vAlign w:val="bottom"/>
            <w:hideMark/>
          </w:tcPr>
          <w:p w14:paraId="333213C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0.002 </w:t>
            </w:r>
          </w:p>
        </w:tc>
        <w:tc>
          <w:tcPr>
            <w:tcW w:w="728" w:type="dxa"/>
            <w:tcBorders>
              <w:top w:val="nil"/>
              <w:left w:val="nil"/>
              <w:bottom w:val="single" w:sz="4" w:space="0" w:color="auto"/>
              <w:right w:val="nil"/>
            </w:tcBorders>
            <w:shd w:val="clear" w:color="auto" w:fill="auto"/>
            <w:noWrap/>
            <w:vAlign w:val="bottom"/>
            <w:hideMark/>
          </w:tcPr>
          <w:p w14:paraId="232E062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0.001 </w:t>
            </w:r>
          </w:p>
        </w:tc>
        <w:tc>
          <w:tcPr>
            <w:tcW w:w="728" w:type="dxa"/>
            <w:tcBorders>
              <w:top w:val="nil"/>
              <w:left w:val="nil"/>
              <w:bottom w:val="single" w:sz="4" w:space="0" w:color="auto"/>
              <w:right w:val="nil"/>
            </w:tcBorders>
            <w:shd w:val="clear" w:color="auto" w:fill="auto"/>
            <w:noWrap/>
            <w:vAlign w:val="bottom"/>
            <w:hideMark/>
          </w:tcPr>
          <w:p w14:paraId="37AEAA8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0.008 </w:t>
            </w:r>
          </w:p>
        </w:tc>
        <w:tc>
          <w:tcPr>
            <w:tcW w:w="728" w:type="dxa"/>
            <w:tcBorders>
              <w:top w:val="nil"/>
              <w:left w:val="nil"/>
              <w:bottom w:val="single" w:sz="4" w:space="0" w:color="auto"/>
              <w:right w:val="nil"/>
            </w:tcBorders>
            <w:shd w:val="clear" w:color="auto" w:fill="auto"/>
            <w:noWrap/>
            <w:vAlign w:val="bottom"/>
            <w:hideMark/>
          </w:tcPr>
          <w:p w14:paraId="42D01AB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449E928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0.009 </w:t>
            </w:r>
          </w:p>
        </w:tc>
        <w:tc>
          <w:tcPr>
            <w:tcW w:w="728" w:type="dxa"/>
            <w:tcBorders>
              <w:top w:val="nil"/>
              <w:left w:val="nil"/>
              <w:bottom w:val="single" w:sz="4" w:space="0" w:color="auto"/>
              <w:right w:val="nil"/>
            </w:tcBorders>
            <w:shd w:val="clear" w:color="auto" w:fill="auto"/>
            <w:noWrap/>
            <w:vAlign w:val="bottom"/>
            <w:hideMark/>
          </w:tcPr>
          <w:p w14:paraId="12677AD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0.027 </w:t>
            </w:r>
          </w:p>
        </w:tc>
        <w:tc>
          <w:tcPr>
            <w:tcW w:w="728" w:type="dxa"/>
            <w:tcBorders>
              <w:top w:val="nil"/>
              <w:left w:val="nil"/>
              <w:bottom w:val="single" w:sz="4" w:space="0" w:color="auto"/>
              <w:right w:val="nil"/>
            </w:tcBorders>
            <w:shd w:val="clear" w:color="auto" w:fill="auto"/>
            <w:noWrap/>
            <w:vAlign w:val="bottom"/>
            <w:hideMark/>
          </w:tcPr>
          <w:p w14:paraId="26E150D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0.022 </w:t>
            </w:r>
          </w:p>
        </w:tc>
        <w:tc>
          <w:tcPr>
            <w:tcW w:w="728" w:type="dxa"/>
            <w:tcBorders>
              <w:top w:val="nil"/>
              <w:left w:val="nil"/>
              <w:bottom w:val="single" w:sz="4" w:space="0" w:color="auto"/>
              <w:right w:val="nil"/>
            </w:tcBorders>
            <w:shd w:val="clear" w:color="auto" w:fill="auto"/>
            <w:noWrap/>
            <w:vAlign w:val="bottom"/>
            <w:hideMark/>
          </w:tcPr>
          <w:p w14:paraId="2CE833A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0.040 </w:t>
            </w:r>
          </w:p>
        </w:tc>
      </w:tr>
      <w:tr w:rsidR="004431AA" w:rsidRPr="004431AA" w14:paraId="067E4AEE" w14:textId="77777777" w:rsidTr="002559BF">
        <w:trPr>
          <w:trHeight w:val="300"/>
        </w:trPr>
        <w:tc>
          <w:tcPr>
            <w:tcW w:w="12998" w:type="dxa"/>
            <w:gridSpan w:val="17"/>
            <w:tcBorders>
              <w:top w:val="single" w:sz="4" w:space="0" w:color="auto"/>
              <w:left w:val="nil"/>
              <w:bottom w:val="nil"/>
              <w:right w:val="nil"/>
            </w:tcBorders>
            <w:shd w:val="clear" w:color="auto" w:fill="auto"/>
            <w:noWrap/>
            <w:vAlign w:val="bottom"/>
            <w:hideMark/>
          </w:tcPr>
          <w:p w14:paraId="15B97305" w14:textId="77777777"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 xml:space="preserve"> Transitions from state B (in remission) Treatment only </w:t>
            </w:r>
          </w:p>
        </w:tc>
      </w:tr>
      <w:tr w:rsidR="004431AA" w:rsidRPr="004431AA" w14:paraId="16518D8A" w14:textId="77777777" w:rsidTr="002559BF">
        <w:trPr>
          <w:trHeight w:val="300"/>
        </w:trPr>
        <w:tc>
          <w:tcPr>
            <w:tcW w:w="1350" w:type="dxa"/>
            <w:tcBorders>
              <w:top w:val="nil"/>
              <w:left w:val="nil"/>
              <w:bottom w:val="nil"/>
              <w:right w:val="nil"/>
            </w:tcBorders>
            <w:shd w:val="clear" w:color="auto" w:fill="auto"/>
            <w:noWrap/>
            <w:vAlign w:val="bottom"/>
            <w:hideMark/>
          </w:tcPr>
          <w:p w14:paraId="360D443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tpB2A </w:t>
            </w:r>
          </w:p>
        </w:tc>
        <w:tc>
          <w:tcPr>
            <w:tcW w:w="728" w:type="dxa"/>
            <w:tcBorders>
              <w:top w:val="nil"/>
              <w:left w:val="nil"/>
              <w:bottom w:val="nil"/>
              <w:right w:val="nil"/>
            </w:tcBorders>
            <w:shd w:val="clear" w:color="auto" w:fill="auto"/>
            <w:noWrap/>
            <w:vAlign w:val="bottom"/>
            <w:hideMark/>
          </w:tcPr>
          <w:p w14:paraId="35FE847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0.054 </w:t>
            </w:r>
          </w:p>
        </w:tc>
        <w:tc>
          <w:tcPr>
            <w:tcW w:w="728" w:type="dxa"/>
            <w:tcBorders>
              <w:top w:val="nil"/>
              <w:left w:val="nil"/>
              <w:bottom w:val="nil"/>
              <w:right w:val="nil"/>
            </w:tcBorders>
            <w:shd w:val="clear" w:color="auto" w:fill="auto"/>
            <w:noWrap/>
            <w:vAlign w:val="bottom"/>
            <w:hideMark/>
          </w:tcPr>
          <w:p w14:paraId="002D841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0.092 </w:t>
            </w:r>
          </w:p>
        </w:tc>
        <w:tc>
          <w:tcPr>
            <w:tcW w:w="728" w:type="dxa"/>
            <w:tcBorders>
              <w:top w:val="nil"/>
              <w:left w:val="nil"/>
              <w:bottom w:val="nil"/>
              <w:right w:val="nil"/>
            </w:tcBorders>
            <w:shd w:val="clear" w:color="auto" w:fill="auto"/>
            <w:noWrap/>
            <w:vAlign w:val="bottom"/>
            <w:hideMark/>
          </w:tcPr>
          <w:p w14:paraId="6D30D6D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0.119 </w:t>
            </w:r>
          </w:p>
        </w:tc>
        <w:tc>
          <w:tcPr>
            <w:tcW w:w="728" w:type="dxa"/>
            <w:tcBorders>
              <w:top w:val="nil"/>
              <w:left w:val="nil"/>
              <w:bottom w:val="nil"/>
              <w:right w:val="nil"/>
            </w:tcBorders>
            <w:shd w:val="clear" w:color="auto" w:fill="auto"/>
            <w:noWrap/>
            <w:vAlign w:val="bottom"/>
            <w:hideMark/>
          </w:tcPr>
          <w:p w14:paraId="05AF05A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0.162 </w:t>
            </w:r>
          </w:p>
        </w:tc>
        <w:tc>
          <w:tcPr>
            <w:tcW w:w="728" w:type="dxa"/>
            <w:tcBorders>
              <w:top w:val="nil"/>
              <w:left w:val="nil"/>
              <w:bottom w:val="nil"/>
              <w:right w:val="nil"/>
            </w:tcBorders>
            <w:shd w:val="clear" w:color="auto" w:fill="auto"/>
            <w:noWrap/>
            <w:vAlign w:val="bottom"/>
            <w:hideMark/>
          </w:tcPr>
          <w:p w14:paraId="26795A3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0.159 </w:t>
            </w:r>
          </w:p>
        </w:tc>
        <w:tc>
          <w:tcPr>
            <w:tcW w:w="728" w:type="dxa"/>
            <w:tcBorders>
              <w:top w:val="nil"/>
              <w:left w:val="nil"/>
              <w:bottom w:val="nil"/>
              <w:right w:val="nil"/>
            </w:tcBorders>
            <w:shd w:val="clear" w:color="auto" w:fill="auto"/>
            <w:noWrap/>
            <w:vAlign w:val="bottom"/>
            <w:hideMark/>
          </w:tcPr>
          <w:p w14:paraId="1887F6A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0.153 </w:t>
            </w:r>
          </w:p>
        </w:tc>
        <w:tc>
          <w:tcPr>
            <w:tcW w:w="728" w:type="dxa"/>
            <w:tcBorders>
              <w:top w:val="nil"/>
              <w:left w:val="nil"/>
              <w:bottom w:val="nil"/>
              <w:right w:val="nil"/>
            </w:tcBorders>
            <w:shd w:val="clear" w:color="auto" w:fill="auto"/>
            <w:noWrap/>
            <w:vAlign w:val="bottom"/>
            <w:hideMark/>
          </w:tcPr>
          <w:p w14:paraId="330E67B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0.134 </w:t>
            </w:r>
          </w:p>
        </w:tc>
        <w:tc>
          <w:tcPr>
            <w:tcW w:w="728" w:type="dxa"/>
            <w:tcBorders>
              <w:top w:val="nil"/>
              <w:left w:val="nil"/>
              <w:bottom w:val="nil"/>
              <w:right w:val="nil"/>
            </w:tcBorders>
            <w:shd w:val="clear" w:color="auto" w:fill="auto"/>
            <w:noWrap/>
            <w:vAlign w:val="bottom"/>
            <w:hideMark/>
          </w:tcPr>
          <w:p w14:paraId="4AADCBC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0.160 </w:t>
            </w:r>
          </w:p>
        </w:tc>
        <w:tc>
          <w:tcPr>
            <w:tcW w:w="728" w:type="dxa"/>
            <w:tcBorders>
              <w:top w:val="nil"/>
              <w:left w:val="nil"/>
              <w:bottom w:val="nil"/>
              <w:right w:val="nil"/>
            </w:tcBorders>
            <w:shd w:val="clear" w:color="auto" w:fill="auto"/>
            <w:noWrap/>
            <w:vAlign w:val="bottom"/>
            <w:hideMark/>
          </w:tcPr>
          <w:p w14:paraId="086F1AD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nil"/>
              <w:right w:val="nil"/>
            </w:tcBorders>
            <w:shd w:val="clear" w:color="auto" w:fill="auto"/>
            <w:noWrap/>
            <w:vAlign w:val="bottom"/>
            <w:hideMark/>
          </w:tcPr>
          <w:p w14:paraId="296453A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0.058 </w:t>
            </w:r>
          </w:p>
        </w:tc>
        <w:tc>
          <w:tcPr>
            <w:tcW w:w="728" w:type="dxa"/>
            <w:tcBorders>
              <w:top w:val="nil"/>
              <w:left w:val="nil"/>
              <w:bottom w:val="nil"/>
              <w:right w:val="nil"/>
            </w:tcBorders>
            <w:shd w:val="clear" w:color="auto" w:fill="auto"/>
            <w:noWrap/>
            <w:vAlign w:val="bottom"/>
            <w:hideMark/>
          </w:tcPr>
          <w:p w14:paraId="08EA59C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0.102 </w:t>
            </w:r>
          </w:p>
        </w:tc>
        <w:tc>
          <w:tcPr>
            <w:tcW w:w="728" w:type="dxa"/>
            <w:tcBorders>
              <w:top w:val="nil"/>
              <w:left w:val="nil"/>
              <w:bottom w:val="nil"/>
              <w:right w:val="nil"/>
            </w:tcBorders>
            <w:shd w:val="clear" w:color="auto" w:fill="auto"/>
            <w:noWrap/>
            <w:vAlign w:val="bottom"/>
            <w:hideMark/>
          </w:tcPr>
          <w:p w14:paraId="218309E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0.139 </w:t>
            </w:r>
          </w:p>
        </w:tc>
        <w:tc>
          <w:tcPr>
            <w:tcW w:w="728" w:type="dxa"/>
            <w:tcBorders>
              <w:top w:val="nil"/>
              <w:left w:val="nil"/>
              <w:bottom w:val="nil"/>
              <w:right w:val="nil"/>
            </w:tcBorders>
            <w:shd w:val="clear" w:color="auto" w:fill="auto"/>
            <w:noWrap/>
            <w:vAlign w:val="bottom"/>
            <w:hideMark/>
          </w:tcPr>
          <w:p w14:paraId="3B1F97E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0.127 </w:t>
            </w:r>
          </w:p>
        </w:tc>
        <w:tc>
          <w:tcPr>
            <w:tcW w:w="728" w:type="dxa"/>
            <w:tcBorders>
              <w:top w:val="nil"/>
              <w:left w:val="nil"/>
              <w:bottom w:val="nil"/>
              <w:right w:val="nil"/>
            </w:tcBorders>
            <w:shd w:val="clear" w:color="auto" w:fill="auto"/>
            <w:noWrap/>
            <w:vAlign w:val="bottom"/>
            <w:hideMark/>
          </w:tcPr>
          <w:p w14:paraId="4612EFC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0.167 </w:t>
            </w:r>
          </w:p>
        </w:tc>
        <w:tc>
          <w:tcPr>
            <w:tcW w:w="728" w:type="dxa"/>
            <w:tcBorders>
              <w:top w:val="nil"/>
              <w:left w:val="nil"/>
              <w:bottom w:val="nil"/>
              <w:right w:val="nil"/>
            </w:tcBorders>
            <w:shd w:val="clear" w:color="auto" w:fill="auto"/>
            <w:noWrap/>
            <w:vAlign w:val="bottom"/>
            <w:hideMark/>
          </w:tcPr>
          <w:p w14:paraId="5F8578F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0.121 </w:t>
            </w:r>
          </w:p>
        </w:tc>
        <w:tc>
          <w:tcPr>
            <w:tcW w:w="728" w:type="dxa"/>
            <w:tcBorders>
              <w:top w:val="nil"/>
              <w:left w:val="nil"/>
              <w:bottom w:val="nil"/>
              <w:right w:val="nil"/>
            </w:tcBorders>
            <w:shd w:val="clear" w:color="auto" w:fill="auto"/>
            <w:noWrap/>
            <w:vAlign w:val="bottom"/>
            <w:hideMark/>
          </w:tcPr>
          <w:p w14:paraId="1E7F57A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0.155 </w:t>
            </w:r>
          </w:p>
        </w:tc>
      </w:tr>
      <w:tr w:rsidR="004431AA" w:rsidRPr="004431AA" w14:paraId="73FF54B8" w14:textId="77777777" w:rsidTr="002559BF">
        <w:trPr>
          <w:trHeight w:val="300"/>
        </w:trPr>
        <w:tc>
          <w:tcPr>
            <w:tcW w:w="1350" w:type="dxa"/>
            <w:tcBorders>
              <w:top w:val="nil"/>
              <w:left w:val="nil"/>
              <w:bottom w:val="nil"/>
              <w:right w:val="nil"/>
            </w:tcBorders>
            <w:shd w:val="clear" w:color="auto" w:fill="auto"/>
            <w:noWrap/>
            <w:vAlign w:val="bottom"/>
            <w:hideMark/>
          </w:tcPr>
          <w:p w14:paraId="51AF96A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tpB2B </w:t>
            </w:r>
          </w:p>
        </w:tc>
        <w:tc>
          <w:tcPr>
            <w:tcW w:w="728" w:type="dxa"/>
            <w:tcBorders>
              <w:top w:val="nil"/>
              <w:left w:val="nil"/>
              <w:bottom w:val="nil"/>
              <w:right w:val="nil"/>
            </w:tcBorders>
            <w:shd w:val="clear" w:color="auto" w:fill="auto"/>
            <w:noWrap/>
            <w:vAlign w:val="bottom"/>
            <w:hideMark/>
          </w:tcPr>
          <w:p w14:paraId="5832CB3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0.672 </w:t>
            </w:r>
          </w:p>
        </w:tc>
        <w:tc>
          <w:tcPr>
            <w:tcW w:w="728" w:type="dxa"/>
            <w:tcBorders>
              <w:top w:val="nil"/>
              <w:left w:val="nil"/>
              <w:bottom w:val="nil"/>
              <w:right w:val="nil"/>
            </w:tcBorders>
            <w:shd w:val="clear" w:color="auto" w:fill="auto"/>
            <w:noWrap/>
            <w:vAlign w:val="bottom"/>
            <w:hideMark/>
          </w:tcPr>
          <w:p w14:paraId="2FAA312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0.497 </w:t>
            </w:r>
          </w:p>
        </w:tc>
        <w:tc>
          <w:tcPr>
            <w:tcW w:w="728" w:type="dxa"/>
            <w:tcBorders>
              <w:top w:val="nil"/>
              <w:left w:val="nil"/>
              <w:bottom w:val="nil"/>
              <w:right w:val="nil"/>
            </w:tcBorders>
            <w:shd w:val="clear" w:color="auto" w:fill="auto"/>
            <w:noWrap/>
            <w:vAlign w:val="bottom"/>
            <w:hideMark/>
          </w:tcPr>
          <w:p w14:paraId="2F2C85E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0.618 </w:t>
            </w:r>
          </w:p>
        </w:tc>
        <w:tc>
          <w:tcPr>
            <w:tcW w:w="728" w:type="dxa"/>
            <w:tcBorders>
              <w:top w:val="nil"/>
              <w:left w:val="nil"/>
              <w:bottom w:val="nil"/>
              <w:right w:val="nil"/>
            </w:tcBorders>
            <w:shd w:val="clear" w:color="auto" w:fill="auto"/>
            <w:noWrap/>
            <w:vAlign w:val="bottom"/>
            <w:hideMark/>
          </w:tcPr>
          <w:p w14:paraId="5A19B58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0.477 </w:t>
            </w:r>
          </w:p>
        </w:tc>
        <w:tc>
          <w:tcPr>
            <w:tcW w:w="728" w:type="dxa"/>
            <w:tcBorders>
              <w:top w:val="nil"/>
              <w:left w:val="nil"/>
              <w:bottom w:val="nil"/>
              <w:right w:val="nil"/>
            </w:tcBorders>
            <w:shd w:val="clear" w:color="auto" w:fill="auto"/>
            <w:noWrap/>
            <w:vAlign w:val="bottom"/>
            <w:hideMark/>
          </w:tcPr>
          <w:p w14:paraId="2754CD6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0.569 </w:t>
            </w:r>
          </w:p>
        </w:tc>
        <w:tc>
          <w:tcPr>
            <w:tcW w:w="728" w:type="dxa"/>
            <w:tcBorders>
              <w:top w:val="nil"/>
              <w:left w:val="nil"/>
              <w:bottom w:val="nil"/>
              <w:right w:val="nil"/>
            </w:tcBorders>
            <w:shd w:val="clear" w:color="auto" w:fill="auto"/>
            <w:noWrap/>
            <w:vAlign w:val="bottom"/>
            <w:hideMark/>
          </w:tcPr>
          <w:p w14:paraId="7B58194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0.575 </w:t>
            </w:r>
          </w:p>
        </w:tc>
        <w:tc>
          <w:tcPr>
            <w:tcW w:w="728" w:type="dxa"/>
            <w:tcBorders>
              <w:top w:val="nil"/>
              <w:left w:val="nil"/>
              <w:bottom w:val="nil"/>
              <w:right w:val="nil"/>
            </w:tcBorders>
            <w:shd w:val="clear" w:color="auto" w:fill="auto"/>
            <w:noWrap/>
            <w:vAlign w:val="bottom"/>
            <w:hideMark/>
          </w:tcPr>
          <w:p w14:paraId="7DCF334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0.600 </w:t>
            </w:r>
          </w:p>
        </w:tc>
        <w:tc>
          <w:tcPr>
            <w:tcW w:w="728" w:type="dxa"/>
            <w:tcBorders>
              <w:top w:val="nil"/>
              <w:left w:val="nil"/>
              <w:bottom w:val="nil"/>
              <w:right w:val="nil"/>
            </w:tcBorders>
            <w:shd w:val="clear" w:color="auto" w:fill="auto"/>
            <w:noWrap/>
            <w:vAlign w:val="bottom"/>
            <w:hideMark/>
          </w:tcPr>
          <w:p w14:paraId="10EF0D5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0.552 </w:t>
            </w:r>
          </w:p>
        </w:tc>
        <w:tc>
          <w:tcPr>
            <w:tcW w:w="728" w:type="dxa"/>
            <w:tcBorders>
              <w:top w:val="nil"/>
              <w:left w:val="nil"/>
              <w:bottom w:val="nil"/>
              <w:right w:val="nil"/>
            </w:tcBorders>
            <w:shd w:val="clear" w:color="auto" w:fill="auto"/>
            <w:noWrap/>
            <w:vAlign w:val="bottom"/>
            <w:hideMark/>
          </w:tcPr>
          <w:p w14:paraId="3DDEFD9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0.767 </w:t>
            </w:r>
          </w:p>
        </w:tc>
        <w:tc>
          <w:tcPr>
            <w:tcW w:w="728" w:type="dxa"/>
            <w:tcBorders>
              <w:top w:val="nil"/>
              <w:left w:val="nil"/>
              <w:bottom w:val="nil"/>
              <w:right w:val="nil"/>
            </w:tcBorders>
            <w:shd w:val="clear" w:color="auto" w:fill="auto"/>
            <w:noWrap/>
            <w:vAlign w:val="bottom"/>
            <w:hideMark/>
          </w:tcPr>
          <w:p w14:paraId="2EB3A54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0.481 </w:t>
            </w:r>
          </w:p>
        </w:tc>
        <w:tc>
          <w:tcPr>
            <w:tcW w:w="728" w:type="dxa"/>
            <w:tcBorders>
              <w:top w:val="nil"/>
              <w:left w:val="nil"/>
              <w:bottom w:val="nil"/>
              <w:right w:val="nil"/>
            </w:tcBorders>
            <w:shd w:val="clear" w:color="auto" w:fill="auto"/>
            <w:noWrap/>
            <w:vAlign w:val="bottom"/>
            <w:hideMark/>
          </w:tcPr>
          <w:p w14:paraId="3CD7A42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0.539 </w:t>
            </w:r>
          </w:p>
        </w:tc>
        <w:tc>
          <w:tcPr>
            <w:tcW w:w="728" w:type="dxa"/>
            <w:tcBorders>
              <w:top w:val="nil"/>
              <w:left w:val="nil"/>
              <w:bottom w:val="nil"/>
              <w:right w:val="nil"/>
            </w:tcBorders>
            <w:shd w:val="clear" w:color="auto" w:fill="auto"/>
            <w:noWrap/>
            <w:vAlign w:val="bottom"/>
            <w:hideMark/>
          </w:tcPr>
          <w:p w14:paraId="37C22BF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0.441 </w:t>
            </w:r>
          </w:p>
        </w:tc>
        <w:tc>
          <w:tcPr>
            <w:tcW w:w="728" w:type="dxa"/>
            <w:tcBorders>
              <w:top w:val="nil"/>
              <w:left w:val="nil"/>
              <w:bottom w:val="nil"/>
              <w:right w:val="nil"/>
            </w:tcBorders>
            <w:shd w:val="clear" w:color="auto" w:fill="auto"/>
            <w:noWrap/>
            <w:vAlign w:val="bottom"/>
            <w:hideMark/>
          </w:tcPr>
          <w:p w14:paraId="2F1D5F8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0.589 </w:t>
            </w:r>
          </w:p>
        </w:tc>
        <w:tc>
          <w:tcPr>
            <w:tcW w:w="728" w:type="dxa"/>
            <w:tcBorders>
              <w:top w:val="nil"/>
              <w:left w:val="nil"/>
              <w:bottom w:val="nil"/>
              <w:right w:val="nil"/>
            </w:tcBorders>
            <w:shd w:val="clear" w:color="auto" w:fill="auto"/>
            <w:noWrap/>
            <w:vAlign w:val="bottom"/>
            <w:hideMark/>
          </w:tcPr>
          <w:p w14:paraId="14E570E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0.448 </w:t>
            </w:r>
          </w:p>
        </w:tc>
        <w:tc>
          <w:tcPr>
            <w:tcW w:w="728" w:type="dxa"/>
            <w:tcBorders>
              <w:top w:val="nil"/>
              <w:left w:val="nil"/>
              <w:bottom w:val="nil"/>
              <w:right w:val="nil"/>
            </w:tcBorders>
            <w:shd w:val="clear" w:color="auto" w:fill="auto"/>
            <w:noWrap/>
            <w:vAlign w:val="bottom"/>
            <w:hideMark/>
          </w:tcPr>
          <w:p w14:paraId="4128A7E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0.601 </w:t>
            </w:r>
          </w:p>
        </w:tc>
        <w:tc>
          <w:tcPr>
            <w:tcW w:w="728" w:type="dxa"/>
            <w:tcBorders>
              <w:top w:val="nil"/>
              <w:left w:val="nil"/>
              <w:bottom w:val="nil"/>
              <w:right w:val="nil"/>
            </w:tcBorders>
            <w:shd w:val="clear" w:color="auto" w:fill="auto"/>
            <w:noWrap/>
            <w:vAlign w:val="bottom"/>
            <w:hideMark/>
          </w:tcPr>
          <w:p w14:paraId="4FBF2BC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0.509 </w:t>
            </w:r>
          </w:p>
        </w:tc>
      </w:tr>
      <w:tr w:rsidR="004431AA" w:rsidRPr="004431AA" w14:paraId="1A9E5D27" w14:textId="77777777" w:rsidTr="002559BF">
        <w:trPr>
          <w:trHeight w:val="300"/>
        </w:trPr>
        <w:tc>
          <w:tcPr>
            <w:tcW w:w="1350" w:type="dxa"/>
            <w:tcBorders>
              <w:top w:val="nil"/>
              <w:left w:val="nil"/>
              <w:right w:val="nil"/>
            </w:tcBorders>
            <w:shd w:val="clear" w:color="auto" w:fill="auto"/>
            <w:noWrap/>
            <w:vAlign w:val="bottom"/>
            <w:hideMark/>
          </w:tcPr>
          <w:p w14:paraId="2562187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tpB2C </w:t>
            </w:r>
          </w:p>
        </w:tc>
        <w:tc>
          <w:tcPr>
            <w:tcW w:w="728" w:type="dxa"/>
            <w:tcBorders>
              <w:top w:val="nil"/>
              <w:left w:val="nil"/>
              <w:right w:val="nil"/>
            </w:tcBorders>
            <w:shd w:val="clear" w:color="auto" w:fill="auto"/>
            <w:noWrap/>
            <w:vAlign w:val="bottom"/>
            <w:hideMark/>
          </w:tcPr>
          <w:p w14:paraId="3F5196B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0.255 </w:t>
            </w:r>
          </w:p>
        </w:tc>
        <w:tc>
          <w:tcPr>
            <w:tcW w:w="728" w:type="dxa"/>
            <w:tcBorders>
              <w:top w:val="nil"/>
              <w:left w:val="nil"/>
              <w:right w:val="nil"/>
            </w:tcBorders>
            <w:shd w:val="clear" w:color="auto" w:fill="auto"/>
            <w:noWrap/>
            <w:vAlign w:val="bottom"/>
            <w:hideMark/>
          </w:tcPr>
          <w:p w14:paraId="38101CF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0.378 </w:t>
            </w:r>
          </w:p>
        </w:tc>
        <w:tc>
          <w:tcPr>
            <w:tcW w:w="728" w:type="dxa"/>
            <w:tcBorders>
              <w:top w:val="nil"/>
              <w:left w:val="nil"/>
              <w:right w:val="nil"/>
            </w:tcBorders>
            <w:shd w:val="clear" w:color="auto" w:fill="auto"/>
            <w:noWrap/>
            <w:vAlign w:val="bottom"/>
            <w:hideMark/>
          </w:tcPr>
          <w:p w14:paraId="5D33D67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0.255 </w:t>
            </w:r>
          </w:p>
        </w:tc>
        <w:tc>
          <w:tcPr>
            <w:tcW w:w="728" w:type="dxa"/>
            <w:tcBorders>
              <w:top w:val="nil"/>
              <w:left w:val="nil"/>
              <w:right w:val="nil"/>
            </w:tcBorders>
            <w:shd w:val="clear" w:color="auto" w:fill="auto"/>
            <w:noWrap/>
            <w:vAlign w:val="bottom"/>
            <w:hideMark/>
          </w:tcPr>
          <w:p w14:paraId="28B78FE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0.352 </w:t>
            </w:r>
          </w:p>
        </w:tc>
        <w:tc>
          <w:tcPr>
            <w:tcW w:w="728" w:type="dxa"/>
            <w:tcBorders>
              <w:top w:val="nil"/>
              <w:left w:val="nil"/>
              <w:right w:val="nil"/>
            </w:tcBorders>
            <w:shd w:val="clear" w:color="auto" w:fill="auto"/>
            <w:noWrap/>
            <w:vAlign w:val="bottom"/>
            <w:hideMark/>
          </w:tcPr>
          <w:p w14:paraId="2518C11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0.261 </w:t>
            </w:r>
          </w:p>
        </w:tc>
        <w:tc>
          <w:tcPr>
            <w:tcW w:w="728" w:type="dxa"/>
            <w:tcBorders>
              <w:top w:val="nil"/>
              <w:left w:val="nil"/>
              <w:right w:val="nil"/>
            </w:tcBorders>
            <w:shd w:val="clear" w:color="auto" w:fill="auto"/>
            <w:noWrap/>
            <w:vAlign w:val="bottom"/>
            <w:hideMark/>
          </w:tcPr>
          <w:p w14:paraId="41B3D12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0.259 </w:t>
            </w:r>
          </w:p>
        </w:tc>
        <w:tc>
          <w:tcPr>
            <w:tcW w:w="728" w:type="dxa"/>
            <w:tcBorders>
              <w:top w:val="nil"/>
              <w:left w:val="nil"/>
              <w:right w:val="nil"/>
            </w:tcBorders>
            <w:shd w:val="clear" w:color="auto" w:fill="auto"/>
            <w:noWrap/>
            <w:vAlign w:val="bottom"/>
            <w:hideMark/>
          </w:tcPr>
          <w:p w14:paraId="2A6C1B3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0.255 </w:t>
            </w:r>
          </w:p>
        </w:tc>
        <w:tc>
          <w:tcPr>
            <w:tcW w:w="728" w:type="dxa"/>
            <w:tcBorders>
              <w:top w:val="nil"/>
              <w:left w:val="nil"/>
              <w:right w:val="nil"/>
            </w:tcBorders>
            <w:shd w:val="clear" w:color="auto" w:fill="auto"/>
            <w:noWrap/>
            <w:vAlign w:val="bottom"/>
            <w:hideMark/>
          </w:tcPr>
          <w:p w14:paraId="105DCAF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0.260 </w:t>
            </w:r>
          </w:p>
        </w:tc>
        <w:tc>
          <w:tcPr>
            <w:tcW w:w="728" w:type="dxa"/>
            <w:tcBorders>
              <w:top w:val="nil"/>
              <w:left w:val="nil"/>
              <w:right w:val="nil"/>
            </w:tcBorders>
            <w:shd w:val="clear" w:color="auto" w:fill="auto"/>
            <w:noWrap/>
            <w:vAlign w:val="bottom"/>
            <w:hideMark/>
          </w:tcPr>
          <w:p w14:paraId="7940AE2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0.219 </w:t>
            </w:r>
          </w:p>
        </w:tc>
        <w:tc>
          <w:tcPr>
            <w:tcW w:w="728" w:type="dxa"/>
            <w:tcBorders>
              <w:top w:val="nil"/>
              <w:left w:val="nil"/>
              <w:right w:val="nil"/>
            </w:tcBorders>
            <w:shd w:val="clear" w:color="auto" w:fill="auto"/>
            <w:noWrap/>
            <w:vAlign w:val="bottom"/>
            <w:hideMark/>
          </w:tcPr>
          <w:p w14:paraId="416656D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0.460 </w:t>
            </w:r>
          </w:p>
        </w:tc>
        <w:tc>
          <w:tcPr>
            <w:tcW w:w="728" w:type="dxa"/>
            <w:tcBorders>
              <w:top w:val="nil"/>
              <w:left w:val="nil"/>
              <w:right w:val="nil"/>
            </w:tcBorders>
            <w:shd w:val="clear" w:color="auto" w:fill="auto"/>
            <w:noWrap/>
            <w:vAlign w:val="bottom"/>
            <w:hideMark/>
          </w:tcPr>
          <w:p w14:paraId="0E1DC74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0.351 </w:t>
            </w:r>
          </w:p>
        </w:tc>
        <w:tc>
          <w:tcPr>
            <w:tcW w:w="728" w:type="dxa"/>
            <w:tcBorders>
              <w:top w:val="nil"/>
              <w:left w:val="nil"/>
              <w:right w:val="nil"/>
            </w:tcBorders>
            <w:shd w:val="clear" w:color="auto" w:fill="auto"/>
            <w:noWrap/>
            <w:vAlign w:val="bottom"/>
            <w:hideMark/>
          </w:tcPr>
          <w:p w14:paraId="2772B47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0.408 </w:t>
            </w:r>
          </w:p>
        </w:tc>
        <w:tc>
          <w:tcPr>
            <w:tcW w:w="728" w:type="dxa"/>
            <w:tcBorders>
              <w:top w:val="nil"/>
              <w:left w:val="nil"/>
              <w:right w:val="nil"/>
            </w:tcBorders>
            <w:shd w:val="clear" w:color="auto" w:fill="auto"/>
            <w:noWrap/>
            <w:vAlign w:val="bottom"/>
            <w:hideMark/>
          </w:tcPr>
          <w:p w14:paraId="7682834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0.275 </w:t>
            </w:r>
          </w:p>
        </w:tc>
        <w:tc>
          <w:tcPr>
            <w:tcW w:w="728" w:type="dxa"/>
            <w:tcBorders>
              <w:top w:val="nil"/>
              <w:left w:val="nil"/>
              <w:right w:val="nil"/>
            </w:tcBorders>
            <w:shd w:val="clear" w:color="auto" w:fill="auto"/>
            <w:noWrap/>
            <w:vAlign w:val="bottom"/>
            <w:hideMark/>
          </w:tcPr>
          <w:p w14:paraId="07F4697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0.358 </w:t>
            </w:r>
          </w:p>
        </w:tc>
        <w:tc>
          <w:tcPr>
            <w:tcW w:w="728" w:type="dxa"/>
            <w:tcBorders>
              <w:top w:val="nil"/>
              <w:left w:val="nil"/>
              <w:right w:val="nil"/>
            </w:tcBorders>
            <w:shd w:val="clear" w:color="auto" w:fill="auto"/>
            <w:noWrap/>
            <w:vAlign w:val="bottom"/>
            <w:hideMark/>
          </w:tcPr>
          <w:p w14:paraId="467F703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0.256 </w:t>
            </w:r>
          </w:p>
        </w:tc>
        <w:tc>
          <w:tcPr>
            <w:tcW w:w="728" w:type="dxa"/>
            <w:tcBorders>
              <w:top w:val="nil"/>
              <w:left w:val="nil"/>
              <w:right w:val="nil"/>
            </w:tcBorders>
            <w:shd w:val="clear" w:color="auto" w:fill="auto"/>
            <w:noWrap/>
            <w:vAlign w:val="bottom"/>
            <w:hideMark/>
          </w:tcPr>
          <w:p w14:paraId="2200FAB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0.297 </w:t>
            </w:r>
          </w:p>
        </w:tc>
      </w:tr>
      <w:tr w:rsidR="004431AA" w:rsidRPr="004431AA" w14:paraId="6EA62093" w14:textId="77777777" w:rsidTr="002559BF">
        <w:trPr>
          <w:trHeight w:val="300"/>
        </w:trPr>
        <w:tc>
          <w:tcPr>
            <w:tcW w:w="1350" w:type="dxa"/>
            <w:tcBorders>
              <w:top w:val="nil"/>
              <w:left w:val="nil"/>
              <w:bottom w:val="single" w:sz="4" w:space="0" w:color="auto"/>
              <w:right w:val="nil"/>
            </w:tcBorders>
            <w:shd w:val="clear" w:color="auto" w:fill="auto"/>
            <w:noWrap/>
            <w:vAlign w:val="bottom"/>
            <w:hideMark/>
          </w:tcPr>
          <w:p w14:paraId="4868568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tpB2D </w:t>
            </w:r>
          </w:p>
        </w:tc>
        <w:tc>
          <w:tcPr>
            <w:tcW w:w="728" w:type="dxa"/>
            <w:tcBorders>
              <w:top w:val="nil"/>
              <w:left w:val="nil"/>
              <w:bottom w:val="single" w:sz="4" w:space="0" w:color="auto"/>
              <w:right w:val="nil"/>
            </w:tcBorders>
            <w:shd w:val="clear" w:color="auto" w:fill="auto"/>
            <w:noWrap/>
            <w:vAlign w:val="bottom"/>
            <w:hideMark/>
          </w:tcPr>
          <w:p w14:paraId="65CBEC6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0.019 </w:t>
            </w:r>
          </w:p>
        </w:tc>
        <w:tc>
          <w:tcPr>
            <w:tcW w:w="728" w:type="dxa"/>
            <w:tcBorders>
              <w:top w:val="nil"/>
              <w:left w:val="nil"/>
              <w:bottom w:val="single" w:sz="4" w:space="0" w:color="auto"/>
              <w:right w:val="nil"/>
            </w:tcBorders>
            <w:shd w:val="clear" w:color="auto" w:fill="auto"/>
            <w:noWrap/>
            <w:vAlign w:val="bottom"/>
            <w:hideMark/>
          </w:tcPr>
          <w:p w14:paraId="5B382AB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0.033 </w:t>
            </w:r>
          </w:p>
        </w:tc>
        <w:tc>
          <w:tcPr>
            <w:tcW w:w="728" w:type="dxa"/>
            <w:tcBorders>
              <w:top w:val="nil"/>
              <w:left w:val="nil"/>
              <w:bottom w:val="single" w:sz="4" w:space="0" w:color="auto"/>
              <w:right w:val="nil"/>
            </w:tcBorders>
            <w:shd w:val="clear" w:color="auto" w:fill="auto"/>
            <w:noWrap/>
            <w:vAlign w:val="bottom"/>
            <w:hideMark/>
          </w:tcPr>
          <w:p w14:paraId="14CA9FE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0.008 </w:t>
            </w:r>
          </w:p>
        </w:tc>
        <w:tc>
          <w:tcPr>
            <w:tcW w:w="728" w:type="dxa"/>
            <w:tcBorders>
              <w:top w:val="nil"/>
              <w:left w:val="nil"/>
              <w:bottom w:val="single" w:sz="4" w:space="0" w:color="auto"/>
              <w:right w:val="nil"/>
            </w:tcBorders>
            <w:shd w:val="clear" w:color="auto" w:fill="auto"/>
            <w:noWrap/>
            <w:vAlign w:val="bottom"/>
            <w:hideMark/>
          </w:tcPr>
          <w:p w14:paraId="3C64D4A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0.010 </w:t>
            </w:r>
          </w:p>
        </w:tc>
        <w:tc>
          <w:tcPr>
            <w:tcW w:w="728" w:type="dxa"/>
            <w:tcBorders>
              <w:top w:val="nil"/>
              <w:left w:val="nil"/>
              <w:bottom w:val="single" w:sz="4" w:space="0" w:color="auto"/>
              <w:right w:val="nil"/>
            </w:tcBorders>
            <w:shd w:val="clear" w:color="auto" w:fill="auto"/>
            <w:noWrap/>
            <w:vAlign w:val="bottom"/>
            <w:hideMark/>
          </w:tcPr>
          <w:p w14:paraId="033E066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0.011 </w:t>
            </w:r>
          </w:p>
        </w:tc>
        <w:tc>
          <w:tcPr>
            <w:tcW w:w="728" w:type="dxa"/>
            <w:tcBorders>
              <w:top w:val="nil"/>
              <w:left w:val="nil"/>
              <w:bottom w:val="single" w:sz="4" w:space="0" w:color="auto"/>
              <w:right w:val="nil"/>
            </w:tcBorders>
            <w:shd w:val="clear" w:color="auto" w:fill="auto"/>
            <w:noWrap/>
            <w:vAlign w:val="bottom"/>
            <w:hideMark/>
          </w:tcPr>
          <w:p w14:paraId="7D89203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0.014 </w:t>
            </w:r>
          </w:p>
        </w:tc>
        <w:tc>
          <w:tcPr>
            <w:tcW w:w="728" w:type="dxa"/>
            <w:tcBorders>
              <w:top w:val="nil"/>
              <w:left w:val="nil"/>
              <w:bottom w:val="single" w:sz="4" w:space="0" w:color="auto"/>
              <w:right w:val="nil"/>
            </w:tcBorders>
            <w:shd w:val="clear" w:color="auto" w:fill="auto"/>
            <w:noWrap/>
            <w:vAlign w:val="bottom"/>
            <w:hideMark/>
          </w:tcPr>
          <w:p w14:paraId="10A5ED0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4882C02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0.028 </w:t>
            </w:r>
          </w:p>
        </w:tc>
        <w:tc>
          <w:tcPr>
            <w:tcW w:w="728" w:type="dxa"/>
            <w:tcBorders>
              <w:top w:val="nil"/>
              <w:left w:val="nil"/>
              <w:bottom w:val="single" w:sz="4" w:space="0" w:color="auto"/>
              <w:right w:val="nil"/>
            </w:tcBorders>
            <w:shd w:val="clear" w:color="auto" w:fill="auto"/>
            <w:noWrap/>
            <w:vAlign w:val="bottom"/>
            <w:hideMark/>
          </w:tcPr>
          <w:p w14:paraId="5B12116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0.001 </w:t>
            </w:r>
          </w:p>
        </w:tc>
        <w:tc>
          <w:tcPr>
            <w:tcW w:w="728" w:type="dxa"/>
            <w:tcBorders>
              <w:top w:val="nil"/>
              <w:left w:val="nil"/>
              <w:bottom w:val="single" w:sz="4" w:space="0" w:color="auto"/>
              <w:right w:val="nil"/>
            </w:tcBorders>
            <w:shd w:val="clear" w:color="auto" w:fill="auto"/>
            <w:noWrap/>
            <w:vAlign w:val="bottom"/>
            <w:hideMark/>
          </w:tcPr>
          <w:p w14:paraId="5F334F1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0.001 </w:t>
            </w:r>
          </w:p>
        </w:tc>
        <w:tc>
          <w:tcPr>
            <w:tcW w:w="728" w:type="dxa"/>
            <w:tcBorders>
              <w:top w:val="nil"/>
              <w:left w:val="nil"/>
              <w:bottom w:val="single" w:sz="4" w:space="0" w:color="auto"/>
              <w:right w:val="nil"/>
            </w:tcBorders>
            <w:shd w:val="clear" w:color="auto" w:fill="auto"/>
            <w:noWrap/>
            <w:vAlign w:val="bottom"/>
            <w:hideMark/>
          </w:tcPr>
          <w:p w14:paraId="4E6E5D6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0.008 </w:t>
            </w:r>
          </w:p>
        </w:tc>
        <w:tc>
          <w:tcPr>
            <w:tcW w:w="728" w:type="dxa"/>
            <w:tcBorders>
              <w:top w:val="nil"/>
              <w:left w:val="nil"/>
              <w:bottom w:val="single" w:sz="4" w:space="0" w:color="auto"/>
              <w:right w:val="nil"/>
            </w:tcBorders>
            <w:shd w:val="clear" w:color="auto" w:fill="auto"/>
            <w:noWrap/>
            <w:vAlign w:val="bottom"/>
            <w:hideMark/>
          </w:tcPr>
          <w:p w14:paraId="7B01304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0.011 </w:t>
            </w:r>
          </w:p>
        </w:tc>
        <w:tc>
          <w:tcPr>
            <w:tcW w:w="728" w:type="dxa"/>
            <w:tcBorders>
              <w:top w:val="nil"/>
              <w:left w:val="nil"/>
              <w:bottom w:val="single" w:sz="4" w:space="0" w:color="auto"/>
              <w:right w:val="nil"/>
            </w:tcBorders>
            <w:shd w:val="clear" w:color="auto" w:fill="auto"/>
            <w:noWrap/>
            <w:vAlign w:val="bottom"/>
            <w:hideMark/>
          </w:tcPr>
          <w:p w14:paraId="77A5C5B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0.009 </w:t>
            </w:r>
          </w:p>
        </w:tc>
        <w:tc>
          <w:tcPr>
            <w:tcW w:w="728" w:type="dxa"/>
            <w:tcBorders>
              <w:top w:val="nil"/>
              <w:left w:val="nil"/>
              <w:bottom w:val="single" w:sz="4" w:space="0" w:color="auto"/>
              <w:right w:val="nil"/>
            </w:tcBorders>
            <w:shd w:val="clear" w:color="auto" w:fill="auto"/>
            <w:noWrap/>
            <w:vAlign w:val="bottom"/>
            <w:hideMark/>
          </w:tcPr>
          <w:p w14:paraId="2D9E169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0.026 </w:t>
            </w:r>
          </w:p>
        </w:tc>
        <w:tc>
          <w:tcPr>
            <w:tcW w:w="728" w:type="dxa"/>
            <w:tcBorders>
              <w:top w:val="nil"/>
              <w:left w:val="nil"/>
              <w:bottom w:val="single" w:sz="4" w:space="0" w:color="auto"/>
              <w:right w:val="nil"/>
            </w:tcBorders>
            <w:shd w:val="clear" w:color="auto" w:fill="auto"/>
            <w:noWrap/>
            <w:vAlign w:val="bottom"/>
            <w:hideMark/>
          </w:tcPr>
          <w:p w14:paraId="24D6032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0.021 </w:t>
            </w:r>
          </w:p>
        </w:tc>
        <w:tc>
          <w:tcPr>
            <w:tcW w:w="728" w:type="dxa"/>
            <w:tcBorders>
              <w:top w:val="nil"/>
              <w:left w:val="nil"/>
              <w:bottom w:val="single" w:sz="4" w:space="0" w:color="auto"/>
              <w:right w:val="nil"/>
            </w:tcBorders>
            <w:shd w:val="clear" w:color="auto" w:fill="auto"/>
            <w:noWrap/>
            <w:vAlign w:val="bottom"/>
            <w:hideMark/>
          </w:tcPr>
          <w:p w14:paraId="4144275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0.038 </w:t>
            </w:r>
          </w:p>
        </w:tc>
      </w:tr>
      <w:tr w:rsidR="004431AA" w:rsidRPr="004431AA" w14:paraId="138190A9" w14:textId="77777777" w:rsidTr="002559BF">
        <w:trPr>
          <w:trHeight w:val="300"/>
        </w:trPr>
        <w:tc>
          <w:tcPr>
            <w:tcW w:w="12998" w:type="dxa"/>
            <w:gridSpan w:val="17"/>
            <w:tcBorders>
              <w:top w:val="single" w:sz="4" w:space="0" w:color="auto"/>
              <w:left w:val="nil"/>
              <w:bottom w:val="nil"/>
              <w:right w:val="nil"/>
            </w:tcBorders>
            <w:shd w:val="clear" w:color="auto" w:fill="auto"/>
            <w:noWrap/>
            <w:vAlign w:val="bottom"/>
            <w:hideMark/>
          </w:tcPr>
          <w:p w14:paraId="37F37FFB" w14:textId="08F12777"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 xml:space="preserve"> Transitions from state B (in remission) Treatment </w:t>
            </w:r>
            <w:r w:rsidR="00545D7B">
              <w:rPr>
                <w:rFonts w:eastAsia="Times New Roman" w:cs="Arial"/>
                <w:i/>
                <w:iCs/>
                <w:color w:val="000000"/>
                <w:sz w:val="20"/>
                <w:szCs w:val="20"/>
                <w:lang w:eastAsia="en-GB"/>
              </w:rPr>
              <w:t>plus</w:t>
            </w:r>
            <w:r w:rsidRPr="004431AA">
              <w:rPr>
                <w:rFonts w:eastAsia="Times New Roman" w:cs="Arial"/>
                <w:i/>
                <w:iCs/>
                <w:color w:val="000000"/>
                <w:sz w:val="20"/>
                <w:szCs w:val="20"/>
                <w:lang w:eastAsia="en-GB"/>
              </w:rPr>
              <w:t xml:space="preserve"> parenting and/or family recovery support  </w:t>
            </w:r>
          </w:p>
        </w:tc>
      </w:tr>
      <w:tr w:rsidR="004431AA" w:rsidRPr="004431AA" w14:paraId="7DF03B3D" w14:textId="77777777" w:rsidTr="002559BF">
        <w:trPr>
          <w:trHeight w:val="300"/>
        </w:trPr>
        <w:tc>
          <w:tcPr>
            <w:tcW w:w="1350" w:type="dxa"/>
            <w:tcBorders>
              <w:top w:val="nil"/>
              <w:left w:val="nil"/>
              <w:bottom w:val="nil"/>
              <w:right w:val="nil"/>
            </w:tcBorders>
            <w:shd w:val="clear" w:color="auto" w:fill="auto"/>
            <w:noWrap/>
            <w:vAlign w:val="bottom"/>
            <w:hideMark/>
          </w:tcPr>
          <w:p w14:paraId="6C975A0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lastRenderedPageBreak/>
              <w:t>tpB2A_2</w:t>
            </w:r>
          </w:p>
        </w:tc>
        <w:tc>
          <w:tcPr>
            <w:tcW w:w="728" w:type="dxa"/>
            <w:tcBorders>
              <w:top w:val="nil"/>
              <w:left w:val="nil"/>
              <w:bottom w:val="nil"/>
              <w:right w:val="nil"/>
            </w:tcBorders>
            <w:shd w:val="clear" w:color="auto" w:fill="auto"/>
            <w:noWrap/>
            <w:vAlign w:val="bottom"/>
            <w:hideMark/>
          </w:tcPr>
          <w:p w14:paraId="0565354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0.054 </w:t>
            </w:r>
          </w:p>
        </w:tc>
        <w:tc>
          <w:tcPr>
            <w:tcW w:w="728" w:type="dxa"/>
            <w:tcBorders>
              <w:top w:val="nil"/>
              <w:left w:val="nil"/>
              <w:bottom w:val="nil"/>
              <w:right w:val="nil"/>
            </w:tcBorders>
            <w:shd w:val="clear" w:color="auto" w:fill="auto"/>
            <w:noWrap/>
            <w:vAlign w:val="bottom"/>
            <w:hideMark/>
          </w:tcPr>
          <w:p w14:paraId="16B8C46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0.092 </w:t>
            </w:r>
          </w:p>
        </w:tc>
        <w:tc>
          <w:tcPr>
            <w:tcW w:w="728" w:type="dxa"/>
            <w:tcBorders>
              <w:top w:val="nil"/>
              <w:left w:val="nil"/>
              <w:bottom w:val="nil"/>
              <w:right w:val="nil"/>
            </w:tcBorders>
            <w:shd w:val="clear" w:color="auto" w:fill="auto"/>
            <w:noWrap/>
            <w:vAlign w:val="bottom"/>
            <w:hideMark/>
          </w:tcPr>
          <w:p w14:paraId="49524E7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0.119 </w:t>
            </w:r>
          </w:p>
        </w:tc>
        <w:tc>
          <w:tcPr>
            <w:tcW w:w="728" w:type="dxa"/>
            <w:tcBorders>
              <w:top w:val="nil"/>
              <w:left w:val="nil"/>
              <w:bottom w:val="nil"/>
              <w:right w:val="nil"/>
            </w:tcBorders>
            <w:shd w:val="clear" w:color="auto" w:fill="auto"/>
            <w:noWrap/>
            <w:vAlign w:val="bottom"/>
            <w:hideMark/>
          </w:tcPr>
          <w:p w14:paraId="7599494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0.162 </w:t>
            </w:r>
          </w:p>
        </w:tc>
        <w:tc>
          <w:tcPr>
            <w:tcW w:w="728" w:type="dxa"/>
            <w:tcBorders>
              <w:top w:val="nil"/>
              <w:left w:val="nil"/>
              <w:bottom w:val="nil"/>
              <w:right w:val="nil"/>
            </w:tcBorders>
            <w:shd w:val="clear" w:color="auto" w:fill="auto"/>
            <w:noWrap/>
            <w:vAlign w:val="bottom"/>
            <w:hideMark/>
          </w:tcPr>
          <w:p w14:paraId="149C1F8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0.159 </w:t>
            </w:r>
          </w:p>
        </w:tc>
        <w:tc>
          <w:tcPr>
            <w:tcW w:w="728" w:type="dxa"/>
            <w:tcBorders>
              <w:top w:val="nil"/>
              <w:left w:val="nil"/>
              <w:bottom w:val="nil"/>
              <w:right w:val="nil"/>
            </w:tcBorders>
            <w:shd w:val="clear" w:color="auto" w:fill="auto"/>
            <w:noWrap/>
            <w:vAlign w:val="bottom"/>
            <w:hideMark/>
          </w:tcPr>
          <w:p w14:paraId="44723A8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0.153 </w:t>
            </w:r>
          </w:p>
        </w:tc>
        <w:tc>
          <w:tcPr>
            <w:tcW w:w="728" w:type="dxa"/>
            <w:tcBorders>
              <w:top w:val="nil"/>
              <w:left w:val="nil"/>
              <w:bottom w:val="nil"/>
              <w:right w:val="nil"/>
            </w:tcBorders>
            <w:shd w:val="clear" w:color="auto" w:fill="auto"/>
            <w:noWrap/>
            <w:vAlign w:val="bottom"/>
            <w:hideMark/>
          </w:tcPr>
          <w:p w14:paraId="6D3B7D7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0.134 </w:t>
            </w:r>
          </w:p>
        </w:tc>
        <w:tc>
          <w:tcPr>
            <w:tcW w:w="728" w:type="dxa"/>
            <w:tcBorders>
              <w:top w:val="nil"/>
              <w:left w:val="nil"/>
              <w:bottom w:val="nil"/>
              <w:right w:val="nil"/>
            </w:tcBorders>
            <w:shd w:val="clear" w:color="auto" w:fill="auto"/>
            <w:noWrap/>
            <w:vAlign w:val="bottom"/>
            <w:hideMark/>
          </w:tcPr>
          <w:p w14:paraId="1E49422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0.160 </w:t>
            </w:r>
          </w:p>
        </w:tc>
        <w:tc>
          <w:tcPr>
            <w:tcW w:w="728" w:type="dxa"/>
            <w:tcBorders>
              <w:top w:val="nil"/>
              <w:left w:val="nil"/>
              <w:bottom w:val="nil"/>
              <w:right w:val="nil"/>
            </w:tcBorders>
            <w:shd w:val="clear" w:color="auto" w:fill="auto"/>
            <w:noWrap/>
            <w:vAlign w:val="bottom"/>
            <w:hideMark/>
          </w:tcPr>
          <w:p w14:paraId="7B7CB39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nil"/>
              <w:right w:val="nil"/>
            </w:tcBorders>
            <w:shd w:val="clear" w:color="auto" w:fill="auto"/>
            <w:noWrap/>
            <w:vAlign w:val="bottom"/>
            <w:hideMark/>
          </w:tcPr>
          <w:p w14:paraId="7A03136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0.058 </w:t>
            </w:r>
          </w:p>
        </w:tc>
        <w:tc>
          <w:tcPr>
            <w:tcW w:w="728" w:type="dxa"/>
            <w:tcBorders>
              <w:top w:val="nil"/>
              <w:left w:val="nil"/>
              <w:bottom w:val="nil"/>
              <w:right w:val="nil"/>
            </w:tcBorders>
            <w:shd w:val="clear" w:color="auto" w:fill="auto"/>
            <w:noWrap/>
            <w:vAlign w:val="bottom"/>
            <w:hideMark/>
          </w:tcPr>
          <w:p w14:paraId="630D3FC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0.102 </w:t>
            </w:r>
          </w:p>
        </w:tc>
        <w:tc>
          <w:tcPr>
            <w:tcW w:w="728" w:type="dxa"/>
            <w:tcBorders>
              <w:top w:val="nil"/>
              <w:left w:val="nil"/>
              <w:bottom w:val="nil"/>
              <w:right w:val="nil"/>
            </w:tcBorders>
            <w:shd w:val="clear" w:color="auto" w:fill="auto"/>
            <w:noWrap/>
            <w:vAlign w:val="bottom"/>
            <w:hideMark/>
          </w:tcPr>
          <w:p w14:paraId="0E55510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0.139 </w:t>
            </w:r>
          </w:p>
        </w:tc>
        <w:tc>
          <w:tcPr>
            <w:tcW w:w="728" w:type="dxa"/>
            <w:tcBorders>
              <w:top w:val="nil"/>
              <w:left w:val="nil"/>
              <w:bottom w:val="nil"/>
              <w:right w:val="nil"/>
            </w:tcBorders>
            <w:shd w:val="clear" w:color="auto" w:fill="auto"/>
            <w:noWrap/>
            <w:vAlign w:val="bottom"/>
            <w:hideMark/>
          </w:tcPr>
          <w:p w14:paraId="7A130E5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0.127 </w:t>
            </w:r>
          </w:p>
        </w:tc>
        <w:tc>
          <w:tcPr>
            <w:tcW w:w="728" w:type="dxa"/>
            <w:tcBorders>
              <w:top w:val="nil"/>
              <w:left w:val="nil"/>
              <w:bottom w:val="nil"/>
              <w:right w:val="nil"/>
            </w:tcBorders>
            <w:shd w:val="clear" w:color="auto" w:fill="auto"/>
            <w:noWrap/>
            <w:vAlign w:val="bottom"/>
            <w:hideMark/>
          </w:tcPr>
          <w:p w14:paraId="4819859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0.167 </w:t>
            </w:r>
          </w:p>
        </w:tc>
        <w:tc>
          <w:tcPr>
            <w:tcW w:w="728" w:type="dxa"/>
            <w:tcBorders>
              <w:top w:val="nil"/>
              <w:left w:val="nil"/>
              <w:bottom w:val="nil"/>
              <w:right w:val="nil"/>
            </w:tcBorders>
            <w:shd w:val="clear" w:color="auto" w:fill="auto"/>
            <w:noWrap/>
            <w:vAlign w:val="bottom"/>
            <w:hideMark/>
          </w:tcPr>
          <w:p w14:paraId="1627641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0.121 </w:t>
            </w:r>
          </w:p>
        </w:tc>
        <w:tc>
          <w:tcPr>
            <w:tcW w:w="728" w:type="dxa"/>
            <w:tcBorders>
              <w:top w:val="nil"/>
              <w:left w:val="nil"/>
              <w:bottom w:val="nil"/>
              <w:right w:val="nil"/>
            </w:tcBorders>
            <w:shd w:val="clear" w:color="auto" w:fill="auto"/>
            <w:noWrap/>
            <w:vAlign w:val="bottom"/>
            <w:hideMark/>
          </w:tcPr>
          <w:p w14:paraId="0037F64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0.155 </w:t>
            </w:r>
          </w:p>
        </w:tc>
      </w:tr>
      <w:tr w:rsidR="004431AA" w:rsidRPr="004431AA" w14:paraId="3D85821E" w14:textId="77777777" w:rsidTr="002559BF">
        <w:trPr>
          <w:trHeight w:val="300"/>
        </w:trPr>
        <w:tc>
          <w:tcPr>
            <w:tcW w:w="1350" w:type="dxa"/>
            <w:tcBorders>
              <w:top w:val="nil"/>
              <w:left w:val="nil"/>
              <w:bottom w:val="nil"/>
              <w:right w:val="nil"/>
            </w:tcBorders>
            <w:shd w:val="clear" w:color="auto" w:fill="auto"/>
            <w:noWrap/>
            <w:vAlign w:val="bottom"/>
            <w:hideMark/>
          </w:tcPr>
          <w:p w14:paraId="041D828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tpB2B_2</w:t>
            </w:r>
          </w:p>
        </w:tc>
        <w:tc>
          <w:tcPr>
            <w:tcW w:w="728" w:type="dxa"/>
            <w:tcBorders>
              <w:top w:val="nil"/>
              <w:left w:val="nil"/>
              <w:bottom w:val="nil"/>
              <w:right w:val="nil"/>
            </w:tcBorders>
            <w:shd w:val="clear" w:color="auto" w:fill="auto"/>
            <w:noWrap/>
            <w:vAlign w:val="bottom"/>
            <w:hideMark/>
          </w:tcPr>
          <w:p w14:paraId="7B2473F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0.797 </w:t>
            </w:r>
          </w:p>
        </w:tc>
        <w:tc>
          <w:tcPr>
            <w:tcW w:w="728" w:type="dxa"/>
            <w:tcBorders>
              <w:top w:val="nil"/>
              <w:left w:val="nil"/>
              <w:bottom w:val="nil"/>
              <w:right w:val="nil"/>
            </w:tcBorders>
            <w:shd w:val="clear" w:color="auto" w:fill="auto"/>
            <w:noWrap/>
            <w:vAlign w:val="bottom"/>
            <w:hideMark/>
          </w:tcPr>
          <w:p w14:paraId="4080BFA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0.576 </w:t>
            </w:r>
          </w:p>
        </w:tc>
        <w:tc>
          <w:tcPr>
            <w:tcW w:w="728" w:type="dxa"/>
            <w:tcBorders>
              <w:top w:val="nil"/>
              <w:left w:val="nil"/>
              <w:bottom w:val="nil"/>
              <w:right w:val="nil"/>
            </w:tcBorders>
            <w:shd w:val="clear" w:color="auto" w:fill="auto"/>
            <w:noWrap/>
            <w:vAlign w:val="bottom"/>
            <w:hideMark/>
          </w:tcPr>
          <w:p w14:paraId="2645B1C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0.734 </w:t>
            </w:r>
          </w:p>
        </w:tc>
        <w:tc>
          <w:tcPr>
            <w:tcW w:w="728" w:type="dxa"/>
            <w:tcBorders>
              <w:top w:val="nil"/>
              <w:left w:val="nil"/>
              <w:bottom w:val="nil"/>
              <w:right w:val="nil"/>
            </w:tcBorders>
            <w:shd w:val="clear" w:color="auto" w:fill="auto"/>
            <w:noWrap/>
            <w:vAlign w:val="bottom"/>
            <w:hideMark/>
          </w:tcPr>
          <w:p w14:paraId="5AC2E58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0.552 </w:t>
            </w:r>
          </w:p>
        </w:tc>
        <w:tc>
          <w:tcPr>
            <w:tcW w:w="728" w:type="dxa"/>
            <w:tcBorders>
              <w:top w:val="nil"/>
              <w:left w:val="nil"/>
              <w:bottom w:val="nil"/>
              <w:right w:val="nil"/>
            </w:tcBorders>
            <w:shd w:val="clear" w:color="auto" w:fill="auto"/>
            <w:noWrap/>
            <w:vAlign w:val="bottom"/>
            <w:hideMark/>
          </w:tcPr>
          <w:p w14:paraId="01EC670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0.676 </w:t>
            </w:r>
          </w:p>
        </w:tc>
        <w:tc>
          <w:tcPr>
            <w:tcW w:w="728" w:type="dxa"/>
            <w:tcBorders>
              <w:top w:val="nil"/>
              <w:left w:val="nil"/>
              <w:bottom w:val="nil"/>
              <w:right w:val="nil"/>
            </w:tcBorders>
            <w:shd w:val="clear" w:color="auto" w:fill="auto"/>
            <w:noWrap/>
            <w:vAlign w:val="bottom"/>
            <w:hideMark/>
          </w:tcPr>
          <w:p w14:paraId="6538479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0.665 </w:t>
            </w:r>
          </w:p>
        </w:tc>
        <w:tc>
          <w:tcPr>
            <w:tcW w:w="728" w:type="dxa"/>
            <w:tcBorders>
              <w:top w:val="nil"/>
              <w:left w:val="nil"/>
              <w:bottom w:val="nil"/>
              <w:right w:val="nil"/>
            </w:tcBorders>
            <w:shd w:val="clear" w:color="auto" w:fill="auto"/>
            <w:noWrap/>
            <w:vAlign w:val="bottom"/>
            <w:hideMark/>
          </w:tcPr>
          <w:p w14:paraId="3B2018F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0.712 </w:t>
            </w:r>
          </w:p>
        </w:tc>
        <w:tc>
          <w:tcPr>
            <w:tcW w:w="728" w:type="dxa"/>
            <w:tcBorders>
              <w:top w:val="nil"/>
              <w:left w:val="nil"/>
              <w:bottom w:val="nil"/>
              <w:right w:val="nil"/>
            </w:tcBorders>
            <w:shd w:val="clear" w:color="auto" w:fill="auto"/>
            <w:noWrap/>
            <w:vAlign w:val="bottom"/>
            <w:hideMark/>
          </w:tcPr>
          <w:p w14:paraId="596BB9A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0.639 </w:t>
            </w:r>
          </w:p>
        </w:tc>
        <w:tc>
          <w:tcPr>
            <w:tcW w:w="728" w:type="dxa"/>
            <w:tcBorders>
              <w:top w:val="nil"/>
              <w:left w:val="nil"/>
              <w:bottom w:val="nil"/>
              <w:right w:val="nil"/>
            </w:tcBorders>
            <w:shd w:val="clear" w:color="auto" w:fill="auto"/>
            <w:noWrap/>
            <w:vAlign w:val="bottom"/>
            <w:hideMark/>
          </w:tcPr>
          <w:p w14:paraId="14BD9B9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0.918 </w:t>
            </w:r>
          </w:p>
        </w:tc>
        <w:tc>
          <w:tcPr>
            <w:tcW w:w="728" w:type="dxa"/>
            <w:tcBorders>
              <w:top w:val="nil"/>
              <w:left w:val="nil"/>
              <w:bottom w:val="nil"/>
              <w:right w:val="nil"/>
            </w:tcBorders>
            <w:shd w:val="clear" w:color="auto" w:fill="auto"/>
            <w:noWrap/>
            <w:vAlign w:val="bottom"/>
            <w:hideMark/>
          </w:tcPr>
          <w:p w14:paraId="4907205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0.568 </w:t>
            </w:r>
          </w:p>
        </w:tc>
        <w:tc>
          <w:tcPr>
            <w:tcW w:w="728" w:type="dxa"/>
            <w:tcBorders>
              <w:top w:val="nil"/>
              <w:left w:val="nil"/>
              <w:bottom w:val="nil"/>
              <w:right w:val="nil"/>
            </w:tcBorders>
            <w:shd w:val="clear" w:color="auto" w:fill="auto"/>
            <w:noWrap/>
            <w:vAlign w:val="bottom"/>
            <w:hideMark/>
          </w:tcPr>
          <w:p w14:paraId="316F6DD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0.644 </w:t>
            </w:r>
          </w:p>
        </w:tc>
        <w:tc>
          <w:tcPr>
            <w:tcW w:w="728" w:type="dxa"/>
            <w:tcBorders>
              <w:top w:val="nil"/>
              <w:left w:val="nil"/>
              <w:bottom w:val="nil"/>
              <w:right w:val="nil"/>
            </w:tcBorders>
            <w:shd w:val="clear" w:color="auto" w:fill="auto"/>
            <w:noWrap/>
            <w:vAlign w:val="bottom"/>
            <w:hideMark/>
          </w:tcPr>
          <w:p w14:paraId="1AD57D3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0.520 </w:t>
            </w:r>
          </w:p>
        </w:tc>
        <w:tc>
          <w:tcPr>
            <w:tcW w:w="728" w:type="dxa"/>
            <w:tcBorders>
              <w:top w:val="nil"/>
              <w:left w:val="nil"/>
              <w:bottom w:val="nil"/>
              <w:right w:val="nil"/>
            </w:tcBorders>
            <w:shd w:val="clear" w:color="auto" w:fill="auto"/>
            <w:noWrap/>
            <w:vAlign w:val="bottom"/>
            <w:hideMark/>
          </w:tcPr>
          <w:p w14:paraId="0B32667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0.705 </w:t>
            </w:r>
          </w:p>
        </w:tc>
        <w:tc>
          <w:tcPr>
            <w:tcW w:w="728" w:type="dxa"/>
            <w:tcBorders>
              <w:top w:val="nil"/>
              <w:left w:val="nil"/>
              <w:bottom w:val="nil"/>
              <w:right w:val="nil"/>
            </w:tcBorders>
            <w:shd w:val="clear" w:color="auto" w:fill="auto"/>
            <w:noWrap/>
            <w:vAlign w:val="bottom"/>
            <w:hideMark/>
          </w:tcPr>
          <w:p w14:paraId="27921D9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0.529 </w:t>
            </w:r>
          </w:p>
        </w:tc>
        <w:tc>
          <w:tcPr>
            <w:tcW w:w="728" w:type="dxa"/>
            <w:tcBorders>
              <w:top w:val="nil"/>
              <w:left w:val="nil"/>
              <w:bottom w:val="nil"/>
              <w:right w:val="nil"/>
            </w:tcBorders>
            <w:shd w:val="clear" w:color="auto" w:fill="auto"/>
            <w:noWrap/>
            <w:vAlign w:val="bottom"/>
            <w:hideMark/>
          </w:tcPr>
          <w:p w14:paraId="2B8586A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0.719 </w:t>
            </w:r>
          </w:p>
        </w:tc>
        <w:tc>
          <w:tcPr>
            <w:tcW w:w="728" w:type="dxa"/>
            <w:tcBorders>
              <w:top w:val="nil"/>
              <w:left w:val="nil"/>
              <w:bottom w:val="nil"/>
              <w:right w:val="nil"/>
            </w:tcBorders>
            <w:shd w:val="clear" w:color="auto" w:fill="auto"/>
            <w:noWrap/>
            <w:vAlign w:val="bottom"/>
            <w:hideMark/>
          </w:tcPr>
          <w:p w14:paraId="3C8B0D2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0.601 </w:t>
            </w:r>
          </w:p>
        </w:tc>
      </w:tr>
      <w:tr w:rsidR="004431AA" w:rsidRPr="004431AA" w14:paraId="77078965" w14:textId="77777777" w:rsidTr="002559BF">
        <w:trPr>
          <w:trHeight w:val="300"/>
        </w:trPr>
        <w:tc>
          <w:tcPr>
            <w:tcW w:w="1350" w:type="dxa"/>
            <w:tcBorders>
              <w:top w:val="nil"/>
              <w:left w:val="nil"/>
              <w:right w:val="nil"/>
            </w:tcBorders>
            <w:shd w:val="clear" w:color="auto" w:fill="auto"/>
            <w:noWrap/>
            <w:vAlign w:val="bottom"/>
            <w:hideMark/>
          </w:tcPr>
          <w:p w14:paraId="45DD7BA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tpB2C_2</w:t>
            </w:r>
          </w:p>
        </w:tc>
        <w:tc>
          <w:tcPr>
            <w:tcW w:w="728" w:type="dxa"/>
            <w:tcBorders>
              <w:top w:val="nil"/>
              <w:left w:val="nil"/>
              <w:right w:val="nil"/>
            </w:tcBorders>
            <w:shd w:val="clear" w:color="auto" w:fill="auto"/>
            <w:noWrap/>
            <w:vAlign w:val="bottom"/>
            <w:hideMark/>
          </w:tcPr>
          <w:p w14:paraId="5CDDD62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0.129 </w:t>
            </w:r>
          </w:p>
        </w:tc>
        <w:tc>
          <w:tcPr>
            <w:tcW w:w="728" w:type="dxa"/>
            <w:tcBorders>
              <w:top w:val="nil"/>
              <w:left w:val="nil"/>
              <w:right w:val="nil"/>
            </w:tcBorders>
            <w:shd w:val="clear" w:color="auto" w:fill="auto"/>
            <w:noWrap/>
            <w:vAlign w:val="bottom"/>
            <w:hideMark/>
          </w:tcPr>
          <w:p w14:paraId="456DE5F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0.300 </w:t>
            </w:r>
          </w:p>
        </w:tc>
        <w:tc>
          <w:tcPr>
            <w:tcW w:w="728" w:type="dxa"/>
            <w:tcBorders>
              <w:top w:val="nil"/>
              <w:left w:val="nil"/>
              <w:right w:val="nil"/>
            </w:tcBorders>
            <w:shd w:val="clear" w:color="auto" w:fill="auto"/>
            <w:noWrap/>
            <w:vAlign w:val="bottom"/>
            <w:hideMark/>
          </w:tcPr>
          <w:p w14:paraId="241B42D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0.139 </w:t>
            </w:r>
          </w:p>
        </w:tc>
        <w:tc>
          <w:tcPr>
            <w:tcW w:w="728" w:type="dxa"/>
            <w:tcBorders>
              <w:top w:val="nil"/>
              <w:left w:val="nil"/>
              <w:right w:val="nil"/>
            </w:tcBorders>
            <w:shd w:val="clear" w:color="auto" w:fill="auto"/>
            <w:noWrap/>
            <w:vAlign w:val="bottom"/>
            <w:hideMark/>
          </w:tcPr>
          <w:p w14:paraId="44E0085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0.277 </w:t>
            </w:r>
          </w:p>
        </w:tc>
        <w:tc>
          <w:tcPr>
            <w:tcW w:w="728" w:type="dxa"/>
            <w:tcBorders>
              <w:top w:val="nil"/>
              <w:left w:val="nil"/>
              <w:right w:val="nil"/>
            </w:tcBorders>
            <w:shd w:val="clear" w:color="auto" w:fill="auto"/>
            <w:noWrap/>
            <w:vAlign w:val="bottom"/>
            <w:hideMark/>
          </w:tcPr>
          <w:p w14:paraId="61AD1AC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0.155 </w:t>
            </w:r>
          </w:p>
        </w:tc>
        <w:tc>
          <w:tcPr>
            <w:tcW w:w="728" w:type="dxa"/>
            <w:tcBorders>
              <w:top w:val="nil"/>
              <w:left w:val="nil"/>
              <w:right w:val="nil"/>
            </w:tcBorders>
            <w:shd w:val="clear" w:color="auto" w:fill="auto"/>
            <w:noWrap/>
            <w:vAlign w:val="bottom"/>
            <w:hideMark/>
          </w:tcPr>
          <w:p w14:paraId="48E9BD2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0.168 </w:t>
            </w:r>
          </w:p>
        </w:tc>
        <w:tc>
          <w:tcPr>
            <w:tcW w:w="728" w:type="dxa"/>
            <w:tcBorders>
              <w:top w:val="nil"/>
              <w:left w:val="nil"/>
              <w:right w:val="nil"/>
            </w:tcBorders>
            <w:shd w:val="clear" w:color="auto" w:fill="auto"/>
            <w:noWrap/>
            <w:vAlign w:val="bottom"/>
            <w:hideMark/>
          </w:tcPr>
          <w:p w14:paraId="4A097D9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0.143 </w:t>
            </w:r>
          </w:p>
        </w:tc>
        <w:tc>
          <w:tcPr>
            <w:tcW w:w="728" w:type="dxa"/>
            <w:tcBorders>
              <w:top w:val="nil"/>
              <w:left w:val="nil"/>
              <w:right w:val="nil"/>
            </w:tcBorders>
            <w:shd w:val="clear" w:color="auto" w:fill="auto"/>
            <w:noWrap/>
            <w:vAlign w:val="bottom"/>
            <w:hideMark/>
          </w:tcPr>
          <w:p w14:paraId="69240B8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0.173 </w:t>
            </w:r>
          </w:p>
        </w:tc>
        <w:tc>
          <w:tcPr>
            <w:tcW w:w="728" w:type="dxa"/>
            <w:tcBorders>
              <w:top w:val="nil"/>
              <w:left w:val="nil"/>
              <w:right w:val="nil"/>
            </w:tcBorders>
            <w:shd w:val="clear" w:color="auto" w:fill="auto"/>
            <w:noWrap/>
            <w:vAlign w:val="bottom"/>
            <w:hideMark/>
          </w:tcPr>
          <w:p w14:paraId="26DC308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0.069 </w:t>
            </w:r>
          </w:p>
        </w:tc>
        <w:tc>
          <w:tcPr>
            <w:tcW w:w="728" w:type="dxa"/>
            <w:tcBorders>
              <w:top w:val="nil"/>
              <w:left w:val="nil"/>
              <w:right w:val="nil"/>
            </w:tcBorders>
            <w:shd w:val="clear" w:color="auto" w:fill="auto"/>
            <w:noWrap/>
            <w:vAlign w:val="bottom"/>
            <w:hideMark/>
          </w:tcPr>
          <w:p w14:paraId="683ECB7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0.374 </w:t>
            </w:r>
          </w:p>
        </w:tc>
        <w:tc>
          <w:tcPr>
            <w:tcW w:w="728" w:type="dxa"/>
            <w:tcBorders>
              <w:top w:val="nil"/>
              <w:left w:val="nil"/>
              <w:right w:val="nil"/>
            </w:tcBorders>
            <w:shd w:val="clear" w:color="auto" w:fill="auto"/>
            <w:noWrap/>
            <w:vAlign w:val="bottom"/>
            <w:hideMark/>
          </w:tcPr>
          <w:p w14:paraId="4C1069F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0.246 </w:t>
            </w:r>
          </w:p>
        </w:tc>
        <w:tc>
          <w:tcPr>
            <w:tcW w:w="728" w:type="dxa"/>
            <w:tcBorders>
              <w:top w:val="nil"/>
              <w:left w:val="nil"/>
              <w:right w:val="nil"/>
            </w:tcBorders>
            <w:shd w:val="clear" w:color="auto" w:fill="auto"/>
            <w:noWrap/>
            <w:vAlign w:val="bottom"/>
            <w:hideMark/>
          </w:tcPr>
          <w:p w14:paraId="2CBD615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0.329 </w:t>
            </w:r>
          </w:p>
        </w:tc>
        <w:tc>
          <w:tcPr>
            <w:tcW w:w="728" w:type="dxa"/>
            <w:tcBorders>
              <w:top w:val="nil"/>
              <w:left w:val="nil"/>
              <w:right w:val="nil"/>
            </w:tcBorders>
            <w:shd w:val="clear" w:color="auto" w:fill="auto"/>
            <w:noWrap/>
            <w:vAlign w:val="bottom"/>
            <w:hideMark/>
          </w:tcPr>
          <w:p w14:paraId="784B830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0.159 </w:t>
            </w:r>
          </w:p>
        </w:tc>
        <w:tc>
          <w:tcPr>
            <w:tcW w:w="728" w:type="dxa"/>
            <w:tcBorders>
              <w:top w:val="nil"/>
              <w:left w:val="nil"/>
              <w:right w:val="nil"/>
            </w:tcBorders>
            <w:shd w:val="clear" w:color="auto" w:fill="auto"/>
            <w:noWrap/>
            <w:vAlign w:val="bottom"/>
            <w:hideMark/>
          </w:tcPr>
          <w:p w14:paraId="03EE36C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0.278 </w:t>
            </w:r>
          </w:p>
        </w:tc>
        <w:tc>
          <w:tcPr>
            <w:tcW w:w="728" w:type="dxa"/>
            <w:tcBorders>
              <w:top w:val="nil"/>
              <w:left w:val="nil"/>
              <w:right w:val="nil"/>
            </w:tcBorders>
            <w:shd w:val="clear" w:color="auto" w:fill="auto"/>
            <w:noWrap/>
            <w:vAlign w:val="bottom"/>
            <w:hideMark/>
          </w:tcPr>
          <w:p w14:paraId="64B9242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0.138 </w:t>
            </w:r>
          </w:p>
        </w:tc>
        <w:tc>
          <w:tcPr>
            <w:tcW w:w="728" w:type="dxa"/>
            <w:tcBorders>
              <w:top w:val="nil"/>
              <w:left w:val="nil"/>
              <w:right w:val="nil"/>
            </w:tcBorders>
            <w:shd w:val="clear" w:color="auto" w:fill="auto"/>
            <w:noWrap/>
            <w:vAlign w:val="bottom"/>
            <w:hideMark/>
          </w:tcPr>
          <w:p w14:paraId="2DAD93B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0.205 </w:t>
            </w:r>
          </w:p>
        </w:tc>
      </w:tr>
      <w:tr w:rsidR="004431AA" w:rsidRPr="004431AA" w14:paraId="17C9C4DC" w14:textId="77777777" w:rsidTr="002559BF">
        <w:trPr>
          <w:trHeight w:val="300"/>
        </w:trPr>
        <w:tc>
          <w:tcPr>
            <w:tcW w:w="1350" w:type="dxa"/>
            <w:tcBorders>
              <w:top w:val="nil"/>
              <w:left w:val="nil"/>
              <w:bottom w:val="single" w:sz="4" w:space="0" w:color="auto"/>
              <w:right w:val="nil"/>
            </w:tcBorders>
            <w:shd w:val="clear" w:color="auto" w:fill="auto"/>
            <w:noWrap/>
            <w:vAlign w:val="bottom"/>
            <w:hideMark/>
          </w:tcPr>
          <w:p w14:paraId="772EEC5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tpB2D_2</w:t>
            </w:r>
          </w:p>
        </w:tc>
        <w:tc>
          <w:tcPr>
            <w:tcW w:w="728" w:type="dxa"/>
            <w:tcBorders>
              <w:top w:val="nil"/>
              <w:left w:val="nil"/>
              <w:bottom w:val="single" w:sz="4" w:space="0" w:color="auto"/>
              <w:right w:val="nil"/>
            </w:tcBorders>
            <w:shd w:val="clear" w:color="auto" w:fill="auto"/>
            <w:noWrap/>
            <w:vAlign w:val="bottom"/>
            <w:hideMark/>
          </w:tcPr>
          <w:p w14:paraId="5E2CA66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0.019 </w:t>
            </w:r>
          </w:p>
        </w:tc>
        <w:tc>
          <w:tcPr>
            <w:tcW w:w="728" w:type="dxa"/>
            <w:tcBorders>
              <w:top w:val="nil"/>
              <w:left w:val="nil"/>
              <w:bottom w:val="single" w:sz="4" w:space="0" w:color="auto"/>
              <w:right w:val="nil"/>
            </w:tcBorders>
            <w:shd w:val="clear" w:color="auto" w:fill="auto"/>
            <w:noWrap/>
            <w:vAlign w:val="bottom"/>
            <w:hideMark/>
          </w:tcPr>
          <w:p w14:paraId="71F7D80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0.033 </w:t>
            </w:r>
          </w:p>
        </w:tc>
        <w:tc>
          <w:tcPr>
            <w:tcW w:w="728" w:type="dxa"/>
            <w:tcBorders>
              <w:top w:val="nil"/>
              <w:left w:val="nil"/>
              <w:bottom w:val="single" w:sz="4" w:space="0" w:color="auto"/>
              <w:right w:val="nil"/>
            </w:tcBorders>
            <w:shd w:val="clear" w:color="auto" w:fill="auto"/>
            <w:noWrap/>
            <w:vAlign w:val="bottom"/>
            <w:hideMark/>
          </w:tcPr>
          <w:p w14:paraId="4C27DAB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0.008 </w:t>
            </w:r>
          </w:p>
        </w:tc>
        <w:tc>
          <w:tcPr>
            <w:tcW w:w="728" w:type="dxa"/>
            <w:tcBorders>
              <w:top w:val="nil"/>
              <w:left w:val="nil"/>
              <w:bottom w:val="single" w:sz="4" w:space="0" w:color="auto"/>
              <w:right w:val="nil"/>
            </w:tcBorders>
            <w:shd w:val="clear" w:color="auto" w:fill="auto"/>
            <w:noWrap/>
            <w:vAlign w:val="bottom"/>
            <w:hideMark/>
          </w:tcPr>
          <w:p w14:paraId="2FFD70D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0.010 </w:t>
            </w:r>
          </w:p>
        </w:tc>
        <w:tc>
          <w:tcPr>
            <w:tcW w:w="728" w:type="dxa"/>
            <w:tcBorders>
              <w:top w:val="nil"/>
              <w:left w:val="nil"/>
              <w:bottom w:val="single" w:sz="4" w:space="0" w:color="auto"/>
              <w:right w:val="nil"/>
            </w:tcBorders>
            <w:shd w:val="clear" w:color="auto" w:fill="auto"/>
            <w:noWrap/>
            <w:vAlign w:val="bottom"/>
            <w:hideMark/>
          </w:tcPr>
          <w:p w14:paraId="28DFFA2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0.011 </w:t>
            </w:r>
          </w:p>
        </w:tc>
        <w:tc>
          <w:tcPr>
            <w:tcW w:w="728" w:type="dxa"/>
            <w:tcBorders>
              <w:top w:val="nil"/>
              <w:left w:val="nil"/>
              <w:bottom w:val="single" w:sz="4" w:space="0" w:color="auto"/>
              <w:right w:val="nil"/>
            </w:tcBorders>
            <w:shd w:val="clear" w:color="auto" w:fill="auto"/>
            <w:noWrap/>
            <w:vAlign w:val="bottom"/>
            <w:hideMark/>
          </w:tcPr>
          <w:p w14:paraId="338D37B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0.014 </w:t>
            </w:r>
          </w:p>
        </w:tc>
        <w:tc>
          <w:tcPr>
            <w:tcW w:w="728" w:type="dxa"/>
            <w:tcBorders>
              <w:top w:val="nil"/>
              <w:left w:val="nil"/>
              <w:bottom w:val="single" w:sz="4" w:space="0" w:color="auto"/>
              <w:right w:val="nil"/>
            </w:tcBorders>
            <w:shd w:val="clear" w:color="auto" w:fill="auto"/>
            <w:noWrap/>
            <w:vAlign w:val="bottom"/>
            <w:hideMark/>
          </w:tcPr>
          <w:p w14:paraId="4B9E1C4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0BAF924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0.028 </w:t>
            </w:r>
          </w:p>
        </w:tc>
        <w:tc>
          <w:tcPr>
            <w:tcW w:w="728" w:type="dxa"/>
            <w:tcBorders>
              <w:top w:val="nil"/>
              <w:left w:val="nil"/>
              <w:bottom w:val="single" w:sz="4" w:space="0" w:color="auto"/>
              <w:right w:val="nil"/>
            </w:tcBorders>
            <w:shd w:val="clear" w:color="auto" w:fill="auto"/>
            <w:noWrap/>
            <w:vAlign w:val="bottom"/>
            <w:hideMark/>
          </w:tcPr>
          <w:p w14:paraId="698AA5D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0.001 </w:t>
            </w:r>
          </w:p>
        </w:tc>
        <w:tc>
          <w:tcPr>
            <w:tcW w:w="728" w:type="dxa"/>
            <w:tcBorders>
              <w:top w:val="nil"/>
              <w:left w:val="nil"/>
              <w:bottom w:val="single" w:sz="4" w:space="0" w:color="auto"/>
              <w:right w:val="nil"/>
            </w:tcBorders>
            <w:shd w:val="clear" w:color="auto" w:fill="auto"/>
            <w:noWrap/>
            <w:vAlign w:val="bottom"/>
            <w:hideMark/>
          </w:tcPr>
          <w:p w14:paraId="070A493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0.001 </w:t>
            </w:r>
          </w:p>
        </w:tc>
        <w:tc>
          <w:tcPr>
            <w:tcW w:w="728" w:type="dxa"/>
            <w:tcBorders>
              <w:top w:val="nil"/>
              <w:left w:val="nil"/>
              <w:bottom w:val="single" w:sz="4" w:space="0" w:color="auto"/>
              <w:right w:val="nil"/>
            </w:tcBorders>
            <w:shd w:val="clear" w:color="auto" w:fill="auto"/>
            <w:noWrap/>
            <w:vAlign w:val="bottom"/>
            <w:hideMark/>
          </w:tcPr>
          <w:p w14:paraId="30A65C8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0.008 </w:t>
            </w:r>
          </w:p>
        </w:tc>
        <w:tc>
          <w:tcPr>
            <w:tcW w:w="728" w:type="dxa"/>
            <w:tcBorders>
              <w:top w:val="nil"/>
              <w:left w:val="nil"/>
              <w:bottom w:val="single" w:sz="4" w:space="0" w:color="auto"/>
              <w:right w:val="nil"/>
            </w:tcBorders>
            <w:shd w:val="clear" w:color="auto" w:fill="auto"/>
            <w:noWrap/>
            <w:vAlign w:val="bottom"/>
            <w:hideMark/>
          </w:tcPr>
          <w:p w14:paraId="79377ED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0.011 </w:t>
            </w:r>
          </w:p>
        </w:tc>
        <w:tc>
          <w:tcPr>
            <w:tcW w:w="728" w:type="dxa"/>
            <w:tcBorders>
              <w:top w:val="nil"/>
              <w:left w:val="nil"/>
              <w:bottom w:val="single" w:sz="4" w:space="0" w:color="auto"/>
              <w:right w:val="nil"/>
            </w:tcBorders>
            <w:shd w:val="clear" w:color="auto" w:fill="auto"/>
            <w:noWrap/>
            <w:vAlign w:val="bottom"/>
            <w:hideMark/>
          </w:tcPr>
          <w:p w14:paraId="61096D2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0.009 </w:t>
            </w:r>
          </w:p>
        </w:tc>
        <w:tc>
          <w:tcPr>
            <w:tcW w:w="728" w:type="dxa"/>
            <w:tcBorders>
              <w:top w:val="nil"/>
              <w:left w:val="nil"/>
              <w:bottom w:val="single" w:sz="4" w:space="0" w:color="auto"/>
              <w:right w:val="nil"/>
            </w:tcBorders>
            <w:shd w:val="clear" w:color="auto" w:fill="auto"/>
            <w:noWrap/>
            <w:vAlign w:val="bottom"/>
            <w:hideMark/>
          </w:tcPr>
          <w:p w14:paraId="41AE090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0.026 </w:t>
            </w:r>
          </w:p>
        </w:tc>
        <w:tc>
          <w:tcPr>
            <w:tcW w:w="728" w:type="dxa"/>
            <w:tcBorders>
              <w:top w:val="nil"/>
              <w:left w:val="nil"/>
              <w:bottom w:val="single" w:sz="4" w:space="0" w:color="auto"/>
              <w:right w:val="nil"/>
            </w:tcBorders>
            <w:shd w:val="clear" w:color="auto" w:fill="auto"/>
            <w:noWrap/>
            <w:vAlign w:val="bottom"/>
            <w:hideMark/>
          </w:tcPr>
          <w:p w14:paraId="4C9D156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0.021 </w:t>
            </w:r>
          </w:p>
        </w:tc>
        <w:tc>
          <w:tcPr>
            <w:tcW w:w="728" w:type="dxa"/>
            <w:tcBorders>
              <w:top w:val="nil"/>
              <w:left w:val="nil"/>
              <w:bottom w:val="single" w:sz="4" w:space="0" w:color="auto"/>
              <w:right w:val="nil"/>
            </w:tcBorders>
            <w:shd w:val="clear" w:color="auto" w:fill="auto"/>
            <w:noWrap/>
            <w:vAlign w:val="bottom"/>
            <w:hideMark/>
          </w:tcPr>
          <w:p w14:paraId="414BE62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0.038 </w:t>
            </w:r>
          </w:p>
        </w:tc>
      </w:tr>
      <w:tr w:rsidR="004431AA" w:rsidRPr="004431AA" w14:paraId="46429ADD" w14:textId="77777777" w:rsidTr="002559BF">
        <w:trPr>
          <w:trHeight w:val="300"/>
        </w:trPr>
        <w:tc>
          <w:tcPr>
            <w:tcW w:w="12998" w:type="dxa"/>
            <w:gridSpan w:val="17"/>
            <w:tcBorders>
              <w:top w:val="single" w:sz="4" w:space="0" w:color="auto"/>
              <w:left w:val="nil"/>
              <w:bottom w:val="nil"/>
              <w:right w:val="nil"/>
            </w:tcBorders>
            <w:shd w:val="clear" w:color="auto" w:fill="auto"/>
            <w:noWrap/>
            <w:vAlign w:val="bottom"/>
            <w:hideMark/>
          </w:tcPr>
          <w:p w14:paraId="16A4AB0C" w14:textId="77777777"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 xml:space="preserve"> Transitions from state C (not in treatment and not in remission) Treatment only </w:t>
            </w:r>
          </w:p>
        </w:tc>
      </w:tr>
      <w:tr w:rsidR="004431AA" w:rsidRPr="004431AA" w14:paraId="4FCD10B2" w14:textId="77777777" w:rsidTr="002559BF">
        <w:trPr>
          <w:trHeight w:val="300"/>
        </w:trPr>
        <w:tc>
          <w:tcPr>
            <w:tcW w:w="1350" w:type="dxa"/>
            <w:tcBorders>
              <w:top w:val="nil"/>
              <w:left w:val="nil"/>
              <w:bottom w:val="nil"/>
              <w:right w:val="nil"/>
            </w:tcBorders>
            <w:shd w:val="clear" w:color="auto" w:fill="auto"/>
            <w:noWrap/>
            <w:vAlign w:val="bottom"/>
            <w:hideMark/>
          </w:tcPr>
          <w:p w14:paraId="043BF04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tpC2A </w:t>
            </w:r>
          </w:p>
        </w:tc>
        <w:tc>
          <w:tcPr>
            <w:tcW w:w="728" w:type="dxa"/>
            <w:tcBorders>
              <w:top w:val="nil"/>
              <w:left w:val="nil"/>
              <w:bottom w:val="nil"/>
              <w:right w:val="nil"/>
            </w:tcBorders>
            <w:shd w:val="clear" w:color="auto" w:fill="auto"/>
            <w:noWrap/>
            <w:vAlign w:val="bottom"/>
            <w:hideMark/>
          </w:tcPr>
          <w:p w14:paraId="0A7D54B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0.055 </w:t>
            </w:r>
          </w:p>
        </w:tc>
        <w:tc>
          <w:tcPr>
            <w:tcW w:w="728" w:type="dxa"/>
            <w:tcBorders>
              <w:top w:val="nil"/>
              <w:left w:val="nil"/>
              <w:bottom w:val="nil"/>
              <w:right w:val="nil"/>
            </w:tcBorders>
            <w:shd w:val="clear" w:color="auto" w:fill="auto"/>
            <w:noWrap/>
            <w:vAlign w:val="bottom"/>
            <w:hideMark/>
          </w:tcPr>
          <w:p w14:paraId="0526EB0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0.092 </w:t>
            </w:r>
          </w:p>
        </w:tc>
        <w:tc>
          <w:tcPr>
            <w:tcW w:w="728" w:type="dxa"/>
            <w:tcBorders>
              <w:top w:val="nil"/>
              <w:left w:val="nil"/>
              <w:bottom w:val="nil"/>
              <w:right w:val="nil"/>
            </w:tcBorders>
            <w:shd w:val="clear" w:color="auto" w:fill="auto"/>
            <w:noWrap/>
            <w:vAlign w:val="bottom"/>
            <w:hideMark/>
          </w:tcPr>
          <w:p w14:paraId="41137ED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0.119 </w:t>
            </w:r>
          </w:p>
        </w:tc>
        <w:tc>
          <w:tcPr>
            <w:tcW w:w="728" w:type="dxa"/>
            <w:tcBorders>
              <w:top w:val="nil"/>
              <w:left w:val="nil"/>
              <w:bottom w:val="nil"/>
              <w:right w:val="nil"/>
            </w:tcBorders>
            <w:shd w:val="clear" w:color="auto" w:fill="auto"/>
            <w:noWrap/>
            <w:vAlign w:val="bottom"/>
            <w:hideMark/>
          </w:tcPr>
          <w:p w14:paraId="23F64F1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0.163 </w:t>
            </w:r>
          </w:p>
        </w:tc>
        <w:tc>
          <w:tcPr>
            <w:tcW w:w="728" w:type="dxa"/>
            <w:tcBorders>
              <w:top w:val="nil"/>
              <w:left w:val="nil"/>
              <w:bottom w:val="nil"/>
              <w:right w:val="nil"/>
            </w:tcBorders>
            <w:shd w:val="clear" w:color="auto" w:fill="auto"/>
            <w:noWrap/>
            <w:vAlign w:val="bottom"/>
            <w:hideMark/>
          </w:tcPr>
          <w:p w14:paraId="3B44A2F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0.158 </w:t>
            </w:r>
          </w:p>
        </w:tc>
        <w:tc>
          <w:tcPr>
            <w:tcW w:w="728" w:type="dxa"/>
            <w:tcBorders>
              <w:top w:val="nil"/>
              <w:left w:val="nil"/>
              <w:bottom w:val="nil"/>
              <w:right w:val="nil"/>
            </w:tcBorders>
            <w:shd w:val="clear" w:color="auto" w:fill="auto"/>
            <w:noWrap/>
            <w:vAlign w:val="bottom"/>
            <w:hideMark/>
          </w:tcPr>
          <w:p w14:paraId="532C720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0.152 </w:t>
            </w:r>
          </w:p>
        </w:tc>
        <w:tc>
          <w:tcPr>
            <w:tcW w:w="728" w:type="dxa"/>
            <w:tcBorders>
              <w:top w:val="nil"/>
              <w:left w:val="nil"/>
              <w:bottom w:val="nil"/>
              <w:right w:val="nil"/>
            </w:tcBorders>
            <w:shd w:val="clear" w:color="auto" w:fill="auto"/>
            <w:noWrap/>
            <w:vAlign w:val="bottom"/>
            <w:hideMark/>
          </w:tcPr>
          <w:p w14:paraId="6B1FA5B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0.134 </w:t>
            </w:r>
          </w:p>
        </w:tc>
        <w:tc>
          <w:tcPr>
            <w:tcW w:w="728" w:type="dxa"/>
            <w:tcBorders>
              <w:top w:val="nil"/>
              <w:left w:val="nil"/>
              <w:bottom w:val="nil"/>
              <w:right w:val="nil"/>
            </w:tcBorders>
            <w:shd w:val="clear" w:color="auto" w:fill="auto"/>
            <w:noWrap/>
            <w:vAlign w:val="bottom"/>
            <w:hideMark/>
          </w:tcPr>
          <w:p w14:paraId="38259DF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0.160 </w:t>
            </w:r>
          </w:p>
        </w:tc>
        <w:tc>
          <w:tcPr>
            <w:tcW w:w="728" w:type="dxa"/>
            <w:tcBorders>
              <w:top w:val="nil"/>
              <w:left w:val="nil"/>
              <w:bottom w:val="nil"/>
              <w:right w:val="nil"/>
            </w:tcBorders>
            <w:shd w:val="clear" w:color="auto" w:fill="auto"/>
            <w:noWrap/>
            <w:vAlign w:val="bottom"/>
            <w:hideMark/>
          </w:tcPr>
          <w:p w14:paraId="162A255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0.016 </w:t>
            </w:r>
          </w:p>
        </w:tc>
        <w:tc>
          <w:tcPr>
            <w:tcW w:w="728" w:type="dxa"/>
            <w:tcBorders>
              <w:top w:val="nil"/>
              <w:left w:val="nil"/>
              <w:bottom w:val="nil"/>
              <w:right w:val="nil"/>
            </w:tcBorders>
            <w:shd w:val="clear" w:color="auto" w:fill="auto"/>
            <w:noWrap/>
            <w:vAlign w:val="bottom"/>
            <w:hideMark/>
          </w:tcPr>
          <w:p w14:paraId="69E8145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0.058 </w:t>
            </w:r>
          </w:p>
        </w:tc>
        <w:tc>
          <w:tcPr>
            <w:tcW w:w="728" w:type="dxa"/>
            <w:tcBorders>
              <w:top w:val="nil"/>
              <w:left w:val="nil"/>
              <w:bottom w:val="nil"/>
              <w:right w:val="nil"/>
            </w:tcBorders>
            <w:shd w:val="clear" w:color="auto" w:fill="auto"/>
            <w:noWrap/>
            <w:vAlign w:val="bottom"/>
            <w:hideMark/>
          </w:tcPr>
          <w:p w14:paraId="0760FFE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0.102 </w:t>
            </w:r>
          </w:p>
        </w:tc>
        <w:tc>
          <w:tcPr>
            <w:tcW w:w="728" w:type="dxa"/>
            <w:tcBorders>
              <w:top w:val="nil"/>
              <w:left w:val="nil"/>
              <w:bottom w:val="nil"/>
              <w:right w:val="nil"/>
            </w:tcBorders>
            <w:shd w:val="clear" w:color="auto" w:fill="auto"/>
            <w:noWrap/>
            <w:vAlign w:val="bottom"/>
            <w:hideMark/>
          </w:tcPr>
          <w:p w14:paraId="2F45565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0.139 </w:t>
            </w:r>
          </w:p>
        </w:tc>
        <w:tc>
          <w:tcPr>
            <w:tcW w:w="728" w:type="dxa"/>
            <w:tcBorders>
              <w:top w:val="nil"/>
              <w:left w:val="nil"/>
              <w:bottom w:val="nil"/>
              <w:right w:val="nil"/>
            </w:tcBorders>
            <w:shd w:val="clear" w:color="auto" w:fill="auto"/>
            <w:noWrap/>
            <w:vAlign w:val="bottom"/>
            <w:hideMark/>
          </w:tcPr>
          <w:p w14:paraId="120F491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0.127 </w:t>
            </w:r>
          </w:p>
        </w:tc>
        <w:tc>
          <w:tcPr>
            <w:tcW w:w="728" w:type="dxa"/>
            <w:tcBorders>
              <w:top w:val="nil"/>
              <w:left w:val="nil"/>
              <w:bottom w:val="nil"/>
              <w:right w:val="nil"/>
            </w:tcBorders>
            <w:shd w:val="clear" w:color="auto" w:fill="auto"/>
            <w:noWrap/>
            <w:vAlign w:val="bottom"/>
            <w:hideMark/>
          </w:tcPr>
          <w:p w14:paraId="6F74A5C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0.168 </w:t>
            </w:r>
          </w:p>
        </w:tc>
        <w:tc>
          <w:tcPr>
            <w:tcW w:w="728" w:type="dxa"/>
            <w:tcBorders>
              <w:top w:val="nil"/>
              <w:left w:val="nil"/>
              <w:bottom w:val="nil"/>
              <w:right w:val="nil"/>
            </w:tcBorders>
            <w:shd w:val="clear" w:color="auto" w:fill="auto"/>
            <w:noWrap/>
            <w:vAlign w:val="bottom"/>
            <w:hideMark/>
          </w:tcPr>
          <w:p w14:paraId="69082DF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0.121 </w:t>
            </w:r>
          </w:p>
        </w:tc>
        <w:tc>
          <w:tcPr>
            <w:tcW w:w="728" w:type="dxa"/>
            <w:tcBorders>
              <w:top w:val="nil"/>
              <w:left w:val="nil"/>
              <w:bottom w:val="nil"/>
              <w:right w:val="nil"/>
            </w:tcBorders>
            <w:shd w:val="clear" w:color="auto" w:fill="auto"/>
            <w:noWrap/>
            <w:vAlign w:val="bottom"/>
            <w:hideMark/>
          </w:tcPr>
          <w:p w14:paraId="79D7330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0.157 </w:t>
            </w:r>
          </w:p>
        </w:tc>
      </w:tr>
      <w:tr w:rsidR="004431AA" w:rsidRPr="004431AA" w14:paraId="10138DC6" w14:textId="77777777" w:rsidTr="002559BF">
        <w:trPr>
          <w:trHeight w:val="300"/>
        </w:trPr>
        <w:tc>
          <w:tcPr>
            <w:tcW w:w="1350" w:type="dxa"/>
            <w:tcBorders>
              <w:top w:val="nil"/>
              <w:left w:val="nil"/>
              <w:bottom w:val="nil"/>
              <w:right w:val="nil"/>
            </w:tcBorders>
            <w:shd w:val="clear" w:color="auto" w:fill="auto"/>
            <w:noWrap/>
            <w:vAlign w:val="bottom"/>
            <w:hideMark/>
          </w:tcPr>
          <w:p w14:paraId="09065A6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tpC2B </w:t>
            </w:r>
          </w:p>
        </w:tc>
        <w:tc>
          <w:tcPr>
            <w:tcW w:w="728" w:type="dxa"/>
            <w:tcBorders>
              <w:top w:val="nil"/>
              <w:left w:val="nil"/>
              <w:bottom w:val="nil"/>
              <w:right w:val="nil"/>
            </w:tcBorders>
            <w:shd w:val="clear" w:color="auto" w:fill="auto"/>
            <w:noWrap/>
            <w:vAlign w:val="bottom"/>
            <w:hideMark/>
          </w:tcPr>
          <w:p w14:paraId="53C6DDC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0.650 </w:t>
            </w:r>
          </w:p>
        </w:tc>
        <w:tc>
          <w:tcPr>
            <w:tcW w:w="728" w:type="dxa"/>
            <w:tcBorders>
              <w:top w:val="nil"/>
              <w:left w:val="nil"/>
              <w:bottom w:val="nil"/>
              <w:right w:val="nil"/>
            </w:tcBorders>
            <w:shd w:val="clear" w:color="auto" w:fill="auto"/>
            <w:noWrap/>
            <w:vAlign w:val="bottom"/>
            <w:hideMark/>
          </w:tcPr>
          <w:p w14:paraId="0F38377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0.495 </w:t>
            </w:r>
          </w:p>
        </w:tc>
        <w:tc>
          <w:tcPr>
            <w:tcW w:w="728" w:type="dxa"/>
            <w:tcBorders>
              <w:top w:val="nil"/>
              <w:left w:val="nil"/>
              <w:bottom w:val="nil"/>
              <w:right w:val="nil"/>
            </w:tcBorders>
            <w:shd w:val="clear" w:color="auto" w:fill="auto"/>
            <w:noWrap/>
            <w:vAlign w:val="bottom"/>
            <w:hideMark/>
          </w:tcPr>
          <w:p w14:paraId="7AB4FEA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0.615 </w:t>
            </w:r>
          </w:p>
        </w:tc>
        <w:tc>
          <w:tcPr>
            <w:tcW w:w="728" w:type="dxa"/>
            <w:tcBorders>
              <w:top w:val="nil"/>
              <w:left w:val="nil"/>
              <w:bottom w:val="nil"/>
              <w:right w:val="nil"/>
            </w:tcBorders>
            <w:shd w:val="clear" w:color="auto" w:fill="auto"/>
            <w:noWrap/>
            <w:vAlign w:val="bottom"/>
            <w:hideMark/>
          </w:tcPr>
          <w:p w14:paraId="0C9A943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0.465 </w:t>
            </w:r>
          </w:p>
        </w:tc>
        <w:tc>
          <w:tcPr>
            <w:tcW w:w="728" w:type="dxa"/>
            <w:tcBorders>
              <w:top w:val="nil"/>
              <w:left w:val="nil"/>
              <w:bottom w:val="nil"/>
              <w:right w:val="nil"/>
            </w:tcBorders>
            <w:shd w:val="clear" w:color="auto" w:fill="auto"/>
            <w:noWrap/>
            <w:vAlign w:val="bottom"/>
            <w:hideMark/>
          </w:tcPr>
          <w:p w14:paraId="21345DA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0.568 </w:t>
            </w:r>
          </w:p>
        </w:tc>
        <w:tc>
          <w:tcPr>
            <w:tcW w:w="728" w:type="dxa"/>
            <w:tcBorders>
              <w:top w:val="nil"/>
              <w:left w:val="nil"/>
              <w:bottom w:val="nil"/>
              <w:right w:val="nil"/>
            </w:tcBorders>
            <w:shd w:val="clear" w:color="auto" w:fill="auto"/>
            <w:noWrap/>
            <w:vAlign w:val="bottom"/>
            <w:hideMark/>
          </w:tcPr>
          <w:p w14:paraId="70F932B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0.578 </w:t>
            </w:r>
          </w:p>
        </w:tc>
        <w:tc>
          <w:tcPr>
            <w:tcW w:w="728" w:type="dxa"/>
            <w:tcBorders>
              <w:top w:val="nil"/>
              <w:left w:val="nil"/>
              <w:bottom w:val="nil"/>
              <w:right w:val="nil"/>
            </w:tcBorders>
            <w:shd w:val="clear" w:color="auto" w:fill="auto"/>
            <w:noWrap/>
            <w:vAlign w:val="bottom"/>
            <w:hideMark/>
          </w:tcPr>
          <w:p w14:paraId="231C9EE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0.596 </w:t>
            </w:r>
          </w:p>
        </w:tc>
        <w:tc>
          <w:tcPr>
            <w:tcW w:w="728" w:type="dxa"/>
            <w:tcBorders>
              <w:top w:val="nil"/>
              <w:left w:val="nil"/>
              <w:bottom w:val="nil"/>
              <w:right w:val="nil"/>
            </w:tcBorders>
            <w:shd w:val="clear" w:color="auto" w:fill="auto"/>
            <w:noWrap/>
            <w:vAlign w:val="bottom"/>
            <w:hideMark/>
          </w:tcPr>
          <w:p w14:paraId="1C08015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0.546 </w:t>
            </w:r>
          </w:p>
        </w:tc>
        <w:tc>
          <w:tcPr>
            <w:tcW w:w="728" w:type="dxa"/>
            <w:tcBorders>
              <w:top w:val="nil"/>
              <w:left w:val="nil"/>
              <w:bottom w:val="nil"/>
              <w:right w:val="nil"/>
            </w:tcBorders>
            <w:shd w:val="clear" w:color="auto" w:fill="auto"/>
            <w:noWrap/>
            <w:vAlign w:val="bottom"/>
            <w:hideMark/>
          </w:tcPr>
          <w:p w14:paraId="7A27699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0.483 </w:t>
            </w:r>
          </w:p>
        </w:tc>
        <w:tc>
          <w:tcPr>
            <w:tcW w:w="728" w:type="dxa"/>
            <w:tcBorders>
              <w:top w:val="nil"/>
              <w:left w:val="nil"/>
              <w:bottom w:val="nil"/>
              <w:right w:val="nil"/>
            </w:tcBorders>
            <w:shd w:val="clear" w:color="auto" w:fill="auto"/>
            <w:noWrap/>
            <w:vAlign w:val="bottom"/>
            <w:hideMark/>
          </w:tcPr>
          <w:p w14:paraId="550BF9D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0.481 </w:t>
            </w:r>
          </w:p>
        </w:tc>
        <w:tc>
          <w:tcPr>
            <w:tcW w:w="728" w:type="dxa"/>
            <w:tcBorders>
              <w:top w:val="nil"/>
              <w:left w:val="nil"/>
              <w:bottom w:val="nil"/>
              <w:right w:val="nil"/>
            </w:tcBorders>
            <w:shd w:val="clear" w:color="auto" w:fill="auto"/>
            <w:noWrap/>
            <w:vAlign w:val="bottom"/>
            <w:hideMark/>
          </w:tcPr>
          <w:p w14:paraId="477D6BE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0.538 </w:t>
            </w:r>
          </w:p>
        </w:tc>
        <w:tc>
          <w:tcPr>
            <w:tcW w:w="728" w:type="dxa"/>
            <w:tcBorders>
              <w:top w:val="nil"/>
              <w:left w:val="nil"/>
              <w:bottom w:val="nil"/>
              <w:right w:val="nil"/>
            </w:tcBorders>
            <w:shd w:val="clear" w:color="auto" w:fill="auto"/>
            <w:noWrap/>
            <w:vAlign w:val="bottom"/>
            <w:hideMark/>
          </w:tcPr>
          <w:p w14:paraId="31A2385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0.440 </w:t>
            </w:r>
          </w:p>
        </w:tc>
        <w:tc>
          <w:tcPr>
            <w:tcW w:w="728" w:type="dxa"/>
            <w:tcBorders>
              <w:top w:val="nil"/>
              <w:left w:val="nil"/>
              <w:bottom w:val="nil"/>
              <w:right w:val="nil"/>
            </w:tcBorders>
            <w:shd w:val="clear" w:color="auto" w:fill="auto"/>
            <w:noWrap/>
            <w:vAlign w:val="bottom"/>
            <w:hideMark/>
          </w:tcPr>
          <w:p w14:paraId="37593CC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0.588 </w:t>
            </w:r>
          </w:p>
        </w:tc>
        <w:tc>
          <w:tcPr>
            <w:tcW w:w="728" w:type="dxa"/>
            <w:tcBorders>
              <w:top w:val="nil"/>
              <w:left w:val="nil"/>
              <w:bottom w:val="nil"/>
              <w:right w:val="nil"/>
            </w:tcBorders>
            <w:shd w:val="clear" w:color="auto" w:fill="auto"/>
            <w:noWrap/>
            <w:vAlign w:val="bottom"/>
            <w:hideMark/>
          </w:tcPr>
          <w:p w14:paraId="757C59F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0.444 </w:t>
            </w:r>
          </w:p>
        </w:tc>
        <w:tc>
          <w:tcPr>
            <w:tcW w:w="728" w:type="dxa"/>
            <w:tcBorders>
              <w:top w:val="nil"/>
              <w:left w:val="nil"/>
              <w:bottom w:val="nil"/>
              <w:right w:val="nil"/>
            </w:tcBorders>
            <w:shd w:val="clear" w:color="auto" w:fill="auto"/>
            <w:noWrap/>
            <w:vAlign w:val="bottom"/>
            <w:hideMark/>
          </w:tcPr>
          <w:p w14:paraId="3E94CFE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0.600 </w:t>
            </w:r>
          </w:p>
        </w:tc>
        <w:tc>
          <w:tcPr>
            <w:tcW w:w="728" w:type="dxa"/>
            <w:tcBorders>
              <w:top w:val="nil"/>
              <w:left w:val="nil"/>
              <w:bottom w:val="nil"/>
              <w:right w:val="nil"/>
            </w:tcBorders>
            <w:shd w:val="clear" w:color="auto" w:fill="auto"/>
            <w:noWrap/>
            <w:vAlign w:val="bottom"/>
            <w:hideMark/>
          </w:tcPr>
          <w:p w14:paraId="6DF94D3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0.499 </w:t>
            </w:r>
          </w:p>
        </w:tc>
      </w:tr>
      <w:tr w:rsidR="004431AA" w:rsidRPr="004431AA" w14:paraId="4266851F" w14:textId="77777777" w:rsidTr="002559BF">
        <w:trPr>
          <w:trHeight w:val="300"/>
        </w:trPr>
        <w:tc>
          <w:tcPr>
            <w:tcW w:w="1350" w:type="dxa"/>
            <w:tcBorders>
              <w:top w:val="nil"/>
              <w:left w:val="nil"/>
              <w:right w:val="nil"/>
            </w:tcBorders>
            <w:shd w:val="clear" w:color="auto" w:fill="auto"/>
            <w:noWrap/>
            <w:vAlign w:val="bottom"/>
            <w:hideMark/>
          </w:tcPr>
          <w:p w14:paraId="59329C4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tpC2C </w:t>
            </w:r>
          </w:p>
        </w:tc>
        <w:tc>
          <w:tcPr>
            <w:tcW w:w="728" w:type="dxa"/>
            <w:tcBorders>
              <w:top w:val="nil"/>
              <w:left w:val="nil"/>
              <w:right w:val="nil"/>
            </w:tcBorders>
            <w:shd w:val="clear" w:color="auto" w:fill="auto"/>
            <w:noWrap/>
            <w:vAlign w:val="bottom"/>
            <w:hideMark/>
          </w:tcPr>
          <w:p w14:paraId="05A318B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0.273 </w:t>
            </w:r>
          </w:p>
        </w:tc>
        <w:tc>
          <w:tcPr>
            <w:tcW w:w="728" w:type="dxa"/>
            <w:tcBorders>
              <w:top w:val="nil"/>
              <w:left w:val="nil"/>
              <w:right w:val="nil"/>
            </w:tcBorders>
            <w:shd w:val="clear" w:color="auto" w:fill="auto"/>
            <w:noWrap/>
            <w:vAlign w:val="bottom"/>
            <w:hideMark/>
          </w:tcPr>
          <w:p w14:paraId="5CF880D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0.379 </w:t>
            </w:r>
          </w:p>
        </w:tc>
        <w:tc>
          <w:tcPr>
            <w:tcW w:w="728" w:type="dxa"/>
            <w:tcBorders>
              <w:top w:val="nil"/>
              <w:left w:val="nil"/>
              <w:right w:val="nil"/>
            </w:tcBorders>
            <w:shd w:val="clear" w:color="auto" w:fill="auto"/>
            <w:noWrap/>
            <w:vAlign w:val="bottom"/>
            <w:hideMark/>
          </w:tcPr>
          <w:p w14:paraId="4473C02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0.256 </w:t>
            </w:r>
          </w:p>
        </w:tc>
        <w:tc>
          <w:tcPr>
            <w:tcW w:w="728" w:type="dxa"/>
            <w:tcBorders>
              <w:top w:val="nil"/>
              <w:left w:val="nil"/>
              <w:right w:val="nil"/>
            </w:tcBorders>
            <w:shd w:val="clear" w:color="auto" w:fill="auto"/>
            <w:noWrap/>
            <w:vAlign w:val="bottom"/>
            <w:hideMark/>
          </w:tcPr>
          <w:p w14:paraId="27A052C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0.359 </w:t>
            </w:r>
          </w:p>
        </w:tc>
        <w:tc>
          <w:tcPr>
            <w:tcW w:w="728" w:type="dxa"/>
            <w:tcBorders>
              <w:top w:val="nil"/>
              <w:left w:val="nil"/>
              <w:right w:val="nil"/>
            </w:tcBorders>
            <w:shd w:val="clear" w:color="auto" w:fill="auto"/>
            <w:noWrap/>
            <w:vAlign w:val="bottom"/>
            <w:hideMark/>
          </w:tcPr>
          <w:p w14:paraId="4C95046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0.261 </w:t>
            </w:r>
          </w:p>
        </w:tc>
        <w:tc>
          <w:tcPr>
            <w:tcW w:w="728" w:type="dxa"/>
            <w:tcBorders>
              <w:top w:val="nil"/>
              <w:left w:val="nil"/>
              <w:right w:val="nil"/>
            </w:tcBorders>
            <w:shd w:val="clear" w:color="auto" w:fill="auto"/>
            <w:noWrap/>
            <w:vAlign w:val="bottom"/>
            <w:hideMark/>
          </w:tcPr>
          <w:p w14:paraId="0BD7727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0.259 </w:t>
            </w:r>
          </w:p>
        </w:tc>
        <w:tc>
          <w:tcPr>
            <w:tcW w:w="728" w:type="dxa"/>
            <w:tcBorders>
              <w:top w:val="nil"/>
              <w:left w:val="nil"/>
              <w:right w:val="nil"/>
            </w:tcBorders>
            <w:shd w:val="clear" w:color="auto" w:fill="auto"/>
            <w:noWrap/>
            <w:vAlign w:val="bottom"/>
            <w:hideMark/>
          </w:tcPr>
          <w:p w14:paraId="634DE5F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0.257 </w:t>
            </w:r>
          </w:p>
        </w:tc>
        <w:tc>
          <w:tcPr>
            <w:tcW w:w="728" w:type="dxa"/>
            <w:tcBorders>
              <w:top w:val="nil"/>
              <w:left w:val="nil"/>
              <w:right w:val="nil"/>
            </w:tcBorders>
            <w:shd w:val="clear" w:color="auto" w:fill="auto"/>
            <w:noWrap/>
            <w:vAlign w:val="bottom"/>
            <w:hideMark/>
          </w:tcPr>
          <w:p w14:paraId="3E7B0B5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0.262 </w:t>
            </w:r>
          </w:p>
        </w:tc>
        <w:tc>
          <w:tcPr>
            <w:tcW w:w="728" w:type="dxa"/>
            <w:tcBorders>
              <w:top w:val="nil"/>
              <w:left w:val="nil"/>
              <w:right w:val="nil"/>
            </w:tcBorders>
            <w:shd w:val="clear" w:color="auto" w:fill="auto"/>
            <w:noWrap/>
            <w:vAlign w:val="bottom"/>
            <w:hideMark/>
          </w:tcPr>
          <w:p w14:paraId="116E082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0.499 </w:t>
            </w:r>
          </w:p>
        </w:tc>
        <w:tc>
          <w:tcPr>
            <w:tcW w:w="728" w:type="dxa"/>
            <w:tcBorders>
              <w:top w:val="nil"/>
              <w:left w:val="nil"/>
              <w:right w:val="nil"/>
            </w:tcBorders>
            <w:shd w:val="clear" w:color="auto" w:fill="auto"/>
            <w:noWrap/>
            <w:vAlign w:val="bottom"/>
            <w:hideMark/>
          </w:tcPr>
          <w:p w14:paraId="453C99D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0.460 </w:t>
            </w:r>
          </w:p>
        </w:tc>
        <w:tc>
          <w:tcPr>
            <w:tcW w:w="728" w:type="dxa"/>
            <w:tcBorders>
              <w:top w:val="nil"/>
              <w:left w:val="nil"/>
              <w:right w:val="nil"/>
            </w:tcBorders>
            <w:shd w:val="clear" w:color="auto" w:fill="auto"/>
            <w:noWrap/>
            <w:vAlign w:val="bottom"/>
            <w:hideMark/>
          </w:tcPr>
          <w:p w14:paraId="40E596E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0.352 </w:t>
            </w:r>
          </w:p>
        </w:tc>
        <w:tc>
          <w:tcPr>
            <w:tcW w:w="728" w:type="dxa"/>
            <w:tcBorders>
              <w:top w:val="nil"/>
              <w:left w:val="nil"/>
              <w:right w:val="nil"/>
            </w:tcBorders>
            <w:shd w:val="clear" w:color="auto" w:fill="auto"/>
            <w:noWrap/>
            <w:vAlign w:val="bottom"/>
            <w:hideMark/>
          </w:tcPr>
          <w:p w14:paraId="42DA192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0.408 </w:t>
            </w:r>
          </w:p>
        </w:tc>
        <w:tc>
          <w:tcPr>
            <w:tcW w:w="728" w:type="dxa"/>
            <w:tcBorders>
              <w:top w:val="nil"/>
              <w:left w:val="nil"/>
              <w:right w:val="nil"/>
            </w:tcBorders>
            <w:shd w:val="clear" w:color="auto" w:fill="auto"/>
            <w:noWrap/>
            <w:vAlign w:val="bottom"/>
            <w:hideMark/>
          </w:tcPr>
          <w:p w14:paraId="440461E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0.275 </w:t>
            </w:r>
          </w:p>
        </w:tc>
        <w:tc>
          <w:tcPr>
            <w:tcW w:w="728" w:type="dxa"/>
            <w:tcBorders>
              <w:top w:val="nil"/>
              <w:left w:val="nil"/>
              <w:right w:val="nil"/>
            </w:tcBorders>
            <w:shd w:val="clear" w:color="auto" w:fill="auto"/>
            <w:noWrap/>
            <w:vAlign w:val="bottom"/>
            <w:hideMark/>
          </w:tcPr>
          <w:p w14:paraId="772BFE1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0.360 </w:t>
            </w:r>
          </w:p>
        </w:tc>
        <w:tc>
          <w:tcPr>
            <w:tcW w:w="728" w:type="dxa"/>
            <w:tcBorders>
              <w:top w:val="nil"/>
              <w:left w:val="nil"/>
              <w:right w:val="nil"/>
            </w:tcBorders>
            <w:shd w:val="clear" w:color="auto" w:fill="auto"/>
            <w:noWrap/>
            <w:vAlign w:val="bottom"/>
            <w:hideMark/>
          </w:tcPr>
          <w:p w14:paraId="6DBF437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0.256 </w:t>
            </w:r>
          </w:p>
        </w:tc>
        <w:tc>
          <w:tcPr>
            <w:tcW w:w="728" w:type="dxa"/>
            <w:tcBorders>
              <w:top w:val="nil"/>
              <w:left w:val="nil"/>
              <w:right w:val="nil"/>
            </w:tcBorders>
            <w:shd w:val="clear" w:color="auto" w:fill="auto"/>
            <w:noWrap/>
            <w:vAlign w:val="bottom"/>
            <w:hideMark/>
          </w:tcPr>
          <w:p w14:paraId="5D8B41C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0.299 </w:t>
            </w:r>
          </w:p>
        </w:tc>
      </w:tr>
      <w:tr w:rsidR="004431AA" w:rsidRPr="004431AA" w14:paraId="0442AA63" w14:textId="77777777" w:rsidTr="002559BF">
        <w:trPr>
          <w:trHeight w:val="300"/>
        </w:trPr>
        <w:tc>
          <w:tcPr>
            <w:tcW w:w="1350" w:type="dxa"/>
            <w:tcBorders>
              <w:top w:val="nil"/>
              <w:left w:val="nil"/>
              <w:bottom w:val="single" w:sz="4" w:space="0" w:color="auto"/>
              <w:right w:val="nil"/>
            </w:tcBorders>
            <w:shd w:val="clear" w:color="auto" w:fill="auto"/>
            <w:noWrap/>
            <w:vAlign w:val="bottom"/>
            <w:hideMark/>
          </w:tcPr>
          <w:p w14:paraId="720DC15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tpC2D </w:t>
            </w:r>
          </w:p>
        </w:tc>
        <w:tc>
          <w:tcPr>
            <w:tcW w:w="728" w:type="dxa"/>
            <w:tcBorders>
              <w:top w:val="nil"/>
              <w:left w:val="nil"/>
              <w:bottom w:val="single" w:sz="4" w:space="0" w:color="auto"/>
              <w:right w:val="nil"/>
            </w:tcBorders>
            <w:shd w:val="clear" w:color="auto" w:fill="auto"/>
            <w:noWrap/>
            <w:vAlign w:val="bottom"/>
            <w:hideMark/>
          </w:tcPr>
          <w:p w14:paraId="14BF009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0.022 </w:t>
            </w:r>
          </w:p>
        </w:tc>
        <w:tc>
          <w:tcPr>
            <w:tcW w:w="728" w:type="dxa"/>
            <w:tcBorders>
              <w:top w:val="nil"/>
              <w:left w:val="nil"/>
              <w:bottom w:val="single" w:sz="4" w:space="0" w:color="auto"/>
              <w:right w:val="nil"/>
            </w:tcBorders>
            <w:shd w:val="clear" w:color="auto" w:fill="auto"/>
            <w:noWrap/>
            <w:vAlign w:val="bottom"/>
            <w:hideMark/>
          </w:tcPr>
          <w:p w14:paraId="7E86A6E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0.034 </w:t>
            </w:r>
          </w:p>
        </w:tc>
        <w:tc>
          <w:tcPr>
            <w:tcW w:w="728" w:type="dxa"/>
            <w:tcBorders>
              <w:top w:val="nil"/>
              <w:left w:val="nil"/>
              <w:bottom w:val="single" w:sz="4" w:space="0" w:color="auto"/>
              <w:right w:val="nil"/>
            </w:tcBorders>
            <w:shd w:val="clear" w:color="auto" w:fill="auto"/>
            <w:noWrap/>
            <w:vAlign w:val="bottom"/>
            <w:hideMark/>
          </w:tcPr>
          <w:p w14:paraId="0EBDC40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0.009 </w:t>
            </w:r>
          </w:p>
        </w:tc>
        <w:tc>
          <w:tcPr>
            <w:tcW w:w="728" w:type="dxa"/>
            <w:tcBorders>
              <w:top w:val="nil"/>
              <w:left w:val="nil"/>
              <w:bottom w:val="single" w:sz="4" w:space="0" w:color="auto"/>
              <w:right w:val="nil"/>
            </w:tcBorders>
            <w:shd w:val="clear" w:color="auto" w:fill="auto"/>
            <w:noWrap/>
            <w:vAlign w:val="bottom"/>
            <w:hideMark/>
          </w:tcPr>
          <w:p w14:paraId="2116582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0.013 </w:t>
            </w:r>
          </w:p>
        </w:tc>
        <w:tc>
          <w:tcPr>
            <w:tcW w:w="728" w:type="dxa"/>
            <w:tcBorders>
              <w:top w:val="nil"/>
              <w:left w:val="nil"/>
              <w:bottom w:val="single" w:sz="4" w:space="0" w:color="auto"/>
              <w:right w:val="nil"/>
            </w:tcBorders>
            <w:shd w:val="clear" w:color="auto" w:fill="auto"/>
            <w:noWrap/>
            <w:vAlign w:val="bottom"/>
            <w:hideMark/>
          </w:tcPr>
          <w:p w14:paraId="713F88B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0.013 </w:t>
            </w:r>
          </w:p>
        </w:tc>
        <w:tc>
          <w:tcPr>
            <w:tcW w:w="728" w:type="dxa"/>
            <w:tcBorders>
              <w:top w:val="nil"/>
              <w:left w:val="nil"/>
              <w:bottom w:val="single" w:sz="4" w:space="0" w:color="auto"/>
              <w:right w:val="nil"/>
            </w:tcBorders>
            <w:shd w:val="clear" w:color="auto" w:fill="auto"/>
            <w:noWrap/>
            <w:vAlign w:val="bottom"/>
            <w:hideMark/>
          </w:tcPr>
          <w:p w14:paraId="2D6C73B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34A076A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0.013 </w:t>
            </w:r>
          </w:p>
        </w:tc>
        <w:tc>
          <w:tcPr>
            <w:tcW w:w="728" w:type="dxa"/>
            <w:tcBorders>
              <w:top w:val="nil"/>
              <w:left w:val="nil"/>
              <w:bottom w:val="single" w:sz="4" w:space="0" w:color="auto"/>
              <w:right w:val="nil"/>
            </w:tcBorders>
            <w:shd w:val="clear" w:color="auto" w:fill="auto"/>
            <w:noWrap/>
            <w:vAlign w:val="bottom"/>
            <w:hideMark/>
          </w:tcPr>
          <w:p w14:paraId="0AF55EA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0.032 </w:t>
            </w:r>
          </w:p>
        </w:tc>
        <w:tc>
          <w:tcPr>
            <w:tcW w:w="728" w:type="dxa"/>
            <w:tcBorders>
              <w:top w:val="nil"/>
              <w:left w:val="nil"/>
              <w:bottom w:val="single" w:sz="4" w:space="0" w:color="auto"/>
              <w:right w:val="nil"/>
            </w:tcBorders>
            <w:shd w:val="clear" w:color="auto" w:fill="auto"/>
            <w:noWrap/>
            <w:vAlign w:val="bottom"/>
            <w:hideMark/>
          </w:tcPr>
          <w:p w14:paraId="023C1E8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0.001 </w:t>
            </w:r>
          </w:p>
        </w:tc>
        <w:tc>
          <w:tcPr>
            <w:tcW w:w="728" w:type="dxa"/>
            <w:tcBorders>
              <w:top w:val="nil"/>
              <w:left w:val="nil"/>
              <w:bottom w:val="single" w:sz="4" w:space="0" w:color="auto"/>
              <w:right w:val="nil"/>
            </w:tcBorders>
            <w:shd w:val="clear" w:color="auto" w:fill="auto"/>
            <w:noWrap/>
            <w:vAlign w:val="bottom"/>
            <w:hideMark/>
          </w:tcPr>
          <w:p w14:paraId="576C0B4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0.001 </w:t>
            </w:r>
          </w:p>
        </w:tc>
        <w:tc>
          <w:tcPr>
            <w:tcW w:w="728" w:type="dxa"/>
            <w:tcBorders>
              <w:top w:val="nil"/>
              <w:left w:val="nil"/>
              <w:bottom w:val="single" w:sz="4" w:space="0" w:color="auto"/>
              <w:right w:val="nil"/>
            </w:tcBorders>
            <w:shd w:val="clear" w:color="auto" w:fill="auto"/>
            <w:noWrap/>
            <w:vAlign w:val="bottom"/>
            <w:hideMark/>
          </w:tcPr>
          <w:p w14:paraId="66FA057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0.008 </w:t>
            </w:r>
          </w:p>
        </w:tc>
        <w:tc>
          <w:tcPr>
            <w:tcW w:w="728" w:type="dxa"/>
            <w:tcBorders>
              <w:top w:val="nil"/>
              <w:left w:val="nil"/>
              <w:bottom w:val="single" w:sz="4" w:space="0" w:color="auto"/>
              <w:right w:val="nil"/>
            </w:tcBorders>
            <w:shd w:val="clear" w:color="auto" w:fill="auto"/>
            <w:noWrap/>
            <w:vAlign w:val="bottom"/>
            <w:hideMark/>
          </w:tcPr>
          <w:p w14:paraId="20B00F6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1D4AC6B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0.010 </w:t>
            </w:r>
          </w:p>
        </w:tc>
        <w:tc>
          <w:tcPr>
            <w:tcW w:w="728" w:type="dxa"/>
            <w:tcBorders>
              <w:top w:val="nil"/>
              <w:left w:val="nil"/>
              <w:bottom w:val="single" w:sz="4" w:space="0" w:color="auto"/>
              <w:right w:val="nil"/>
            </w:tcBorders>
            <w:shd w:val="clear" w:color="auto" w:fill="auto"/>
            <w:noWrap/>
            <w:vAlign w:val="bottom"/>
            <w:hideMark/>
          </w:tcPr>
          <w:p w14:paraId="58B6497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0.029 </w:t>
            </w:r>
          </w:p>
        </w:tc>
        <w:tc>
          <w:tcPr>
            <w:tcW w:w="728" w:type="dxa"/>
            <w:tcBorders>
              <w:top w:val="nil"/>
              <w:left w:val="nil"/>
              <w:bottom w:val="single" w:sz="4" w:space="0" w:color="auto"/>
              <w:right w:val="nil"/>
            </w:tcBorders>
            <w:shd w:val="clear" w:color="auto" w:fill="auto"/>
            <w:noWrap/>
            <w:vAlign w:val="bottom"/>
            <w:hideMark/>
          </w:tcPr>
          <w:p w14:paraId="642C9AF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0.023 </w:t>
            </w:r>
          </w:p>
        </w:tc>
        <w:tc>
          <w:tcPr>
            <w:tcW w:w="728" w:type="dxa"/>
            <w:tcBorders>
              <w:top w:val="nil"/>
              <w:left w:val="nil"/>
              <w:bottom w:val="single" w:sz="4" w:space="0" w:color="auto"/>
              <w:right w:val="nil"/>
            </w:tcBorders>
            <w:shd w:val="clear" w:color="auto" w:fill="auto"/>
            <w:noWrap/>
            <w:vAlign w:val="bottom"/>
            <w:hideMark/>
          </w:tcPr>
          <w:p w14:paraId="1E42D06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0.045 </w:t>
            </w:r>
          </w:p>
        </w:tc>
      </w:tr>
      <w:tr w:rsidR="004431AA" w:rsidRPr="004431AA" w14:paraId="6379EBF0" w14:textId="77777777" w:rsidTr="002559BF">
        <w:trPr>
          <w:trHeight w:val="300"/>
        </w:trPr>
        <w:tc>
          <w:tcPr>
            <w:tcW w:w="12998" w:type="dxa"/>
            <w:gridSpan w:val="17"/>
            <w:tcBorders>
              <w:top w:val="single" w:sz="4" w:space="0" w:color="auto"/>
              <w:left w:val="nil"/>
              <w:bottom w:val="nil"/>
              <w:right w:val="nil"/>
            </w:tcBorders>
            <w:shd w:val="clear" w:color="auto" w:fill="auto"/>
            <w:noWrap/>
            <w:vAlign w:val="bottom"/>
            <w:hideMark/>
          </w:tcPr>
          <w:p w14:paraId="33D73E33" w14:textId="2683C82A"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 xml:space="preserve"> Transitions from state C (not in treatment and not in remission) </w:t>
            </w:r>
            <w:r w:rsidR="00545D7B">
              <w:rPr>
                <w:rFonts w:eastAsia="Times New Roman" w:cs="Arial"/>
                <w:i/>
                <w:iCs/>
                <w:color w:val="000000"/>
                <w:sz w:val="20"/>
                <w:szCs w:val="20"/>
                <w:lang w:eastAsia="en-GB"/>
              </w:rPr>
              <w:t>plus</w:t>
            </w:r>
            <w:r w:rsidRPr="004431AA">
              <w:rPr>
                <w:rFonts w:eastAsia="Times New Roman" w:cs="Arial"/>
                <w:i/>
                <w:iCs/>
                <w:color w:val="000000"/>
                <w:sz w:val="20"/>
                <w:szCs w:val="20"/>
                <w:lang w:eastAsia="en-GB"/>
              </w:rPr>
              <w:t xml:space="preserve"> parenting and/or family recovery support  </w:t>
            </w:r>
          </w:p>
        </w:tc>
      </w:tr>
      <w:tr w:rsidR="004431AA" w:rsidRPr="004431AA" w14:paraId="66BD8CF0" w14:textId="77777777" w:rsidTr="002559BF">
        <w:trPr>
          <w:trHeight w:val="300"/>
        </w:trPr>
        <w:tc>
          <w:tcPr>
            <w:tcW w:w="1350" w:type="dxa"/>
            <w:tcBorders>
              <w:top w:val="nil"/>
              <w:left w:val="nil"/>
              <w:bottom w:val="nil"/>
              <w:right w:val="nil"/>
            </w:tcBorders>
            <w:shd w:val="clear" w:color="auto" w:fill="auto"/>
            <w:noWrap/>
            <w:vAlign w:val="bottom"/>
            <w:hideMark/>
          </w:tcPr>
          <w:p w14:paraId="575D45F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tpC2A_2 </w:t>
            </w:r>
          </w:p>
        </w:tc>
        <w:tc>
          <w:tcPr>
            <w:tcW w:w="728" w:type="dxa"/>
            <w:tcBorders>
              <w:top w:val="nil"/>
              <w:left w:val="nil"/>
              <w:bottom w:val="nil"/>
              <w:right w:val="nil"/>
            </w:tcBorders>
            <w:shd w:val="clear" w:color="auto" w:fill="auto"/>
            <w:noWrap/>
            <w:vAlign w:val="bottom"/>
            <w:hideMark/>
          </w:tcPr>
          <w:p w14:paraId="3052885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0.055 </w:t>
            </w:r>
          </w:p>
        </w:tc>
        <w:tc>
          <w:tcPr>
            <w:tcW w:w="728" w:type="dxa"/>
            <w:tcBorders>
              <w:top w:val="nil"/>
              <w:left w:val="nil"/>
              <w:bottom w:val="nil"/>
              <w:right w:val="nil"/>
            </w:tcBorders>
            <w:shd w:val="clear" w:color="auto" w:fill="auto"/>
            <w:noWrap/>
            <w:vAlign w:val="bottom"/>
            <w:hideMark/>
          </w:tcPr>
          <w:p w14:paraId="69449F5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0.092 </w:t>
            </w:r>
          </w:p>
        </w:tc>
        <w:tc>
          <w:tcPr>
            <w:tcW w:w="728" w:type="dxa"/>
            <w:tcBorders>
              <w:top w:val="nil"/>
              <w:left w:val="nil"/>
              <w:bottom w:val="nil"/>
              <w:right w:val="nil"/>
            </w:tcBorders>
            <w:shd w:val="clear" w:color="auto" w:fill="auto"/>
            <w:noWrap/>
            <w:vAlign w:val="bottom"/>
            <w:hideMark/>
          </w:tcPr>
          <w:p w14:paraId="08A16F2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0.119 </w:t>
            </w:r>
          </w:p>
        </w:tc>
        <w:tc>
          <w:tcPr>
            <w:tcW w:w="728" w:type="dxa"/>
            <w:tcBorders>
              <w:top w:val="nil"/>
              <w:left w:val="nil"/>
              <w:bottom w:val="nil"/>
              <w:right w:val="nil"/>
            </w:tcBorders>
            <w:shd w:val="clear" w:color="auto" w:fill="auto"/>
            <w:noWrap/>
            <w:vAlign w:val="bottom"/>
            <w:hideMark/>
          </w:tcPr>
          <w:p w14:paraId="3431D48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0.163 </w:t>
            </w:r>
          </w:p>
        </w:tc>
        <w:tc>
          <w:tcPr>
            <w:tcW w:w="728" w:type="dxa"/>
            <w:tcBorders>
              <w:top w:val="nil"/>
              <w:left w:val="nil"/>
              <w:bottom w:val="nil"/>
              <w:right w:val="nil"/>
            </w:tcBorders>
            <w:shd w:val="clear" w:color="auto" w:fill="auto"/>
            <w:noWrap/>
            <w:vAlign w:val="bottom"/>
            <w:hideMark/>
          </w:tcPr>
          <w:p w14:paraId="76B3231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0.158 </w:t>
            </w:r>
          </w:p>
        </w:tc>
        <w:tc>
          <w:tcPr>
            <w:tcW w:w="728" w:type="dxa"/>
            <w:tcBorders>
              <w:top w:val="nil"/>
              <w:left w:val="nil"/>
              <w:bottom w:val="nil"/>
              <w:right w:val="nil"/>
            </w:tcBorders>
            <w:shd w:val="clear" w:color="auto" w:fill="auto"/>
            <w:noWrap/>
            <w:vAlign w:val="bottom"/>
            <w:hideMark/>
          </w:tcPr>
          <w:p w14:paraId="5155562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0.152 </w:t>
            </w:r>
          </w:p>
        </w:tc>
        <w:tc>
          <w:tcPr>
            <w:tcW w:w="728" w:type="dxa"/>
            <w:tcBorders>
              <w:top w:val="nil"/>
              <w:left w:val="nil"/>
              <w:bottom w:val="nil"/>
              <w:right w:val="nil"/>
            </w:tcBorders>
            <w:shd w:val="clear" w:color="auto" w:fill="auto"/>
            <w:noWrap/>
            <w:vAlign w:val="bottom"/>
            <w:hideMark/>
          </w:tcPr>
          <w:p w14:paraId="51D8319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0.134 </w:t>
            </w:r>
          </w:p>
        </w:tc>
        <w:tc>
          <w:tcPr>
            <w:tcW w:w="728" w:type="dxa"/>
            <w:tcBorders>
              <w:top w:val="nil"/>
              <w:left w:val="nil"/>
              <w:bottom w:val="nil"/>
              <w:right w:val="nil"/>
            </w:tcBorders>
            <w:shd w:val="clear" w:color="auto" w:fill="auto"/>
            <w:noWrap/>
            <w:vAlign w:val="bottom"/>
            <w:hideMark/>
          </w:tcPr>
          <w:p w14:paraId="6DF3A35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0.160 </w:t>
            </w:r>
          </w:p>
        </w:tc>
        <w:tc>
          <w:tcPr>
            <w:tcW w:w="728" w:type="dxa"/>
            <w:tcBorders>
              <w:top w:val="nil"/>
              <w:left w:val="nil"/>
              <w:bottom w:val="nil"/>
              <w:right w:val="nil"/>
            </w:tcBorders>
            <w:shd w:val="clear" w:color="auto" w:fill="auto"/>
            <w:noWrap/>
            <w:vAlign w:val="bottom"/>
            <w:hideMark/>
          </w:tcPr>
          <w:p w14:paraId="36CDCB2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0.016 </w:t>
            </w:r>
          </w:p>
        </w:tc>
        <w:tc>
          <w:tcPr>
            <w:tcW w:w="728" w:type="dxa"/>
            <w:tcBorders>
              <w:top w:val="nil"/>
              <w:left w:val="nil"/>
              <w:bottom w:val="nil"/>
              <w:right w:val="nil"/>
            </w:tcBorders>
            <w:shd w:val="clear" w:color="auto" w:fill="auto"/>
            <w:noWrap/>
            <w:vAlign w:val="bottom"/>
            <w:hideMark/>
          </w:tcPr>
          <w:p w14:paraId="0FF821F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0.058 </w:t>
            </w:r>
          </w:p>
        </w:tc>
        <w:tc>
          <w:tcPr>
            <w:tcW w:w="728" w:type="dxa"/>
            <w:tcBorders>
              <w:top w:val="nil"/>
              <w:left w:val="nil"/>
              <w:bottom w:val="nil"/>
              <w:right w:val="nil"/>
            </w:tcBorders>
            <w:shd w:val="clear" w:color="auto" w:fill="auto"/>
            <w:noWrap/>
            <w:vAlign w:val="bottom"/>
            <w:hideMark/>
          </w:tcPr>
          <w:p w14:paraId="3D3CB9E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0.102 </w:t>
            </w:r>
          </w:p>
        </w:tc>
        <w:tc>
          <w:tcPr>
            <w:tcW w:w="728" w:type="dxa"/>
            <w:tcBorders>
              <w:top w:val="nil"/>
              <w:left w:val="nil"/>
              <w:bottom w:val="nil"/>
              <w:right w:val="nil"/>
            </w:tcBorders>
            <w:shd w:val="clear" w:color="auto" w:fill="auto"/>
            <w:noWrap/>
            <w:vAlign w:val="bottom"/>
            <w:hideMark/>
          </w:tcPr>
          <w:p w14:paraId="5DB5C33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0.139 </w:t>
            </w:r>
          </w:p>
        </w:tc>
        <w:tc>
          <w:tcPr>
            <w:tcW w:w="728" w:type="dxa"/>
            <w:tcBorders>
              <w:top w:val="nil"/>
              <w:left w:val="nil"/>
              <w:bottom w:val="nil"/>
              <w:right w:val="nil"/>
            </w:tcBorders>
            <w:shd w:val="clear" w:color="auto" w:fill="auto"/>
            <w:noWrap/>
            <w:vAlign w:val="bottom"/>
            <w:hideMark/>
          </w:tcPr>
          <w:p w14:paraId="210DFF9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0.127 </w:t>
            </w:r>
          </w:p>
        </w:tc>
        <w:tc>
          <w:tcPr>
            <w:tcW w:w="728" w:type="dxa"/>
            <w:tcBorders>
              <w:top w:val="nil"/>
              <w:left w:val="nil"/>
              <w:bottom w:val="nil"/>
              <w:right w:val="nil"/>
            </w:tcBorders>
            <w:shd w:val="clear" w:color="auto" w:fill="auto"/>
            <w:noWrap/>
            <w:vAlign w:val="bottom"/>
            <w:hideMark/>
          </w:tcPr>
          <w:p w14:paraId="31127CE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0.168 </w:t>
            </w:r>
          </w:p>
        </w:tc>
        <w:tc>
          <w:tcPr>
            <w:tcW w:w="728" w:type="dxa"/>
            <w:tcBorders>
              <w:top w:val="nil"/>
              <w:left w:val="nil"/>
              <w:bottom w:val="nil"/>
              <w:right w:val="nil"/>
            </w:tcBorders>
            <w:shd w:val="clear" w:color="auto" w:fill="auto"/>
            <w:noWrap/>
            <w:vAlign w:val="bottom"/>
            <w:hideMark/>
          </w:tcPr>
          <w:p w14:paraId="2D4E5CD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0.121 </w:t>
            </w:r>
          </w:p>
        </w:tc>
        <w:tc>
          <w:tcPr>
            <w:tcW w:w="728" w:type="dxa"/>
            <w:tcBorders>
              <w:top w:val="nil"/>
              <w:left w:val="nil"/>
              <w:bottom w:val="nil"/>
              <w:right w:val="nil"/>
            </w:tcBorders>
            <w:shd w:val="clear" w:color="auto" w:fill="auto"/>
            <w:noWrap/>
            <w:vAlign w:val="bottom"/>
            <w:hideMark/>
          </w:tcPr>
          <w:p w14:paraId="324D9E4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0.157 </w:t>
            </w:r>
          </w:p>
        </w:tc>
      </w:tr>
      <w:tr w:rsidR="004431AA" w:rsidRPr="004431AA" w14:paraId="430C9703" w14:textId="77777777" w:rsidTr="002559BF">
        <w:trPr>
          <w:trHeight w:val="300"/>
        </w:trPr>
        <w:tc>
          <w:tcPr>
            <w:tcW w:w="1350" w:type="dxa"/>
            <w:tcBorders>
              <w:top w:val="nil"/>
              <w:left w:val="nil"/>
              <w:bottom w:val="nil"/>
              <w:right w:val="nil"/>
            </w:tcBorders>
            <w:shd w:val="clear" w:color="auto" w:fill="auto"/>
            <w:noWrap/>
            <w:vAlign w:val="bottom"/>
            <w:hideMark/>
          </w:tcPr>
          <w:p w14:paraId="10D4C52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tpC2B_2 </w:t>
            </w:r>
          </w:p>
        </w:tc>
        <w:tc>
          <w:tcPr>
            <w:tcW w:w="728" w:type="dxa"/>
            <w:tcBorders>
              <w:top w:val="nil"/>
              <w:left w:val="nil"/>
              <w:bottom w:val="nil"/>
              <w:right w:val="nil"/>
            </w:tcBorders>
            <w:shd w:val="clear" w:color="auto" w:fill="auto"/>
            <w:noWrap/>
            <w:vAlign w:val="bottom"/>
            <w:hideMark/>
          </w:tcPr>
          <w:p w14:paraId="4D9C4D9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0.650 </w:t>
            </w:r>
          </w:p>
        </w:tc>
        <w:tc>
          <w:tcPr>
            <w:tcW w:w="728" w:type="dxa"/>
            <w:tcBorders>
              <w:top w:val="nil"/>
              <w:left w:val="nil"/>
              <w:bottom w:val="nil"/>
              <w:right w:val="nil"/>
            </w:tcBorders>
            <w:shd w:val="clear" w:color="auto" w:fill="auto"/>
            <w:noWrap/>
            <w:vAlign w:val="bottom"/>
            <w:hideMark/>
          </w:tcPr>
          <w:p w14:paraId="0058C32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0.495 </w:t>
            </w:r>
          </w:p>
        </w:tc>
        <w:tc>
          <w:tcPr>
            <w:tcW w:w="728" w:type="dxa"/>
            <w:tcBorders>
              <w:top w:val="nil"/>
              <w:left w:val="nil"/>
              <w:bottom w:val="nil"/>
              <w:right w:val="nil"/>
            </w:tcBorders>
            <w:shd w:val="clear" w:color="auto" w:fill="auto"/>
            <w:noWrap/>
            <w:vAlign w:val="bottom"/>
            <w:hideMark/>
          </w:tcPr>
          <w:p w14:paraId="6843F60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0.615 </w:t>
            </w:r>
          </w:p>
        </w:tc>
        <w:tc>
          <w:tcPr>
            <w:tcW w:w="728" w:type="dxa"/>
            <w:tcBorders>
              <w:top w:val="nil"/>
              <w:left w:val="nil"/>
              <w:bottom w:val="nil"/>
              <w:right w:val="nil"/>
            </w:tcBorders>
            <w:shd w:val="clear" w:color="auto" w:fill="auto"/>
            <w:noWrap/>
            <w:vAlign w:val="bottom"/>
            <w:hideMark/>
          </w:tcPr>
          <w:p w14:paraId="1242473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0.465 </w:t>
            </w:r>
          </w:p>
        </w:tc>
        <w:tc>
          <w:tcPr>
            <w:tcW w:w="728" w:type="dxa"/>
            <w:tcBorders>
              <w:top w:val="nil"/>
              <w:left w:val="nil"/>
              <w:bottom w:val="nil"/>
              <w:right w:val="nil"/>
            </w:tcBorders>
            <w:shd w:val="clear" w:color="auto" w:fill="auto"/>
            <w:noWrap/>
            <w:vAlign w:val="bottom"/>
            <w:hideMark/>
          </w:tcPr>
          <w:p w14:paraId="13B37EC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0.568 </w:t>
            </w:r>
          </w:p>
        </w:tc>
        <w:tc>
          <w:tcPr>
            <w:tcW w:w="728" w:type="dxa"/>
            <w:tcBorders>
              <w:top w:val="nil"/>
              <w:left w:val="nil"/>
              <w:bottom w:val="nil"/>
              <w:right w:val="nil"/>
            </w:tcBorders>
            <w:shd w:val="clear" w:color="auto" w:fill="auto"/>
            <w:noWrap/>
            <w:vAlign w:val="bottom"/>
            <w:hideMark/>
          </w:tcPr>
          <w:p w14:paraId="681236D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0.578 </w:t>
            </w:r>
          </w:p>
        </w:tc>
        <w:tc>
          <w:tcPr>
            <w:tcW w:w="728" w:type="dxa"/>
            <w:tcBorders>
              <w:top w:val="nil"/>
              <w:left w:val="nil"/>
              <w:bottom w:val="nil"/>
              <w:right w:val="nil"/>
            </w:tcBorders>
            <w:shd w:val="clear" w:color="auto" w:fill="auto"/>
            <w:noWrap/>
            <w:vAlign w:val="bottom"/>
            <w:hideMark/>
          </w:tcPr>
          <w:p w14:paraId="1DCE743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0.596 </w:t>
            </w:r>
          </w:p>
        </w:tc>
        <w:tc>
          <w:tcPr>
            <w:tcW w:w="728" w:type="dxa"/>
            <w:tcBorders>
              <w:top w:val="nil"/>
              <w:left w:val="nil"/>
              <w:bottom w:val="nil"/>
              <w:right w:val="nil"/>
            </w:tcBorders>
            <w:shd w:val="clear" w:color="auto" w:fill="auto"/>
            <w:noWrap/>
            <w:vAlign w:val="bottom"/>
            <w:hideMark/>
          </w:tcPr>
          <w:p w14:paraId="144DAFA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0.546 </w:t>
            </w:r>
          </w:p>
        </w:tc>
        <w:tc>
          <w:tcPr>
            <w:tcW w:w="728" w:type="dxa"/>
            <w:tcBorders>
              <w:top w:val="nil"/>
              <w:left w:val="nil"/>
              <w:bottom w:val="nil"/>
              <w:right w:val="nil"/>
            </w:tcBorders>
            <w:shd w:val="clear" w:color="auto" w:fill="auto"/>
            <w:noWrap/>
            <w:vAlign w:val="bottom"/>
            <w:hideMark/>
          </w:tcPr>
          <w:p w14:paraId="0358B10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0.483 </w:t>
            </w:r>
          </w:p>
        </w:tc>
        <w:tc>
          <w:tcPr>
            <w:tcW w:w="728" w:type="dxa"/>
            <w:tcBorders>
              <w:top w:val="nil"/>
              <w:left w:val="nil"/>
              <w:bottom w:val="nil"/>
              <w:right w:val="nil"/>
            </w:tcBorders>
            <w:shd w:val="clear" w:color="auto" w:fill="auto"/>
            <w:noWrap/>
            <w:vAlign w:val="bottom"/>
            <w:hideMark/>
          </w:tcPr>
          <w:p w14:paraId="7C8C09B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0.481 </w:t>
            </w:r>
          </w:p>
        </w:tc>
        <w:tc>
          <w:tcPr>
            <w:tcW w:w="728" w:type="dxa"/>
            <w:tcBorders>
              <w:top w:val="nil"/>
              <w:left w:val="nil"/>
              <w:bottom w:val="nil"/>
              <w:right w:val="nil"/>
            </w:tcBorders>
            <w:shd w:val="clear" w:color="auto" w:fill="auto"/>
            <w:noWrap/>
            <w:vAlign w:val="bottom"/>
            <w:hideMark/>
          </w:tcPr>
          <w:p w14:paraId="235DD02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0.538 </w:t>
            </w:r>
          </w:p>
        </w:tc>
        <w:tc>
          <w:tcPr>
            <w:tcW w:w="728" w:type="dxa"/>
            <w:tcBorders>
              <w:top w:val="nil"/>
              <w:left w:val="nil"/>
              <w:bottom w:val="nil"/>
              <w:right w:val="nil"/>
            </w:tcBorders>
            <w:shd w:val="clear" w:color="auto" w:fill="auto"/>
            <w:noWrap/>
            <w:vAlign w:val="bottom"/>
            <w:hideMark/>
          </w:tcPr>
          <w:p w14:paraId="610843C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0.440 </w:t>
            </w:r>
          </w:p>
        </w:tc>
        <w:tc>
          <w:tcPr>
            <w:tcW w:w="728" w:type="dxa"/>
            <w:tcBorders>
              <w:top w:val="nil"/>
              <w:left w:val="nil"/>
              <w:bottom w:val="nil"/>
              <w:right w:val="nil"/>
            </w:tcBorders>
            <w:shd w:val="clear" w:color="auto" w:fill="auto"/>
            <w:noWrap/>
            <w:vAlign w:val="bottom"/>
            <w:hideMark/>
          </w:tcPr>
          <w:p w14:paraId="151C5B8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0.588 </w:t>
            </w:r>
          </w:p>
        </w:tc>
        <w:tc>
          <w:tcPr>
            <w:tcW w:w="728" w:type="dxa"/>
            <w:tcBorders>
              <w:top w:val="nil"/>
              <w:left w:val="nil"/>
              <w:bottom w:val="nil"/>
              <w:right w:val="nil"/>
            </w:tcBorders>
            <w:shd w:val="clear" w:color="auto" w:fill="auto"/>
            <w:noWrap/>
            <w:vAlign w:val="bottom"/>
            <w:hideMark/>
          </w:tcPr>
          <w:p w14:paraId="7BEFC25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0.444 </w:t>
            </w:r>
          </w:p>
        </w:tc>
        <w:tc>
          <w:tcPr>
            <w:tcW w:w="728" w:type="dxa"/>
            <w:tcBorders>
              <w:top w:val="nil"/>
              <w:left w:val="nil"/>
              <w:bottom w:val="nil"/>
              <w:right w:val="nil"/>
            </w:tcBorders>
            <w:shd w:val="clear" w:color="auto" w:fill="auto"/>
            <w:noWrap/>
            <w:vAlign w:val="bottom"/>
            <w:hideMark/>
          </w:tcPr>
          <w:p w14:paraId="37FECF2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0.600 </w:t>
            </w:r>
          </w:p>
        </w:tc>
        <w:tc>
          <w:tcPr>
            <w:tcW w:w="728" w:type="dxa"/>
            <w:tcBorders>
              <w:top w:val="nil"/>
              <w:left w:val="nil"/>
              <w:bottom w:val="nil"/>
              <w:right w:val="nil"/>
            </w:tcBorders>
            <w:shd w:val="clear" w:color="auto" w:fill="auto"/>
            <w:noWrap/>
            <w:vAlign w:val="bottom"/>
            <w:hideMark/>
          </w:tcPr>
          <w:p w14:paraId="455E05A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0.499 </w:t>
            </w:r>
          </w:p>
        </w:tc>
      </w:tr>
      <w:tr w:rsidR="004431AA" w:rsidRPr="004431AA" w14:paraId="224E1D3A" w14:textId="77777777" w:rsidTr="002559BF">
        <w:trPr>
          <w:trHeight w:val="300"/>
        </w:trPr>
        <w:tc>
          <w:tcPr>
            <w:tcW w:w="1350" w:type="dxa"/>
            <w:tcBorders>
              <w:top w:val="nil"/>
              <w:left w:val="nil"/>
              <w:right w:val="nil"/>
            </w:tcBorders>
            <w:shd w:val="clear" w:color="auto" w:fill="auto"/>
            <w:noWrap/>
            <w:vAlign w:val="bottom"/>
            <w:hideMark/>
          </w:tcPr>
          <w:p w14:paraId="550A2DC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tpC2C_2 </w:t>
            </w:r>
          </w:p>
        </w:tc>
        <w:tc>
          <w:tcPr>
            <w:tcW w:w="728" w:type="dxa"/>
            <w:tcBorders>
              <w:top w:val="nil"/>
              <w:left w:val="nil"/>
              <w:right w:val="nil"/>
            </w:tcBorders>
            <w:shd w:val="clear" w:color="auto" w:fill="auto"/>
            <w:noWrap/>
            <w:vAlign w:val="bottom"/>
            <w:hideMark/>
          </w:tcPr>
          <w:p w14:paraId="028ADD0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0.273 </w:t>
            </w:r>
          </w:p>
        </w:tc>
        <w:tc>
          <w:tcPr>
            <w:tcW w:w="728" w:type="dxa"/>
            <w:tcBorders>
              <w:top w:val="nil"/>
              <w:left w:val="nil"/>
              <w:right w:val="nil"/>
            </w:tcBorders>
            <w:shd w:val="clear" w:color="auto" w:fill="auto"/>
            <w:noWrap/>
            <w:vAlign w:val="bottom"/>
            <w:hideMark/>
          </w:tcPr>
          <w:p w14:paraId="244EE03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0.379 </w:t>
            </w:r>
          </w:p>
        </w:tc>
        <w:tc>
          <w:tcPr>
            <w:tcW w:w="728" w:type="dxa"/>
            <w:tcBorders>
              <w:top w:val="nil"/>
              <w:left w:val="nil"/>
              <w:right w:val="nil"/>
            </w:tcBorders>
            <w:shd w:val="clear" w:color="auto" w:fill="auto"/>
            <w:noWrap/>
            <w:vAlign w:val="bottom"/>
            <w:hideMark/>
          </w:tcPr>
          <w:p w14:paraId="00FC631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0.256 </w:t>
            </w:r>
          </w:p>
        </w:tc>
        <w:tc>
          <w:tcPr>
            <w:tcW w:w="728" w:type="dxa"/>
            <w:tcBorders>
              <w:top w:val="nil"/>
              <w:left w:val="nil"/>
              <w:right w:val="nil"/>
            </w:tcBorders>
            <w:shd w:val="clear" w:color="auto" w:fill="auto"/>
            <w:noWrap/>
            <w:vAlign w:val="bottom"/>
            <w:hideMark/>
          </w:tcPr>
          <w:p w14:paraId="6D715FC9"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0.359 </w:t>
            </w:r>
          </w:p>
        </w:tc>
        <w:tc>
          <w:tcPr>
            <w:tcW w:w="728" w:type="dxa"/>
            <w:tcBorders>
              <w:top w:val="nil"/>
              <w:left w:val="nil"/>
              <w:right w:val="nil"/>
            </w:tcBorders>
            <w:shd w:val="clear" w:color="auto" w:fill="auto"/>
            <w:noWrap/>
            <w:vAlign w:val="bottom"/>
            <w:hideMark/>
          </w:tcPr>
          <w:p w14:paraId="31748F58"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0.261 </w:t>
            </w:r>
          </w:p>
        </w:tc>
        <w:tc>
          <w:tcPr>
            <w:tcW w:w="728" w:type="dxa"/>
            <w:tcBorders>
              <w:top w:val="nil"/>
              <w:left w:val="nil"/>
              <w:right w:val="nil"/>
            </w:tcBorders>
            <w:shd w:val="clear" w:color="auto" w:fill="auto"/>
            <w:noWrap/>
            <w:vAlign w:val="bottom"/>
            <w:hideMark/>
          </w:tcPr>
          <w:p w14:paraId="5FABE29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0.259 </w:t>
            </w:r>
          </w:p>
        </w:tc>
        <w:tc>
          <w:tcPr>
            <w:tcW w:w="728" w:type="dxa"/>
            <w:tcBorders>
              <w:top w:val="nil"/>
              <w:left w:val="nil"/>
              <w:right w:val="nil"/>
            </w:tcBorders>
            <w:shd w:val="clear" w:color="auto" w:fill="auto"/>
            <w:noWrap/>
            <w:vAlign w:val="bottom"/>
            <w:hideMark/>
          </w:tcPr>
          <w:p w14:paraId="60205022"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0.257 </w:t>
            </w:r>
          </w:p>
        </w:tc>
        <w:tc>
          <w:tcPr>
            <w:tcW w:w="728" w:type="dxa"/>
            <w:tcBorders>
              <w:top w:val="nil"/>
              <w:left w:val="nil"/>
              <w:right w:val="nil"/>
            </w:tcBorders>
            <w:shd w:val="clear" w:color="auto" w:fill="auto"/>
            <w:noWrap/>
            <w:vAlign w:val="bottom"/>
            <w:hideMark/>
          </w:tcPr>
          <w:p w14:paraId="52AF18AB"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0.262 </w:t>
            </w:r>
          </w:p>
        </w:tc>
        <w:tc>
          <w:tcPr>
            <w:tcW w:w="728" w:type="dxa"/>
            <w:tcBorders>
              <w:top w:val="nil"/>
              <w:left w:val="nil"/>
              <w:right w:val="nil"/>
            </w:tcBorders>
            <w:shd w:val="clear" w:color="auto" w:fill="auto"/>
            <w:noWrap/>
            <w:vAlign w:val="bottom"/>
            <w:hideMark/>
          </w:tcPr>
          <w:p w14:paraId="22523CA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0.499 </w:t>
            </w:r>
          </w:p>
        </w:tc>
        <w:tc>
          <w:tcPr>
            <w:tcW w:w="728" w:type="dxa"/>
            <w:tcBorders>
              <w:top w:val="nil"/>
              <w:left w:val="nil"/>
              <w:right w:val="nil"/>
            </w:tcBorders>
            <w:shd w:val="clear" w:color="auto" w:fill="auto"/>
            <w:noWrap/>
            <w:vAlign w:val="bottom"/>
            <w:hideMark/>
          </w:tcPr>
          <w:p w14:paraId="47EE898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0.460 </w:t>
            </w:r>
          </w:p>
        </w:tc>
        <w:tc>
          <w:tcPr>
            <w:tcW w:w="728" w:type="dxa"/>
            <w:tcBorders>
              <w:top w:val="nil"/>
              <w:left w:val="nil"/>
              <w:right w:val="nil"/>
            </w:tcBorders>
            <w:shd w:val="clear" w:color="auto" w:fill="auto"/>
            <w:noWrap/>
            <w:vAlign w:val="bottom"/>
            <w:hideMark/>
          </w:tcPr>
          <w:p w14:paraId="251F8B64"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0.352 </w:t>
            </w:r>
          </w:p>
        </w:tc>
        <w:tc>
          <w:tcPr>
            <w:tcW w:w="728" w:type="dxa"/>
            <w:tcBorders>
              <w:top w:val="nil"/>
              <w:left w:val="nil"/>
              <w:right w:val="nil"/>
            </w:tcBorders>
            <w:shd w:val="clear" w:color="auto" w:fill="auto"/>
            <w:noWrap/>
            <w:vAlign w:val="bottom"/>
            <w:hideMark/>
          </w:tcPr>
          <w:p w14:paraId="4633326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0.408 </w:t>
            </w:r>
          </w:p>
        </w:tc>
        <w:tc>
          <w:tcPr>
            <w:tcW w:w="728" w:type="dxa"/>
            <w:tcBorders>
              <w:top w:val="nil"/>
              <w:left w:val="nil"/>
              <w:right w:val="nil"/>
            </w:tcBorders>
            <w:shd w:val="clear" w:color="auto" w:fill="auto"/>
            <w:noWrap/>
            <w:vAlign w:val="bottom"/>
            <w:hideMark/>
          </w:tcPr>
          <w:p w14:paraId="3521604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0.275 </w:t>
            </w:r>
          </w:p>
        </w:tc>
        <w:tc>
          <w:tcPr>
            <w:tcW w:w="728" w:type="dxa"/>
            <w:tcBorders>
              <w:top w:val="nil"/>
              <w:left w:val="nil"/>
              <w:right w:val="nil"/>
            </w:tcBorders>
            <w:shd w:val="clear" w:color="auto" w:fill="auto"/>
            <w:noWrap/>
            <w:vAlign w:val="bottom"/>
            <w:hideMark/>
          </w:tcPr>
          <w:p w14:paraId="5C783D5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0.360 </w:t>
            </w:r>
          </w:p>
        </w:tc>
        <w:tc>
          <w:tcPr>
            <w:tcW w:w="728" w:type="dxa"/>
            <w:tcBorders>
              <w:top w:val="nil"/>
              <w:left w:val="nil"/>
              <w:right w:val="nil"/>
            </w:tcBorders>
            <w:shd w:val="clear" w:color="auto" w:fill="auto"/>
            <w:noWrap/>
            <w:vAlign w:val="bottom"/>
            <w:hideMark/>
          </w:tcPr>
          <w:p w14:paraId="0BD71F5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0.256 </w:t>
            </w:r>
          </w:p>
        </w:tc>
        <w:tc>
          <w:tcPr>
            <w:tcW w:w="728" w:type="dxa"/>
            <w:tcBorders>
              <w:top w:val="nil"/>
              <w:left w:val="nil"/>
              <w:right w:val="nil"/>
            </w:tcBorders>
            <w:shd w:val="clear" w:color="auto" w:fill="auto"/>
            <w:noWrap/>
            <w:vAlign w:val="bottom"/>
            <w:hideMark/>
          </w:tcPr>
          <w:p w14:paraId="56DAC89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0.299 </w:t>
            </w:r>
          </w:p>
        </w:tc>
      </w:tr>
      <w:tr w:rsidR="004431AA" w:rsidRPr="004431AA" w14:paraId="3CA26D9D" w14:textId="77777777" w:rsidTr="002559BF">
        <w:trPr>
          <w:trHeight w:val="300"/>
        </w:trPr>
        <w:tc>
          <w:tcPr>
            <w:tcW w:w="1350" w:type="dxa"/>
            <w:tcBorders>
              <w:top w:val="nil"/>
              <w:left w:val="nil"/>
              <w:bottom w:val="single" w:sz="4" w:space="0" w:color="auto"/>
              <w:right w:val="nil"/>
            </w:tcBorders>
            <w:shd w:val="clear" w:color="auto" w:fill="auto"/>
            <w:noWrap/>
            <w:vAlign w:val="bottom"/>
            <w:hideMark/>
          </w:tcPr>
          <w:p w14:paraId="29C401C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tpC2D_2 </w:t>
            </w:r>
          </w:p>
        </w:tc>
        <w:tc>
          <w:tcPr>
            <w:tcW w:w="728" w:type="dxa"/>
            <w:tcBorders>
              <w:top w:val="nil"/>
              <w:left w:val="nil"/>
              <w:bottom w:val="single" w:sz="4" w:space="0" w:color="auto"/>
              <w:right w:val="nil"/>
            </w:tcBorders>
            <w:shd w:val="clear" w:color="auto" w:fill="auto"/>
            <w:noWrap/>
            <w:vAlign w:val="bottom"/>
            <w:hideMark/>
          </w:tcPr>
          <w:p w14:paraId="5F85029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0.022 </w:t>
            </w:r>
          </w:p>
        </w:tc>
        <w:tc>
          <w:tcPr>
            <w:tcW w:w="728" w:type="dxa"/>
            <w:tcBorders>
              <w:top w:val="nil"/>
              <w:left w:val="nil"/>
              <w:bottom w:val="single" w:sz="4" w:space="0" w:color="auto"/>
              <w:right w:val="nil"/>
            </w:tcBorders>
            <w:shd w:val="clear" w:color="auto" w:fill="auto"/>
            <w:noWrap/>
            <w:vAlign w:val="bottom"/>
            <w:hideMark/>
          </w:tcPr>
          <w:p w14:paraId="0CC21A47"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0.034 </w:t>
            </w:r>
          </w:p>
        </w:tc>
        <w:tc>
          <w:tcPr>
            <w:tcW w:w="728" w:type="dxa"/>
            <w:tcBorders>
              <w:top w:val="nil"/>
              <w:left w:val="nil"/>
              <w:bottom w:val="single" w:sz="4" w:space="0" w:color="auto"/>
              <w:right w:val="nil"/>
            </w:tcBorders>
            <w:shd w:val="clear" w:color="auto" w:fill="auto"/>
            <w:noWrap/>
            <w:vAlign w:val="bottom"/>
            <w:hideMark/>
          </w:tcPr>
          <w:p w14:paraId="0D76D616"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0.009 </w:t>
            </w:r>
          </w:p>
        </w:tc>
        <w:tc>
          <w:tcPr>
            <w:tcW w:w="728" w:type="dxa"/>
            <w:tcBorders>
              <w:top w:val="nil"/>
              <w:left w:val="nil"/>
              <w:bottom w:val="single" w:sz="4" w:space="0" w:color="auto"/>
              <w:right w:val="nil"/>
            </w:tcBorders>
            <w:shd w:val="clear" w:color="auto" w:fill="auto"/>
            <w:noWrap/>
            <w:vAlign w:val="bottom"/>
            <w:hideMark/>
          </w:tcPr>
          <w:p w14:paraId="22FFB7A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0.013 </w:t>
            </w:r>
          </w:p>
        </w:tc>
        <w:tc>
          <w:tcPr>
            <w:tcW w:w="728" w:type="dxa"/>
            <w:tcBorders>
              <w:top w:val="nil"/>
              <w:left w:val="nil"/>
              <w:bottom w:val="single" w:sz="4" w:space="0" w:color="auto"/>
              <w:right w:val="nil"/>
            </w:tcBorders>
            <w:shd w:val="clear" w:color="auto" w:fill="auto"/>
            <w:noWrap/>
            <w:vAlign w:val="bottom"/>
            <w:hideMark/>
          </w:tcPr>
          <w:p w14:paraId="4734405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0.013 </w:t>
            </w:r>
          </w:p>
        </w:tc>
        <w:tc>
          <w:tcPr>
            <w:tcW w:w="728" w:type="dxa"/>
            <w:tcBorders>
              <w:top w:val="nil"/>
              <w:left w:val="nil"/>
              <w:bottom w:val="single" w:sz="4" w:space="0" w:color="auto"/>
              <w:right w:val="nil"/>
            </w:tcBorders>
            <w:shd w:val="clear" w:color="auto" w:fill="auto"/>
            <w:noWrap/>
            <w:vAlign w:val="bottom"/>
            <w:hideMark/>
          </w:tcPr>
          <w:p w14:paraId="3A95A49F"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19D93F21"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0.013 </w:t>
            </w:r>
          </w:p>
        </w:tc>
        <w:tc>
          <w:tcPr>
            <w:tcW w:w="728" w:type="dxa"/>
            <w:tcBorders>
              <w:top w:val="nil"/>
              <w:left w:val="nil"/>
              <w:bottom w:val="single" w:sz="4" w:space="0" w:color="auto"/>
              <w:right w:val="nil"/>
            </w:tcBorders>
            <w:shd w:val="clear" w:color="auto" w:fill="auto"/>
            <w:noWrap/>
            <w:vAlign w:val="bottom"/>
            <w:hideMark/>
          </w:tcPr>
          <w:p w14:paraId="3E57A6E3"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0.032 </w:t>
            </w:r>
          </w:p>
        </w:tc>
        <w:tc>
          <w:tcPr>
            <w:tcW w:w="728" w:type="dxa"/>
            <w:tcBorders>
              <w:top w:val="nil"/>
              <w:left w:val="nil"/>
              <w:bottom w:val="single" w:sz="4" w:space="0" w:color="auto"/>
              <w:right w:val="nil"/>
            </w:tcBorders>
            <w:shd w:val="clear" w:color="auto" w:fill="auto"/>
            <w:noWrap/>
            <w:vAlign w:val="bottom"/>
            <w:hideMark/>
          </w:tcPr>
          <w:p w14:paraId="43AA1A65"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0.001 </w:t>
            </w:r>
          </w:p>
        </w:tc>
        <w:tc>
          <w:tcPr>
            <w:tcW w:w="728" w:type="dxa"/>
            <w:tcBorders>
              <w:top w:val="nil"/>
              <w:left w:val="nil"/>
              <w:bottom w:val="single" w:sz="4" w:space="0" w:color="auto"/>
              <w:right w:val="nil"/>
            </w:tcBorders>
            <w:shd w:val="clear" w:color="auto" w:fill="auto"/>
            <w:noWrap/>
            <w:vAlign w:val="bottom"/>
            <w:hideMark/>
          </w:tcPr>
          <w:p w14:paraId="6FC37CE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0.001 </w:t>
            </w:r>
          </w:p>
        </w:tc>
        <w:tc>
          <w:tcPr>
            <w:tcW w:w="728" w:type="dxa"/>
            <w:tcBorders>
              <w:top w:val="nil"/>
              <w:left w:val="nil"/>
              <w:bottom w:val="single" w:sz="4" w:space="0" w:color="auto"/>
              <w:right w:val="nil"/>
            </w:tcBorders>
            <w:shd w:val="clear" w:color="auto" w:fill="auto"/>
            <w:noWrap/>
            <w:vAlign w:val="bottom"/>
            <w:hideMark/>
          </w:tcPr>
          <w:p w14:paraId="399C104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0.008 </w:t>
            </w:r>
          </w:p>
        </w:tc>
        <w:tc>
          <w:tcPr>
            <w:tcW w:w="728" w:type="dxa"/>
            <w:tcBorders>
              <w:top w:val="nil"/>
              <w:left w:val="nil"/>
              <w:bottom w:val="single" w:sz="4" w:space="0" w:color="auto"/>
              <w:right w:val="nil"/>
            </w:tcBorders>
            <w:shd w:val="clear" w:color="auto" w:fill="auto"/>
            <w:noWrap/>
            <w:vAlign w:val="bottom"/>
            <w:hideMark/>
          </w:tcPr>
          <w:p w14:paraId="332828D0"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0.012 </w:t>
            </w:r>
          </w:p>
        </w:tc>
        <w:tc>
          <w:tcPr>
            <w:tcW w:w="728" w:type="dxa"/>
            <w:tcBorders>
              <w:top w:val="nil"/>
              <w:left w:val="nil"/>
              <w:bottom w:val="single" w:sz="4" w:space="0" w:color="auto"/>
              <w:right w:val="nil"/>
            </w:tcBorders>
            <w:shd w:val="clear" w:color="auto" w:fill="auto"/>
            <w:noWrap/>
            <w:vAlign w:val="bottom"/>
            <w:hideMark/>
          </w:tcPr>
          <w:p w14:paraId="26B28AE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0.010 </w:t>
            </w:r>
          </w:p>
        </w:tc>
        <w:tc>
          <w:tcPr>
            <w:tcW w:w="728" w:type="dxa"/>
            <w:tcBorders>
              <w:top w:val="nil"/>
              <w:left w:val="nil"/>
              <w:bottom w:val="single" w:sz="4" w:space="0" w:color="auto"/>
              <w:right w:val="nil"/>
            </w:tcBorders>
            <w:shd w:val="clear" w:color="auto" w:fill="auto"/>
            <w:noWrap/>
            <w:vAlign w:val="bottom"/>
            <w:hideMark/>
          </w:tcPr>
          <w:p w14:paraId="2A889E5C"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0.029 </w:t>
            </w:r>
          </w:p>
        </w:tc>
        <w:tc>
          <w:tcPr>
            <w:tcW w:w="728" w:type="dxa"/>
            <w:tcBorders>
              <w:top w:val="nil"/>
              <w:left w:val="nil"/>
              <w:bottom w:val="single" w:sz="4" w:space="0" w:color="auto"/>
              <w:right w:val="nil"/>
            </w:tcBorders>
            <w:shd w:val="clear" w:color="auto" w:fill="auto"/>
            <w:noWrap/>
            <w:vAlign w:val="bottom"/>
            <w:hideMark/>
          </w:tcPr>
          <w:p w14:paraId="562FF75A"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0.023 </w:t>
            </w:r>
          </w:p>
        </w:tc>
        <w:tc>
          <w:tcPr>
            <w:tcW w:w="728" w:type="dxa"/>
            <w:tcBorders>
              <w:top w:val="nil"/>
              <w:left w:val="nil"/>
              <w:bottom w:val="single" w:sz="4" w:space="0" w:color="auto"/>
              <w:right w:val="nil"/>
            </w:tcBorders>
            <w:shd w:val="clear" w:color="auto" w:fill="auto"/>
            <w:noWrap/>
            <w:vAlign w:val="bottom"/>
            <w:hideMark/>
          </w:tcPr>
          <w:p w14:paraId="09311FED"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 xml:space="preserve"> 0.045 </w:t>
            </w:r>
          </w:p>
        </w:tc>
      </w:tr>
      <w:tr w:rsidR="004431AA" w:rsidRPr="004431AA" w14:paraId="66A2C075" w14:textId="77777777" w:rsidTr="002559BF">
        <w:trPr>
          <w:trHeight w:val="300"/>
        </w:trPr>
        <w:tc>
          <w:tcPr>
            <w:tcW w:w="1350" w:type="dxa"/>
            <w:tcBorders>
              <w:top w:val="single" w:sz="4" w:space="0" w:color="auto"/>
              <w:left w:val="nil"/>
              <w:bottom w:val="nil"/>
              <w:right w:val="nil"/>
            </w:tcBorders>
            <w:shd w:val="clear" w:color="auto" w:fill="auto"/>
            <w:noWrap/>
            <w:vAlign w:val="bottom"/>
            <w:hideMark/>
          </w:tcPr>
          <w:p w14:paraId="1F8A7D5C" w14:textId="77777777"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 xml:space="preserve"> Notes:  </w:t>
            </w:r>
          </w:p>
        </w:tc>
        <w:tc>
          <w:tcPr>
            <w:tcW w:w="728" w:type="dxa"/>
            <w:tcBorders>
              <w:top w:val="single" w:sz="4" w:space="0" w:color="auto"/>
              <w:left w:val="nil"/>
              <w:bottom w:val="nil"/>
              <w:right w:val="nil"/>
            </w:tcBorders>
            <w:shd w:val="clear" w:color="auto" w:fill="auto"/>
            <w:noWrap/>
            <w:vAlign w:val="bottom"/>
            <w:hideMark/>
          </w:tcPr>
          <w:p w14:paraId="1EF7ED2B" w14:textId="77777777" w:rsidR="004431AA" w:rsidRPr="004431AA" w:rsidRDefault="004431AA" w:rsidP="004431AA">
            <w:pPr>
              <w:contextualSpacing w:val="0"/>
              <w:rPr>
                <w:rFonts w:eastAsia="Times New Roman" w:cs="Arial"/>
                <w:i/>
                <w:iCs/>
                <w:color w:val="000000"/>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28524DAF"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787AFBDA"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211CCCC3"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68E82456"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2CC6ECBB"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66749494"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2174D905"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1AB653D5"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5FBAE300"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1FA361ED"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59F07C4A"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79DD0FC0"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30B23608"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3FCF9F5B"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single" w:sz="4" w:space="0" w:color="auto"/>
              <w:left w:val="nil"/>
              <w:bottom w:val="nil"/>
              <w:right w:val="nil"/>
            </w:tcBorders>
            <w:shd w:val="clear" w:color="auto" w:fill="auto"/>
            <w:noWrap/>
            <w:vAlign w:val="bottom"/>
            <w:hideMark/>
          </w:tcPr>
          <w:p w14:paraId="1B2146B8"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r>
      <w:tr w:rsidR="004431AA" w:rsidRPr="004431AA" w14:paraId="2588352D" w14:textId="77777777" w:rsidTr="002559BF">
        <w:trPr>
          <w:trHeight w:val="300"/>
        </w:trPr>
        <w:tc>
          <w:tcPr>
            <w:tcW w:w="2806" w:type="dxa"/>
            <w:gridSpan w:val="3"/>
            <w:tcBorders>
              <w:top w:val="nil"/>
              <w:left w:val="nil"/>
              <w:bottom w:val="nil"/>
              <w:right w:val="nil"/>
            </w:tcBorders>
            <w:shd w:val="clear" w:color="auto" w:fill="auto"/>
            <w:noWrap/>
            <w:vAlign w:val="bottom"/>
            <w:hideMark/>
          </w:tcPr>
          <w:p w14:paraId="0CBE2A83" w14:textId="77777777"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 xml:space="preserve"> tp = Transition probability </w:t>
            </w:r>
          </w:p>
        </w:tc>
        <w:tc>
          <w:tcPr>
            <w:tcW w:w="728" w:type="dxa"/>
            <w:tcBorders>
              <w:top w:val="nil"/>
              <w:left w:val="nil"/>
              <w:bottom w:val="nil"/>
              <w:right w:val="nil"/>
            </w:tcBorders>
            <w:shd w:val="clear" w:color="auto" w:fill="auto"/>
            <w:noWrap/>
            <w:vAlign w:val="bottom"/>
            <w:hideMark/>
          </w:tcPr>
          <w:p w14:paraId="7671AD8B" w14:textId="77777777" w:rsidR="004431AA" w:rsidRPr="004431AA" w:rsidRDefault="004431AA" w:rsidP="004431AA">
            <w:pPr>
              <w:contextualSpacing w:val="0"/>
              <w:rPr>
                <w:rFonts w:eastAsia="Times New Roman" w:cs="Arial"/>
                <w:i/>
                <w:iCs/>
                <w:color w:val="000000"/>
                <w:sz w:val="20"/>
                <w:szCs w:val="20"/>
                <w:lang w:eastAsia="en-GB"/>
              </w:rPr>
            </w:pPr>
          </w:p>
        </w:tc>
        <w:tc>
          <w:tcPr>
            <w:tcW w:w="728" w:type="dxa"/>
            <w:tcBorders>
              <w:top w:val="nil"/>
              <w:left w:val="nil"/>
              <w:bottom w:val="nil"/>
              <w:right w:val="nil"/>
            </w:tcBorders>
            <w:shd w:val="clear" w:color="auto" w:fill="auto"/>
            <w:noWrap/>
            <w:vAlign w:val="bottom"/>
            <w:hideMark/>
          </w:tcPr>
          <w:p w14:paraId="021B920E"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76BECD91"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10E13382"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2A81C823"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4FE7AC3F"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05C7DC4F"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5F5B79FF"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5364076C"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3F7DA7A1"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5294ACD2"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2CB6CC42"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7BC6BCE4"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12496A85"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r>
      <w:tr w:rsidR="004431AA" w:rsidRPr="004431AA" w14:paraId="6B6A7CE4" w14:textId="77777777" w:rsidTr="002559BF">
        <w:trPr>
          <w:trHeight w:val="300"/>
        </w:trPr>
        <w:tc>
          <w:tcPr>
            <w:tcW w:w="12998" w:type="dxa"/>
            <w:gridSpan w:val="17"/>
            <w:tcBorders>
              <w:top w:val="nil"/>
              <w:left w:val="nil"/>
              <w:bottom w:val="nil"/>
              <w:right w:val="nil"/>
            </w:tcBorders>
            <w:shd w:val="clear" w:color="auto" w:fill="auto"/>
            <w:noWrap/>
            <w:vAlign w:val="center"/>
            <w:hideMark/>
          </w:tcPr>
          <w:p w14:paraId="756CD669" w14:textId="77777777"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A = in treatment, B = in remission, C = not in treatment and not in remission, D = dead, '_2' denotes transition probabilities for the intervention arm</w:t>
            </w:r>
          </w:p>
        </w:tc>
      </w:tr>
      <w:tr w:rsidR="004431AA" w:rsidRPr="004431AA" w14:paraId="768F5125" w14:textId="77777777" w:rsidTr="002559BF">
        <w:trPr>
          <w:trHeight w:val="300"/>
        </w:trPr>
        <w:tc>
          <w:tcPr>
            <w:tcW w:w="2078" w:type="dxa"/>
            <w:gridSpan w:val="2"/>
            <w:tcBorders>
              <w:top w:val="nil"/>
              <w:left w:val="nil"/>
              <w:bottom w:val="nil"/>
              <w:right w:val="nil"/>
            </w:tcBorders>
            <w:shd w:val="clear" w:color="auto" w:fill="auto"/>
            <w:noWrap/>
            <w:vAlign w:val="bottom"/>
            <w:hideMark/>
          </w:tcPr>
          <w:p w14:paraId="6F4635AE" w14:textId="77777777" w:rsidR="004431AA" w:rsidRPr="004431AA" w:rsidRDefault="004431AA" w:rsidP="004431AA">
            <w:pPr>
              <w:contextualSpacing w:val="0"/>
              <w:rPr>
                <w:rFonts w:eastAsia="Times New Roman" w:cs="Arial"/>
                <w:color w:val="000000"/>
                <w:sz w:val="20"/>
                <w:szCs w:val="20"/>
                <w:lang w:eastAsia="en-GB"/>
              </w:rPr>
            </w:pPr>
            <w:r w:rsidRPr="004431AA">
              <w:rPr>
                <w:rFonts w:eastAsia="Times New Roman" w:cs="Arial"/>
                <w:color w:val="000000"/>
                <w:sz w:val="20"/>
                <w:szCs w:val="20"/>
                <w:lang w:eastAsia="en-GB"/>
              </w:rPr>
              <w:t>2' represents 'to'</w:t>
            </w:r>
          </w:p>
        </w:tc>
        <w:tc>
          <w:tcPr>
            <w:tcW w:w="728" w:type="dxa"/>
            <w:tcBorders>
              <w:top w:val="nil"/>
              <w:left w:val="nil"/>
              <w:bottom w:val="nil"/>
              <w:right w:val="nil"/>
            </w:tcBorders>
            <w:shd w:val="clear" w:color="auto" w:fill="auto"/>
            <w:noWrap/>
            <w:vAlign w:val="bottom"/>
            <w:hideMark/>
          </w:tcPr>
          <w:p w14:paraId="738641FA" w14:textId="77777777" w:rsidR="004431AA" w:rsidRPr="004431AA" w:rsidRDefault="004431AA" w:rsidP="004431AA">
            <w:pPr>
              <w:contextualSpacing w:val="0"/>
              <w:rPr>
                <w:rFonts w:eastAsia="Times New Roman" w:cs="Arial"/>
                <w:color w:val="000000"/>
                <w:sz w:val="20"/>
                <w:szCs w:val="20"/>
                <w:lang w:eastAsia="en-GB"/>
              </w:rPr>
            </w:pPr>
          </w:p>
        </w:tc>
        <w:tc>
          <w:tcPr>
            <w:tcW w:w="728" w:type="dxa"/>
            <w:tcBorders>
              <w:top w:val="nil"/>
              <w:left w:val="nil"/>
              <w:bottom w:val="nil"/>
              <w:right w:val="nil"/>
            </w:tcBorders>
            <w:shd w:val="clear" w:color="auto" w:fill="auto"/>
            <w:noWrap/>
            <w:vAlign w:val="bottom"/>
            <w:hideMark/>
          </w:tcPr>
          <w:p w14:paraId="009E1813"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4C0E34F1"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5811E98D"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4239B006"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3A229BF0"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5CC52425"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1208971B"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6E999D5B"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16368EE4"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46148AC8"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1D1CFF36"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7C778B50"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11286DF5"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570F0713"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r>
      <w:tr w:rsidR="004431AA" w:rsidRPr="004431AA" w14:paraId="04E06ED0" w14:textId="77777777" w:rsidTr="002559BF">
        <w:trPr>
          <w:trHeight w:val="300"/>
        </w:trPr>
        <w:tc>
          <w:tcPr>
            <w:tcW w:w="12998" w:type="dxa"/>
            <w:gridSpan w:val="17"/>
            <w:tcBorders>
              <w:top w:val="nil"/>
              <w:left w:val="nil"/>
              <w:bottom w:val="nil"/>
              <w:right w:val="nil"/>
            </w:tcBorders>
            <w:shd w:val="clear" w:color="auto" w:fill="auto"/>
            <w:noWrap/>
            <w:vAlign w:val="bottom"/>
            <w:hideMark/>
          </w:tcPr>
          <w:p w14:paraId="7328F232" w14:textId="77777777"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E.g. tpA2A = transition probability of someone in treatment remaining in treatment by the end of the year for someone in treatment as usual</w:t>
            </w:r>
          </w:p>
        </w:tc>
      </w:tr>
      <w:tr w:rsidR="004431AA" w:rsidRPr="004431AA" w14:paraId="16E05726" w14:textId="77777777" w:rsidTr="002559BF">
        <w:trPr>
          <w:trHeight w:val="300"/>
        </w:trPr>
        <w:tc>
          <w:tcPr>
            <w:tcW w:w="12998" w:type="dxa"/>
            <w:gridSpan w:val="17"/>
            <w:tcBorders>
              <w:top w:val="nil"/>
              <w:left w:val="nil"/>
              <w:bottom w:val="nil"/>
              <w:right w:val="nil"/>
            </w:tcBorders>
            <w:shd w:val="clear" w:color="auto" w:fill="auto"/>
            <w:noWrap/>
            <w:vAlign w:val="bottom"/>
            <w:hideMark/>
          </w:tcPr>
          <w:p w14:paraId="3107E4C6" w14:textId="77777777"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and tpA2A_2 = transition probability of someone in treatment remaining in treatment by the end of the year for someone in the intervention arm</w:t>
            </w:r>
          </w:p>
        </w:tc>
      </w:tr>
      <w:tr w:rsidR="004431AA" w:rsidRPr="004431AA" w14:paraId="404DF4BD" w14:textId="77777777" w:rsidTr="002559BF">
        <w:trPr>
          <w:trHeight w:val="300"/>
        </w:trPr>
        <w:tc>
          <w:tcPr>
            <w:tcW w:w="5718" w:type="dxa"/>
            <w:gridSpan w:val="7"/>
            <w:tcBorders>
              <w:top w:val="nil"/>
              <w:left w:val="nil"/>
              <w:bottom w:val="nil"/>
              <w:right w:val="nil"/>
            </w:tcBorders>
            <w:shd w:val="clear" w:color="auto" w:fill="auto"/>
            <w:noWrap/>
            <w:vAlign w:val="bottom"/>
            <w:hideMark/>
          </w:tcPr>
          <w:p w14:paraId="377C10C4" w14:textId="77777777" w:rsidR="004431AA" w:rsidRPr="004431AA" w:rsidRDefault="004431AA" w:rsidP="004431AA">
            <w:pPr>
              <w:contextualSpacing w:val="0"/>
              <w:rPr>
                <w:rFonts w:eastAsia="Times New Roman" w:cs="Arial"/>
                <w:i/>
                <w:iCs/>
                <w:color w:val="000000"/>
                <w:sz w:val="20"/>
                <w:szCs w:val="20"/>
                <w:lang w:eastAsia="en-GB"/>
              </w:rPr>
            </w:pPr>
            <w:r w:rsidRPr="004431AA">
              <w:rPr>
                <w:rFonts w:eastAsia="Times New Roman" w:cs="Arial"/>
                <w:i/>
                <w:iCs/>
                <w:color w:val="000000"/>
                <w:sz w:val="20"/>
                <w:szCs w:val="20"/>
                <w:lang w:eastAsia="en-GB"/>
              </w:rPr>
              <w:t>LWC = living with children, NWC = not living with children</w:t>
            </w:r>
          </w:p>
        </w:tc>
        <w:tc>
          <w:tcPr>
            <w:tcW w:w="728" w:type="dxa"/>
            <w:tcBorders>
              <w:top w:val="nil"/>
              <w:left w:val="nil"/>
              <w:bottom w:val="nil"/>
              <w:right w:val="nil"/>
            </w:tcBorders>
            <w:shd w:val="clear" w:color="auto" w:fill="auto"/>
            <w:noWrap/>
            <w:vAlign w:val="bottom"/>
            <w:hideMark/>
          </w:tcPr>
          <w:p w14:paraId="2D9BFF61" w14:textId="77777777" w:rsidR="004431AA" w:rsidRPr="004431AA" w:rsidRDefault="004431AA" w:rsidP="004431AA">
            <w:pPr>
              <w:contextualSpacing w:val="0"/>
              <w:rPr>
                <w:rFonts w:eastAsia="Times New Roman" w:cs="Arial"/>
                <w:i/>
                <w:iCs/>
                <w:color w:val="000000"/>
                <w:sz w:val="20"/>
                <w:szCs w:val="20"/>
                <w:lang w:eastAsia="en-GB"/>
              </w:rPr>
            </w:pPr>
          </w:p>
        </w:tc>
        <w:tc>
          <w:tcPr>
            <w:tcW w:w="728" w:type="dxa"/>
            <w:tcBorders>
              <w:top w:val="nil"/>
              <w:left w:val="nil"/>
              <w:bottom w:val="nil"/>
              <w:right w:val="nil"/>
            </w:tcBorders>
            <w:shd w:val="clear" w:color="auto" w:fill="auto"/>
            <w:noWrap/>
            <w:vAlign w:val="bottom"/>
            <w:hideMark/>
          </w:tcPr>
          <w:p w14:paraId="54A0ED5A"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3CBE699E"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6FE696A8"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7C2E9713"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2266B169"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58B0C636"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10B0E0E2"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6CAFFAB7"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c>
          <w:tcPr>
            <w:tcW w:w="728" w:type="dxa"/>
            <w:tcBorders>
              <w:top w:val="nil"/>
              <w:left w:val="nil"/>
              <w:bottom w:val="nil"/>
              <w:right w:val="nil"/>
            </w:tcBorders>
            <w:shd w:val="clear" w:color="auto" w:fill="auto"/>
            <w:noWrap/>
            <w:vAlign w:val="bottom"/>
            <w:hideMark/>
          </w:tcPr>
          <w:p w14:paraId="36323CA9" w14:textId="77777777" w:rsidR="004431AA" w:rsidRPr="004431AA" w:rsidRDefault="004431AA" w:rsidP="004431AA">
            <w:pPr>
              <w:contextualSpacing w:val="0"/>
              <w:rPr>
                <w:rFonts w:ascii="Times New Roman" w:eastAsia="Times New Roman" w:hAnsi="Times New Roman" w:cs="Times New Roman"/>
                <w:sz w:val="20"/>
                <w:szCs w:val="20"/>
                <w:lang w:eastAsia="en-GB"/>
              </w:rPr>
            </w:pPr>
          </w:p>
        </w:tc>
      </w:tr>
    </w:tbl>
    <w:p w14:paraId="744FF7AB" w14:textId="77777777" w:rsidR="00173509" w:rsidRDefault="00173509" w:rsidP="00142BE4">
      <w:pPr>
        <w:pStyle w:val="NoSpacing"/>
        <w:spacing w:line="240" w:lineRule="auto"/>
        <w:rPr>
          <w:i/>
          <w:iCs/>
        </w:rPr>
        <w:sectPr w:rsidR="00173509" w:rsidSect="002243A3">
          <w:footerReference w:type="default" r:id="rId44"/>
          <w:pgSz w:w="16838" w:h="11906" w:orient="landscape"/>
          <w:pgMar w:top="1440" w:right="1440" w:bottom="1440" w:left="1440" w:header="708" w:footer="708" w:gutter="0"/>
          <w:cols w:space="708"/>
          <w:docGrid w:linePitch="360"/>
        </w:sectPr>
      </w:pPr>
    </w:p>
    <w:p w14:paraId="340DAD6A" w14:textId="77777777" w:rsidR="008046D4" w:rsidRDefault="008046D4" w:rsidP="001A37CE">
      <w:pPr>
        <w:pStyle w:val="NoSpacing"/>
        <w:spacing w:line="360" w:lineRule="auto"/>
      </w:pPr>
    </w:p>
    <w:p w14:paraId="2ED43AA0" w14:textId="77777777" w:rsidR="001A37CE" w:rsidRPr="007C24B1" w:rsidRDefault="001A37CE" w:rsidP="009C3BBC">
      <w:pPr>
        <w:pStyle w:val="Heading3"/>
        <w:numPr>
          <w:ilvl w:val="2"/>
          <w:numId w:val="19"/>
        </w:numPr>
        <w:spacing w:line="360" w:lineRule="auto"/>
      </w:pPr>
      <w:bookmarkStart w:id="138" w:name="_Toc189229711"/>
      <w:r w:rsidRPr="007C24B1">
        <w:t>Time horizon and discounting</w:t>
      </w:r>
      <w:bookmarkEnd w:id="138"/>
    </w:p>
    <w:p w14:paraId="1ED9C6A5" w14:textId="57C5B521" w:rsidR="001A37CE" w:rsidRDefault="001A37CE" w:rsidP="001A37CE">
      <w:pPr>
        <w:pStyle w:val="NoSpacing"/>
        <w:spacing w:line="360" w:lineRule="auto"/>
      </w:pPr>
      <w:r>
        <w:t xml:space="preserve">We modelled a 10-year time horizon divided into annual cycles, as studies have shown of those that relapse, they typically do so within the first few years, with the likelihood reducing over time </w:t>
      </w:r>
      <w:r>
        <w:fldChar w:fldCharType="begin">
          <w:fldData xml:space="preserve">PEVuZE5vdGU+PENpdGU+PEF1dGhvcj5EYXdzb248L0F1dGhvcj48WWVhcj4yMDA3PC9ZZWFyPjxS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</w:fldData>
        </w:fldChar>
      </w:r>
      <w:r w:rsidR="00B9334F">
        <w:instrText xml:space="preserve"> ADDIN EN.CITE </w:instrText>
      </w:r>
      <w:r w:rsidR="00B9334F">
        <w:fldChar w:fldCharType="begin">
          <w:fldData xml:space="preserve">PEVuZE5vdGU+PENpdGU+PEF1dGhvcj5EYXdzb248L0F1dGhvcj48WWVhcj4yMDA3PC9ZZWFyPjxS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</w:fldData>
        </w:fldChar>
      </w:r>
      <w:r w:rsidR="00B9334F">
        <w:instrText xml:space="preserve"> ADDIN EN.CITE.DATA </w:instrText>
      </w:r>
      <w:r w:rsidR="00B9334F">
        <w:fldChar w:fldCharType="end"/>
      </w:r>
      <w:r>
        <w:fldChar w:fldCharType="separate"/>
      </w:r>
      <w:r w:rsidR="003C6F70">
        <w:rPr>
          <w:noProof/>
        </w:rPr>
        <w:t>(Dawson et al., 2007; Mertens et al., 2012; Tuithof et al., 2014)</w:t>
      </w:r>
      <w:r>
        <w:fldChar w:fldCharType="end"/>
      </w:r>
      <w:r>
        <w:t xml:space="preserve">. </w:t>
      </w:r>
      <w:r w:rsidR="0085627D">
        <w:t>As specialist treatment for AUD and parenting programmes are funded by local authorities in England and not by the NHS</w:t>
      </w:r>
      <w:r w:rsidR="0023796F">
        <w:t>,</w:t>
      </w:r>
      <w:r w:rsidR="0085627D">
        <w:t xml:space="preserve"> </w:t>
      </w:r>
      <w:r w:rsidR="00EA6DFD">
        <w:t>w</w:t>
      </w:r>
      <w:r>
        <w:t xml:space="preserve">e adopted the approach recommended by NICE to discount both costs and QALYs at 1.5% </w:t>
      </w:r>
      <w:r>
        <w:fldChar w:fldCharType="begin"/>
      </w:r>
      <w:r w:rsidR="00B9334F">
        <w:instrText xml:space="preserve"> ADDIN EN.CITE &lt;EndNote&gt;&lt;Cite&gt;&lt;Author&gt;NICE&lt;/Author&gt;&lt;Year&gt;2012&lt;/Year&gt;&lt;RecNum&gt;330&lt;/RecNum&gt;&lt;DisplayText&gt;(NICE, 2012b)&lt;/DisplayText&gt;&lt;record&gt;&lt;rec-number&gt;330&lt;/rec-number&gt;&lt;foreign-keys&gt;&lt;key app="EN" db-id="ffzvr5fstavwxoe9v04xf0wmp5t50as52da0" timestamp="1731671659" guid="4569e038-58f8-4116-b986-4e28b2c687a0"&gt;330&lt;/key&gt;&lt;/foreign-keys&gt;&lt;ref-type name="Electronic Article"&gt;43&lt;/ref-type&gt;&lt;contributors&gt;&lt;authors&gt;&lt;author&gt;NICE&lt;/author&gt;&lt;/authors&gt;&lt;/contributors&gt;&lt;titles&gt;&lt;title&gt;Methods for the development of NICE public health guidance (third edition). NICE process and methods [PMG4]&lt;/title&gt;&lt;/titles&gt;&lt;dates&gt;&lt;year&gt;2012&lt;/year&gt;&lt;pub-dates&gt;&lt;date&gt;01/09/2024&lt;/date&gt;&lt;/pub-dates&gt;&lt;/dates&gt;&lt;urls&gt;&lt;related-urls&gt;&lt;url&gt;https://www.nice.org.uk/process/pmg4/chapter/incorporating-health-economics&lt;/url&gt;&lt;/related-urls&gt;&lt;/urls&gt;&lt;/record&gt;&lt;/Cite&gt;&lt;/EndNote&gt;</w:instrText>
      </w:r>
      <w:r>
        <w:fldChar w:fldCharType="separate"/>
      </w:r>
      <w:r w:rsidR="00A77498">
        <w:rPr>
          <w:noProof/>
        </w:rPr>
        <w:t>(NICE, 2012b)</w:t>
      </w:r>
      <w:r>
        <w:fldChar w:fldCharType="end"/>
      </w:r>
      <w:r>
        <w:t xml:space="preserve">. </w:t>
      </w:r>
    </w:p>
    <w:p w14:paraId="23A67C76" w14:textId="77777777" w:rsidR="001A37CE" w:rsidRDefault="001A37CE" w:rsidP="001A37CE">
      <w:pPr>
        <w:pStyle w:val="NoSpacing"/>
        <w:spacing w:line="360" w:lineRule="auto"/>
      </w:pPr>
    </w:p>
    <w:p w14:paraId="45019083" w14:textId="77777777" w:rsidR="001A37CE" w:rsidRPr="007C24B1" w:rsidRDefault="001A37CE" w:rsidP="009C3BBC">
      <w:pPr>
        <w:pStyle w:val="Heading3"/>
        <w:numPr>
          <w:ilvl w:val="2"/>
          <w:numId w:val="19"/>
        </w:numPr>
        <w:spacing w:line="360" w:lineRule="auto"/>
      </w:pPr>
      <w:bookmarkStart w:id="139" w:name="_Toc189229712"/>
      <w:r w:rsidRPr="007C24B1">
        <w:t>Deterministic sensitivity analysis</w:t>
      </w:r>
      <w:bookmarkEnd w:id="139"/>
    </w:p>
    <w:p w14:paraId="784A355E" w14:textId="73E40F0E" w:rsidR="000234A9" w:rsidRDefault="001A37CE" w:rsidP="001A37CE">
      <w:pPr>
        <w:pStyle w:val="NoSpacing"/>
        <w:spacing w:line="360" w:lineRule="auto"/>
      </w:pPr>
      <w:r>
        <w:t>We conducted a deterministic sensitivity analysis to explore key structural assumptions</w:t>
      </w:r>
      <w:r w:rsidR="006348A2">
        <w:t xml:space="preserve"> under </w:t>
      </w:r>
      <w:r w:rsidR="003A5C66">
        <w:t>ten</w:t>
      </w:r>
      <w:r w:rsidR="006348A2">
        <w:t xml:space="preserve"> different scenarios</w:t>
      </w:r>
      <w:r>
        <w:t xml:space="preserve">. </w:t>
      </w:r>
      <w:r w:rsidR="004E6047">
        <w:t>As before</w:t>
      </w:r>
      <w:r w:rsidR="002D3A32">
        <w:t>,</w:t>
      </w:r>
      <w:r w:rsidR="004E6047">
        <w:t xml:space="preserve"> all costs were uplifted to 2020/21 prices.</w:t>
      </w:r>
    </w:p>
    <w:p w14:paraId="28E652EC" w14:textId="77777777" w:rsidR="004369B0" w:rsidRPr="0026764F" w:rsidRDefault="004369B0" w:rsidP="001A37CE">
      <w:pPr>
        <w:pStyle w:val="NoSpacing"/>
        <w:spacing w:line="360" w:lineRule="auto"/>
      </w:pPr>
    </w:p>
    <w:p w14:paraId="491B1DC3" w14:textId="5D682D5D" w:rsidR="004D137C" w:rsidRPr="004D137C" w:rsidRDefault="004D137C" w:rsidP="001A37CE">
      <w:pPr>
        <w:pStyle w:val="NoSpacing"/>
        <w:spacing w:line="360" w:lineRule="auto"/>
        <w:rPr>
          <w:i/>
          <w:iCs/>
        </w:rPr>
      </w:pPr>
      <w:r w:rsidRPr="004D137C">
        <w:rPr>
          <w:i/>
          <w:iCs/>
        </w:rPr>
        <w:t>Transition probabilities</w:t>
      </w:r>
    </w:p>
    <w:p w14:paraId="5D89F0EC" w14:textId="3616109C" w:rsidR="002F5DCB" w:rsidRDefault="00F24FE4" w:rsidP="009C3BBC">
      <w:pPr>
        <w:pStyle w:val="NoSpacing"/>
        <w:numPr>
          <w:ilvl w:val="0"/>
          <w:numId w:val="28"/>
        </w:numPr>
        <w:spacing w:line="360" w:lineRule="auto"/>
      </w:pPr>
      <w:r w:rsidRPr="00F24FE4">
        <w:t>In this</w:t>
      </w:r>
      <w:r>
        <w:t xml:space="preserve"> scenario we assume</w:t>
      </w:r>
      <w:r w:rsidR="002F5DCB">
        <w:t>d</w:t>
      </w:r>
      <w:r>
        <w:t xml:space="preserve"> that the increased </w:t>
      </w:r>
      <w:r w:rsidR="00366E57">
        <w:t xml:space="preserve">transition </w:t>
      </w:r>
      <w:r w:rsidR="00972768">
        <w:t>probability</w:t>
      </w:r>
      <w:r w:rsidR="00366E57">
        <w:t xml:space="preserve"> from </w:t>
      </w:r>
      <w:r w:rsidR="00965CB2">
        <w:t xml:space="preserve">‘In treatment’ to ‘In recovery </w:t>
      </w:r>
      <w:r w:rsidR="005E101E">
        <w:t>following the intervention (</w:t>
      </w:r>
      <w:r w:rsidR="002F5DCB" w:rsidRPr="00C40FB6">
        <w:rPr>
          <w:i/>
          <w:iCs/>
        </w:rPr>
        <w:t>tpA2B</w:t>
      </w:r>
      <w:r w:rsidR="00965CB2" w:rsidRPr="00C40FB6">
        <w:rPr>
          <w:i/>
          <w:iCs/>
        </w:rPr>
        <w:t>_2</w:t>
      </w:r>
      <w:r w:rsidR="005E101E">
        <w:t>)</w:t>
      </w:r>
      <w:r w:rsidR="004E716C">
        <w:t xml:space="preserve"> did not result in a corresponding reduction in the </w:t>
      </w:r>
      <w:r w:rsidR="005E101E">
        <w:t xml:space="preserve">transition </w:t>
      </w:r>
      <w:r w:rsidR="00B26CC7">
        <w:t>probability</w:t>
      </w:r>
      <w:r w:rsidR="005E101E">
        <w:t xml:space="preserve"> </w:t>
      </w:r>
      <w:r w:rsidR="00B26CC7">
        <w:t>of ‘In remission’ to ‘Not in treatment or recovery’ (</w:t>
      </w:r>
      <w:r w:rsidR="00366E57" w:rsidRPr="00B26CC7">
        <w:rPr>
          <w:i/>
          <w:iCs/>
        </w:rPr>
        <w:t>tpB2C</w:t>
      </w:r>
      <w:r w:rsidR="00C40FB6" w:rsidRPr="00B26CC7">
        <w:rPr>
          <w:i/>
          <w:iCs/>
        </w:rPr>
        <w:t>_2</w:t>
      </w:r>
      <w:r w:rsidR="00B26CC7">
        <w:t>)</w:t>
      </w:r>
      <w:r w:rsidR="00366E57">
        <w:t xml:space="preserve">. </w:t>
      </w:r>
    </w:p>
    <w:p w14:paraId="2405C775" w14:textId="77777777" w:rsidR="0026764F" w:rsidRDefault="0026764F" w:rsidP="0026764F">
      <w:pPr>
        <w:pStyle w:val="NoSpacing"/>
        <w:spacing w:line="360" w:lineRule="auto"/>
        <w:ind w:left="360"/>
      </w:pPr>
    </w:p>
    <w:p w14:paraId="68674CA6" w14:textId="6ECC0CE7" w:rsidR="0026764F" w:rsidRPr="004D137C" w:rsidRDefault="00F24FE4" w:rsidP="0026764F">
      <w:pPr>
        <w:pStyle w:val="NoSpacing"/>
        <w:spacing w:line="360" w:lineRule="auto"/>
        <w:rPr>
          <w:i/>
          <w:iCs/>
        </w:rPr>
      </w:pPr>
      <w:r w:rsidRPr="00F24FE4">
        <w:t xml:space="preserve"> </w:t>
      </w:r>
      <w:r w:rsidR="0026764F">
        <w:rPr>
          <w:i/>
          <w:iCs/>
        </w:rPr>
        <w:t>Utility gains</w:t>
      </w:r>
    </w:p>
    <w:p w14:paraId="748697DF" w14:textId="07880113" w:rsidR="00F5762E" w:rsidRDefault="0026764F" w:rsidP="009C3BBC">
      <w:pPr>
        <w:pStyle w:val="NoSpacing"/>
        <w:numPr>
          <w:ilvl w:val="0"/>
          <w:numId w:val="28"/>
        </w:numPr>
        <w:spacing w:line="360" w:lineRule="auto"/>
      </w:pPr>
      <w:r w:rsidRPr="00F24FE4">
        <w:t xml:space="preserve">In </w:t>
      </w:r>
      <w:r>
        <w:t xml:space="preserve">Scenario 2, we assumed there were no </w:t>
      </w:r>
      <w:r w:rsidR="00CF4900">
        <w:t>utility score</w:t>
      </w:r>
      <w:r>
        <w:t xml:space="preserve"> gains </w:t>
      </w:r>
      <w:r w:rsidR="00CF4900">
        <w:t xml:space="preserve">to be had from </w:t>
      </w:r>
      <w:r w:rsidR="001F7D8B">
        <w:t>receiving the intervention. Thus</w:t>
      </w:r>
      <w:r w:rsidR="00A76161">
        <w:t>,</w:t>
      </w:r>
      <w:r w:rsidR="001F7D8B">
        <w:t xml:space="preserve"> everyone </w:t>
      </w:r>
      <w:r w:rsidR="00F5762E">
        <w:t xml:space="preserve">irrespective of whether they </w:t>
      </w:r>
      <w:r w:rsidR="001F7D8B">
        <w:t xml:space="preserve">received the </w:t>
      </w:r>
      <w:r w:rsidR="0055170C">
        <w:t xml:space="preserve">intervention or not were assumed to have the </w:t>
      </w:r>
      <w:r w:rsidR="001F7D8B">
        <w:t xml:space="preserve">utility scores </w:t>
      </w:r>
      <w:r w:rsidR="00137563">
        <w:t>derived from the UKATT study</w:t>
      </w:r>
      <w:r w:rsidR="00A76161">
        <w:t xml:space="preserve">. </w:t>
      </w:r>
    </w:p>
    <w:p w14:paraId="6012FF25" w14:textId="77777777" w:rsidR="00F5762E" w:rsidRDefault="00F5762E" w:rsidP="003C2240">
      <w:pPr>
        <w:pStyle w:val="NoSpacing"/>
        <w:spacing w:line="360" w:lineRule="auto"/>
        <w:ind w:left="360"/>
      </w:pPr>
    </w:p>
    <w:p w14:paraId="7DD34724" w14:textId="299E6E4E" w:rsidR="00B26CC7" w:rsidRDefault="003C2240" w:rsidP="009C3BBC">
      <w:pPr>
        <w:pStyle w:val="NoSpacing"/>
        <w:numPr>
          <w:ilvl w:val="0"/>
          <w:numId w:val="28"/>
        </w:numPr>
        <w:spacing w:line="360" w:lineRule="auto"/>
      </w:pPr>
      <w:r>
        <w:t xml:space="preserve">Here people on the intervention received </w:t>
      </w:r>
      <w:r w:rsidR="00CE20C1">
        <w:t>the gains observed from the PuP study but instead of the gains lasting for one year, we assumed they would continue for two years.</w:t>
      </w:r>
    </w:p>
    <w:p w14:paraId="64CDA2B6" w14:textId="77777777" w:rsidR="00CE20C1" w:rsidRDefault="00CE20C1" w:rsidP="00CE20C1">
      <w:pPr>
        <w:pStyle w:val="ListParagraph"/>
      </w:pPr>
    </w:p>
    <w:p w14:paraId="4BE6801C" w14:textId="0EAF4D7C" w:rsidR="00CE20C1" w:rsidRDefault="00CE20C1" w:rsidP="009C3BBC">
      <w:pPr>
        <w:pStyle w:val="NoSpacing"/>
        <w:numPr>
          <w:ilvl w:val="0"/>
          <w:numId w:val="28"/>
        </w:numPr>
        <w:spacing w:line="360" w:lineRule="auto"/>
      </w:pPr>
      <w:r>
        <w:t>As above, but lasting 10 years</w:t>
      </w:r>
      <w:r w:rsidR="00FC1FCB">
        <w:t xml:space="preserve"> to fit with the model time horizon</w:t>
      </w:r>
      <w:r>
        <w:t>.</w:t>
      </w:r>
    </w:p>
    <w:p w14:paraId="2D2D9ECB" w14:textId="77777777" w:rsidR="003A5C66" w:rsidRDefault="003A5C66" w:rsidP="003E2FFD">
      <w:pPr>
        <w:rPr>
          <w:color w:val="FF0000"/>
        </w:rPr>
      </w:pPr>
    </w:p>
    <w:p w14:paraId="1256F625" w14:textId="0CB9B73C" w:rsidR="003A5C66" w:rsidRPr="002464A4" w:rsidRDefault="003A5C66" w:rsidP="009C3BBC">
      <w:pPr>
        <w:pStyle w:val="NoSpacing"/>
        <w:numPr>
          <w:ilvl w:val="0"/>
          <w:numId w:val="28"/>
        </w:numPr>
        <w:spacing w:line="360" w:lineRule="auto"/>
      </w:pPr>
      <w:r w:rsidRPr="002464A4">
        <w:lastRenderedPageBreak/>
        <w:t>In this scenario,</w:t>
      </w:r>
      <w:r w:rsidRPr="002464A4">
        <w:rPr>
          <w:b/>
          <w:bCs/>
        </w:rPr>
        <w:t xml:space="preserve"> </w:t>
      </w:r>
      <w:r w:rsidRPr="002464A4">
        <w:t xml:space="preserve">we used the individual-based cost of £2,078 (2008/09 prices) rather than the base-case cost of £952 (2008/09 prices) modelled by </w:t>
      </w:r>
      <w:r w:rsidRPr="002464A4">
        <w:fldChar w:fldCharType="begin"/>
      </w:r>
      <w:r w:rsidR="00B9334F">
        <w:instrText xml:space="preserve"> ADDIN EN.CITE &lt;EndNote&gt;&lt;Cite AuthorYear="1"&gt;&lt;Author&gt;Bonin&lt;/Author&gt;&lt;Year&gt;2011&lt;/Year&gt;&lt;RecNum&gt;691&lt;/RecNum&gt;&lt;DisplayText&gt;Bonin et al. (2011)&lt;/DisplayText&gt;&lt;record&gt;&lt;rec-number&gt;691&lt;/rec-number&gt;&lt;foreign-keys&gt;&lt;key app="EN" db-id="ffzvr5fstavwxoe9v04xf0wmp5t50as52da0" timestamp="1731671737" guid="35adea0d-917f-4727-a40c-be86d906c959"&gt;691&lt;/key&gt;&lt;/foreign-keys&gt;&lt;ref-type name="Journal Article"&gt;17&lt;/ref-type&gt;&lt;contributors&gt;&lt;authors&gt;&lt;author&gt;Bonin, Eva-Maria&lt;/author&gt;&lt;author&gt;Stevens, Madeleine&lt;/author&gt;&lt;author&gt;Beecham, Jennifer&lt;/author&gt;&lt;author&gt;Byford, Sarah&lt;/author&gt;&lt;author&gt;Parsonage, Michael&lt;/author&gt;&lt;/authors&gt;&lt;/contributors&gt;&lt;titles&gt;&lt;title&gt;Costs and longer-term savings of parenting programmes for the prevention of persistent conduct disorder: A modelling study&lt;/title&gt;&lt;secondary-title&gt;BMC Public Health&lt;/secondary-title&gt;&lt;/titles&gt;&lt;periodical&gt;&lt;full-title&gt;BMC public health&lt;/full-title&gt;&lt;/periodical&gt;&lt;pages&gt;803&lt;/pages&gt;&lt;volume&gt;11&lt;/volume&gt;&lt;number&gt;1&lt;/number&gt;&lt;dates&gt;&lt;year&gt;2011&lt;/year&gt;&lt;pub-dates&gt;&lt;date&gt;2011/10/14&lt;/date&gt;&lt;/pub-dates&gt;&lt;/dates&gt;&lt;isbn&gt;1471-2458&lt;/isbn&gt;&lt;urls&gt;&lt;related-urls&gt;&lt;url&gt;https://doi.org/10.1186/1471-2458-11-803&lt;/url&gt;&lt;/related-urls&gt;&lt;/urls&gt;&lt;electronic-resource-num&gt;10.1186/1471-2458-11-803&lt;/electronic-resource-num&gt;&lt;/record&gt;&lt;/Cite&gt;&lt;/EndNote&gt;</w:instrText>
      </w:r>
      <w:r w:rsidRPr="002464A4">
        <w:fldChar w:fldCharType="separate"/>
      </w:r>
      <w:r w:rsidR="00A77498">
        <w:rPr>
          <w:noProof/>
        </w:rPr>
        <w:t>Bonin et al. (2011)</w:t>
      </w:r>
      <w:r w:rsidRPr="002464A4">
        <w:fldChar w:fldCharType="end"/>
      </w:r>
      <w:r w:rsidRPr="002464A4">
        <w:t xml:space="preserve">. </w:t>
      </w:r>
    </w:p>
    <w:p w14:paraId="7AB61527" w14:textId="77777777" w:rsidR="002464A4" w:rsidRPr="002464A4" w:rsidRDefault="002464A4" w:rsidP="002464A4">
      <w:pPr>
        <w:pStyle w:val="NoSpacing"/>
        <w:spacing w:line="360" w:lineRule="auto"/>
        <w:ind w:left="360"/>
      </w:pPr>
    </w:p>
    <w:p w14:paraId="4099C24A" w14:textId="52174B91" w:rsidR="002464A4" w:rsidRDefault="002464A4" w:rsidP="009C3BBC">
      <w:pPr>
        <w:pStyle w:val="NoSpacing"/>
        <w:numPr>
          <w:ilvl w:val="0"/>
          <w:numId w:val="28"/>
        </w:numPr>
        <w:spacing w:line="360" w:lineRule="auto"/>
      </w:pPr>
      <w:r w:rsidRPr="002464A4">
        <w:t xml:space="preserve">Here we used an intervention cost based on 80% group and 20% individual provision taken from expert opinion submitted to NICE and modelled by </w:t>
      </w:r>
      <w:r w:rsidRPr="002464A4">
        <w:fldChar w:fldCharType="begin"/>
      </w:r>
      <w:r w:rsidR="00B9334F">
        <w:instrText xml:space="preserve"> ADDIN EN.CITE &lt;EndNote&gt;&lt;Cite AuthorYear="1"&gt;&lt;Author&gt;Bonin&lt;/Author&gt;&lt;Year&gt;2011&lt;/Year&gt;&lt;RecNum&gt;691&lt;/RecNum&gt;&lt;DisplayText&gt;Bonin et al. (2011)&lt;/DisplayText&gt;&lt;record&gt;&lt;rec-number&gt;691&lt;/rec-number&gt;&lt;foreign-keys&gt;&lt;key app="EN" db-id="ffzvr5fstavwxoe9v04xf0wmp5t50as52da0" timestamp="1731671737" guid="35adea0d-917f-4727-a40c-be86d906c959"&gt;691&lt;/key&gt;&lt;/foreign-keys&gt;&lt;ref-type name="Journal Article"&gt;17&lt;/ref-type&gt;&lt;contributors&gt;&lt;authors&gt;&lt;author&gt;Bonin, Eva-Maria&lt;/author&gt;&lt;author&gt;Stevens, Madeleine&lt;/author&gt;&lt;author&gt;Beecham, Jennifer&lt;/author&gt;&lt;author&gt;Byford, Sarah&lt;/author&gt;&lt;author&gt;Parsonage, Michael&lt;/author&gt;&lt;/authors&gt;&lt;/contributors&gt;&lt;titles&gt;&lt;title&gt;Costs and longer-term savings of parenting programmes for the prevention of persistent conduct disorder: A modelling study&lt;/title&gt;&lt;secondary-title&gt;BMC Public Health&lt;/secondary-title&gt;&lt;/titles&gt;&lt;periodical&gt;&lt;full-title&gt;BMC public health&lt;/full-title&gt;&lt;/periodical&gt;&lt;pages&gt;803&lt;/pages&gt;&lt;volume&gt;11&lt;/volume&gt;&lt;number&gt;1&lt;/number&gt;&lt;dates&gt;&lt;year&gt;2011&lt;/year&gt;&lt;pub-dates&gt;&lt;date&gt;2011/10/14&lt;/date&gt;&lt;/pub-dates&gt;&lt;/dates&gt;&lt;isbn&gt;1471-2458&lt;/isbn&gt;&lt;urls&gt;&lt;related-urls&gt;&lt;url&gt;https://doi.org/10.1186/1471-2458-11-803&lt;/url&gt;&lt;/related-urls&gt;&lt;/urls&gt;&lt;electronic-resource-num&gt;10.1186/1471-2458-11-803&lt;/electronic-resource-num&gt;&lt;/record&gt;&lt;/Cite&gt;&lt;/EndNote&gt;</w:instrText>
      </w:r>
      <w:r w:rsidRPr="002464A4">
        <w:fldChar w:fldCharType="separate"/>
      </w:r>
      <w:r w:rsidR="00A77498">
        <w:rPr>
          <w:noProof/>
        </w:rPr>
        <w:t>Bonin et al. (2011)</w:t>
      </w:r>
      <w:r w:rsidRPr="002464A4">
        <w:fldChar w:fldCharType="end"/>
      </w:r>
      <w:r w:rsidRPr="002464A4">
        <w:t xml:space="preserve"> (£1,177, 2008/09 prices), rather than the base-case cost £952 (2008/09 prices). </w:t>
      </w:r>
    </w:p>
    <w:p w14:paraId="3E8B9D7E" w14:textId="77777777" w:rsidR="002464A4" w:rsidRPr="002464A4" w:rsidRDefault="002464A4" w:rsidP="002464A4">
      <w:pPr>
        <w:pStyle w:val="NoSpacing"/>
        <w:spacing w:line="360" w:lineRule="auto"/>
        <w:ind w:left="360"/>
      </w:pPr>
    </w:p>
    <w:p w14:paraId="7AEF23FB" w14:textId="4477B99A" w:rsidR="002464A4" w:rsidRPr="002464A4" w:rsidRDefault="002464A4" w:rsidP="009C3BBC">
      <w:pPr>
        <w:pStyle w:val="NoSpacing"/>
        <w:numPr>
          <w:ilvl w:val="0"/>
          <w:numId w:val="28"/>
        </w:numPr>
        <w:spacing w:line="360" w:lineRule="auto"/>
      </w:pPr>
      <w:r>
        <w:t>In the base case</w:t>
      </w:r>
      <w:r w:rsidR="0069637E">
        <w:t>,</w:t>
      </w:r>
      <w:r>
        <w:t xml:space="preserve"> we assumed that the </w:t>
      </w:r>
      <w:r w:rsidR="00144630">
        <w:t xml:space="preserve">cost savings observed at 6 month follow up in the UKATT trial </w:t>
      </w:r>
      <w:r w:rsidR="00F94778">
        <w:t xml:space="preserve">would continue over a full year. Here, we </w:t>
      </w:r>
      <w:r w:rsidR="00A16346">
        <w:t xml:space="preserve">analyse what would happen if the </w:t>
      </w:r>
      <w:r w:rsidR="00485B1D">
        <w:t xml:space="preserve">full year costs </w:t>
      </w:r>
      <w:r w:rsidR="001F30FF">
        <w:t>only applied to half a year</w:t>
      </w:r>
      <w:r w:rsidR="0069637E">
        <w:t>, i.e. from</w:t>
      </w:r>
      <w:r w:rsidR="001F30FF">
        <w:t xml:space="preserve"> </w:t>
      </w:r>
      <w:r w:rsidR="0069637E">
        <w:t>£1486 (2000/01 prices) to £743 (2000/01 prices).</w:t>
      </w:r>
    </w:p>
    <w:p w14:paraId="434460D3" w14:textId="77777777" w:rsidR="002464A4" w:rsidRDefault="002464A4" w:rsidP="002464A4">
      <w:pPr>
        <w:pStyle w:val="ListParagraph"/>
        <w:rPr>
          <w:b/>
          <w:bCs/>
        </w:rPr>
      </w:pPr>
    </w:p>
    <w:p w14:paraId="06044AB1" w14:textId="4A8E2938" w:rsidR="002464A4" w:rsidRPr="009633C3" w:rsidRDefault="0069637E" w:rsidP="009C3BBC">
      <w:pPr>
        <w:pStyle w:val="NoSpacing"/>
        <w:numPr>
          <w:ilvl w:val="0"/>
          <w:numId w:val="28"/>
        </w:numPr>
        <w:spacing w:line="360" w:lineRule="auto"/>
      </w:pPr>
      <w:r>
        <w:t>In scenario 6 w</w:t>
      </w:r>
      <w:r w:rsidR="002464A4">
        <w:t xml:space="preserve">e assumed that </w:t>
      </w:r>
      <w:r>
        <w:t xml:space="preserve">there were no crime savings for anyone </w:t>
      </w:r>
      <w:r w:rsidR="009F2228">
        <w:t>‘In treatment’ or ‘In remission’ (State B and C).</w:t>
      </w:r>
    </w:p>
    <w:p w14:paraId="6DB209B7" w14:textId="77777777" w:rsidR="002464A4" w:rsidRDefault="002464A4" w:rsidP="0069637E">
      <w:pPr>
        <w:pStyle w:val="NoSpacing"/>
        <w:spacing w:line="360" w:lineRule="auto"/>
        <w:ind w:left="360"/>
      </w:pPr>
    </w:p>
    <w:p w14:paraId="6A45F502" w14:textId="0149E9D8" w:rsidR="00B26CC7" w:rsidRDefault="0069637E" w:rsidP="009C3BBC">
      <w:pPr>
        <w:pStyle w:val="NoSpacing"/>
        <w:numPr>
          <w:ilvl w:val="0"/>
          <w:numId w:val="28"/>
        </w:numPr>
        <w:spacing w:line="360" w:lineRule="auto"/>
      </w:pPr>
      <w:r w:rsidRPr="0069637E">
        <w:t>In the final scenario,</w:t>
      </w:r>
      <w:r w:rsidR="002464A4">
        <w:t xml:space="preserve"> </w:t>
      </w:r>
      <w:r>
        <w:t>i</w:t>
      </w:r>
      <w:r w:rsidR="002464A4">
        <w:t>n line with NICE guidance, we tested how the deterministic model results changed using a 3.5% discount for costs and QALYs</w:t>
      </w:r>
      <w:r>
        <w:t xml:space="preserve"> rather than 1.5% </w:t>
      </w:r>
      <w:r w:rsidR="002464A4">
        <w:t xml:space="preserve"> </w:t>
      </w:r>
      <w:r w:rsidR="002464A4">
        <w:fldChar w:fldCharType="begin"/>
      </w:r>
      <w:r w:rsidR="00B9334F">
        <w:instrText xml:space="preserve"> ADDIN EN.CITE &lt;EndNote&gt;&lt;Cite&gt;&lt;Author&gt;NICE&lt;/Author&gt;&lt;Year&gt;2012&lt;/Year&gt;&lt;RecNum&gt;330&lt;/RecNum&gt;&lt;DisplayText&gt;(NICE, 2012b)&lt;/DisplayText&gt;&lt;record&gt;&lt;rec-number&gt;330&lt;/rec-number&gt;&lt;foreign-keys&gt;&lt;key app="EN" db-id="ffzvr5fstavwxoe9v04xf0wmp5t50as52da0" timestamp="1731671659" guid="4569e038-58f8-4116-b986-4e28b2c687a0"&gt;330&lt;/key&gt;&lt;/foreign-keys&gt;&lt;ref-type name="Electronic Article"&gt;43&lt;/ref-type&gt;&lt;contributors&gt;&lt;authors&gt;&lt;author&gt;NICE&lt;/author&gt;&lt;/authors&gt;&lt;/contributors&gt;&lt;titles&gt;&lt;title&gt;Methods for the development of NICE public health guidance (third edition). NICE process and methods [PMG4]&lt;/title&gt;&lt;/titles&gt;&lt;dates&gt;&lt;year&gt;2012&lt;/year&gt;&lt;pub-dates&gt;&lt;date&gt;01/09/2024&lt;/date&gt;&lt;/pub-dates&gt;&lt;/dates&gt;&lt;urls&gt;&lt;related-urls&gt;&lt;url&gt;https://www.nice.org.uk/process/pmg4/chapter/incorporating-health-economics&lt;/url&gt;&lt;/related-urls&gt;&lt;/urls&gt;&lt;/record&gt;&lt;/Cite&gt;&lt;/EndNote&gt;</w:instrText>
      </w:r>
      <w:r w:rsidR="002464A4">
        <w:fldChar w:fldCharType="separate"/>
      </w:r>
      <w:r w:rsidR="00A77498">
        <w:rPr>
          <w:noProof/>
        </w:rPr>
        <w:t>(NICE, 2012b)</w:t>
      </w:r>
      <w:r w:rsidR="002464A4">
        <w:fldChar w:fldCharType="end"/>
      </w:r>
      <w:r w:rsidR="002464A4">
        <w:t xml:space="preserve">. </w:t>
      </w:r>
    </w:p>
    <w:p w14:paraId="66590E06" w14:textId="77777777" w:rsidR="00610D8A" w:rsidRPr="00950128" w:rsidRDefault="00610D8A" w:rsidP="001A37CE">
      <w:pPr>
        <w:pStyle w:val="NoSpacing"/>
        <w:spacing w:line="360" w:lineRule="auto"/>
      </w:pPr>
    </w:p>
    <w:p w14:paraId="1AAEE9D0" w14:textId="77777777" w:rsidR="001A37CE" w:rsidRPr="00265640" w:rsidRDefault="001A37CE" w:rsidP="009C3BBC">
      <w:pPr>
        <w:pStyle w:val="Heading3"/>
        <w:numPr>
          <w:ilvl w:val="2"/>
          <w:numId w:val="19"/>
        </w:numPr>
        <w:spacing w:line="360" w:lineRule="auto"/>
      </w:pPr>
      <w:bookmarkStart w:id="140" w:name="_Toc189229713"/>
      <w:r w:rsidRPr="00265640">
        <w:t>Probabilistic sensitivity analysis</w:t>
      </w:r>
      <w:bookmarkEnd w:id="140"/>
    </w:p>
    <w:p w14:paraId="6244B365" w14:textId="5A8A97E1" w:rsidR="00BB2F30" w:rsidRDefault="001A37CE" w:rsidP="001A37CE">
      <w:pPr>
        <w:pStyle w:val="NoSpacing"/>
        <w:spacing w:line="360" w:lineRule="auto"/>
      </w:pPr>
      <w:r>
        <w:t xml:space="preserve">We conducted a probabilistic sensitivity analysis (PSA) </w:t>
      </w:r>
      <w:r w:rsidR="00F312B7">
        <w:t xml:space="preserve">to </w:t>
      </w:r>
      <w:r>
        <w:t xml:space="preserve">account for uncertainty in the parameters used in the </w:t>
      </w:r>
      <w:r w:rsidR="00F312B7">
        <w:t xml:space="preserve">base case </w:t>
      </w:r>
      <w:r>
        <w:t xml:space="preserve">deterministic Markov model. One thousand Monte Carlo simulations modelled the effects of adjusting parameters. </w:t>
      </w:r>
    </w:p>
    <w:p w14:paraId="02211F79" w14:textId="77777777" w:rsidR="002F3FBB" w:rsidRDefault="002F3FBB" w:rsidP="001A37CE">
      <w:pPr>
        <w:pStyle w:val="NoSpacing"/>
        <w:spacing w:line="360" w:lineRule="auto"/>
      </w:pPr>
    </w:p>
    <w:p w14:paraId="434C9546" w14:textId="34C2F1C9" w:rsidR="001A37CE" w:rsidRDefault="001A37CE" w:rsidP="001A37CE">
      <w:pPr>
        <w:pStyle w:val="NoSpacing"/>
        <w:spacing w:line="360" w:lineRule="auto"/>
      </w:pPr>
      <w:r>
        <w:t>Dirichlet distribution</w:t>
      </w:r>
      <w:r w:rsidR="00E52E25">
        <w:t>s</w:t>
      </w:r>
      <w:r w:rsidR="007D1712">
        <w:t xml:space="preserve"> </w:t>
      </w:r>
      <w:r w:rsidR="00E52E25">
        <w:t>were</w:t>
      </w:r>
      <w:r w:rsidR="005311E3">
        <w:t xml:space="preserve"> used</w:t>
      </w:r>
      <w:r w:rsidR="00882B88">
        <w:t xml:space="preserve"> to </w:t>
      </w:r>
      <w:r w:rsidR="00E829B0">
        <w:t xml:space="preserve">probabilistically estimate the </w:t>
      </w:r>
      <w:r w:rsidR="004D429F">
        <w:t xml:space="preserve">transition </w:t>
      </w:r>
      <w:r w:rsidR="00AE7689">
        <w:t xml:space="preserve">probabilities into each health state (A-D) for each </w:t>
      </w:r>
      <w:r w:rsidR="005A07BF">
        <w:t xml:space="preserve">of the 16 </w:t>
      </w:r>
      <w:r w:rsidR="00AE7689">
        <w:t>subgroup</w:t>
      </w:r>
      <w:r w:rsidR="005A07BF">
        <w:t>s</w:t>
      </w:r>
      <w:r w:rsidR="00AE7689">
        <w:t xml:space="preserve">. </w:t>
      </w:r>
      <w:r w:rsidR="001C4A19">
        <w:t>Dirichlet distributions are n</w:t>
      </w:r>
      <w:r w:rsidR="00BB2F30">
        <w:t>ested beta distribution</w:t>
      </w:r>
      <w:r w:rsidR="00A25394">
        <w:t>s</w:t>
      </w:r>
      <w:r w:rsidR="00500D83">
        <w:t>, and</w:t>
      </w:r>
      <w:r w:rsidR="00BB2F30">
        <w:t xml:space="preserve"> </w:t>
      </w:r>
      <w:r w:rsidR="00500D83">
        <w:t xml:space="preserve">in </w:t>
      </w:r>
      <w:r w:rsidR="001C4A19">
        <w:t xml:space="preserve">our </w:t>
      </w:r>
      <w:r w:rsidR="00857BCB">
        <w:t>study</w:t>
      </w:r>
      <w:r w:rsidR="001C4A19">
        <w:t>,</w:t>
      </w:r>
      <w:r w:rsidR="00525162">
        <w:t xml:space="preserve"> parameters </w:t>
      </w:r>
      <w:r w:rsidR="00857BCB">
        <w:t xml:space="preserve">were </w:t>
      </w:r>
      <w:r w:rsidR="00525162">
        <w:t xml:space="preserve">equal to the </w:t>
      </w:r>
      <w:r w:rsidR="00DD1ABD">
        <w:t>number of people in each of the 16 subgroups</w:t>
      </w:r>
      <w:r w:rsidR="008040C7">
        <w:t xml:space="preserve">. Transition probabilities were calculated from estimates of ‘successes’ and ‘fails’, i.e. </w:t>
      </w:r>
      <w:r w:rsidR="002E5C2D">
        <w:t xml:space="preserve">the number who </w:t>
      </w:r>
      <w:r w:rsidR="00827EA7">
        <w:t xml:space="preserve">did </w:t>
      </w:r>
      <w:r w:rsidR="002E5C2D">
        <w:t xml:space="preserve">not enter a health state, versus the number </w:t>
      </w:r>
      <w:r w:rsidR="000F5249">
        <w:t xml:space="preserve">who </w:t>
      </w:r>
      <w:r w:rsidR="00827EA7">
        <w:t>did</w:t>
      </w:r>
      <w:r w:rsidR="006154CA">
        <w:t>, accounting for the sample size.</w:t>
      </w:r>
      <w:r w:rsidR="003C1E74">
        <w:t xml:space="preserve"> </w:t>
      </w:r>
      <w:r w:rsidR="0098450A">
        <w:t xml:space="preserve">Dirichlet </w:t>
      </w:r>
      <w:r w:rsidR="0098450A">
        <w:lastRenderedPageBreak/>
        <w:t xml:space="preserve">distributions </w:t>
      </w:r>
      <w:r>
        <w:t>satisfy the requirement that transition probabilities</w:t>
      </w:r>
      <w:r w:rsidR="009B613A">
        <w:t xml:space="preserve"> into </w:t>
      </w:r>
      <w:r w:rsidR="00827EA7">
        <w:t>multiple health states</w:t>
      </w:r>
      <w:r>
        <w:t xml:space="preserve"> </w:t>
      </w:r>
      <w:r w:rsidR="00A8082F">
        <w:t xml:space="preserve">for </w:t>
      </w:r>
      <w:r w:rsidR="00827EA7">
        <w:t>a population must</w:t>
      </w:r>
      <w:r w:rsidR="00C90EF1">
        <w:t xml:space="preserve"> </w:t>
      </w:r>
      <w:r>
        <w:t xml:space="preserve">sum up to 1 </w:t>
      </w:r>
      <w:r>
        <w:fldChar w:fldCharType="begin">
          <w:fldData xml:space="preserve">PEVuZE5vdGU+PENpdGU+PEF1dGhvcj5CcmlnZ3M8L0F1dGhvcj48WWVhcj4yMDAzPC9ZZWFyPjxS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</w:fldData>
        </w:fldChar>
      </w:r>
      <w:r w:rsidR="00B9334F">
        <w:instrText xml:space="preserve"> ADDIN EN.CITE </w:instrText>
      </w:r>
      <w:r w:rsidR="00B9334F">
        <w:fldChar w:fldCharType="begin">
          <w:fldData xml:space="preserve">PEVuZE5vdGU+PENpdGU+PEF1dGhvcj5CcmlnZ3M8L0F1dGhvcj48WWVhcj4yMDAzPC9ZZWFyPjxS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</w:fldData>
        </w:fldChar>
      </w:r>
      <w:r w:rsidR="00B9334F">
        <w:instrText xml:space="preserve"> ADDIN EN.CITE.DATA </w:instrText>
      </w:r>
      <w:r w:rsidR="00B9334F">
        <w:fldChar w:fldCharType="end"/>
      </w:r>
      <w:r>
        <w:fldChar w:fldCharType="separate"/>
      </w:r>
      <w:r w:rsidR="003C6F70">
        <w:rPr>
          <w:noProof/>
        </w:rPr>
        <w:t>(Bishai et al., 2023; Briggs et al., 2003)</w:t>
      </w:r>
      <w:r>
        <w:fldChar w:fldCharType="end"/>
      </w:r>
      <w:r>
        <w:t xml:space="preserve">. </w:t>
      </w:r>
    </w:p>
    <w:p w14:paraId="6C07678F" w14:textId="77777777" w:rsidR="001A37CE" w:rsidRDefault="001A37CE" w:rsidP="001A37CE">
      <w:pPr>
        <w:pStyle w:val="NoSpacing"/>
        <w:spacing w:line="360" w:lineRule="auto"/>
      </w:pPr>
    </w:p>
    <w:p w14:paraId="572D198C" w14:textId="5FE37E4F" w:rsidR="00221ADE" w:rsidRDefault="00CA7F94" w:rsidP="002F3FBB">
      <w:pPr>
        <w:pStyle w:val="NoSpacing"/>
        <w:spacing w:line="360" w:lineRule="auto"/>
      </w:pPr>
      <w:r>
        <w:t xml:space="preserve">Both the </w:t>
      </w:r>
      <w:r w:rsidR="0085030E">
        <w:t xml:space="preserve">UKATT </w:t>
      </w:r>
      <w:r w:rsidR="00A94FCA">
        <w:fldChar w:fldCharType="begin"/>
      </w:r>
      <w:r w:rsidR="00B9334F">
        <w:instrText xml:space="preserve"> ADDIN EN.CITE &lt;EndNote&gt;&lt;Cite&gt;&lt;Author&gt;Barbosa&lt;/Author&gt;&lt;Year&gt;2010&lt;/Year&gt;&lt;RecNum&gt;694&lt;/RecNum&gt;&lt;DisplayText&gt;(Barbosa et al., 2010)&lt;/DisplayText&gt;&lt;record&gt;&lt;rec-number&gt;694&lt;/rec-number&gt;&lt;foreign-keys&gt;&lt;key app="EN" db-id="ffzvr5fstavwxoe9v04xf0wmp5t50as52da0" timestamp="1731671737" guid="9e423196-ae72-4534-9cad-4d19f808703b"&gt;694&lt;/key&gt;&lt;/foreign-keys&gt;&lt;ref-type name="Journal Article"&gt;17&lt;/ref-type&gt;&lt;contributors&gt;&lt;authors&gt;&lt;author&gt;Barbosa, Carolina&lt;/author&gt;&lt;author&gt;Taylor, Benjamin&lt;/author&gt;&lt;author&gt;Godfrey, Christine&lt;/author&gt;&lt;author&gt;Rehm, Juergen&lt;/author&gt;&lt;author&gt;Parrott, Steve&lt;/author&gt;&lt;author&gt;Drummond, Colin&lt;/author&gt;&lt;/authors&gt;&lt;/contributors&gt;&lt;titles&gt;&lt;title&gt;Modelling lifetime QALYs and health care costs from different drinking patterns over time: A Markov model&lt;/title&gt;&lt;secondary-title&gt;International Journal of Methods in Psychiatric Research&lt;/secondary-title&gt;&lt;/titles&gt;&lt;periodical&gt;&lt;full-title&gt;International Journal of Methods in Psychiatric Research&lt;/full-title&gt;&lt;/periodical&gt;&lt;pages&gt;97-109&lt;/pages&gt;&lt;volume&gt;19&lt;/volume&gt;&lt;number&gt;2&lt;/number&gt;&lt;dates&gt;&lt;year&gt;2010&lt;/year&gt;&lt;/dates&gt;&lt;isbn&gt;1049-8931&lt;/isbn&gt;&lt;urls&gt;&lt;related-urls&gt;&lt;url&gt;https://onlinelibrary.wiley.com/doi/abs/10.1002/mpr.306&lt;/url&gt;&lt;/related-urls&gt;&lt;/urls&gt;&lt;electronic-resource-num&gt;https://doi.org/10.1002/mpr.306&lt;/electronic-resource-num&gt;&lt;/record&gt;&lt;/Cite&gt;&lt;/EndNote&gt;</w:instrText>
      </w:r>
      <w:r w:rsidR="00A94FCA">
        <w:fldChar w:fldCharType="separate"/>
      </w:r>
      <w:r w:rsidR="00A77498">
        <w:rPr>
          <w:noProof/>
        </w:rPr>
        <w:t>(Barbosa et al., 2010)</w:t>
      </w:r>
      <w:r w:rsidR="00A94FCA">
        <w:fldChar w:fldCharType="end"/>
      </w:r>
      <w:r>
        <w:t xml:space="preserve"> and PuP trials </w:t>
      </w:r>
      <w:r w:rsidR="00A94FCA">
        <w:fldChar w:fldCharType="begin"/>
      </w:r>
      <w:r w:rsidR="00B9334F">
        <w:instrText xml:space="preserve"> ADDIN EN.CITE &lt;EndNote&gt;&lt;Cite&gt;&lt;Author&gt;Barlow&lt;/Author&gt;&lt;Year&gt;2019&lt;/Year&gt;&lt;RecNum&gt;352&lt;/RecNum&gt;&lt;DisplayText&gt;(Barlow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rsidR="00A94FCA">
        <w:fldChar w:fldCharType="separate"/>
      </w:r>
      <w:r w:rsidR="00A77498">
        <w:rPr>
          <w:noProof/>
        </w:rPr>
        <w:t>(Barlow et al., 2019)</w:t>
      </w:r>
      <w:r w:rsidR="00A94FCA">
        <w:fldChar w:fldCharType="end"/>
      </w:r>
      <w:r w:rsidR="00A94FCA">
        <w:t xml:space="preserve"> </w:t>
      </w:r>
      <w:r w:rsidR="0085030E">
        <w:t xml:space="preserve">reported </w:t>
      </w:r>
      <w:r w:rsidR="001936C4">
        <w:t xml:space="preserve">standard errors </w:t>
      </w:r>
      <w:r w:rsidR="00C51B83">
        <w:t>as</w:t>
      </w:r>
      <w:r w:rsidR="00E41089">
        <w:t xml:space="preserve"> mean average</w:t>
      </w:r>
      <w:r>
        <w:t xml:space="preserve"> utility scores</w:t>
      </w:r>
      <w:r w:rsidR="001B4550">
        <w:t>.</w:t>
      </w:r>
      <w:r w:rsidR="005603BE">
        <w:t xml:space="preserve"> </w:t>
      </w:r>
      <w:r>
        <w:t xml:space="preserve">From this information we could </w:t>
      </w:r>
      <w:r w:rsidR="00221ADE">
        <w:t>use</w:t>
      </w:r>
      <w:r>
        <w:t xml:space="preserve"> a</w:t>
      </w:r>
      <w:r w:rsidR="00D25CF7">
        <w:t xml:space="preserve"> </w:t>
      </w:r>
      <w:r w:rsidR="00367719" w:rsidRPr="00F06495">
        <w:rPr>
          <w:i/>
          <w:iCs/>
        </w:rPr>
        <w:t>M</w:t>
      </w:r>
      <w:r w:rsidR="00D25CF7" w:rsidRPr="00F06495">
        <w:rPr>
          <w:i/>
          <w:iCs/>
        </w:rPr>
        <w:t xml:space="preserve">ethod of </w:t>
      </w:r>
      <w:r w:rsidR="00367719" w:rsidRPr="00F06495">
        <w:rPr>
          <w:i/>
          <w:iCs/>
        </w:rPr>
        <w:t>M</w:t>
      </w:r>
      <w:r w:rsidR="00D25CF7" w:rsidRPr="00F06495">
        <w:rPr>
          <w:i/>
          <w:iCs/>
        </w:rPr>
        <w:t>oments</w:t>
      </w:r>
      <w:r w:rsidR="006818C6">
        <w:t xml:space="preserve"> </w:t>
      </w:r>
      <w:r w:rsidR="00F06495">
        <w:t>technique</w:t>
      </w:r>
      <w:r w:rsidR="00221ADE">
        <w:t xml:space="preserve"> </w:t>
      </w:r>
      <w:r w:rsidR="00B14BBB">
        <w:fldChar w:fldCharType="begin"/>
      </w:r>
      <w:r w:rsidR="00B9334F">
        <w:instrText xml:space="preserve"> ADDIN EN.CITE &lt;EndNote&gt;&lt;Cite&gt;&lt;Author&gt;Bishai&lt;/Author&gt;&lt;Year&gt;2023&lt;/Year&gt;&lt;RecNum&gt;306&lt;/RecNum&gt;&lt;DisplayText&gt;(Bishai et al., 2023)&lt;/DisplayText&gt;&lt;record&gt;&lt;rec-number&gt;306&lt;/rec-number&gt;&lt;foreign-keys&gt;&lt;key app="EN" db-id="ffzvr5fstavwxoe9v04xf0wmp5t50as52da0" timestamp="1731671657" guid="3763af1f-fe37-4037-80d2-54932fecb09b"&gt;306&lt;/key&gt;&lt;/foreign-keys&gt;&lt;ref-type name="Book Section"&gt;5&lt;/ref-type&gt;&lt;contributors&gt;&lt;authors&gt;&lt;author&gt;Bishai, David&lt;/author&gt;&lt;author&gt;Brenzel, Logan&lt;/author&gt;&lt;author&gt;Padula, William V.&lt;/author&gt;&lt;/authors&gt;&lt;secondary-authors&gt;&lt;author&gt;Bishai, David&lt;/author&gt;&lt;author&gt;Brenzel, Logan&lt;/author&gt;&lt;author&gt;Padula, William&lt;/author&gt;&lt;/secondary-authors&gt;&lt;/contributors&gt;&lt;titles&gt;&lt;title&gt;383 Making models probabilistic and estimating the value of information&lt;/title&gt;&lt;secondary-title&gt;Handbook of Applied Health Economics in Vaccines&lt;/secondary-title&gt;&lt;/titles&gt;&lt;pages&gt;0&lt;/pages&gt;&lt;dates&gt;&lt;year&gt;2023&lt;/year&gt;&lt;/dates&gt;&lt;publisher&gt;Oxford University Press&lt;/publisher&gt;&lt;isbn&gt;9780192896087&lt;/isbn&gt;&lt;urls&gt;&lt;related-urls&gt;&lt;url&gt;https://doi.org/10.1093/oso/9780192896087.005.0006&lt;/url&gt;&lt;/related-urls&gt;&lt;/urls&gt;&lt;custom1&gt;Oxford Academic&lt;/custom1&gt;&lt;electronic-resource-num&gt;10.1093/oso/9780192896087.005.0006&lt;/electronic-resource-num&gt;&lt;access-date&gt;7/22/2024&lt;/access-date&gt;&lt;/record&gt;&lt;/Cite&gt;&lt;/EndNote&gt;</w:instrText>
      </w:r>
      <w:r w:rsidR="00B14BBB">
        <w:fldChar w:fldCharType="separate"/>
      </w:r>
      <w:r w:rsidR="00A77498">
        <w:rPr>
          <w:noProof/>
        </w:rPr>
        <w:t>(Bishai et al., 2023)</w:t>
      </w:r>
      <w:r w:rsidR="00B14BBB">
        <w:fldChar w:fldCharType="end"/>
      </w:r>
      <w:r w:rsidR="00B14BBB">
        <w:t xml:space="preserve"> </w:t>
      </w:r>
      <w:r w:rsidR="00221ADE">
        <w:t xml:space="preserve">to estimate </w:t>
      </w:r>
      <w:r>
        <w:t xml:space="preserve">the probabilistic </w:t>
      </w:r>
      <w:r w:rsidR="00221ADE">
        <w:t>parameters</w:t>
      </w:r>
      <w:r>
        <w:t xml:space="preserve"> within a normal distribution. </w:t>
      </w:r>
    </w:p>
    <w:p w14:paraId="51687240" w14:textId="77777777" w:rsidR="002F3FBB" w:rsidRDefault="002F3FBB" w:rsidP="001A37CE">
      <w:pPr>
        <w:pStyle w:val="NoSpacing"/>
        <w:spacing w:line="360" w:lineRule="auto"/>
      </w:pPr>
    </w:p>
    <w:p w14:paraId="5C44B661" w14:textId="0EFFC8AA" w:rsidR="004C5021" w:rsidRDefault="001A37CE" w:rsidP="004C5021">
      <w:pPr>
        <w:pStyle w:val="NoSpacing"/>
        <w:spacing w:line="360" w:lineRule="auto"/>
      </w:pPr>
      <w:r w:rsidRPr="0098290F">
        <w:t xml:space="preserve">Gamma distributions were used for probabilistic unit </w:t>
      </w:r>
      <w:r w:rsidR="00487C6A" w:rsidRPr="0098290F">
        <w:t xml:space="preserve">treatment and intervention </w:t>
      </w:r>
      <w:r w:rsidRPr="0098290F">
        <w:t>cost</w:t>
      </w:r>
      <w:r w:rsidR="00B14BBB">
        <w:t xml:space="preserve"> estimates </w:t>
      </w:r>
      <w:r w:rsidRPr="0098290F">
        <w:t xml:space="preserve">to account for cost data </w:t>
      </w:r>
      <w:r w:rsidR="00041F18">
        <w:t>being</w:t>
      </w:r>
      <w:r w:rsidRPr="0098290F">
        <w:t xml:space="preserve"> highly skewed and for the requirement that costs less than £0 </w:t>
      </w:r>
      <w:r w:rsidR="00265F77">
        <w:t>were</w:t>
      </w:r>
      <w:r w:rsidR="00265F77" w:rsidRPr="0098290F">
        <w:t xml:space="preserve"> </w:t>
      </w:r>
      <w:r w:rsidRPr="0098290F">
        <w:t xml:space="preserve">not possible </w:t>
      </w:r>
      <w:r w:rsidRPr="0098290F">
        <w:fldChar w:fldCharType="begin"/>
      </w:r>
      <w:r w:rsidR="00B9334F">
        <w:instrText xml:space="preserve"> ADDIN EN.CITE &lt;EndNote&gt;&lt;Cite&gt;&lt;Author&gt;Bishai&lt;/Author&gt;&lt;Year&gt;2023&lt;/Year&gt;&lt;RecNum&gt;306&lt;/RecNum&gt;&lt;DisplayText&gt;(Bishai et al., 2023)&lt;/DisplayText&gt;&lt;record&gt;&lt;rec-number&gt;306&lt;/rec-number&gt;&lt;foreign-keys&gt;&lt;key app="EN" db-id="ffzvr5fstavwxoe9v04xf0wmp5t50as52da0" timestamp="1731671657" guid="3763af1f-fe37-4037-80d2-54932fecb09b"&gt;306&lt;/key&gt;&lt;/foreign-keys&gt;&lt;ref-type name="Book Section"&gt;5&lt;/ref-type&gt;&lt;contributors&gt;&lt;authors&gt;&lt;author&gt;Bishai, David&lt;/author&gt;&lt;author&gt;Brenzel, Logan&lt;/author&gt;&lt;author&gt;Padula, William V.&lt;/author&gt;&lt;/authors&gt;&lt;secondary-authors&gt;&lt;author&gt;Bishai, David&lt;/author&gt;&lt;author&gt;Brenzel, Logan&lt;/author&gt;&lt;author&gt;Padula, William&lt;/author&gt;&lt;/secondary-authors&gt;&lt;/contributors&gt;&lt;titles&gt;&lt;title&gt;383 Making models probabilistic and estimating the value of information&lt;/title&gt;&lt;secondary-title&gt;Handbook of Applied Health Economics in Vaccines&lt;/secondary-title&gt;&lt;/titles&gt;&lt;pages&gt;0&lt;/pages&gt;&lt;dates&gt;&lt;year&gt;2023&lt;/year&gt;&lt;/dates&gt;&lt;publisher&gt;Oxford University Press&lt;/publisher&gt;&lt;isbn&gt;9780192896087&lt;/isbn&gt;&lt;urls&gt;&lt;related-urls&gt;&lt;url&gt;https://doi.org/10.1093/oso/9780192896087.005.0006&lt;/url&gt;&lt;/related-urls&gt;&lt;/urls&gt;&lt;custom1&gt;Oxford Academic&lt;/custom1&gt;&lt;electronic-resource-num&gt;10.1093/oso/9780192896087.005.0006&lt;/electronic-resource-num&gt;&lt;access-date&gt;7/22/2024&lt;/access-date&gt;&lt;/record&gt;&lt;/Cite&gt;&lt;/EndNote&gt;</w:instrText>
      </w:r>
      <w:r w:rsidRPr="0098290F">
        <w:fldChar w:fldCharType="separate"/>
      </w:r>
      <w:r w:rsidR="00A77498">
        <w:rPr>
          <w:noProof/>
        </w:rPr>
        <w:t>(Bishai et al., 2023)</w:t>
      </w:r>
      <w:r w:rsidRPr="0098290F">
        <w:fldChar w:fldCharType="end"/>
      </w:r>
      <w:r w:rsidRPr="0098290F">
        <w:t xml:space="preserve">.  </w:t>
      </w:r>
      <w:r w:rsidR="005A36E7" w:rsidRPr="0098290F">
        <w:t xml:space="preserve">Specialist alcohol </w:t>
      </w:r>
      <w:r w:rsidRPr="0098290F">
        <w:t>treatment</w:t>
      </w:r>
      <w:r w:rsidR="005A36E7" w:rsidRPr="0098290F">
        <w:t xml:space="preserve"> costs</w:t>
      </w:r>
      <w:r w:rsidRPr="0098290F">
        <w:t xml:space="preserve"> were derived using NDTMS data on people and time spent in treatment (as well as LA expenditure reports), variance in person-days was used to estimate uncertainty in the PSA. Using this approach, we estimated the standard deviation to be 4.03% of our mean average</w:t>
      </w:r>
      <w:r w:rsidR="00EE3E5F">
        <w:t xml:space="preserve"> and assumed this to be our probabilistic parameter</w:t>
      </w:r>
      <w:r w:rsidR="004C5021" w:rsidRPr="00487C6A">
        <w:t xml:space="preserve">. We assumed this applied to our intervention cost as </w:t>
      </w:r>
      <w:r w:rsidR="004C5021" w:rsidRPr="00487C6A">
        <w:fldChar w:fldCharType="begin"/>
      </w:r>
      <w:r w:rsidR="00B9334F">
        <w:instrText xml:space="preserve"> ADDIN EN.CITE &lt;EndNote&gt;&lt;Cite AuthorYear="1"&gt;&lt;Author&gt;Bonin&lt;/Author&gt;&lt;Year&gt;2011&lt;/Year&gt;&lt;RecNum&gt;691&lt;/RecNum&gt;&lt;DisplayText&gt;Bonin et al. (2011)&lt;/DisplayText&gt;&lt;record&gt;&lt;rec-number&gt;691&lt;/rec-number&gt;&lt;foreign-keys&gt;&lt;key app="EN" db-id="ffzvr5fstavwxoe9v04xf0wmp5t50as52da0" timestamp="1731671737" guid="35adea0d-917f-4727-a40c-be86d906c959"&gt;691&lt;/key&gt;&lt;/foreign-keys&gt;&lt;ref-type name="Journal Article"&gt;17&lt;/ref-type&gt;&lt;contributors&gt;&lt;authors&gt;&lt;author&gt;Bonin, Eva-Maria&lt;/author&gt;&lt;author&gt;Stevens, Madeleine&lt;/author&gt;&lt;author&gt;Beecham, Jennifer&lt;/author&gt;&lt;author&gt;Byford, Sarah&lt;/author&gt;&lt;author&gt;Parsonage, Michael&lt;/author&gt;&lt;/authors&gt;&lt;/contributors&gt;&lt;titles&gt;&lt;title&gt;Costs and longer-term savings of parenting programmes for the prevention of persistent conduct disorder: A modelling study&lt;/title&gt;&lt;secondary-title&gt;BMC Public Health&lt;/secondary-title&gt;&lt;/titles&gt;&lt;periodical&gt;&lt;full-title&gt;BMC public health&lt;/full-title&gt;&lt;/periodical&gt;&lt;pages&gt;803&lt;/pages&gt;&lt;volume&gt;11&lt;/volume&gt;&lt;number&gt;1&lt;/number&gt;&lt;dates&gt;&lt;year&gt;2011&lt;/year&gt;&lt;pub-dates&gt;&lt;date&gt;2011/10/14&lt;/date&gt;&lt;/pub-dates&gt;&lt;/dates&gt;&lt;isbn&gt;1471-2458&lt;/isbn&gt;&lt;urls&gt;&lt;related-urls&gt;&lt;url&gt;https://doi.org/10.1186/1471-2458-11-803&lt;/url&gt;&lt;/related-urls&gt;&lt;/urls&gt;&lt;electronic-resource-num&gt;10.1186/1471-2458-11-803&lt;/electronic-resource-num&gt;&lt;/record&gt;&lt;/Cite&gt;&lt;/EndNote&gt;</w:instrText>
      </w:r>
      <w:r w:rsidR="004C5021" w:rsidRPr="00487C6A">
        <w:fldChar w:fldCharType="separate"/>
      </w:r>
      <w:r w:rsidR="00A77498">
        <w:rPr>
          <w:noProof/>
        </w:rPr>
        <w:t>Bonin et al. (2011)</w:t>
      </w:r>
      <w:r w:rsidR="004C5021" w:rsidRPr="00487C6A">
        <w:fldChar w:fldCharType="end"/>
      </w:r>
      <w:r w:rsidR="004C5021" w:rsidRPr="00487C6A">
        <w:t xml:space="preserve"> did not report </w:t>
      </w:r>
      <w:r w:rsidR="00E7769A">
        <w:t xml:space="preserve">enough information for us to make an estimate of </w:t>
      </w:r>
      <w:r w:rsidR="00924CA1">
        <w:t>variance</w:t>
      </w:r>
      <w:r w:rsidR="004C5021" w:rsidRPr="00487C6A">
        <w:t>.</w:t>
      </w:r>
      <w:r w:rsidR="004C5021">
        <w:t xml:space="preserve"> </w:t>
      </w:r>
    </w:p>
    <w:p w14:paraId="30A1AE82" w14:textId="77777777" w:rsidR="001A37CE" w:rsidRDefault="001A37CE" w:rsidP="001A37CE">
      <w:pPr>
        <w:pStyle w:val="NoSpacing"/>
        <w:spacing w:line="360" w:lineRule="auto"/>
      </w:pPr>
    </w:p>
    <w:p w14:paraId="7F3C2BFA" w14:textId="47E6D8CC" w:rsidR="00C5500F" w:rsidRPr="00AF6BD1" w:rsidRDefault="001A37CE" w:rsidP="0013142B">
      <w:pPr>
        <w:pStyle w:val="NoSpacing"/>
        <w:spacing w:line="360" w:lineRule="auto"/>
      </w:pPr>
      <w:r w:rsidRPr="00AF6BD1">
        <w:t xml:space="preserve">Uncertainty surrounding public sector savings was estimated </w:t>
      </w:r>
      <w:r w:rsidR="00C71EA1">
        <w:t xml:space="preserve">by applying the </w:t>
      </w:r>
      <w:r w:rsidR="00C71EA1" w:rsidRPr="00C71EA1">
        <w:rPr>
          <w:i/>
          <w:iCs/>
        </w:rPr>
        <w:t>Methods of Moments</w:t>
      </w:r>
      <w:r w:rsidR="00C71EA1">
        <w:t xml:space="preserve"> approach</w:t>
      </w:r>
      <w:r w:rsidRPr="00AF6BD1">
        <w:t xml:space="preserve"> </w:t>
      </w:r>
      <w:r w:rsidR="00C71EA1">
        <w:t xml:space="preserve">to a normal distribution </w:t>
      </w:r>
      <w:r w:rsidR="00BB3D9E">
        <w:t>based on the data from the</w:t>
      </w:r>
      <w:r w:rsidRPr="00AF6BD1">
        <w:t xml:space="preserve"> UKATT cost-effectiveness study </w:t>
      </w:r>
      <w:r w:rsidRPr="00AF6BD1">
        <w:fldChar w:fldCharType="begin"/>
      </w:r>
      <w:r w:rsidR="00B9334F">
        <w:instrText xml:space="preserve"> ADDIN EN.CITE &lt;EndNote&gt;&lt;Cite&gt;&lt;Author&gt;UKATT Research Team&lt;/Author&gt;&lt;Year&gt;2005&lt;/Year&gt;&lt;RecNum&gt;301&lt;/RecNum&gt;&lt;DisplayText&gt;(UKATT Research Team, 2005a)&lt;/DisplayText&gt;&lt;record&gt;&lt;rec-number&gt;301&lt;/rec-number&gt;&lt;foreign-keys&gt;&lt;key app="EN" db-id="ffzvr5fstavwxoe9v04xf0wmp5t50as52da0" timestamp="1731671657" guid="a22c9b17-0b13-411b-a436-6aa3f7c5b1bb"&gt;301&lt;/key&gt;&lt;/foreign-keys&gt;&lt;ref-type name="Journal Article"&gt;17&lt;/ref-type&gt;&lt;contributors&gt;&lt;authors&gt;&lt;author&gt;UKATT Research Team,&lt;/author&gt;&lt;/authors&gt;&lt;/contributors&gt;&lt;titles&gt;&lt;title&gt;Cost effectiveness of treatment for alcohol problems: findings of the randomised UK alcohol treatment trial (UKATT)&lt;/title&gt;&lt;secondary-title&gt;BMJ&lt;/secondary-title&gt;&lt;/titles&gt;&lt;periodical&gt;&lt;full-title&gt;BMJ&lt;/full-title&gt;&lt;/periodical&gt;&lt;pages&gt;544&lt;/pages&gt;&lt;volume&gt;331&lt;/volume&gt;&lt;number&gt;7516&lt;/number&gt;&lt;dates&gt;&lt;year&gt;2005&lt;/year&gt;&lt;/dates&gt;&lt;urls&gt;&lt;related-urls&gt;&lt;url&gt;https://www.bmj.com/content/bmj/331/7516/544.full.pdf&lt;/url&gt;&lt;/related-urls&gt;&lt;/urls&gt;&lt;electronic-resource-num&gt;10.1136/bmj.331.7516.544&lt;/electronic-resource-num&gt;&lt;/record&gt;&lt;/Cite&gt;&lt;/EndNote&gt;</w:instrText>
      </w:r>
      <w:r w:rsidRPr="00AF6BD1">
        <w:fldChar w:fldCharType="separate"/>
      </w:r>
      <w:r w:rsidR="00A77498">
        <w:rPr>
          <w:noProof/>
        </w:rPr>
        <w:t>(UKATT Research Team, 2005a)</w:t>
      </w:r>
      <w:r w:rsidRPr="00AF6BD1">
        <w:fldChar w:fldCharType="end"/>
      </w:r>
      <w:r w:rsidRPr="00AF6BD1">
        <w:t xml:space="preserve">. </w:t>
      </w:r>
    </w:p>
    <w:p w14:paraId="1F1EF082" w14:textId="77777777" w:rsidR="001A37CE" w:rsidRDefault="001A37CE" w:rsidP="0013142B">
      <w:pPr>
        <w:pStyle w:val="NoSpacing"/>
        <w:spacing w:line="360" w:lineRule="auto"/>
      </w:pPr>
    </w:p>
    <w:p w14:paraId="00FD6AD8" w14:textId="317294E7" w:rsidR="001A37CE" w:rsidRPr="00B54AEF" w:rsidRDefault="00265640" w:rsidP="0013142B">
      <w:pPr>
        <w:pStyle w:val="Heading2"/>
        <w:numPr>
          <w:ilvl w:val="1"/>
          <w:numId w:val="19"/>
        </w:numPr>
        <w:spacing w:line="360" w:lineRule="auto"/>
      </w:pPr>
      <w:bookmarkStart w:id="141" w:name="_Toc189229714"/>
      <w:r>
        <w:t>Results</w:t>
      </w:r>
      <w:bookmarkEnd w:id="141"/>
    </w:p>
    <w:p w14:paraId="337347B5" w14:textId="3BF4FE92" w:rsidR="0091642F" w:rsidRDefault="0091642F" w:rsidP="0013142B">
      <w:pPr>
        <w:pStyle w:val="NoSpacing"/>
        <w:spacing w:line="360" w:lineRule="auto"/>
      </w:pPr>
      <w:r>
        <w:t xml:space="preserve">As </w:t>
      </w:r>
      <w:r w:rsidRPr="00ED438E">
        <w:t xml:space="preserve">shown in </w:t>
      </w:r>
      <w:r w:rsidR="00AC2E54" w:rsidRPr="00ED438E">
        <w:rPr>
          <w:highlight w:val="yellow"/>
        </w:rPr>
        <w:fldChar w:fldCharType="begin"/>
      </w:r>
      <w:r w:rsidR="00AC2E54" w:rsidRPr="00ED438E">
        <w:rPr>
          <w:highlight w:val="yellow"/>
        </w:rPr>
        <w:instrText xml:space="preserve"> REF _Ref177157891 \h </w:instrText>
      </w:r>
      <w:r w:rsidR="00AC2E54" w:rsidRPr="00ED438E">
        <w:rPr>
          <w:highlight w:val="yellow"/>
        </w:rPr>
      </w:r>
      <w:r w:rsidR="00ED438E" w:rsidRPr="00ED438E">
        <w:rPr>
          <w:highlight w:val="yellow"/>
        </w:rPr>
        <w:instrText xml:space="preserve"> \* MERGEFORMAT </w:instrText>
      </w:r>
      <w:r w:rsidR="00AC2E54" w:rsidRPr="00ED438E">
        <w:rPr>
          <w:highlight w:val="yellow"/>
        </w:rPr>
        <w:fldChar w:fldCharType="separate"/>
      </w:r>
      <w:r w:rsidR="00AC2E54" w:rsidRPr="00ED438E">
        <w:t xml:space="preserve">Table </w:t>
      </w:r>
      <w:r w:rsidR="00AC2E54" w:rsidRPr="00ED438E">
        <w:rPr>
          <w:noProof/>
        </w:rPr>
        <w:t>5.4</w:t>
      </w:r>
      <w:r w:rsidR="00AC2E54" w:rsidRPr="00ED438E">
        <w:noBreakHyphen/>
      </w:r>
      <w:r w:rsidR="00AC2E54" w:rsidRPr="00ED438E">
        <w:rPr>
          <w:noProof/>
        </w:rPr>
        <w:t>1</w:t>
      </w:r>
      <w:r w:rsidR="00AC2E54" w:rsidRPr="00ED438E">
        <w:rPr>
          <w:highlight w:val="yellow"/>
        </w:rPr>
        <w:fldChar w:fldCharType="end"/>
      </w:r>
      <w:r w:rsidRPr="00ED438E">
        <w:t>, results</w:t>
      </w:r>
      <w:r>
        <w:t xml:space="preserve"> from the </w:t>
      </w:r>
      <w:r w:rsidR="002D7367">
        <w:t xml:space="preserve">base-case </w:t>
      </w:r>
      <w:r>
        <w:t xml:space="preserve">deterministic Markov model suggested that, compared with treatment </w:t>
      </w:r>
      <w:r w:rsidR="0013142B">
        <w:t>only</w:t>
      </w:r>
      <w:r>
        <w:t xml:space="preserve">, treatment </w:t>
      </w:r>
      <w:r w:rsidR="00545D7B">
        <w:t>plus</w:t>
      </w:r>
      <w:r>
        <w:t xml:space="preserve"> parenting and/or recovery support was associated with an additional 0.04</w:t>
      </w:r>
      <w:r w:rsidR="0052765A">
        <w:t>5</w:t>
      </w:r>
      <w:r>
        <w:t xml:space="preserve">6 QALYs </w:t>
      </w:r>
      <w:r w:rsidR="00146A56">
        <w:t>per person</w:t>
      </w:r>
      <w:r>
        <w:t xml:space="preserve"> gained over a 10-year </w:t>
      </w:r>
      <w:r w:rsidRPr="0047359B">
        <w:t>period</w:t>
      </w:r>
      <w:r w:rsidR="002471DB">
        <w:t xml:space="preserve">. Incremental costs were </w:t>
      </w:r>
      <w:r w:rsidR="002D3AA0">
        <w:t>£1,</w:t>
      </w:r>
      <w:r w:rsidR="001903D9">
        <w:t>197</w:t>
      </w:r>
      <w:r w:rsidR="00146A56">
        <w:t xml:space="preserve"> on average</w:t>
      </w:r>
      <w:r w:rsidR="001E1364">
        <w:t>. From a health perspective, this amounted to an ICER of £26,</w:t>
      </w:r>
      <w:r w:rsidR="002C1469">
        <w:t>264</w:t>
      </w:r>
      <w:r w:rsidR="001E1364">
        <w:t xml:space="preserve"> which would be considered cost-effective using the NICE </w:t>
      </w:r>
      <w:r w:rsidR="006D5AF4">
        <w:t xml:space="preserve">willingness to pay (WTP) </w:t>
      </w:r>
      <w:r w:rsidR="001E1364">
        <w:t>threshold of £20-30,000.</w:t>
      </w:r>
    </w:p>
    <w:p w14:paraId="1E81E981" w14:textId="77777777" w:rsidR="008D3520" w:rsidRDefault="008D3520" w:rsidP="0013142B">
      <w:pPr>
        <w:pStyle w:val="NoSpacing"/>
        <w:spacing w:line="360" w:lineRule="auto"/>
      </w:pPr>
    </w:p>
    <w:p w14:paraId="3415270F" w14:textId="7A778C5F" w:rsidR="009B2064" w:rsidRDefault="008D3520" w:rsidP="003E2FFD">
      <w:pPr>
        <w:pStyle w:val="NoSpacing"/>
        <w:spacing w:line="360" w:lineRule="auto"/>
      </w:pPr>
      <w:r>
        <w:t xml:space="preserve">Incremental </w:t>
      </w:r>
      <w:r w:rsidR="000D78D8">
        <w:t xml:space="preserve">public sector cost savings amounted to </w:t>
      </w:r>
      <w:r w:rsidR="00E835CF">
        <w:t>£906</w:t>
      </w:r>
      <w:r w:rsidR="00146A56">
        <w:t xml:space="preserve"> per person</w:t>
      </w:r>
      <w:r w:rsidR="00E835CF">
        <w:t xml:space="preserve">. This </w:t>
      </w:r>
      <w:r w:rsidR="00AE0518">
        <w:t xml:space="preserve">resulted in a cost per QALY from a public </w:t>
      </w:r>
      <w:r w:rsidR="00947C89">
        <w:t>sector perspective of £6,</w:t>
      </w:r>
      <w:r w:rsidR="001903D9">
        <w:t>384</w:t>
      </w:r>
      <w:r w:rsidR="00947C89">
        <w:t xml:space="preserve"> </w:t>
      </w:r>
      <w:r w:rsidR="00CB0773">
        <w:t xml:space="preserve">– four times more cost-effective than </w:t>
      </w:r>
      <w:r w:rsidR="002C3D58">
        <w:t xml:space="preserve">the health perspective. </w:t>
      </w:r>
    </w:p>
    <w:p w14:paraId="7E33D161" w14:textId="17907DAE" w:rsidR="00AC2E54" w:rsidRPr="003E2FFD" w:rsidRDefault="00AC2E54" w:rsidP="003E2FFD">
      <w:pPr>
        <w:rPr>
          <w:i/>
          <w:iCs/>
        </w:rPr>
      </w:pPr>
      <w:bookmarkStart w:id="142" w:name="_Ref177157891"/>
      <w:bookmarkStart w:id="143" w:name="_Ref177157886"/>
      <w:bookmarkStart w:id="144" w:name="_Toc185845001"/>
      <w:r w:rsidRPr="003E2FFD">
        <w:rPr>
          <w:i/>
          <w:iCs/>
        </w:rPr>
        <w:lastRenderedPageBreak/>
        <w:t xml:space="preserve">Table </w:t>
      </w:r>
      <w:r w:rsidR="00367870">
        <w:rPr>
          <w:i/>
          <w:iCs/>
        </w:rPr>
        <w:fldChar w:fldCharType="begin"/>
      </w:r>
      <w:r w:rsidR="00367870">
        <w:rPr>
          <w:i/>
          <w:iCs/>
        </w:rPr>
        <w:instrText xml:space="preserve"> STYLEREF 2 \s </w:instrText>
      </w:r>
      <w:r w:rsidR="00367870">
        <w:rPr>
          <w:i/>
          <w:iCs/>
        </w:rPr>
        <w:fldChar w:fldCharType="separate"/>
      </w:r>
      <w:r w:rsidR="00367870">
        <w:rPr>
          <w:i/>
          <w:iCs/>
          <w:noProof/>
        </w:rPr>
        <w:t>5.4</w:t>
      </w:r>
      <w:r w:rsidR="00367870">
        <w:rPr>
          <w:i/>
          <w:iCs/>
        </w:rPr>
        <w:fldChar w:fldCharType="end"/>
      </w:r>
      <w:r w:rsidR="00367870">
        <w:rPr>
          <w:i/>
          <w:iCs/>
        </w:rPr>
        <w:noBreakHyphen/>
      </w:r>
      <w:r w:rsidR="00367870">
        <w:rPr>
          <w:i/>
          <w:iCs/>
        </w:rPr>
        <w:fldChar w:fldCharType="begin"/>
      </w:r>
      <w:r w:rsidR="00367870">
        <w:rPr>
          <w:i/>
          <w:iCs/>
        </w:rPr>
        <w:instrText xml:space="preserve"> SEQ Table \* ARABIC \s 2 </w:instrText>
      </w:r>
      <w:r w:rsidR="00367870">
        <w:rPr>
          <w:i/>
          <w:iCs/>
        </w:rPr>
        <w:fldChar w:fldCharType="separate"/>
      </w:r>
      <w:r w:rsidR="00367870">
        <w:rPr>
          <w:i/>
          <w:iCs/>
          <w:noProof/>
        </w:rPr>
        <w:t>1</w:t>
      </w:r>
      <w:r w:rsidR="00367870">
        <w:rPr>
          <w:i/>
          <w:iCs/>
        </w:rPr>
        <w:fldChar w:fldCharType="end"/>
      </w:r>
      <w:bookmarkEnd w:id="142"/>
      <w:r>
        <w:rPr>
          <w:i/>
          <w:iCs/>
        </w:rPr>
        <w:tab/>
      </w:r>
      <w:r w:rsidRPr="003E2FFD">
        <w:rPr>
          <w:i/>
          <w:iCs/>
        </w:rPr>
        <w:t>Per person deterministic Markov model results, modelled over 10 years</w:t>
      </w:r>
      <w:bookmarkEnd w:id="143"/>
      <w:bookmarkEnd w:id="144"/>
    </w:p>
    <w:p w14:paraId="57E94569" w14:textId="720C2270" w:rsidR="001F2C9D" w:rsidRDefault="001F2C9D" w:rsidP="003E2FFD">
      <w:pPr>
        <w:pStyle w:val="Caption"/>
      </w:pPr>
    </w:p>
    <w:tbl>
      <w:tblPr>
        <w:tblW w:w="0" w:type="auto"/>
        <w:tblLook w:val="04A0" w:firstRow="1" w:lastRow="0" w:firstColumn="1" w:lastColumn="0" w:noHBand="0" w:noVBand="1"/>
      </w:tblPr>
      <w:tblGrid>
        <w:gridCol w:w="328"/>
        <w:gridCol w:w="4477"/>
        <w:gridCol w:w="1389"/>
        <w:gridCol w:w="1599"/>
        <w:gridCol w:w="1128"/>
      </w:tblGrid>
      <w:tr w:rsidR="00947033" w:rsidRPr="00947033" w14:paraId="2A652745" w14:textId="77777777" w:rsidTr="003E2FFD">
        <w:trPr>
          <w:trHeight w:val="1800"/>
        </w:trPr>
        <w:tc>
          <w:tcPr>
            <w:tcW w:w="0" w:type="auto"/>
            <w:tcBorders>
              <w:bottom w:val="single" w:sz="4" w:space="0" w:color="auto"/>
            </w:tcBorders>
            <w:vAlign w:val="bottom"/>
          </w:tcPr>
          <w:p w14:paraId="7567BD8C" w14:textId="77777777" w:rsidR="00CA764A" w:rsidRDefault="00CA764A" w:rsidP="007775EB">
            <w:pPr>
              <w:contextualSpacing w:val="0"/>
              <w:rPr>
                <w:rFonts w:eastAsia="Times New Roman" w:cs="Arial"/>
                <w:sz w:val="20"/>
                <w:szCs w:val="20"/>
                <w:lang w:eastAsia="en-GB"/>
              </w:rPr>
            </w:pPr>
          </w:p>
          <w:p w14:paraId="5CC47F78" w14:textId="77777777" w:rsidR="00CA764A" w:rsidRDefault="00CA764A" w:rsidP="007775EB">
            <w:pPr>
              <w:contextualSpacing w:val="0"/>
              <w:rPr>
                <w:rFonts w:eastAsia="Times New Roman" w:cs="Arial"/>
                <w:sz w:val="20"/>
                <w:szCs w:val="20"/>
                <w:lang w:eastAsia="en-GB"/>
              </w:rPr>
            </w:pPr>
          </w:p>
          <w:p w14:paraId="7C56C111" w14:textId="77777777" w:rsidR="00561420" w:rsidRDefault="007B0856" w:rsidP="007775EB">
            <w:pPr>
              <w:contextualSpacing w:val="0"/>
              <w:rPr>
                <w:rFonts w:eastAsia="Times New Roman" w:cs="Arial"/>
                <w:sz w:val="20"/>
                <w:szCs w:val="20"/>
                <w:lang w:eastAsia="en-GB"/>
              </w:rPr>
            </w:pPr>
            <w:r w:rsidRPr="00D74118">
              <w:rPr>
                <w:rFonts w:eastAsia="Times New Roman" w:cs="Arial"/>
                <w:sz w:val="20"/>
                <w:szCs w:val="20"/>
                <w:lang w:eastAsia="en-GB"/>
              </w:rPr>
              <w:t>#</w:t>
            </w:r>
          </w:p>
          <w:p w14:paraId="4DBEA383" w14:textId="337D5903" w:rsidR="00DF4F58" w:rsidRPr="003E2FFD" w:rsidRDefault="00DF4F58" w:rsidP="003E2FFD">
            <w:pPr>
              <w:pStyle w:val="NoSpacing"/>
              <w:rPr>
                <w:lang w:eastAsia="en-GB"/>
              </w:rPr>
            </w:pPr>
          </w:p>
        </w:tc>
        <w:tc>
          <w:tcPr>
            <w:tcW w:w="4477" w:type="dxa"/>
            <w:tcBorders>
              <w:bottom w:val="single" w:sz="4" w:space="0" w:color="auto"/>
              <w:right w:val="single" w:sz="4" w:space="0" w:color="auto"/>
            </w:tcBorders>
            <w:shd w:val="clear" w:color="auto" w:fill="auto"/>
            <w:noWrap/>
            <w:vAlign w:val="bottom"/>
            <w:hideMark/>
          </w:tcPr>
          <w:p w14:paraId="7C848CAD" w14:textId="77777777" w:rsidR="00561420" w:rsidRDefault="00D74118" w:rsidP="007775EB">
            <w:pPr>
              <w:contextualSpacing w:val="0"/>
              <w:rPr>
                <w:rFonts w:eastAsia="Times New Roman" w:cs="Arial"/>
                <w:sz w:val="20"/>
                <w:szCs w:val="20"/>
                <w:lang w:eastAsia="en-GB"/>
              </w:rPr>
            </w:pPr>
            <w:r>
              <w:rPr>
                <w:rFonts w:eastAsia="Times New Roman" w:cs="Arial"/>
                <w:sz w:val="20"/>
                <w:szCs w:val="20"/>
                <w:lang w:eastAsia="en-GB"/>
              </w:rPr>
              <w:t>Fin</w:t>
            </w:r>
            <w:r w:rsidR="00CA764A">
              <w:rPr>
                <w:rFonts w:eastAsia="Times New Roman" w:cs="Arial"/>
                <w:sz w:val="20"/>
                <w:szCs w:val="20"/>
                <w:lang w:eastAsia="en-GB"/>
              </w:rPr>
              <w:t>dings</w:t>
            </w:r>
          </w:p>
          <w:p w14:paraId="63E73892" w14:textId="43C38B1A" w:rsidR="00DF4F58" w:rsidRPr="003E2FFD" w:rsidRDefault="00DF4F58" w:rsidP="003E2FFD">
            <w:pPr>
              <w:pStyle w:val="NoSpacing"/>
              <w:rPr>
                <w:lang w:eastAsia="en-GB"/>
              </w:rPr>
            </w:pPr>
          </w:p>
        </w:tc>
        <w:tc>
          <w:tcPr>
            <w:tcW w:w="1389" w:type="dxa"/>
            <w:tcBorders>
              <w:left w:val="single" w:sz="4" w:space="0" w:color="auto"/>
              <w:bottom w:val="single" w:sz="4" w:space="0" w:color="auto"/>
            </w:tcBorders>
            <w:shd w:val="clear" w:color="auto" w:fill="auto"/>
            <w:vAlign w:val="bottom"/>
            <w:hideMark/>
          </w:tcPr>
          <w:p w14:paraId="26E62ADB" w14:textId="77777777" w:rsidR="00561420"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Treatment only</w:t>
            </w:r>
          </w:p>
          <w:p w14:paraId="387224F0" w14:textId="50C2E93A" w:rsidR="00CA764A" w:rsidRPr="003E2FFD" w:rsidRDefault="00CA764A" w:rsidP="003E2FFD">
            <w:pPr>
              <w:pStyle w:val="NoSpacing"/>
              <w:rPr>
                <w:lang w:eastAsia="en-GB"/>
              </w:rPr>
            </w:pPr>
          </w:p>
        </w:tc>
        <w:tc>
          <w:tcPr>
            <w:tcW w:w="1599" w:type="dxa"/>
            <w:tcBorders>
              <w:bottom w:val="single" w:sz="4" w:space="0" w:color="auto"/>
            </w:tcBorders>
            <w:shd w:val="clear" w:color="auto" w:fill="auto"/>
            <w:vAlign w:val="bottom"/>
            <w:hideMark/>
          </w:tcPr>
          <w:p w14:paraId="1341C86F" w14:textId="06C46F4A" w:rsidR="00561420" w:rsidRDefault="00561420" w:rsidP="00D74118">
            <w:pPr>
              <w:pStyle w:val="NoSpacing"/>
              <w:spacing w:line="240" w:lineRule="auto"/>
              <w:rPr>
                <w:sz w:val="20"/>
                <w:szCs w:val="20"/>
                <w:lang w:eastAsia="en-GB"/>
              </w:rPr>
            </w:pPr>
            <w:r w:rsidRPr="00D74118">
              <w:rPr>
                <w:sz w:val="20"/>
                <w:szCs w:val="20"/>
                <w:lang w:eastAsia="en-GB"/>
              </w:rPr>
              <w:t xml:space="preserve">Treatment </w:t>
            </w:r>
            <w:r w:rsidR="00545D7B">
              <w:rPr>
                <w:sz w:val="20"/>
                <w:szCs w:val="20"/>
                <w:lang w:eastAsia="en-GB"/>
              </w:rPr>
              <w:t>plus</w:t>
            </w:r>
            <w:r w:rsidRPr="00D74118">
              <w:rPr>
                <w:sz w:val="20"/>
                <w:szCs w:val="20"/>
                <w:lang w:eastAsia="en-GB"/>
              </w:rPr>
              <w:t xml:space="preserve"> parenting/ family support</w:t>
            </w:r>
          </w:p>
          <w:p w14:paraId="0DFFD43F" w14:textId="7957E741" w:rsidR="00CA764A" w:rsidRPr="00D74118" w:rsidRDefault="00CA764A" w:rsidP="00D74118">
            <w:pPr>
              <w:pStyle w:val="NoSpacing"/>
              <w:spacing w:line="240" w:lineRule="auto"/>
              <w:rPr>
                <w:sz w:val="20"/>
                <w:szCs w:val="20"/>
                <w:lang w:eastAsia="en-GB"/>
              </w:rPr>
            </w:pPr>
          </w:p>
        </w:tc>
        <w:tc>
          <w:tcPr>
            <w:tcW w:w="0" w:type="auto"/>
            <w:tcBorders>
              <w:bottom w:val="single" w:sz="4" w:space="0" w:color="auto"/>
            </w:tcBorders>
            <w:shd w:val="clear" w:color="auto" w:fill="auto"/>
            <w:vAlign w:val="bottom"/>
            <w:hideMark/>
          </w:tcPr>
          <w:p w14:paraId="16EB73DB" w14:textId="77777777" w:rsidR="00561420"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Difference</w:t>
            </w:r>
          </w:p>
          <w:p w14:paraId="2A7E2C2F" w14:textId="607A39A6" w:rsidR="00CA764A" w:rsidRPr="003E2FFD" w:rsidRDefault="00CA764A" w:rsidP="003E2FFD">
            <w:pPr>
              <w:pStyle w:val="NoSpacing"/>
              <w:rPr>
                <w:lang w:eastAsia="en-GB"/>
              </w:rPr>
            </w:pPr>
          </w:p>
        </w:tc>
      </w:tr>
      <w:tr w:rsidR="00947033" w:rsidRPr="00947033" w14:paraId="53925C9C" w14:textId="77777777" w:rsidTr="003E2FFD">
        <w:trPr>
          <w:trHeight w:val="300"/>
        </w:trPr>
        <w:tc>
          <w:tcPr>
            <w:tcW w:w="0" w:type="auto"/>
            <w:tcBorders>
              <w:top w:val="single" w:sz="4" w:space="0" w:color="auto"/>
            </w:tcBorders>
            <w:vAlign w:val="bottom"/>
          </w:tcPr>
          <w:p w14:paraId="3D19D0AA" w14:textId="7E75FD1A" w:rsidR="00561420" w:rsidRPr="00D74118"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1</w:t>
            </w:r>
          </w:p>
        </w:tc>
        <w:tc>
          <w:tcPr>
            <w:tcW w:w="4477" w:type="dxa"/>
            <w:tcBorders>
              <w:top w:val="single" w:sz="4" w:space="0" w:color="auto"/>
              <w:right w:val="single" w:sz="4" w:space="0" w:color="auto"/>
            </w:tcBorders>
            <w:shd w:val="clear" w:color="auto" w:fill="auto"/>
            <w:noWrap/>
            <w:vAlign w:val="bottom"/>
            <w:hideMark/>
          </w:tcPr>
          <w:p w14:paraId="3D18FF51" w14:textId="67B59B75" w:rsidR="00561420" w:rsidRPr="00D74118"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Costs</w:t>
            </w:r>
          </w:p>
        </w:tc>
        <w:tc>
          <w:tcPr>
            <w:tcW w:w="1389" w:type="dxa"/>
            <w:tcBorders>
              <w:top w:val="single" w:sz="4" w:space="0" w:color="auto"/>
              <w:left w:val="single" w:sz="4" w:space="0" w:color="auto"/>
            </w:tcBorders>
            <w:shd w:val="clear" w:color="auto" w:fill="auto"/>
            <w:noWrap/>
            <w:vAlign w:val="bottom"/>
            <w:hideMark/>
          </w:tcPr>
          <w:p w14:paraId="0307A7C3" w14:textId="406BBA3C" w:rsidR="00561420" w:rsidRPr="00D74118" w:rsidRDefault="00561420" w:rsidP="00D74118">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£1,330</w:t>
            </w:r>
          </w:p>
        </w:tc>
        <w:tc>
          <w:tcPr>
            <w:tcW w:w="1599" w:type="dxa"/>
            <w:tcBorders>
              <w:top w:val="single" w:sz="4" w:space="0" w:color="auto"/>
            </w:tcBorders>
            <w:shd w:val="clear" w:color="auto" w:fill="auto"/>
            <w:noWrap/>
            <w:vAlign w:val="bottom"/>
            <w:hideMark/>
          </w:tcPr>
          <w:p w14:paraId="57BB9571" w14:textId="2C3B009B" w:rsidR="00561420" w:rsidRPr="00D74118" w:rsidRDefault="00561420" w:rsidP="00D74118">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£ 2,528</w:t>
            </w:r>
          </w:p>
        </w:tc>
        <w:tc>
          <w:tcPr>
            <w:tcW w:w="0" w:type="auto"/>
            <w:tcBorders>
              <w:top w:val="single" w:sz="4" w:space="0" w:color="auto"/>
            </w:tcBorders>
            <w:shd w:val="clear" w:color="auto" w:fill="auto"/>
            <w:noWrap/>
            <w:vAlign w:val="bottom"/>
            <w:hideMark/>
          </w:tcPr>
          <w:p w14:paraId="5260F355" w14:textId="14377621" w:rsidR="00561420" w:rsidRPr="00D74118" w:rsidRDefault="00561420" w:rsidP="00D74118">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£1,197</w:t>
            </w:r>
          </w:p>
        </w:tc>
      </w:tr>
      <w:tr w:rsidR="00947033" w:rsidRPr="00947033" w14:paraId="5537F427" w14:textId="77777777" w:rsidTr="003E2FFD">
        <w:trPr>
          <w:trHeight w:val="300"/>
        </w:trPr>
        <w:tc>
          <w:tcPr>
            <w:tcW w:w="0" w:type="auto"/>
            <w:vAlign w:val="bottom"/>
          </w:tcPr>
          <w:p w14:paraId="1E5E3B7C" w14:textId="69AD8093" w:rsidR="00561420" w:rsidRPr="00D74118"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2</w:t>
            </w:r>
          </w:p>
        </w:tc>
        <w:tc>
          <w:tcPr>
            <w:tcW w:w="4477" w:type="dxa"/>
            <w:tcBorders>
              <w:right w:val="single" w:sz="4" w:space="0" w:color="auto"/>
            </w:tcBorders>
            <w:shd w:val="clear" w:color="auto" w:fill="auto"/>
            <w:noWrap/>
            <w:vAlign w:val="bottom"/>
            <w:hideMark/>
          </w:tcPr>
          <w:p w14:paraId="4FD01B69" w14:textId="3E069A67" w:rsidR="00561420" w:rsidRPr="00D74118"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Public sector savings</w:t>
            </w:r>
          </w:p>
        </w:tc>
        <w:tc>
          <w:tcPr>
            <w:tcW w:w="1389" w:type="dxa"/>
            <w:tcBorders>
              <w:left w:val="single" w:sz="4" w:space="0" w:color="auto"/>
            </w:tcBorders>
            <w:shd w:val="clear" w:color="auto" w:fill="auto"/>
            <w:noWrap/>
            <w:vAlign w:val="bottom"/>
            <w:hideMark/>
          </w:tcPr>
          <w:p w14:paraId="7DB8632F" w14:textId="284A721A" w:rsidR="00561420" w:rsidRPr="00D74118" w:rsidRDefault="00561420" w:rsidP="00D74118">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£8,252</w:t>
            </w:r>
          </w:p>
        </w:tc>
        <w:tc>
          <w:tcPr>
            <w:tcW w:w="1599" w:type="dxa"/>
            <w:shd w:val="clear" w:color="auto" w:fill="auto"/>
            <w:noWrap/>
            <w:vAlign w:val="bottom"/>
            <w:hideMark/>
          </w:tcPr>
          <w:p w14:paraId="25C1EC53" w14:textId="397CAEB1" w:rsidR="00561420" w:rsidRPr="00D74118" w:rsidRDefault="00561420" w:rsidP="00D74118">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£9,159</w:t>
            </w:r>
          </w:p>
        </w:tc>
        <w:tc>
          <w:tcPr>
            <w:tcW w:w="0" w:type="auto"/>
            <w:shd w:val="clear" w:color="auto" w:fill="auto"/>
            <w:noWrap/>
            <w:vAlign w:val="bottom"/>
            <w:hideMark/>
          </w:tcPr>
          <w:p w14:paraId="1B93F582" w14:textId="343863B7" w:rsidR="00561420" w:rsidRPr="00D74118" w:rsidRDefault="00561420" w:rsidP="00D74118">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£ 906</w:t>
            </w:r>
          </w:p>
        </w:tc>
      </w:tr>
      <w:tr w:rsidR="00947033" w:rsidRPr="00947033" w14:paraId="30A0867B" w14:textId="77777777" w:rsidTr="003E2FFD">
        <w:trPr>
          <w:trHeight w:val="300"/>
        </w:trPr>
        <w:tc>
          <w:tcPr>
            <w:tcW w:w="0" w:type="auto"/>
            <w:vAlign w:val="bottom"/>
          </w:tcPr>
          <w:p w14:paraId="00236E98" w14:textId="506AC220" w:rsidR="00561420" w:rsidRPr="00D74118"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3</w:t>
            </w:r>
          </w:p>
        </w:tc>
        <w:tc>
          <w:tcPr>
            <w:tcW w:w="4477" w:type="dxa"/>
            <w:tcBorders>
              <w:right w:val="single" w:sz="4" w:space="0" w:color="auto"/>
            </w:tcBorders>
            <w:shd w:val="clear" w:color="auto" w:fill="auto"/>
            <w:noWrap/>
            <w:vAlign w:val="bottom"/>
            <w:hideMark/>
          </w:tcPr>
          <w:p w14:paraId="6F78C75B" w14:textId="05B4B228" w:rsidR="00561420" w:rsidRPr="00D74118"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QALYs gained</w:t>
            </w:r>
          </w:p>
        </w:tc>
        <w:tc>
          <w:tcPr>
            <w:tcW w:w="1389" w:type="dxa"/>
            <w:tcBorders>
              <w:left w:val="single" w:sz="4" w:space="0" w:color="auto"/>
            </w:tcBorders>
            <w:shd w:val="clear" w:color="auto" w:fill="auto"/>
            <w:noWrap/>
            <w:vAlign w:val="bottom"/>
            <w:hideMark/>
          </w:tcPr>
          <w:p w14:paraId="0784DCF5" w14:textId="3D11E571" w:rsidR="00561420" w:rsidRPr="00D74118" w:rsidRDefault="00561420" w:rsidP="00D74118">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5.520</w:t>
            </w:r>
          </w:p>
        </w:tc>
        <w:tc>
          <w:tcPr>
            <w:tcW w:w="1599" w:type="dxa"/>
            <w:shd w:val="clear" w:color="auto" w:fill="auto"/>
            <w:noWrap/>
            <w:vAlign w:val="bottom"/>
            <w:hideMark/>
          </w:tcPr>
          <w:p w14:paraId="0F1D4FE4" w14:textId="647275A3" w:rsidR="00561420" w:rsidRPr="00D74118" w:rsidRDefault="00561420" w:rsidP="00D74118">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5.565</w:t>
            </w:r>
          </w:p>
        </w:tc>
        <w:tc>
          <w:tcPr>
            <w:tcW w:w="0" w:type="auto"/>
            <w:shd w:val="clear" w:color="auto" w:fill="auto"/>
            <w:noWrap/>
            <w:vAlign w:val="bottom"/>
            <w:hideMark/>
          </w:tcPr>
          <w:p w14:paraId="728E89BC" w14:textId="260AF30A" w:rsidR="00561420" w:rsidRPr="00D74118" w:rsidRDefault="00561420" w:rsidP="00D74118">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0.04</w:t>
            </w:r>
            <w:r w:rsidR="0052765A">
              <w:rPr>
                <w:rFonts w:eastAsia="Times New Roman" w:cs="Arial"/>
                <w:color w:val="000000"/>
                <w:sz w:val="20"/>
                <w:szCs w:val="20"/>
                <w:lang w:eastAsia="en-GB"/>
              </w:rPr>
              <w:t>5</w:t>
            </w:r>
            <w:r w:rsidRPr="00D74118">
              <w:rPr>
                <w:rFonts w:eastAsia="Times New Roman" w:cs="Arial"/>
                <w:color w:val="000000"/>
                <w:sz w:val="20"/>
                <w:szCs w:val="20"/>
                <w:lang w:eastAsia="en-GB"/>
              </w:rPr>
              <w:t>6</w:t>
            </w:r>
          </w:p>
        </w:tc>
      </w:tr>
      <w:tr w:rsidR="00947033" w:rsidRPr="00947033" w14:paraId="1ABC4B3E" w14:textId="77777777" w:rsidTr="003E2FFD">
        <w:trPr>
          <w:trHeight w:val="300"/>
        </w:trPr>
        <w:tc>
          <w:tcPr>
            <w:tcW w:w="0" w:type="auto"/>
            <w:vAlign w:val="bottom"/>
          </w:tcPr>
          <w:p w14:paraId="490C6359" w14:textId="61E210AD" w:rsidR="00561420" w:rsidRPr="00D74118"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4</w:t>
            </w:r>
          </w:p>
        </w:tc>
        <w:tc>
          <w:tcPr>
            <w:tcW w:w="4477" w:type="dxa"/>
            <w:tcBorders>
              <w:right w:val="single" w:sz="4" w:space="0" w:color="auto"/>
            </w:tcBorders>
            <w:shd w:val="clear" w:color="auto" w:fill="auto"/>
            <w:noWrap/>
            <w:vAlign w:val="bottom"/>
            <w:hideMark/>
          </w:tcPr>
          <w:p w14:paraId="7675723B" w14:textId="56920CC9" w:rsidR="00561420" w:rsidRPr="00D74118"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ICER (</w:t>
            </w:r>
            <w:r w:rsidR="007B0856" w:rsidRPr="00D74118">
              <w:rPr>
                <w:rFonts w:eastAsia="Times New Roman" w:cs="Arial"/>
                <w:color w:val="000000"/>
                <w:sz w:val="20"/>
                <w:szCs w:val="20"/>
                <w:lang w:eastAsia="en-GB"/>
              </w:rPr>
              <w:t>#</w:t>
            </w:r>
            <w:r w:rsidRPr="00D74118">
              <w:rPr>
                <w:rFonts w:eastAsia="Times New Roman" w:cs="Arial"/>
                <w:color w:val="000000"/>
                <w:sz w:val="20"/>
                <w:szCs w:val="20"/>
                <w:lang w:eastAsia="en-GB"/>
              </w:rPr>
              <w:t xml:space="preserve">1 </w:t>
            </w:r>
            <w:r w:rsidR="00243B96" w:rsidRPr="00D74118">
              <w:rPr>
                <w:rFonts w:eastAsia="Times New Roman" w:cs="Arial"/>
                <w:color w:val="000000"/>
                <w:sz w:val="20"/>
                <w:szCs w:val="20"/>
                <w:lang w:eastAsia="en-GB"/>
              </w:rPr>
              <w:t>/</w:t>
            </w:r>
            <w:r w:rsidR="00F02655">
              <w:rPr>
                <w:rFonts w:eastAsia="Times New Roman" w:cs="Arial"/>
                <w:color w:val="000000"/>
                <w:sz w:val="20"/>
                <w:szCs w:val="20"/>
                <w:lang w:eastAsia="en-GB"/>
              </w:rPr>
              <w:t xml:space="preserve"> </w:t>
            </w:r>
            <w:r w:rsidR="007B0856" w:rsidRPr="00D74118">
              <w:rPr>
                <w:rFonts w:eastAsia="Times New Roman" w:cs="Arial"/>
                <w:color w:val="000000"/>
                <w:sz w:val="20"/>
                <w:szCs w:val="20"/>
                <w:lang w:eastAsia="en-GB"/>
              </w:rPr>
              <w:t>#</w:t>
            </w:r>
            <w:r w:rsidR="00243B96" w:rsidRPr="00D74118">
              <w:rPr>
                <w:rFonts w:eastAsia="Times New Roman" w:cs="Arial"/>
                <w:color w:val="000000"/>
                <w:sz w:val="20"/>
                <w:szCs w:val="20"/>
                <w:lang w:eastAsia="en-GB"/>
              </w:rPr>
              <w:t>3</w:t>
            </w:r>
            <w:r w:rsidRPr="00D74118">
              <w:rPr>
                <w:rFonts w:eastAsia="Times New Roman" w:cs="Arial"/>
                <w:color w:val="000000"/>
                <w:sz w:val="20"/>
                <w:szCs w:val="20"/>
                <w:lang w:eastAsia="en-GB"/>
              </w:rPr>
              <w:t>)</w:t>
            </w:r>
            <w:r w:rsidR="00947033" w:rsidRPr="00D74118">
              <w:rPr>
                <w:rFonts w:eastAsia="Times New Roman" w:cs="Arial"/>
                <w:color w:val="000000"/>
                <w:sz w:val="20"/>
                <w:szCs w:val="20"/>
                <w:lang w:eastAsia="en-GB"/>
              </w:rPr>
              <w:t xml:space="preserve"> (health)</w:t>
            </w:r>
          </w:p>
        </w:tc>
        <w:tc>
          <w:tcPr>
            <w:tcW w:w="1389" w:type="dxa"/>
            <w:tcBorders>
              <w:left w:val="single" w:sz="4" w:space="0" w:color="auto"/>
            </w:tcBorders>
            <w:shd w:val="clear" w:color="auto" w:fill="auto"/>
            <w:noWrap/>
            <w:vAlign w:val="bottom"/>
          </w:tcPr>
          <w:p w14:paraId="12AC3D85" w14:textId="69BBE26E" w:rsidR="00561420" w:rsidRPr="00D74118" w:rsidRDefault="00561420" w:rsidP="007775EB">
            <w:pPr>
              <w:contextualSpacing w:val="0"/>
              <w:jc w:val="center"/>
              <w:rPr>
                <w:rFonts w:eastAsia="Times New Roman" w:cs="Arial"/>
                <w:color w:val="000000"/>
                <w:sz w:val="20"/>
                <w:szCs w:val="20"/>
                <w:lang w:eastAsia="en-GB"/>
              </w:rPr>
            </w:pPr>
          </w:p>
        </w:tc>
        <w:tc>
          <w:tcPr>
            <w:tcW w:w="1599" w:type="dxa"/>
            <w:shd w:val="clear" w:color="auto" w:fill="auto"/>
            <w:noWrap/>
            <w:vAlign w:val="bottom"/>
          </w:tcPr>
          <w:p w14:paraId="74C0C2FF" w14:textId="17926576" w:rsidR="00561420" w:rsidRPr="00D74118" w:rsidRDefault="00561420" w:rsidP="007775EB">
            <w:pPr>
              <w:contextualSpacing w:val="0"/>
              <w:jc w:val="center"/>
              <w:rPr>
                <w:rFonts w:eastAsia="Times New Roman" w:cs="Arial"/>
                <w:color w:val="000000"/>
                <w:sz w:val="20"/>
                <w:szCs w:val="20"/>
                <w:lang w:eastAsia="en-GB"/>
              </w:rPr>
            </w:pPr>
          </w:p>
        </w:tc>
        <w:tc>
          <w:tcPr>
            <w:tcW w:w="0" w:type="auto"/>
            <w:shd w:val="clear" w:color="auto" w:fill="auto"/>
            <w:noWrap/>
            <w:vAlign w:val="bottom"/>
            <w:hideMark/>
          </w:tcPr>
          <w:p w14:paraId="2205ACDF" w14:textId="3657E08F" w:rsidR="00561420" w:rsidRPr="00D74118" w:rsidRDefault="00561420" w:rsidP="007775EB">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£26,264</w:t>
            </w:r>
          </w:p>
        </w:tc>
      </w:tr>
      <w:tr w:rsidR="00947033" w:rsidRPr="00947033" w14:paraId="5C2418B2" w14:textId="77777777" w:rsidTr="003E2FFD">
        <w:trPr>
          <w:trHeight w:val="300"/>
        </w:trPr>
        <w:tc>
          <w:tcPr>
            <w:tcW w:w="0" w:type="auto"/>
            <w:tcBorders>
              <w:bottom w:val="single" w:sz="4" w:space="0" w:color="auto"/>
            </w:tcBorders>
            <w:vAlign w:val="bottom"/>
          </w:tcPr>
          <w:p w14:paraId="02D71662" w14:textId="01EF22B7" w:rsidR="00561420" w:rsidRPr="00D74118"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5</w:t>
            </w:r>
          </w:p>
        </w:tc>
        <w:tc>
          <w:tcPr>
            <w:tcW w:w="4477" w:type="dxa"/>
            <w:tcBorders>
              <w:bottom w:val="single" w:sz="4" w:space="0" w:color="auto"/>
              <w:right w:val="single" w:sz="4" w:space="0" w:color="auto"/>
            </w:tcBorders>
            <w:shd w:val="clear" w:color="auto" w:fill="auto"/>
            <w:noWrap/>
            <w:vAlign w:val="bottom"/>
            <w:hideMark/>
          </w:tcPr>
          <w:p w14:paraId="0EB5F439" w14:textId="09A78559" w:rsidR="00561420" w:rsidRPr="00D74118" w:rsidRDefault="00561420" w:rsidP="007775EB">
            <w:pPr>
              <w:contextualSpacing w:val="0"/>
              <w:rPr>
                <w:rFonts w:eastAsia="Times New Roman" w:cs="Arial"/>
                <w:color w:val="000000"/>
                <w:sz w:val="20"/>
                <w:szCs w:val="20"/>
                <w:lang w:eastAsia="en-GB"/>
              </w:rPr>
            </w:pPr>
            <w:r w:rsidRPr="00D74118">
              <w:rPr>
                <w:rFonts w:eastAsia="Times New Roman" w:cs="Arial"/>
                <w:color w:val="000000"/>
                <w:sz w:val="20"/>
                <w:szCs w:val="20"/>
                <w:lang w:eastAsia="en-GB"/>
              </w:rPr>
              <w:t>Cost per QALY</w:t>
            </w:r>
            <w:r w:rsidR="00DE223F" w:rsidRPr="00D74118">
              <w:rPr>
                <w:rFonts w:eastAsia="Times New Roman" w:cs="Arial"/>
                <w:color w:val="000000"/>
                <w:sz w:val="20"/>
                <w:szCs w:val="20"/>
                <w:lang w:eastAsia="en-GB"/>
              </w:rPr>
              <w:t xml:space="preserve"> (</w:t>
            </w:r>
            <w:r w:rsidR="00D74118">
              <w:rPr>
                <w:rFonts w:eastAsia="Times New Roman" w:cs="Arial"/>
                <w:color w:val="000000"/>
                <w:sz w:val="20"/>
                <w:szCs w:val="20"/>
                <w:lang w:eastAsia="en-GB"/>
              </w:rPr>
              <w:t>[</w:t>
            </w:r>
            <w:r w:rsidR="007B0856" w:rsidRPr="00D74118">
              <w:rPr>
                <w:rFonts w:eastAsia="Times New Roman" w:cs="Arial"/>
                <w:color w:val="000000"/>
                <w:sz w:val="20"/>
                <w:szCs w:val="20"/>
                <w:lang w:eastAsia="en-GB"/>
              </w:rPr>
              <w:t>#</w:t>
            </w:r>
            <w:r w:rsidR="00C023AF" w:rsidRPr="00D74118">
              <w:rPr>
                <w:rFonts w:eastAsia="Times New Roman" w:cs="Arial"/>
                <w:color w:val="000000"/>
                <w:sz w:val="20"/>
                <w:szCs w:val="20"/>
                <w:lang w:eastAsia="en-GB"/>
              </w:rPr>
              <w:t>1</w:t>
            </w:r>
            <w:r w:rsidR="00DD49A3">
              <w:rPr>
                <w:rFonts w:eastAsia="Times New Roman" w:cs="Arial"/>
                <w:color w:val="000000"/>
                <w:sz w:val="20"/>
                <w:szCs w:val="20"/>
                <w:lang w:eastAsia="en-GB"/>
              </w:rPr>
              <w:t xml:space="preserve"> </w:t>
            </w:r>
            <w:r w:rsidR="00C023AF" w:rsidRPr="00D74118">
              <w:rPr>
                <w:rFonts w:eastAsia="Times New Roman" w:cs="Arial"/>
                <w:color w:val="000000"/>
                <w:sz w:val="20"/>
                <w:szCs w:val="20"/>
                <w:lang w:eastAsia="en-GB"/>
              </w:rPr>
              <w:t>-</w:t>
            </w:r>
            <w:r w:rsidR="00DD49A3">
              <w:rPr>
                <w:rFonts w:eastAsia="Times New Roman" w:cs="Arial"/>
                <w:color w:val="000000"/>
                <w:sz w:val="20"/>
                <w:szCs w:val="20"/>
                <w:lang w:eastAsia="en-GB"/>
              </w:rPr>
              <w:t xml:space="preserve"> </w:t>
            </w:r>
            <w:r w:rsidR="007B0856" w:rsidRPr="00D74118">
              <w:rPr>
                <w:rFonts w:eastAsia="Times New Roman" w:cs="Arial"/>
                <w:color w:val="000000"/>
                <w:sz w:val="20"/>
                <w:szCs w:val="20"/>
                <w:lang w:eastAsia="en-GB"/>
              </w:rPr>
              <w:t>#</w:t>
            </w:r>
            <w:r w:rsidR="00C023AF" w:rsidRPr="00D74118">
              <w:rPr>
                <w:rFonts w:eastAsia="Times New Roman" w:cs="Arial"/>
                <w:color w:val="000000"/>
                <w:sz w:val="20"/>
                <w:szCs w:val="20"/>
                <w:lang w:eastAsia="en-GB"/>
              </w:rPr>
              <w:t>2</w:t>
            </w:r>
            <w:r w:rsidR="00D74118">
              <w:rPr>
                <w:rFonts w:eastAsia="Times New Roman" w:cs="Arial"/>
                <w:color w:val="000000"/>
                <w:sz w:val="20"/>
                <w:szCs w:val="20"/>
                <w:lang w:eastAsia="en-GB"/>
              </w:rPr>
              <w:t>]</w:t>
            </w:r>
            <w:r w:rsidR="00C023AF" w:rsidRPr="00D74118">
              <w:rPr>
                <w:rFonts w:eastAsia="Times New Roman" w:cs="Arial"/>
                <w:color w:val="000000"/>
                <w:sz w:val="20"/>
                <w:szCs w:val="20"/>
                <w:lang w:eastAsia="en-GB"/>
              </w:rPr>
              <w:t xml:space="preserve"> / </w:t>
            </w:r>
            <w:r w:rsidR="007B0856" w:rsidRPr="00D74118">
              <w:rPr>
                <w:rFonts w:eastAsia="Times New Roman" w:cs="Arial"/>
                <w:color w:val="000000"/>
                <w:sz w:val="20"/>
                <w:szCs w:val="20"/>
                <w:lang w:eastAsia="en-GB"/>
              </w:rPr>
              <w:t>#3)</w:t>
            </w:r>
            <w:r w:rsidR="00947033" w:rsidRPr="00D74118">
              <w:rPr>
                <w:rFonts w:eastAsia="Times New Roman" w:cs="Arial"/>
                <w:color w:val="000000"/>
                <w:sz w:val="20"/>
                <w:szCs w:val="20"/>
                <w:lang w:eastAsia="en-GB"/>
              </w:rPr>
              <w:t xml:space="preserve"> (public sector)</w:t>
            </w:r>
          </w:p>
        </w:tc>
        <w:tc>
          <w:tcPr>
            <w:tcW w:w="1389" w:type="dxa"/>
            <w:tcBorders>
              <w:left w:val="single" w:sz="4" w:space="0" w:color="auto"/>
              <w:bottom w:val="single" w:sz="4" w:space="0" w:color="auto"/>
            </w:tcBorders>
            <w:shd w:val="clear" w:color="auto" w:fill="auto"/>
            <w:noWrap/>
            <w:vAlign w:val="bottom"/>
          </w:tcPr>
          <w:p w14:paraId="7566E0D5" w14:textId="2C98660E" w:rsidR="00561420" w:rsidRPr="00D74118" w:rsidRDefault="00561420" w:rsidP="007775EB">
            <w:pPr>
              <w:contextualSpacing w:val="0"/>
              <w:jc w:val="center"/>
              <w:rPr>
                <w:rFonts w:eastAsia="Times New Roman" w:cs="Arial"/>
                <w:color w:val="000000"/>
                <w:sz w:val="20"/>
                <w:szCs w:val="20"/>
                <w:lang w:eastAsia="en-GB"/>
              </w:rPr>
            </w:pPr>
          </w:p>
        </w:tc>
        <w:tc>
          <w:tcPr>
            <w:tcW w:w="1599" w:type="dxa"/>
            <w:tcBorders>
              <w:bottom w:val="single" w:sz="4" w:space="0" w:color="auto"/>
            </w:tcBorders>
            <w:shd w:val="clear" w:color="auto" w:fill="auto"/>
            <w:noWrap/>
            <w:vAlign w:val="bottom"/>
          </w:tcPr>
          <w:p w14:paraId="06CC3914" w14:textId="67EA8FB8" w:rsidR="00561420" w:rsidRPr="00D74118" w:rsidRDefault="00561420" w:rsidP="007775EB">
            <w:pPr>
              <w:contextualSpacing w:val="0"/>
              <w:jc w:val="center"/>
              <w:rPr>
                <w:rFonts w:eastAsia="Times New Roman" w:cs="Arial"/>
                <w:color w:val="000000"/>
                <w:sz w:val="20"/>
                <w:szCs w:val="20"/>
                <w:lang w:eastAsia="en-GB"/>
              </w:rPr>
            </w:pPr>
          </w:p>
        </w:tc>
        <w:tc>
          <w:tcPr>
            <w:tcW w:w="0" w:type="auto"/>
            <w:tcBorders>
              <w:bottom w:val="single" w:sz="4" w:space="0" w:color="auto"/>
            </w:tcBorders>
            <w:shd w:val="clear" w:color="auto" w:fill="auto"/>
            <w:noWrap/>
            <w:vAlign w:val="bottom"/>
            <w:hideMark/>
          </w:tcPr>
          <w:p w14:paraId="63B664BE" w14:textId="73AFF0C9" w:rsidR="00561420" w:rsidRPr="00D74118" w:rsidRDefault="00561420" w:rsidP="007775EB">
            <w:pPr>
              <w:contextualSpacing w:val="0"/>
              <w:jc w:val="center"/>
              <w:rPr>
                <w:rFonts w:eastAsia="Times New Roman" w:cs="Arial"/>
                <w:color w:val="000000"/>
                <w:sz w:val="20"/>
                <w:szCs w:val="20"/>
                <w:lang w:eastAsia="en-GB"/>
              </w:rPr>
            </w:pPr>
            <w:r w:rsidRPr="00D74118">
              <w:rPr>
                <w:rFonts w:eastAsia="Times New Roman" w:cs="Arial"/>
                <w:color w:val="000000"/>
                <w:sz w:val="20"/>
                <w:szCs w:val="20"/>
                <w:lang w:eastAsia="en-GB"/>
              </w:rPr>
              <w:t>£6,384</w:t>
            </w:r>
          </w:p>
        </w:tc>
      </w:tr>
    </w:tbl>
    <w:p w14:paraId="6674E740" w14:textId="77777777" w:rsidR="00513AB5" w:rsidRPr="00ED438E" w:rsidRDefault="00513AB5" w:rsidP="750A43E6">
      <w:pPr>
        <w:pStyle w:val="NoSpacing"/>
      </w:pPr>
    </w:p>
    <w:p w14:paraId="4B5315A2" w14:textId="57459E3C" w:rsidR="00F86FDF" w:rsidRDefault="004C0F96" w:rsidP="003E2FFD">
      <w:pPr>
        <w:pStyle w:val="NoSpacing"/>
        <w:spacing w:line="360" w:lineRule="auto"/>
      </w:pPr>
      <w:r w:rsidRPr="00ED438E">
        <w:rPr>
          <w:highlight w:val="yellow"/>
        </w:rPr>
        <w:fldChar w:fldCharType="begin"/>
      </w:r>
      <w:r w:rsidRPr="00ED438E">
        <w:instrText xml:space="preserve"> REF _Ref177158967 \h </w:instrText>
      </w:r>
      <w:r w:rsidRPr="00ED438E">
        <w:rPr>
          <w:highlight w:val="yellow"/>
        </w:rPr>
        <w:instrText xml:space="preserve"> \* MERGEFORMAT </w:instrText>
      </w:r>
      <w:r w:rsidRPr="00ED438E">
        <w:rPr>
          <w:highlight w:val="yellow"/>
        </w:rPr>
      </w:r>
      <w:r w:rsidRPr="00ED438E">
        <w:rPr>
          <w:highlight w:val="yellow"/>
        </w:rPr>
        <w:fldChar w:fldCharType="separate"/>
      </w:r>
      <w:r w:rsidRPr="00ED438E">
        <w:t xml:space="preserve">Table </w:t>
      </w:r>
      <w:r w:rsidRPr="00ED438E">
        <w:rPr>
          <w:noProof/>
        </w:rPr>
        <w:t>5.4</w:t>
      </w:r>
      <w:r w:rsidRPr="00ED438E">
        <w:noBreakHyphen/>
      </w:r>
      <w:r w:rsidRPr="00ED438E">
        <w:rPr>
          <w:noProof/>
        </w:rPr>
        <w:t>2</w:t>
      </w:r>
      <w:r w:rsidRPr="00ED438E">
        <w:rPr>
          <w:highlight w:val="yellow"/>
        </w:rPr>
        <w:fldChar w:fldCharType="end"/>
      </w:r>
      <w:r w:rsidRPr="004C0F96">
        <w:t xml:space="preserve"> </w:t>
      </w:r>
      <w:r w:rsidR="00C222A9" w:rsidRPr="003E2FFD">
        <w:t xml:space="preserve">presents </w:t>
      </w:r>
      <w:r w:rsidR="00C222A9" w:rsidRPr="004C0F96">
        <w:t>the results from the probabilistic sensitivity analysis</w:t>
      </w:r>
      <w:r w:rsidR="004C5AE9" w:rsidRPr="004C0F96">
        <w:t>, which</w:t>
      </w:r>
      <w:r w:rsidR="004C5AE9">
        <w:t xml:space="preserve"> were very close to the deterministic model</w:t>
      </w:r>
      <w:r w:rsidR="00F90B0E">
        <w:t xml:space="preserve">. </w:t>
      </w:r>
      <w:r w:rsidR="004C5AE9">
        <w:t>T</w:t>
      </w:r>
      <w:r w:rsidR="00F90B0E">
        <w:t>here were 0.04</w:t>
      </w:r>
      <w:r w:rsidR="004C5AE9">
        <w:t xml:space="preserve">57 </w:t>
      </w:r>
      <w:r w:rsidR="0052765A">
        <w:t>QALYs gain</w:t>
      </w:r>
      <w:r w:rsidR="00AB053D">
        <w:t>ed per person and an incremental cost of £1,193. This resulted in a</w:t>
      </w:r>
      <w:r w:rsidR="008F4D59">
        <w:t xml:space="preserve">n ICER of </w:t>
      </w:r>
      <w:r w:rsidR="00DB5E31">
        <w:t>£2</w:t>
      </w:r>
      <w:r w:rsidR="00824D29">
        <w:t>6,108</w:t>
      </w:r>
      <w:r w:rsidR="009D41F6">
        <w:t xml:space="preserve">. </w:t>
      </w:r>
      <w:r w:rsidR="003B2542">
        <w:t>Public sector savings amounted to £918, resulting in a cost per QALY (public sector) of £6,023.</w:t>
      </w:r>
    </w:p>
    <w:p w14:paraId="634ED530" w14:textId="77777777" w:rsidR="007259B0" w:rsidRDefault="007259B0" w:rsidP="002F49D0">
      <w:pPr>
        <w:pStyle w:val="NoSpacing"/>
        <w:spacing w:line="360" w:lineRule="auto"/>
      </w:pPr>
    </w:p>
    <w:p w14:paraId="71F44635" w14:textId="1E507F97" w:rsidR="009A678B" w:rsidRDefault="007259B0" w:rsidP="007259B0">
      <w:pPr>
        <w:pStyle w:val="NoSpacing"/>
        <w:spacing w:line="360" w:lineRule="auto"/>
      </w:pPr>
      <w:r w:rsidRPr="00ED438E">
        <w:fldChar w:fldCharType="begin"/>
      </w:r>
      <w:r w:rsidRPr="00ED438E">
        <w:instrText xml:space="preserve"> REF _Ref176713763 \h  \* MERGEFORMAT </w:instrText>
      </w:r>
      <w:r w:rsidRPr="00ED438E">
        <w:fldChar w:fldCharType="separate"/>
      </w:r>
      <w:r w:rsidR="006468ED" w:rsidRPr="00ED438E">
        <w:t xml:space="preserve">Figure </w:t>
      </w:r>
      <w:r w:rsidR="006468ED" w:rsidRPr="00ED438E">
        <w:rPr>
          <w:noProof/>
        </w:rPr>
        <w:t>5.4</w:t>
      </w:r>
      <w:r w:rsidR="006468ED" w:rsidRPr="00ED438E">
        <w:rPr>
          <w:noProof/>
        </w:rPr>
        <w:noBreakHyphen/>
        <w:t>1</w:t>
      </w:r>
      <w:r w:rsidRPr="00ED438E">
        <w:fldChar w:fldCharType="end"/>
      </w:r>
      <w:r w:rsidRPr="005D2041">
        <w:t xml:space="preserve"> shows the ICER and cost per QALY (public sector) results on the cost-effectiveness plane. The ICER and cost per QALY </w:t>
      </w:r>
      <w:r w:rsidRPr="006150CD">
        <w:t xml:space="preserve">points at the right of the lower bound NICE willingness to pay threshold of £20,000 (diagonal </w:t>
      </w:r>
      <w:r w:rsidRPr="00BC6134">
        <w:t xml:space="preserve">threshold at 45°) would be considered cost-effective. </w:t>
      </w:r>
    </w:p>
    <w:p w14:paraId="28CB40E3" w14:textId="77777777" w:rsidR="009A678B" w:rsidRPr="00382F59" w:rsidRDefault="009A678B" w:rsidP="007259B0">
      <w:pPr>
        <w:pStyle w:val="NoSpacing"/>
        <w:spacing w:line="360" w:lineRule="auto"/>
        <w:rPr>
          <w:highlight w:val="yellow"/>
        </w:rPr>
      </w:pPr>
    </w:p>
    <w:p w14:paraId="0994C766" w14:textId="5A8B52F2" w:rsidR="004B4441" w:rsidRDefault="00F86FDF" w:rsidP="002F49D0">
      <w:pPr>
        <w:pStyle w:val="NoSpacing"/>
        <w:spacing w:line="360" w:lineRule="auto"/>
      </w:pPr>
      <w:r>
        <w:t xml:space="preserve">The scatterplot for the </w:t>
      </w:r>
      <w:r w:rsidR="002F49D0">
        <w:t xml:space="preserve">ICER shows incremental QALYs could range from </w:t>
      </w:r>
      <w:r w:rsidR="006B6FE7">
        <w:t>0.094</w:t>
      </w:r>
      <w:r w:rsidR="002F49D0">
        <w:t xml:space="preserve"> to </w:t>
      </w:r>
      <w:r w:rsidR="006B6FE7">
        <w:t>0.</w:t>
      </w:r>
      <w:r w:rsidR="00763141">
        <w:t>370</w:t>
      </w:r>
      <w:r w:rsidR="002F49D0">
        <w:t xml:space="preserve">, and incremental costs could range from </w:t>
      </w:r>
      <w:r w:rsidR="00244F31">
        <w:t>£1,0</w:t>
      </w:r>
      <w:r w:rsidR="00CB0C1F">
        <w:t>38</w:t>
      </w:r>
      <w:r w:rsidR="002F49D0">
        <w:t xml:space="preserve"> to </w:t>
      </w:r>
      <w:r w:rsidR="00CB0C1F">
        <w:t>£1,467</w:t>
      </w:r>
      <w:r w:rsidR="002F49D0">
        <w:t xml:space="preserve">. </w:t>
      </w:r>
      <w:r w:rsidR="00B80E9F" w:rsidRPr="00BC6134">
        <w:t>Most ICER scenarios were concentrated in the North</w:t>
      </w:r>
      <w:r w:rsidR="00B80E9F" w:rsidRPr="006150CD">
        <w:t xml:space="preserve"> East (more costly, more effective) and North West (more costly, less effective) quadrants. </w:t>
      </w:r>
      <w:r w:rsidR="00406910">
        <w:t>Overall</w:t>
      </w:r>
      <w:r w:rsidR="008005B2">
        <w:t>,</w:t>
      </w:r>
      <w:r w:rsidR="00406910">
        <w:t xml:space="preserve"> the probability of cost</w:t>
      </w:r>
      <w:r w:rsidR="008005B2">
        <w:t>-</w:t>
      </w:r>
      <w:r w:rsidR="00406910">
        <w:t xml:space="preserve">effectiveness </w:t>
      </w:r>
      <w:r w:rsidR="00D80E91">
        <w:t>using</w:t>
      </w:r>
      <w:r w:rsidR="00406910">
        <w:t xml:space="preserve"> </w:t>
      </w:r>
      <w:r w:rsidR="008005B2">
        <w:t xml:space="preserve">a </w:t>
      </w:r>
      <w:r w:rsidR="006D5AF4">
        <w:t xml:space="preserve">WTP of </w:t>
      </w:r>
      <w:r w:rsidR="00FA1B7F">
        <w:t xml:space="preserve">£20,000 is 42% </w:t>
      </w:r>
      <w:r w:rsidR="0025606B">
        <w:t>rising to 53</w:t>
      </w:r>
      <w:r w:rsidR="00D80E91">
        <w:t>%</w:t>
      </w:r>
      <w:r w:rsidR="0025606B">
        <w:t xml:space="preserve"> </w:t>
      </w:r>
      <w:r w:rsidR="00D80E91">
        <w:t xml:space="preserve">for £30,000. </w:t>
      </w:r>
      <w:r w:rsidR="00406910">
        <w:t>Again</w:t>
      </w:r>
      <w:r w:rsidR="00CB0C1F">
        <w:t>,</w:t>
      </w:r>
      <w:r w:rsidR="00406910">
        <w:t xml:space="preserve"> NICE would consider</w:t>
      </w:r>
      <w:r w:rsidR="007A314B">
        <w:t xml:space="preserve"> the </w:t>
      </w:r>
      <w:r w:rsidR="00606E1B">
        <w:t>intervention</w:t>
      </w:r>
      <w:r w:rsidR="007A314B">
        <w:t xml:space="preserve"> to be cost-effective</w:t>
      </w:r>
      <w:r w:rsidR="00406910">
        <w:t xml:space="preserve"> in the borderline region. </w:t>
      </w:r>
    </w:p>
    <w:p w14:paraId="6D0F608E" w14:textId="2DF9F325" w:rsidR="00406910" w:rsidRDefault="00406910" w:rsidP="002F49D0">
      <w:pPr>
        <w:pStyle w:val="NoSpacing"/>
        <w:spacing w:line="360" w:lineRule="auto"/>
      </w:pPr>
    </w:p>
    <w:p w14:paraId="1817CB66" w14:textId="77777777" w:rsidR="003B2542" w:rsidRDefault="003B2542" w:rsidP="741ACFCE">
      <w:pPr>
        <w:pStyle w:val="NoSpacing"/>
      </w:pPr>
    </w:p>
    <w:p w14:paraId="612A23BE" w14:textId="77777777" w:rsidR="00B51261" w:rsidRDefault="00B51261" w:rsidP="00F25D3F">
      <w:pPr>
        <w:pStyle w:val="Caption"/>
        <w:rPr>
          <w:b w:val="0"/>
          <w:bCs w:val="0"/>
          <w:i/>
          <w:iCs/>
          <w:color w:val="auto"/>
          <w:sz w:val="24"/>
          <w:szCs w:val="24"/>
        </w:rPr>
        <w:sectPr w:rsidR="00B51261" w:rsidSect="00173509">
          <w:pgSz w:w="11906" w:h="16838"/>
          <w:pgMar w:top="1440" w:right="1440" w:bottom="1440" w:left="1440" w:header="708" w:footer="708" w:gutter="0"/>
          <w:cols w:space="708"/>
          <w:docGrid w:linePitch="360"/>
        </w:sectPr>
      </w:pPr>
      <w:bookmarkStart w:id="145" w:name="_Ref176713183"/>
    </w:p>
    <w:p w14:paraId="3B649003" w14:textId="302006E2" w:rsidR="00265640" w:rsidRPr="00F25D3F" w:rsidRDefault="003544A3" w:rsidP="00F25D3F">
      <w:pPr>
        <w:pStyle w:val="Caption"/>
        <w:rPr>
          <w:b w:val="0"/>
          <w:bCs w:val="0"/>
          <w:i/>
          <w:iCs/>
          <w:color w:val="auto"/>
          <w:sz w:val="24"/>
          <w:szCs w:val="24"/>
        </w:rPr>
      </w:pPr>
      <w:bookmarkStart w:id="146" w:name="_Ref177158967"/>
      <w:bookmarkStart w:id="147" w:name="_Toc185845002"/>
      <w:r>
        <w:rPr>
          <w:b w:val="0"/>
          <w:bCs w:val="0"/>
          <w:i/>
          <w:iCs/>
          <w:color w:val="auto"/>
          <w:sz w:val="24"/>
          <w:szCs w:val="24"/>
        </w:rPr>
        <w:lastRenderedPageBreak/>
        <w:t>Table</w:t>
      </w:r>
      <w:r w:rsidR="00F25D3F" w:rsidRPr="00F25D3F">
        <w:rPr>
          <w:b w:val="0"/>
          <w:bCs w:val="0"/>
          <w:i/>
          <w:iCs/>
          <w:color w:val="auto"/>
          <w:sz w:val="24"/>
          <w:szCs w:val="24"/>
        </w:rPr>
        <w:t xml:space="preserve"> </w:t>
      </w:r>
      <w:r w:rsidR="00367870">
        <w:rPr>
          <w:b w:val="0"/>
          <w:bCs w:val="0"/>
          <w:i/>
          <w:iCs/>
          <w:color w:val="auto"/>
          <w:sz w:val="24"/>
          <w:szCs w:val="24"/>
        </w:rPr>
        <w:fldChar w:fldCharType="begin"/>
      </w:r>
      <w:r w:rsidR="00367870">
        <w:rPr>
          <w:b w:val="0"/>
          <w:bCs w:val="0"/>
          <w:i/>
          <w:iCs/>
          <w:color w:val="auto"/>
          <w:sz w:val="24"/>
          <w:szCs w:val="24"/>
        </w:rPr>
        <w:instrText xml:space="preserve"> STYLEREF 2 \s </w:instrText>
      </w:r>
      <w:r w:rsidR="00367870">
        <w:rPr>
          <w:b w:val="0"/>
          <w:bCs w:val="0"/>
          <w:i/>
          <w:iCs/>
          <w:color w:val="auto"/>
          <w:sz w:val="24"/>
          <w:szCs w:val="24"/>
        </w:rPr>
        <w:fldChar w:fldCharType="separate"/>
      </w:r>
      <w:r w:rsidR="00367870">
        <w:rPr>
          <w:b w:val="0"/>
          <w:bCs w:val="0"/>
          <w:i/>
          <w:iCs/>
          <w:noProof/>
          <w:color w:val="auto"/>
          <w:sz w:val="24"/>
          <w:szCs w:val="24"/>
        </w:rPr>
        <w:t>5.4</w:t>
      </w:r>
      <w:r w:rsidR="00367870">
        <w:rPr>
          <w:b w:val="0"/>
          <w:bCs w:val="0"/>
          <w:i/>
          <w:iCs/>
          <w:color w:val="auto"/>
          <w:sz w:val="24"/>
          <w:szCs w:val="24"/>
        </w:rPr>
        <w:fldChar w:fldCharType="end"/>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2</w:t>
      </w:r>
      <w:r w:rsidR="00367870">
        <w:rPr>
          <w:b w:val="0"/>
          <w:bCs w:val="0"/>
          <w:i/>
          <w:iCs/>
          <w:color w:val="auto"/>
          <w:sz w:val="24"/>
          <w:szCs w:val="24"/>
        </w:rPr>
        <w:fldChar w:fldCharType="end"/>
      </w:r>
      <w:bookmarkEnd w:id="145"/>
      <w:bookmarkEnd w:id="146"/>
      <w:r w:rsidR="00F25D3F" w:rsidRPr="00F25D3F">
        <w:rPr>
          <w:b w:val="0"/>
          <w:bCs w:val="0"/>
          <w:i/>
          <w:iCs/>
          <w:color w:val="auto"/>
          <w:sz w:val="24"/>
          <w:szCs w:val="24"/>
        </w:rPr>
        <w:tab/>
      </w:r>
      <w:r w:rsidR="00265640" w:rsidRPr="00F25D3F">
        <w:rPr>
          <w:b w:val="0"/>
          <w:bCs w:val="0"/>
          <w:i/>
          <w:iCs/>
          <w:color w:val="auto"/>
          <w:sz w:val="24"/>
          <w:szCs w:val="24"/>
        </w:rPr>
        <w:t xml:space="preserve">Per person cost-effectiveness results, by </w:t>
      </w:r>
      <w:r w:rsidR="00382F59">
        <w:rPr>
          <w:b w:val="0"/>
          <w:bCs w:val="0"/>
          <w:i/>
          <w:iCs/>
          <w:color w:val="auto"/>
          <w:sz w:val="24"/>
          <w:szCs w:val="24"/>
        </w:rPr>
        <w:t xml:space="preserve">scenarios and </w:t>
      </w:r>
      <w:r w:rsidR="00265640" w:rsidRPr="00F25D3F">
        <w:rPr>
          <w:b w:val="0"/>
          <w:bCs w:val="0"/>
          <w:i/>
          <w:iCs/>
          <w:color w:val="auto"/>
          <w:sz w:val="24"/>
          <w:szCs w:val="24"/>
        </w:rPr>
        <w:t>modelling type</w:t>
      </w:r>
      <w:bookmarkEnd w:id="147"/>
    </w:p>
    <w:p w14:paraId="2F654513" w14:textId="77777777" w:rsidR="00132600" w:rsidRDefault="00132600" w:rsidP="001A37CE">
      <w:pPr>
        <w:pStyle w:val="NoSpacing"/>
        <w:spacing w:line="360" w:lineRule="auto"/>
      </w:pPr>
    </w:p>
    <w:tbl>
      <w:tblPr>
        <w:tblW w:w="13805" w:type="dxa"/>
        <w:tblLook w:val="04A0" w:firstRow="1" w:lastRow="0" w:firstColumn="1" w:lastColumn="0" w:noHBand="0" w:noVBand="1"/>
      </w:tblPr>
      <w:tblGrid>
        <w:gridCol w:w="1261"/>
        <w:gridCol w:w="939"/>
        <w:gridCol w:w="1284"/>
        <w:gridCol w:w="1250"/>
        <w:gridCol w:w="1262"/>
        <w:gridCol w:w="1262"/>
        <w:gridCol w:w="1062"/>
        <w:gridCol w:w="1050"/>
        <w:gridCol w:w="939"/>
        <w:gridCol w:w="939"/>
        <w:gridCol w:w="1262"/>
        <w:gridCol w:w="1295"/>
      </w:tblGrid>
      <w:tr w:rsidR="002D3AA0" w:rsidRPr="002D3AA0" w14:paraId="72331E75" w14:textId="77777777" w:rsidTr="0050479F">
        <w:trPr>
          <w:trHeight w:val="300"/>
        </w:trPr>
        <w:tc>
          <w:tcPr>
            <w:tcW w:w="1261" w:type="dxa"/>
            <w:vMerge w:val="restart"/>
            <w:tcBorders>
              <w:top w:val="nil"/>
              <w:left w:val="nil"/>
              <w:bottom w:val="single" w:sz="4" w:space="0" w:color="000000"/>
              <w:right w:val="single" w:sz="4" w:space="0" w:color="auto"/>
            </w:tcBorders>
            <w:shd w:val="clear" w:color="auto" w:fill="auto"/>
            <w:vAlign w:val="center"/>
            <w:hideMark/>
          </w:tcPr>
          <w:p w14:paraId="5021D7CF" w14:textId="77777777" w:rsidR="002D3AA0" w:rsidRPr="002D3AA0" w:rsidRDefault="002D3AA0" w:rsidP="002D3AA0">
            <w:pPr>
              <w:contextualSpacing w:val="0"/>
              <w:rPr>
                <w:rFonts w:eastAsia="Times New Roman" w:cs="Arial"/>
                <w:color w:val="000000"/>
                <w:sz w:val="20"/>
                <w:szCs w:val="20"/>
                <w:lang w:eastAsia="en-GB"/>
              </w:rPr>
            </w:pPr>
            <w:r w:rsidRPr="002D3AA0">
              <w:rPr>
                <w:rFonts w:eastAsia="Times New Roman" w:cs="Arial"/>
                <w:color w:val="000000"/>
                <w:sz w:val="20"/>
                <w:szCs w:val="20"/>
                <w:lang w:eastAsia="en-GB"/>
              </w:rPr>
              <w:t> </w:t>
            </w:r>
          </w:p>
        </w:tc>
        <w:tc>
          <w:tcPr>
            <w:tcW w:w="939" w:type="dxa"/>
            <w:vMerge w:val="restart"/>
            <w:tcBorders>
              <w:top w:val="nil"/>
              <w:left w:val="single" w:sz="4" w:space="0" w:color="auto"/>
              <w:bottom w:val="single" w:sz="4" w:space="0" w:color="000000"/>
              <w:right w:val="single" w:sz="4" w:space="0" w:color="auto"/>
            </w:tcBorders>
            <w:shd w:val="clear" w:color="auto" w:fill="auto"/>
            <w:vAlign w:val="center"/>
            <w:hideMark/>
          </w:tcPr>
          <w:p w14:paraId="3D610C06" w14:textId="77777777" w:rsidR="002D3AA0" w:rsidRPr="002D3AA0" w:rsidRDefault="002D3AA0" w:rsidP="002D3AA0">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Base case</w:t>
            </w:r>
          </w:p>
        </w:tc>
        <w:tc>
          <w:tcPr>
            <w:tcW w:w="10310" w:type="dxa"/>
            <w:gridSpan w:val="9"/>
            <w:tcBorders>
              <w:top w:val="nil"/>
              <w:left w:val="nil"/>
              <w:bottom w:val="nil"/>
              <w:right w:val="single" w:sz="4" w:space="0" w:color="000000"/>
            </w:tcBorders>
            <w:shd w:val="clear" w:color="auto" w:fill="auto"/>
            <w:vAlign w:val="center"/>
            <w:hideMark/>
          </w:tcPr>
          <w:p w14:paraId="4F170444" w14:textId="77777777" w:rsidR="002D3AA0" w:rsidRPr="002D3AA0" w:rsidRDefault="002D3AA0" w:rsidP="002D3AA0">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Deterministic scenarios</w:t>
            </w:r>
          </w:p>
        </w:tc>
        <w:tc>
          <w:tcPr>
            <w:tcW w:w="1295" w:type="dxa"/>
            <w:vMerge w:val="restart"/>
            <w:tcBorders>
              <w:top w:val="nil"/>
              <w:left w:val="nil"/>
              <w:bottom w:val="single" w:sz="4" w:space="0" w:color="000000"/>
              <w:right w:val="nil"/>
            </w:tcBorders>
            <w:shd w:val="clear" w:color="auto" w:fill="auto"/>
            <w:vAlign w:val="center"/>
            <w:hideMark/>
          </w:tcPr>
          <w:p w14:paraId="410B867C" w14:textId="77777777" w:rsidR="002D3AA0" w:rsidRPr="002D3AA0" w:rsidRDefault="002D3AA0" w:rsidP="002D3AA0">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Probabilistic</w:t>
            </w:r>
          </w:p>
        </w:tc>
      </w:tr>
      <w:tr w:rsidR="002D3AA0" w:rsidRPr="002D3AA0" w14:paraId="632E1118" w14:textId="77777777" w:rsidTr="0050479F">
        <w:trPr>
          <w:trHeight w:val="510"/>
        </w:trPr>
        <w:tc>
          <w:tcPr>
            <w:tcW w:w="1261" w:type="dxa"/>
            <w:vMerge/>
            <w:tcBorders>
              <w:top w:val="nil"/>
              <w:left w:val="nil"/>
              <w:bottom w:val="single" w:sz="4" w:space="0" w:color="000000"/>
              <w:right w:val="single" w:sz="4" w:space="0" w:color="auto"/>
            </w:tcBorders>
            <w:vAlign w:val="center"/>
            <w:hideMark/>
          </w:tcPr>
          <w:p w14:paraId="2E245F6C" w14:textId="77777777" w:rsidR="002D3AA0" w:rsidRPr="002D3AA0" w:rsidRDefault="002D3AA0" w:rsidP="002D3AA0">
            <w:pPr>
              <w:contextualSpacing w:val="0"/>
              <w:rPr>
                <w:rFonts w:eastAsia="Times New Roman" w:cs="Arial"/>
                <w:color w:val="000000"/>
                <w:sz w:val="20"/>
                <w:szCs w:val="20"/>
                <w:lang w:eastAsia="en-GB"/>
              </w:rPr>
            </w:pPr>
          </w:p>
        </w:tc>
        <w:tc>
          <w:tcPr>
            <w:tcW w:w="939" w:type="dxa"/>
            <w:vMerge/>
            <w:tcBorders>
              <w:top w:val="nil"/>
              <w:left w:val="single" w:sz="4" w:space="0" w:color="auto"/>
              <w:bottom w:val="single" w:sz="4" w:space="0" w:color="000000"/>
              <w:right w:val="single" w:sz="4" w:space="0" w:color="auto"/>
            </w:tcBorders>
            <w:vAlign w:val="center"/>
            <w:hideMark/>
          </w:tcPr>
          <w:p w14:paraId="446D81E2" w14:textId="77777777" w:rsidR="002D3AA0" w:rsidRPr="002D3AA0" w:rsidRDefault="002D3AA0" w:rsidP="002D3AA0">
            <w:pPr>
              <w:contextualSpacing w:val="0"/>
              <w:rPr>
                <w:rFonts w:eastAsia="Times New Roman" w:cs="Arial"/>
                <w:color w:val="000000"/>
                <w:sz w:val="20"/>
                <w:szCs w:val="20"/>
                <w:lang w:eastAsia="en-GB"/>
              </w:rPr>
            </w:pPr>
          </w:p>
        </w:tc>
        <w:tc>
          <w:tcPr>
            <w:tcW w:w="1284" w:type="dxa"/>
            <w:tcBorders>
              <w:top w:val="nil"/>
              <w:left w:val="nil"/>
              <w:bottom w:val="nil"/>
              <w:right w:val="single" w:sz="4" w:space="0" w:color="auto"/>
            </w:tcBorders>
            <w:shd w:val="clear" w:color="auto" w:fill="auto"/>
            <w:vAlign w:val="bottom"/>
            <w:hideMark/>
          </w:tcPr>
          <w:p w14:paraId="381C982A" w14:textId="77777777" w:rsidR="002D3AA0" w:rsidRPr="002D3AA0" w:rsidRDefault="002D3AA0" w:rsidP="002D3AA0">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Transition probabilities</w:t>
            </w:r>
          </w:p>
        </w:tc>
        <w:tc>
          <w:tcPr>
            <w:tcW w:w="3774" w:type="dxa"/>
            <w:gridSpan w:val="3"/>
            <w:tcBorders>
              <w:top w:val="nil"/>
              <w:left w:val="nil"/>
              <w:bottom w:val="nil"/>
              <w:right w:val="nil"/>
            </w:tcBorders>
            <w:shd w:val="clear" w:color="auto" w:fill="auto"/>
            <w:vAlign w:val="center"/>
            <w:hideMark/>
          </w:tcPr>
          <w:p w14:paraId="3C064DAA" w14:textId="77777777" w:rsidR="002D3AA0" w:rsidRPr="002D3AA0" w:rsidRDefault="002D3AA0" w:rsidP="002D3AA0">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Utility gains</w:t>
            </w:r>
          </w:p>
        </w:tc>
        <w:tc>
          <w:tcPr>
            <w:tcW w:w="3990" w:type="dxa"/>
            <w:gridSpan w:val="4"/>
            <w:tcBorders>
              <w:top w:val="nil"/>
              <w:left w:val="single" w:sz="4" w:space="0" w:color="auto"/>
              <w:bottom w:val="nil"/>
              <w:right w:val="single" w:sz="4" w:space="0" w:color="000000"/>
            </w:tcBorders>
            <w:shd w:val="clear" w:color="auto" w:fill="auto"/>
            <w:vAlign w:val="center"/>
            <w:hideMark/>
          </w:tcPr>
          <w:p w14:paraId="58DE3465" w14:textId="77777777" w:rsidR="002D3AA0" w:rsidRPr="002D3AA0" w:rsidRDefault="002D3AA0" w:rsidP="002D3AA0">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Costs</w:t>
            </w:r>
          </w:p>
        </w:tc>
        <w:tc>
          <w:tcPr>
            <w:tcW w:w="1262" w:type="dxa"/>
            <w:tcBorders>
              <w:top w:val="nil"/>
              <w:left w:val="nil"/>
              <w:bottom w:val="nil"/>
              <w:right w:val="single" w:sz="4" w:space="0" w:color="auto"/>
            </w:tcBorders>
            <w:shd w:val="clear" w:color="auto" w:fill="auto"/>
            <w:vAlign w:val="center"/>
            <w:hideMark/>
          </w:tcPr>
          <w:p w14:paraId="5F8CE506" w14:textId="77777777" w:rsidR="002D3AA0" w:rsidRPr="002D3AA0" w:rsidRDefault="002D3AA0" w:rsidP="002D3AA0">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Discounting</w:t>
            </w:r>
          </w:p>
        </w:tc>
        <w:tc>
          <w:tcPr>
            <w:tcW w:w="1295" w:type="dxa"/>
            <w:vMerge/>
            <w:tcBorders>
              <w:top w:val="nil"/>
              <w:left w:val="nil"/>
              <w:bottom w:val="single" w:sz="4" w:space="0" w:color="000000"/>
              <w:right w:val="nil"/>
            </w:tcBorders>
            <w:vAlign w:val="center"/>
            <w:hideMark/>
          </w:tcPr>
          <w:p w14:paraId="3B3B0B52" w14:textId="77777777" w:rsidR="002D3AA0" w:rsidRPr="002D3AA0" w:rsidRDefault="002D3AA0" w:rsidP="002D3AA0">
            <w:pPr>
              <w:contextualSpacing w:val="0"/>
              <w:rPr>
                <w:rFonts w:eastAsia="Times New Roman" w:cs="Arial"/>
                <w:color w:val="000000"/>
                <w:sz w:val="20"/>
                <w:szCs w:val="20"/>
                <w:lang w:eastAsia="en-GB"/>
              </w:rPr>
            </w:pPr>
          </w:p>
        </w:tc>
      </w:tr>
      <w:tr w:rsidR="002D3AA0" w:rsidRPr="002D3AA0" w14:paraId="1682DFE3" w14:textId="77777777" w:rsidTr="0050479F">
        <w:trPr>
          <w:trHeight w:val="1275"/>
        </w:trPr>
        <w:tc>
          <w:tcPr>
            <w:tcW w:w="1261" w:type="dxa"/>
            <w:vMerge/>
            <w:tcBorders>
              <w:top w:val="nil"/>
              <w:left w:val="nil"/>
              <w:bottom w:val="single" w:sz="4" w:space="0" w:color="000000"/>
              <w:right w:val="single" w:sz="4" w:space="0" w:color="auto"/>
            </w:tcBorders>
            <w:vAlign w:val="center"/>
            <w:hideMark/>
          </w:tcPr>
          <w:p w14:paraId="7952AA6B" w14:textId="77777777" w:rsidR="002D3AA0" w:rsidRPr="002D3AA0" w:rsidRDefault="002D3AA0" w:rsidP="002D3AA0">
            <w:pPr>
              <w:contextualSpacing w:val="0"/>
              <w:rPr>
                <w:rFonts w:eastAsia="Times New Roman" w:cs="Arial"/>
                <w:color w:val="000000"/>
                <w:sz w:val="20"/>
                <w:szCs w:val="20"/>
                <w:lang w:eastAsia="en-GB"/>
              </w:rPr>
            </w:pPr>
          </w:p>
        </w:tc>
        <w:tc>
          <w:tcPr>
            <w:tcW w:w="939" w:type="dxa"/>
            <w:vMerge/>
            <w:tcBorders>
              <w:top w:val="nil"/>
              <w:left w:val="single" w:sz="4" w:space="0" w:color="auto"/>
              <w:bottom w:val="single" w:sz="4" w:space="0" w:color="000000"/>
              <w:right w:val="single" w:sz="4" w:space="0" w:color="auto"/>
            </w:tcBorders>
            <w:vAlign w:val="center"/>
            <w:hideMark/>
          </w:tcPr>
          <w:p w14:paraId="7360CFDE" w14:textId="77777777" w:rsidR="002D3AA0" w:rsidRPr="002D3AA0" w:rsidRDefault="002D3AA0" w:rsidP="002D3AA0">
            <w:pPr>
              <w:contextualSpacing w:val="0"/>
              <w:rPr>
                <w:rFonts w:eastAsia="Times New Roman" w:cs="Arial"/>
                <w:color w:val="000000"/>
                <w:sz w:val="20"/>
                <w:szCs w:val="20"/>
                <w:lang w:eastAsia="en-GB"/>
              </w:rPr>
            </w:pPr>
          </w:p>
        </w:tc>
        <w:tc>
          <w:tcPr>
            <w:tcW w:w="1284" w:type="dxa"/>
            <w:tcBorders>
              <w:top w:val="nil"/>
              <w:left w:val="nil"/>
              <w:bottom w:val="single" w:sz="4" w:space="0" w:color="auto"/>
              <w:right w:val="single" w:sz="4" w:space="0" w:color="auto"/>
            </w:tcBorders>
            <w:shd w:val="clear" w:color="auto" w:fill="auto"/>
            <w:vAlign w:val="center"/>
            <w:hideMark/>
          </w:tcPr>
          <w:p w14:paraId="6413615F" w14:textId="77777777" w:rsidR="002D3AA0" w:rsidRPr="002D3AA0" w:rsidRDefault="002D3AA0" w:rsidP="002D3AA0">
            <w:pPr>
              <w:contextualSpacing w:val="0"/>
              <w:jc w:val="center"/>
              <w:rPr>
                <w:rFonts w:eastAsia="Times New Roman" w:cs="Arial"/>
                <w:i/>
                <w:iCs/>
                <w:color w:val="000000"/>
                <w:sz w:val="20"/>
                <w:szCs w:val="20"/>
                <w:lang w:eastAsia="en-GB"/>
              </w:rPr>
            </w:pPr>
            <w:r w:rsidRPr="002D3AA0">
              <w:rPr>
                <w:rFonts w:eastAsia="Times New Roman" w:cs="Arial"/>
                <w:i/>
                <w:iCs/>
                <w:color w:val="000000"/>
                <w:sz w:val="20"/>
                <w:szCs w:val="20"/>
                <w:lang w:eastAsia="en-GB"/>
              </w:rPr>
              <w:t>1: No tpB2C changes</w:t>
            </w:r>
          </w:p>
        </w:tc>
        <w:tc>
          <w:tcPr>
            <w:tcW w:w="1250" w:type="dxa"/>
            <w:tcBorders>
              <w:top w:val="nil"/>
              <w:left w:val="nil"/>
              <w:bottom w:val="single" w:sz="4" w:space="0" w:color="auto"/>
              <w:right w:val="nil"/>
            </w:tcBorders>
            <w:shd w:val="clear" w:color="auto" w:fill="auto"/>
            <w:vAlign w:val="center"/>
            <w:hideMark/>
          </w:tcPr>
          <w:p w14:paraId="568B5EBD" w14:textId="77777777" w:rsidR="002D3AA0" w:rsidRPr="002D3AA0" w:rsidRDefault="002D3AA0" w:rsidP="002D3AA0">
            <w:pPr>
              <w:contextualSpacing w:val="0"/>
              <w:jc w:val="center"/>
              <w:rPr>
                <w:rFonts w:eastAsia="Times New Roman" w:cs="Arial"/>
                <w:i/>
                <w:iCs/>
                <w:color w:val="000000"/>
                <w:sz w:val="20"/>
                <w:szCs w:val="20"/>
                <w:lang w:eastAsia="en-GB"/>
              </w:rPr>
            </w:pPr>
            <w:r w:rsidRPr="002D3AA0">
              <w:rPr>
                <w:rFonts w:eastAsia="Times New Roman" w:cs="Arial"/>
                <w:i/>
                <w:iCs/>
                <w:color w:val="000000"/>
                <w:sz w:val="20"/>
                <w:szCs w:val="20"/>
                <w:lang w:eastAsia="en-GB"/>
              </w:rPr>
              <w:t>2: No intervention gains</w:t>
            </w:r>
          </w:p>
        </w:tc>
        <w:tc>
          <w:tcPr>
            <w:tcW w:w="1262" w:type="dxa"/>
            <w:tcBorders>
              <w:top w:val="nil"/>
              <w:left w:val="nil"/>
              <w:bottom w:val="single" w:sz="4" w:space="0" w:color="auto"/>
              <w:right w:val="nil"/>
            </w:tcBorders>
            <w:shd w:val="clear" w:color="auto" w:fill="auto"/>
            <w:vAlign w:val="center"/>
            <w:hideMark/>
          </w:tcPr>
          <w:p w14:paraId="3BBE61B6" w14:textId="77777777" w:rsidR="002D3AA0" w:rsidRPr="002D3AA0" w:rsidRDefault="002D3AA0" w:rsidP="002D3AA0">
            <w:pPr>
              <w:contextualSpacing w:val="0"/>
              <w:jc w:val="center"/>
              <w:rPr>
                <w:rFonts w:eastAsia="Times New Roman" w:cs="Arial"/>
                <w:i/>
                <w:iCs/>
                <w:color w:val="000000"/>
                <w:sz w:val="20"/>
                <w:szCs w:val="20"/>
                <w:lang w:eastAsia="en-GB"/>
              </w:rPr>
            </w:pPr>
            <w:r w:rsidRPr="002D3AA0">
              <w:rPr>
                <w:rFonts w:eastAsia="Times New Roman" w:cs="Arial"/>
                <w:i/>
                <w:iCs/>
                <w:color w:val="000000"/>
                <w:sz w:val="20"/>
                <w:szCs w:val="20"/>
                <w:lang w:eastAsia="en-GB"/>
              </w:rPr>
              <w:t>3: Intervention gains for 2 years</w:t>
            </w:r>
          </w:p>
        </w:tc>
        <w:tc>
          <w:tcPr>
            <w:tcW w:w="1262" w:type="dxa"/>
            <w:tcBorders>
              <w:top w:val="nil"/>
              <w:left w:val="nil"/>
              <w:bottom w:val="single" w:sz="4" w:space="0" w:color="auto"/>
              <w:right w:val="nil"/>
            </w:tcBorders>
            <w:shd w:val="clear" w:color="auto" w:fill="auto"/>
            <w:vAlign w:val="center"/>
            <w:hideMark/>
          </w:tcPr>
          <w:p w14:paraId="11B74FEC" w14:textId="77777777" w:rsidR="002D3AA0" w:rsidRPr="002D3AA0" w:rsidRDefault="002D3AA0" w:rsidP="002D3AA0">
            <w:pPr>
              <w:contextualSpacing w:val="0"/>
              <w:jc w:val="center"/>
              <w:rPr>
                <w:rFonts w:eastAsia="Times New Roman" w:cs="Arial"/>
                <w:i/>
                <w:iCs/>
                <w:color w:val="000000"/>
                <w:sz w:val="20"/>
                <w:szCs w:val="20"/>
                <w:lang w:eastAsia="en-GB"/>
              </w:rPr>
            </w:pPr>
            <w:r w:rsidRPr="002D3AA0">
              <w:rPr>
                <w:rFonts w:eastAsia="Times New Roman" w:cs="Arial"/>
                <w:i/>
                <w:iCs/>
                <w:color w:val="000000"/>
                <w:sz w:val="20"/>
                <w:szCs w:val="20"/>
                <w:lang w:eastAsia="en-GB"/>
              </w:rPr>
              <w:t>4: Intervention gains over 10 year period</w:t>
            </w:r>
          </w:p>
        </w:tc>
        <w:tc>
          <w:tcPr>
            <w:tcW w:w="1062" w:type="dxa"/>
            <w:tcBorders>
              <w:top w:val="nil"/>
              <w:left w:val="single" w:sz="4" w:space="0" w:color="auto"/>
              <w:bottom w:val="nil"/>
              <w:right w:val="nil"/>
            </w:tcBorders>
            <w:shd w:val="clear" w:color="auto" w:fill="auto"/>
            <w:vAlign w:val="center"/>
            <w:hideMark/>
          </w:tcPr>
          <w:p w14:paraId="4081CB2E" w14:textId="77777777" w:rsidR="002D3AA0" w:rsidRPr="002D3AA0" w:rsidRDefault="002D3AA0" w:rsidP="002D3AA0">
            <w:pPr>
              <w:contextualSpacing w:val="0"/>
              <w:jc w:val="center"/>
              <w:rPr>
                <w:rFonts w:eastAsia="Times New Roman" w:cs="Arial"/>
                <w:i/>
                <w:iCs/>
                <w:color w:val="000000"/>
                <w:sz w:val="20"/>
                <w:szCs w:val="20"/>
                <w:lang w:eastAsia="en-GB"/>
              </w:rPr>
            </w:pPr>
            <w:r w:rsidRPr="002D3AA0">
              <w:rPr>
                <w:rFonts w:eastAsia="Times New Roman" w:cs="Arial"/>
                <w:i/>
                <w:iCs/>
                <w:color w:val="000000"/>
                <w:sz w:val="20"/>
                <w:szCs w:val="20"/>
                <w:lang w:eastAsia="en-GB"/>
              </w:rPr>
              <w:t>5: Individual sessions only</w:t>
            </w:r>
          </w:p>
        </w:tc>
        <w:tc>
          <w:tcPr>
            <w:tcW w:w="1050" w:type="dxa"/>
            <w:tcBorders>
              <w:top w:val="nil"/>
              <w:left w:val="nil"/>
              <w:bottom w:val="nil"/>
              <w:right w:val="nil"/>
            </w:tcBorders>
            <w:shd w:val="clear" w:color="auto" w:fill="auto"/>
            <w:vAlign w:val="center"/>
            <w:hideMark/>
          </w:tcPr>
          <w:p w14:paraId="4E5C7143" w14:textId="77777777" w:rsidR="002D3AA0" w:rsidRPr="002D3AA0" w:rsidRDefault="002D3AA0" w:rsidP="002D3AA0">
            <w:pPr>
              <w:contextualSpacing w:val="0"/>
              <w:jc w:val="center"/>
              <w:rPr>
                <w:rFonts w:eastAsia="Times New Roman" w:cs="Arial"/>
                <w:i/>
                <w:iCs/>
                <w:color w:val="000000"/>
                <w:sz w:val="20"/>
                <w:szCs w:val="20"/>
                <w:lang w:eastAsia="en-GB"/>
              </w:rPr>
            </w:pPr>
            <w:r w:rsidRPr="002D3AA0">
              <w:rPr>
                <w:rFonts w:eastAsia="Times New Roman" w:cs="Arial"/>
                <w:i/>
                <w:iCs/>
                <w:color w:val="000000"/>
                <w:sz w:val="20"/>
                <w:szCs w:val="20"/>
                <w:lang w:eastAsia="en-GB"/>
              </w:rPr>
              <w:t>6:  80% group 20% individual sessions</w:t>
            </w:r>
          </w:p>
        </w:tc>
        <w:tc>
          <w:tcPr>
            <w:tcW w:w="939" w:type="dxa"/>
            <w:tcBorders>
              <w:top w:val="nil"/>
              <w:left w:val="nil"/>
              <w:bottom w:val="nil"/>
              <w:right w:val="nil"/>
            </w:tcBorders>
            <w:shd w:val="clear" w:color="auto" w:fill="auto"/>
            <w:vAlign w:val="center"/>
            <w:hideMark/>
          </w:tcPr>
          <w:p w14:paraId="4B71F11B" w14:textId="77777777" w:rsidR="002D3AA0" w:rsidRPr="002D3AA0" w:rsidRDefault="002D3AA0" w:rsidP="002D3AA0">
            <w:pPr>
              <w:contextualSpacing w:val="0"/>
              <w:jc w:val="center"/>
              <w:rPr>
                <w:rFonts w:eastAsia="Times New Roman" w:cs="Arial"/>
                <w:i/>
                <w:iCs/>
                <w:color w:val="000000"/>
                <w:sz w:val="20"/>
                <w:szCs w:val="20"/>
                <w:lang w:eastAsia="en-GB"/>
              </w:rPr>
            </w:pPr>
            <w:r w:rsidRPr="002D3AA0">
              <w:rPr>
                <w:rFonts w:eastAsia="Times New Roman" w:cs="Arial"/>
                <w:i/>
                <w:iCs/>
                <w:color w:val="000000"/>
                <w:sz w:val="20"/>
                <w:szCs w:val="20"/>
                <w:lang w:eastAsia="en-GB"/>
              </w:rPr>
              <w:t>7: 1/2 of UKATT crime savings</w:t>
            </w:r>
          </w:p>
        </w:tc>
        <w:tc>
          <w:tcPr>
            <w:tcW w:w="939" w:type="dxa"/>
            <w:tcBorders>
              <w:top w:val="nil"/>
              <w:left w:val="nil"/>
              <w:bottom w:val="nil"/>
              <w:right w:val="single" w:sz="4" w:space="0" w:color="auto"/>
            </w:tcBorders>
            <w:shd w:val="clear" w:color="auto" w:fill="auto"/>
            <w:vAlign w:val="center"/>
            <w:hideMark/>
          </w:tcPr>
          <w:p w14:paraId="6D3B6382" w14:textId="77777777" w:rsidR="002D3AA0" w:rsidRPr="002D3AA0" w:rsidRDefault="002D3AA0" w:rsidP="002D3AA0">
            <w:pPr>
              <w:contextualSpacing w:val="0"/>
              <w:jc w:val="center"/>
              <w:rPr>
                <w:rFonts w:eastAsia="Times New Roman" w:cs="Arial"/>
                <w:i/>
                <w:iCs/>
                <w:color w:val="000000"/>
                <w:sz w:val="20"/>
                <w:szCs w:val="20"/>
                <w:lang w:eastAsia="en-GB"/>
              </w:rPr>
            </w:pPr>
            <w:r w:rsidRPr="002D3AA0">
              <w:rPr>
                <w:rFonts w:eastAsia="Times New Roman" w:cs="Arial"/>
                <w:i/>
                <w:iCs/>
                <w:color w:val="000000"/>
                <w:sz w:val="20"/>
                <w:szCs w:val="20"/>
                <w:lang w:eastAsia="en-GB"/>
              </w:rPr>
              <w:t>8: no UKATT crime savings</w:t>
            </w:r>
          </w:p>
        </w:tc>
        <w:tc>
          <w:tcPr>
            <w:tcW w:w="1262" w:type="dxa"/>
            <w:tcBorders>
              <w:top w:val="nil"/>
              <w:left w:val="nil"/>
              <w:bottom w:val="nil"/>
              <w:right w:val="single" w:sz="4" w:space="0" w:color="auto"/>
            </w:tcBorders>
            <w:shd w:val="clear" w:color="auto" w:fill="auto"/>
            <w:vAlign w:val="center"/>
            <w:hideMark/>
          </w:tcPr>
          <w:p w14:paraId="1A65761A" w14:textId="77777777" w:rsidR="002D3AA0" w:rsidRPr="002D3AA0" w:rsidRDefault="002D3AA0" w:rsidP="002D3AA0">
            <w:pPr>
              <w:contextualSpacing w:val="0"/>
              <w:jc w:val="center"/>
              <w:rPr>
                <w:rFonts w:eastAsia="Times New Roman" w:cs="Arial"/>
                <w:i/>
                <w:iCs/>
                <w:color w:val="000000"/>
                <w:sz w:val="20"/>
                <w:szCs w:val="20"/>
                <w:lang w:eastAsia="en-GB"/>
              </w:rPr>
            </w:pPr>
            <w:r w:rsidRPr="002D3AA0">
              <w:rPr>
                <w:rFonts w:eastAsia="Times New Roman" w:cs="Arial"/>
                <w:i/>
                <w:iCs/>
                <w:color w:val="000000"/>
                <w:sz w:val="20"/>
                <w:szCs w:val="20"/>
                <w:lang w:eastAsia="en-GB"/>
              </w:rPr>
              <w:t>9: 3.5% discount</w:t>
            </w:r>
          </w:p>
        </w:tc>
        <w:tc>
          <w:tcPr>
            <w:tcW w:w="1295" w:type="dxa"/>
            <w:vMerge/>
            <w:tcBorders>
              <w:top w:val="nil"/>
              <w:left w:val="nil"/>
              <w:bottom w:val="single" w:sz="4" w:space="0" w:color="000000"/>
              <w:right w:val="nil"/>
            </w:tcBorders>
            <w:vAlign w:val="center"/>
            <w:hideMark/>
          </w:tcPr>
          <w:p w14:paraId="4170914C" w14:textId="77777777" w:rsidR="002D3AA0" w:rsidRPr="002D3AA0" w:rsidRDefault="002D3AA0" w:rsidP="002D3AA0">
            <w:pPr>
              <w:contextualSpacing w:val="0"/>
              <w:rPr>
                <w:rFonts w:eastAsia="Times New Roman" w:cs="Arial"/>
                <w:color w:val="000000"/>
                <w:sz w:val="20"/>
                <w:szCs w:val="20"/>
                <w:lang w:eastAsia="en-GB"/>
              </w:rPr>
            </w:pPr>
          </w:p>
        </w:tc>
      </w:tr>
      <w:tr w:rsidR="0050479F" w:rsidRPr="002D3AA0" w14:paraId="09613BB7" w14:textId="77777777" w:rsidTr="0050479F">
        <w:trPr>
          <w:trHeight w:val="510"/>
        </w:trPr>
        <w:tc>
          <w:tcPr>
            <w:tcW w:w="1261" w:type="dxa"/>
            <w:tcBorders>
              <w:top w:val="nil"/>
              <w:left w:val="nil"/>
              <w:bottom w:val="nil"/>
              <w:right w:val="single" w:sz="4" w:space="0" w:color="auto"/>
            </w:tcBorders>
            <w:shd w:val="clear" w:color="auto" w:fill="auto"/>
            <w:vAlign w:val="center"/>
            <w:hideMark/>
          </w:tcPr>
          <w:p w14:paraId="35D3C1AF" w14:textId="77777777" w:rsidR="0050479F" w:rsidRPr="002D3AA0" w:rsidRDefault="0050479F" w:rsidP="0050479F">
            <w:pPr>
              <w:contextualSpacing w:val="0"/>
              <w:rPr>
                <w:rFonts w:eastAsia="Times New Roman" w:cs="Arial"/>
                <w:color w:val="000000"/>
                <w:sz w:val="20"/>
                <w:szCs w:val="20"/>
                <w:lang w:eastAsia="en-GB"/>
              </w:rPr>
            </w:pPr>
            <w:r w:rsidRPr="002D3AA0">
              <w:rPr>
                <w:rFonts w:eastAsia="Times New Roman" w:cs="Arial"/>
                <w:color w:val="000000"/>
                <w:sz w:val="20"/>
                <w:szCs w:val="20"/>
                <w:lang w:eastAsia="en-GB"/>
              </w:rPr>
              <w:t xml:space="preserve">Incremental </w:t>
            </w:r>
            <w:r w:rsidRPr="002D3AA0">
              <w:rPr>
                <w:rFonts w:eastAsia="Times New Roman" w:cs="Arial"/>
                <w:color w:val="000000"/>
                <w:sz w:val="20"/>
                <w:szCs w:val="20"/>
                <w:lang w:eastAsia="en-GB"/>
              </w:rPr>
              <w:br/>
              <w:t>costs</w:t>
            </w:r>
          </w:p>
        </w:tc>
        <w:tc>
          <w:tcPr>
            <w:tcW w:w="939" w:type="dxa"/>
            <w:tcBorders>
              <w:top w:val="nil"/>
              <w:left w:val="nil"/>
              <w:bottom w:val="nil"/>
              <w:right w:val="single" w:sz="4" w:space="0" w:color="auto"/>
            </w:tcBorders>
            <w:shd w:val="clear" w:color="auto" w:fill="auto"/>
            <w:vAlign w:val="center"/>
            <w:hideMark/>
          </w:tcPr>
          <w:p w14:paraId="17BA3596" w14:textId="4B8F3694"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w:t>
            </w:r>
            <w:r>
              <w:rPr>
                <w:rFonts w:cs="Arial"/>
                <w:color w:val="000000"/>
                <w:sz w:val="20"/>
                <w:szCs w:val="20"/>
              </w:rPr>
              <w:t>197</w:t>
            </w:r>
          </w:p>
        </w:tc>
        <w:tc>
          <w:tcPr>
            <w:tcW w:w="1284" w:type="dxa"/>
            <w:tcBorders>
              <w:top w:val="nil"/>
              <w:left w:val="nil"/>
              <w:bottom w:val="nil"/>
              <w:right w:val="single" w:sz="4" w:space="0" w:color="auto"/>
            </w:tcBorders>
            <w:shd w:val="clear" w:color="auto" w:fill="auto"/>
            <w:vAlign w:val="center"/>
            <w:hideMark/>
          </w:tcPr>
          <w:p w14:paraId="5DA67B41" w14:textId="05087C86"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w:t>
            </w:r>
            <w:r>
              <w:rPr>
                <w:rFonts w:cs="Arial"/>
                <w:color w:val="000000"/>
                <w:sz w:val="20"/>
                <w:szCs w:val="20"/>
              </w:rPr>
              <w:t>197</w:t>
            </w:r>
          </w:p>
        </w:tc>
        <w:tc>
          <w:tcPr>
            <w:tcW w:w="1250" w:type="dxa"/>
            <w:tcBorders>
              <w:top w:val="nil"/>
              <w:left w:val="nil"/>
              <w:bottom w:val="nil"/>
              <w:right w:val="nil"/>
            </w:tcBorders>
            <w:shd w:val="clear" w:color="auto" w:fill="auto"/>
            <w:vAlign w:val="center"/>
            <w:hideMark/>
          </w:tcPr>
          <w:p w14:paraId="56D35C8E" w14:textId="0F063286"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w:t>
            </w:r>
            <w:r>
              <w:rPr>
                <w:rFonts w:cs="Arial"/>
                <w:color w:val="000000"/>
                <w:sz w:val="20"/>
                <w:szCs w:val="20"/>
              </w:rPr>
              <w:t>197</w:t>
            </w:r>
          </w:p>
        </w:tc>
        <w:tc>
          <w:tcPr>
            <w:tcW w:w="1262" w:type="dxa"/>
            <w:tcBorders>
              <w:top w:val="nil"/>
              <w:left w:val="nil"/>
              <w:bottom w:val="nil"/>
              <w:right w:val="nil"/>
            </w:tcBorders>
            <w:shd w:val="clear" w:color="auto" w:fill="auto"/>
            <w:vAlign w:val="center"/>
            <w:hideMark/>
          </w:tcPr>
          <w:p w14:paraId="05929BAA" w14:textId="03D9B305"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w:t>
            </w:r>
            <w:r>
              <w:rPr>
                <w:rFonts w:cs="Arial"/>
                <w:color w:val="000000"/>
                <w:sz w:val="20"/>
                <w:szCs w:val="20"/>
              </w:rPr>
              <w:t>197</w:t>
            </w:r>
          </w:p>
        </w:tc>
        <w:tc>
          <w:tcPr>
            <w:tcW w:w="1262" w:type="dxa"/>
            <w:tcBorders>
              <w:top w:val="nil"/>
              <w:left w:val="nil"/>
              <w:bottom w:val="nil"/>
              <w:right w:val="nil"/>
            </w:tcBorders>
            <w:shd w:val="clear" w:color="auto" w:fill="auto"/>
            <w:vAlign w:val="center"/>
            <w:hideMark/>
          </w:tcPr>
          <w:p w14:paraId="646A87B2" w14:textId="3CAB03B1"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w:t>
            </w:r>
            <w:r>
              <w:rPr>
                <w:rFonts w:cs="Arial"/>
                <w:color w:val="000000"/>
                <w:sz w:val="20"/>
                <w:szCs w:val="20"/>
              </w:rPr>
              <w:t>197</w:t>
            </w:r>
          </w:p>
        </w:tc>
        <w:tc>
          <w:tcPr>
            <w:tcW w:w="1062" w:type="dxa"/>
            <w:tcBorders>
              <w:top w:val="single" w:sz="4" w:space="0" w:color="auto"/>
              <w:left w:val="single" w:sz="4" w:space="0" w:color="auto"/>
              <w:bottom w:val="nil"/>
              <w:right w:val="nil"/>
            </w:tcBorders>
            <w:shd w:val="clear" w:color="auto" w:fill="auto"/>
            <w:vAlign w:val="center"/>
            <w:hideMark/>
          </w:tcPr>
          <w:p w14:paraId="65E4A7AE" w14:textId="6F7304E3"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£1,197</w:t>
            </w:r>
          </w:p>
        </w:tc>
        <w:tc>
          <w:tcPr>
            <w:tcW w:w="1050" w:type="dxa"/>
            <w:tcBorders>
              <w:top w:val="single" w:sz="4" w:space="0" w:color="auto"/>
              <w:left w:val="nil"/>
              <w:bottom w:val="nil"/>
              <w:right w:val="nil"/>
            </w:tcBorders>
            <w:shd w:val="clear" w:color="auto" w:fill="auto"/>
            <w:vAlign w:val="center"/>
            <w:hideMark/>
          </w:tcPr>
          <w:p w14:paraId="1001AD42" w14:textId="5C6E515E"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£2,600</w:t>
            </w:r>
          </w:p>
        </w:tc>
        <w:tc>
          <w:tcPr>
            <w:tcW w:w="939" w:type="dxa"/>
            <w:tcBorders>
              <w:top w:val="single" w:sz="4" w:space="0" w:color="auto"/>
              <w:left w:val="nil"/>
              <w:bottom w:val="nil"/>
              <w:right w:val="nil"/>
            </w:tcBorders>
            <w:shd w:val="clear" w:color="auto" w:fill="auto"/>
            <w:vAlign w:val="center"/>
            <w:hideMark/>
          </w:tcPr>
          <w:p w14:paraId="2B6077CC" w14:textId="692D6D11"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w:t>
            </w:r>
            <w:r>
              <w:rPr>
                <w:rFonts w:cs="Arial"/>
                <w:color w:val="000000"/>
                <w:sz w:val="20"/>
                <w:szCs w:val="20"/>
              </w:rPr>
              <w:t>500</w:t>
            </w:r>
          </w:p>
        </w:tc>
        <w:tc>
          <w:tcPr>
            <w:tcW w:w="939" w:type="dxa"/>
            <w:tcBorders>
              <w:top w:val="single" w:sz="4" w:space="0" w:color="auto"/>
              <w:left w:val="nil"/>
              <w:bottom w:val="nil"/>
              <w:right w:val="single" w:sz="4" w:space="0" w:color="auto"/>
            </w:tcBorders>
            <w:shd w:val="clear" w:color="auto" w:fill="auto"/>
            <w:vAlign w:val="center"/>
            <w:hideMark/>
          </w:tcPr>
          <w:p w14:paraId="2EE09724" w14:textId="2F7BEE1C"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w:t>
            </w:r>
            <w:r>
              <w:rPr>
                <w:rFonts w:cs="Arial"/>
                <w:color w:val="000000"/>
                <w:sz w:val="20"/>
                <w:szCs w:val="20"/>
              </w:rPr>
              <w:t>197</w:t>
            </w:r>
          </w:p>
        </w:tc>
        <w:tc>
          <w:tcPr>
            <w:tcW w:w="1262" w:type="dxa"/>
            <w:tcBorders>
              <w:top w:val="single" w:sz="4" w:space="0" w:color="auto"/>
              <w:left w:val="nil"/>
              <w:bottom w:val="nil"/>
              <w:right w:val="single" w:sz="4" w:space="0" w:color="auto"/>
            </w:tcBorders>
            <w:shd w:val="clear" w:color="auto" w:fill="auto"/>
            <w:vAlign w:val="center"/>
            <w:hideMark/>
          </w:tcPr>
          <w:p w14:paraId="7913053C" w14:textId="4FF96B0C"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w:t>
            </w:r>
            <w:r>
              <w:rPr>
                <w:rFonts w:cs="Arial"/>
                <w:color w:val="000000"/>
                <w:sz w:val="20"/>
                <w:szCs w:val="20"/>
              </w:rPr>
              <w:t>197</w:t>
            </w:r>
          </w:p>
        </w:tc>
        <w:tc>
          <w:tcPr>
            <w:tcW w:w="1295" w:type="dxa"/>
            <w:tcBorders>
              <w:top w:val="nil"/>
              <w:left w:val="nil"/>
              <w:bottom w:val="nil"/>
              <w:right w:val="nil"/>
            </w:tcBorders>
            <w:shd w:val="clear" w:color="auto" w:fill="auto"/>
            <w:vAlign w:val="center"/>
            <w:hideMark/>
          </w:tcPr>
          <w:p w14:paraId="69BCC1BC"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£1,193</w:t>
            </w:r>
          </w:p>
        </w:tc>
      </w:tr>
      <w:tr w:rsidR="0050479F" w:rsidRPr="002D3AA0" w14:paraId="6B8DE0EC" w14:textId="77777777" w:rsidTr="0050479F">
        <w:trPr>
          <w:trHeight w:val="510"/>
        </w:trPr>
        <w:tc>
          <w:tcPr>
            <w:tcW w:w="1261" w:type="dxa"/>
            <w:tcBorders>
              <w:top w:val="nil"/>
              <w:left w:val="nil"/>
              <w:bottom w:val="nil"/>
              <w:right w:val="single" w:sz="4" w:space="0" w:color="auto"/>
            </w:tcBorders>
            <w:shd w:val="clear" w:color="auto" w:fill="auto"/>
            <w:vAlign w:val="center"/>
            <w:hideMark/>
          </w:tcPr>
          <w:p w14:paraId="723C9CF7" w14:textId="77777777" w:rsidR="0050479F" w:rsidRPr="002D3AA0" w:rsidRDefault="0050479F" w:rsidP="0050479F">
            <w:pPr>
              <w:contextualSpacing w:val="0"/>
              <w:rPr>
                <w:rFonts w:eastAsia="Times New Roman" w:cs="Arial"/>
                <w:color w:val="000000"/>
                <w:sz w:val="20"/>
                <w:szCs w:val="20"/>
                <w:lang w:eastAsia="en-GB"/>
              </w:rPr>
            </w:pPr>
            <w:r w:rsidRPr="002D3AA0">
              <w:rPr>
                <w:rFonts w:eastAsia="Times New Roman" w:cs="Arial"/>
                <w:color w:val="000000"/>
                <w:sz w:val="20"/>
                <w:szCs w:val="20"/>
                <w:lang w:eastAsia="en-GB"/>
              </w:rPr>
              <w:t>Incremental public sector savings</w:t>
            </w:r>
          </w:p>
        </w:tc>
        <w:tc>
          <w:tcPr>
            <w:tcW w:w="939" w:type="dxa"/>
            <w:tcBorders>
              <w:top w:val="nil"/>
              <w:left w:val="nil"/>
              <w:bottom w:val="nil"/>
              <w:right w:val="single" w:sz="4" w:space="0" w:color="auto"/>
            </w:tcBorders>
            <w:shd w:val="clear" w:color="auto" w:fill="auto"/>
            <w:vAlign w:val="center"/>
            <w:hideMark/>
          </w:tcPr>
          <w:p w14:paraId="1A5EA67F"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£906</w:t>
            </w:r>
          </w:p>
        </w:tc>
        <w:tc>
          <w:tcPr>
            <w:tcW w:w="1284" w:type="dxa"/>
            <w:tcBorders>
              <w:top w:val="nil"/>
              <w:left w:val="nil"/>
              <w:bottom w:val="nil"/>
              <w:right w:val="single" w:sz="4" w:space="0" w:color="auto"/>
            </w:tcBorders>
            <w:shd w:val="clear" w:color="auto" w:fill="auto"/>
            <w:vAlign w:val="center"/>
            <w:hideMark/>
          </w:tcPr>
          <w:p w14:paraId="3C2605DE"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£260</w:t>
            </w:r>
          </w:p>
        </w:tc>
        <w:tc>
          <w:tcPr>
            <w:tcW w:w="1250" w:type="dxa"/>
            <w:tcBorders>
              <w:top w:val="nil"/>
              <w:left w:val="nil"/>
              <w:bottom w:val="nil"/>
              <w:right w:val="nil"/>
            </w:tcBorders>
            <w:shd w:val="clear" w:color="auto" w:fill="auto"/>
            <w:vAlign w:val="center"/>
            <w:hideMark/>
          </w:tcPr>
          <w:p w14:paraId="19BBE42D"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£906</w:t>
            </w:r>
          </w:p>
        </w:tc>
        <w:tc>
          <w:tcPr>
            <w:tcW w:w="1262" w:type="dxa"/>
            <w:tcBorders>
              <w:top w:val="nil"/>
              <w:left w:val="nil"/>
              <w:bottom w:val="nil"/>
              <w:right w:val="nil"/>
            </w:tcBorders>
            <w:shd w:val="clear" w:color="auto" w:fill="auto"/>
            <w:vAlign w:val="center"/>
            <w:hideMark/>
          </w:tcPr>
          <w:p w14:paraId="582D539C"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£906</w:t>
            </w:r>
          </w:p>
        </w:tc>
        <w:tc>
          <w:tcPr>
            <w:tcW w:w="1262" w:type="dxa"/>
            <w:tcBorders>
              <w:top w:val="nil"/>
              <w:left w:val="nil"/>
              <w:bottom w:val="nil"/>
              <w:right w:val="nil"/>
            </w:tcBorders>
            <w:shd w:val="clear" w:color="auto" w:fill="auto"/>
            <w:vAlign w:val="center"/>
            <w:hideMark/>
          </w:tcPr>
          <w:p w14:paraId="5DED6987"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£906</w:t>
            </w:r>
          </w:p>
        </w:tc>
        <w:tc>
          <w:tcPr>
            <w:tcW w:w="1062" w:type="dxa"/>
            <w:tcBorders>
              <w:top w:val="nil"/>
              <w:left w:val="single" w:sz="4" w:space="0" w:color="auto"/>
              <w:bottom w:val="nil"/>
              <w:right w:val="nil"/>
            </w:tcBorders>
            <w:shd w:val="clear" w:color="auto" w:fill="auto"/>
            <w:vAlign w:val="center"/>
            <w:hideMark/>
          </w:tcPr>
          <w:p w14:paraId="77F6426C"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£906</w:t>
            </w:r>
          </w:p>
        </w:tc>
        <w:tc>
          <w:tcPr>
            <w:tcW w:w="1050" w:type="dxa"/>
            <w:tcBorders>
              <w:top w:val="nil"/>
              <w:left w:val="nil"/>
              <w:bottom w:val="nil"/>
              <w:right w:val="nil"/>
            </w:tcBorders>
            <w:shd w:val="clear" w:color="auto" w:fill="auto"/>
            <w:vAlign w:val="center"/>
            <w:hideMark/>
          </w:tcPr>
          <w:p w14:paraId="3D5F1608"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£906</w:t>
            </w:r>
          </w:p>
        </w:tc>
        <w:tc>
          <w:tcPr>
            <w:tcW w:w="939" w:type="dxa"/>
            <w:tcBorders>
              <w:top w:val="nil"/>
              <w:left w:val="nil"/>
              <w:bottom w:val="nil"/>
              <w:right w:val="nil"/>
            </w:tcBorders>
            <w:shd w:val="clear" w:color="auto" w:fill="auto"/>
            <w:vAlign w:val="center"/>
            <w:hideMark/>
          </w:tcPr>
          <w:p w14:paraId="03DD00DC" w14:textId="2A4B8870"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w:t>
            </w:r>
            <w:r>
              <w:rPr>
                <w:rFonts w:cs="Arial"/>
                <w:color w:val="000000"/>
                <w:sz w:val="20"/>
                <w:szCs w:val="20"/>
              </w:rPr>
              <w:t>906</w:t>
            </w:r>
          </w:p>
        </w:tc>
        <w:tc>
          <w:tcPr>
            <w:tcW w:w="939" w:type="dxa"/>
            <w:tcBorders>
              <w:top w:val="nil"/>
              <w:left w:val="nil"/>
              <w:bottom w:val="nil"/>
              <w:right w:val="single" w:sz="4" w:space="0" w:color="auto"/>
            </w:tcBorders>
            <w:shd w:val="clear" w:color="auto" w:fill="auto"/>
            <w:vAlign w:val="center"/>
            <w:hideMark/>
          </w:tcPr>
          <w:p w14:paraId="5076A421" w14:textId="48BE3036"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w:t>
            </w:r>
            <w:r>
              <w:rPr>
                <w:rFonts w:cs="Arial"/>
                <w:color w:val="000000"/>
                <w:sz w:val="20"/>
                <w:szCs w:val="20"/>
              </w:rPr>
              <w:t>453</w:t>
            </w:r>
          </w:p>
        </w:tc>
        <w:tc>
          <w:tcPr>
            <w:tcW w:w="1262" w:type="dxa"/>
            <w:tcBorders>
              <w:top w:val="nil"/>
              <w:left w:val="nil"/>
              <w:bottom w:val="nil"/>
              <w:right w:val="single" w:sz="4" w:space="0" w:color="auto"/>
            </w:tcBorders>
            <w:shd w:val="clear" w:color="auto" w:fill="auto"/>
            <w:vAlign w:val="center"/>
            <w:hideMark/>
          </w:tcPr>
          <w:p w14:paraId="72836645" w14:textId="632CC3B8"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w:t>
            </w:r>
            <w:r>
              <w:rPr>
                <w:rFonts w:cs="Arial"/>
                <w:color w:val="000000"/>
                <w:sz w:val="20"/>
                <w:szCs w:val="20"/>
              </w:rPr>
              <w:t>430</w:t>
            </w:r>
          </w:p>
        </w:tc>
        <w:tc>
          <w:tcPr>
            <w:tcW w:w="1295" w:type="dxa"/>
            <w:tcBorders>
              <w:top w:val="nil"/>
              <w:left w:val="nil"/>
              <w:bottom w:val="nil"/>
              <w:right w:val="nil"/>
            </w:tcBorders>
            <w:shd w:val="clear" w:color="auto" w:fill="auto"/>
            <w:vAlign w:val="center"/>
            <w:hideMark/>
          </w:tcPr>
          <w:p w14:paraId="35F74E91"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£918</w:t>
            </w:r>
          </w:p>
        </w:tc>
      </w:tr>
      <w:tr w:rsidR="0050479F" w:rsidRPr="002D3AA0" w14:paraId="2032732C" w14:textId="77777777" w:rsidTr="0050479F">
        <w:trPr>
          <w:trHeight w:val="510"/>
        </w:trPr>
        <w:tc>
          <w:tcPr>
            <w:tcW w:w="1261" w:type="dxa"/>
            <w:tcBorders>
              <w:top w:val="nil"/>
              <w:left w:val="nil"/>
              <w:bottom w:val="nil"/>
              <w:right w:val="single" w:sz="4" w:space="0" w:color="auto"/>
            </w:tcBorders>
            <w:shd w:val="clear" w:color="auto" w:fill="auto"/>
            <w:vAlign w:val="center"/>
            <w:hideMark/>
          </w:tcPr>
          <w:p w14:paraId="3CFAAC2E" w14:textId="77777777" w:rsidR="0050479F" w:rsidRPr="002D3AA0" w:rsidRDefault="0050479F" w:rsidP="0050479F">
            <w:pPr>
              <w:contextualSpacing w:val="0"/>
              <w:rPr>
                <w:rFonts w:eastAsia="Times New Roman" w:cs="Arial"/>
                <w:color w:val="000000"/>
                <w:sz w:val="20"/>
                <w:szCs w:val="20"/>
                <w:lang w:eastAsia="en-GB"/>
              </w:rPr>
            </w:pPr>
            <w:r w:rsidRPr="002D3AA0">
              <w:rPr>
                <w:rFonts w:eastAsia="Times New Roman" w:cs="Arial"/>
                <w:color w:val="000000"/>
                <w:sz w:val="20"/>
                <w:szCs w:val="20"/>
                <w:lang w:eastAsia="en-GB"/>
              </w:rPr>
              <w:t xml:space="preserve">Incremental </w:t>
            </w:r>
            <w:r w:rsidRPr="002D3AA0">
              <w:rPr>
                <w:rFonts w:eastAsia="Times New Roman" w:cs="Arial"/>
                <w:color w:val="000000"/>
                <w:sz w:val="20"/>
                <w:szCs w:val="20"/>
                <w:lang w:eastAsia="en-GB"/>
              </w:rPr>
              <w:br/>
              <w:t xml:space="preserve">QALYs </w:t>
            </w:r>
          </w:p>
        </w:tc>
        <w:tc>
          <w:tcPr>
            <w:tcW w:w="939" w:type="dxa"/>
            <w:tcBorders>
              <w:top w:val="nil"/>
              <w:left w:val="nil"/>
              <w:bottom w:val="nil"/>
              <w:right w:val="single" w:sz="4" w:space="0" w:color="auto"/>
            </w:tcBorders>
            <w:shd w:val="clear" w:color="auto" w:fill="auto"/>
            <w:vAlign w:val="center"/>
            <w:hideMark/>
          </w:tcPr>
          <w:p w14:paraId="77AC30A8"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0.0456</w:t>
            </w:r>
          </w:p>
        </w:tc>
        <w:tc>
          <w:tcPr>
            <w:tcW w:w="1284" w:type="dxa"/>
            <w:tcBorders>
              <w:top w:val="nil"/>
              <w:left w:val="nil"/>
              <w:bottom w:val="nil"/>
              <w:right w:val="single" w:sz="4" w:space="0" w:color="auto"/>
            </w:tcBorders>
            <w:shd w:val="clear" w:color="auto" w:fill="auto"/>
            <w:vAlign w:val="center"/>
            <w:hideMark/>
          </w:tcPr>
          <w:p w14:paraId="23D395F8"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0.0316</w:t>
            </w:r>
          </w:p>
        </w:tc>
        <w:tc>
          <w:tcPr>
            <w:tcW w:w="1250" w:type="dxa"/>
            <w:tcBorders>
              <w:top w:val="nil"/>
              <w:left w:val="nil"/>
              <w:bottom w:val="nil"/>
              <w:right w:val="nil"/>
            </w:tcBorders>
            <w:shd w:val="clear" w:color="auto" w:fill="auto"/>
            <w:vAlign w:val="center"/>
            <w:hideMark/>
          </w:tcPr>
          <w:p w14:paraId="072D052B"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0.0162</w:t>
            </w:r>
          </w:p>
        </w:tc>
        <w:tc>
          <w:tcPr>
            <w:tcW w:w="1262" w:type="dxa"/>
            <w:tcBorders>
              <w:top w:val="nil"/>
              <w:left w:val="nil"/>
              <w:bottom w:val="nil"/>
              <w:right w:val="nil"/>
            </w:tcBorders>
            <w:shd w:val="clear" w:color="auto" w:fill="auto"/>
            <w:vAlign w:val="center"/>
            <w:hideMark/>
          </w:tcPr>
          <w:p w14:paraId="652BED54"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0.0739</w:t>
            </w:r>
          </w:p>
        </w:tc>
        <w:tc>
          <w:tcPr>
            <w:tcW w:w="1262" w:type="dxa"/>
            <w:tcBorders>
              <w:top w:val="nil"/>
              <w:left w:val="nil"/>
              <w:bottom w:val="nil"/>
              <w:right w:val="nil"/>
            </w:tcBorders>
            <w:shd w:val="clear" w:color="auto" w:fill="auto"/>
            <w:vAlign w:val="center"/>
            <w:hideMark/>
          </w:tcPr>
          <w:p w14:paraId="613C9DE2"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0.2719</w:t>
            </w:r>
          </w:p>
        </w:tc>
        <w:tc>
          <w:tcPr>
            <w:tcW w:w="1062" w:type="dxa"/>
            <w:tcBorders>
              <w:top w:val="nil"/>
              <w:left w:val="single" w:sz="4" w:space="0" w:color="auto"/>
              <w:bottom w:val="nil"/>
              <w:right w:val="nil"/>
            </w:tcBorders>
            <w:shd w:val="clear" w:color="auto" w:fill="auto"/>
            <w:vAlign w:val="center"/>
            <w:hideMark/>
          </w:tcPr>
          <w:p w14:paraId="6D81D64B" w14:textId="0F93FAB2"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w:t>
            </w:r>
            <w:r>
              <w:rPr>
                <w:rFonts w:cs="Arial"/>
                <w:color w:val="000000"/>
                <w:sz w:val="20"/>
                <w:szCs w:val="20"/>
              </w:rPr>
              <w:t>0431</w:t>
            </w:r>
          </w:p>
        </w:tc>
        <w:tc>
          <w:tcPr>
            <w:tcW w:w="1050" w:type="dxa"/>
            <w:tcBorders>
              <w:top w:val="nil"/>
              <w:left w:val="nil"/>
              <w:bottom w:val="nil"/>
              <w:right w:val="nil"/>
            </w:tcBorders>
            <w:shd w:val="clear" w:color="auto" w:fill="auto"/>
            <w:vAlign w:val="center"/>
            <w:hideMark/>
          </w:tcPr>
          <w:p w14:paraId="2906EA5E"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0.0456</w:t>
            </w:r>
          </w:p>
        </w:tc>
        <w:tc>
          <w:tcPr>
            <w:tcW w:w="939" w:type="dxa"/>
            <w:tcBorders>
              <w:top w:val="nil"/>
              <w:left w:val="nil"/>
              <w:bottom w:val="nil"/>
              <w:right w:val="nil"/>
            </w:tcBorders>
            <w:shd w:val="clear" w:color="auto" w:fill="auto"/>
            <w:vAlign w:val="center"/>
            <w:hideMark/>
          </w:tcPr>
          <w:p w14:paraId="0959DA04"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0.0456</w:t>
            </w:r>
          </w:p>
        </w:tc>
        <w:tc>
          <w:tcPr>
            <w:tcW w:w="939" w:type="dxa"/>
            <w:tcBorders>
              <w:top w:val="nil"/>
              <w:left w:val="nil"/>
              <w:bottom w:val="nil"/>
              <w:right w:val="single" w:sz="4" w:space="0" w:color="auto"/>
            </w:tcBorders>
            <w:shd w:val="clear" w:color="auto" w:fill="auto"/>
            <w:vAlign w:val="center"/>
            <w:hideMark/>
          </w:tcPr>
          <w:p w14:paraId="570D71F7"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0.0456</w:t>
            </w:r>
          </w:p>
        </w:tc>
        <w:tc>
          <w:tcPr>
            <w:tcW w:w="1262" w:type="dxa"/>
            <w:tcBorders>
              <w:top w:val="nil"/>
              <w:left w:val="nil"/>
              <w:bottom w:val="nil"/>
              <w:right w:val="single" w:sz="4" w:space="0" w:color="auto"/>
            </w:tcBorders>
            <w:shd w:val="clear" w:color="auto" w:fill="auto"/>
            <w:vAlign w:val="center"/>
            <w:hideMark/>
          </w:tcPr>
          <w:p w14:paraId="39D9F882" w14:textId="42B95F04"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w:t>
            </w:r>
            <w:r>
              <w:rPr>
                <w:rFonts w:cs="Arial"/>
                <w:color w:val="000000"/>
                <w:sz w:val="20"/>
                <w:szCs w:val="20"/>
              </w:rPr>
              <w:t>0456</w:t>
            </w:r>
          </w:p>
        </w:tc>
        <w:tc>
          <w:tcPr>
            <w:tcW w:w="1295" w:type="dxa"/>
            <w:tcBorders>
              <w:top w:val="nil"/>
              <w:left w:val="nil"/>
              <w:bottom w:val="nil"/>
              <w:right w:val="nil"/>
            </w:tcBorders>
            <w:shd w:val="clear" w:color="auto" w:fill="auto"/>
            <w:vAlign w:val="center"/>
            <w:hideMark/>
          </w:tcPr>
          <w:p w14:paraId="7A1F5CA7"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0.0457</w:t>
            </w:r>
          </w:p>
        </w:tc>
      </w:tr>
      <w:tr w:rsidR="0050479F" w:rsidRPr="002D3AA0" w14:paraId="592E7298" w14:textId="77777777" w:rsidTr="0050479F">
        <w:trPr>
          <w:trHeight w:val="510"/>
        </w:trPr>
        <w:tc>
          <w:tcPr>
            <w:tcW w:w="1261" w:type="dxa"/>
            <w:tcBorders>
              <w:top w:val="nil"/>
              <w:left w:val="nil"/>
              <w:bottom w:val="nil"/>
              <w:right w:val="single" w:sz="4" w:space="0" w:color="auto"/>
            </w:tcBorders>
            <w:shd w:val="clear" w:color="auto" w:fill="auto"/>
            <w:vAlign w:val="center"/>
            <w:hideMark/>
          </w:tcPr>
          <w:p w14:paraId="4A79263E" w14:textId="77777777" w:rsidR="0050479F" w:rsidRPr="002D3AA0" w:rsidRDefault="0050479F" w:rsidP="0050479F">
            <w:pPr>
              <w:contextualSpacing w:val="0"/>
              <w:rPr>
                <w:rFonts w:eastAsia="Times New Roman" w:cs="Arial"/>
                <w:color w:val="000000"/>
                <w:sz w:val="20"/>
                <w:szCs w:val="20"/>
                <w:lang w:eastAsia="en-GB"/>
              </w:rPr>
            </w:pPr>
            <w:r w:rsidRPr="002D3AA0">
              <w:rPr>
                <w:rFonts w:eastAsia="Times New Roman" w:cs="Arial"/>
                <w:color w:val="000000"/>
                <w:sz w:val="20"/>
                <w:szCs w:val="20"/>
                <w:lang w:eastAsia="en-GB"/>
              </w:rPr>
              <w:t xml:space="preserve">ICER </w:t>
            </w:r>
          </w:p>
        </w:tc>
        <w:tc>
          <w:tcPr>
            <w:tcW w:w="939" w:type="dxa"/>
            <w:tcBorders>
              <w:top w:val="nil"/>
              <w:left w:val="nil"/>
              <w:bottom w:val="nil"/>
              <w:right w:val="single" w:sz="4" w:space="0" w:color="auto"/>
            </w:tcBorders>
            <w:shd w:val="clear" w:color="auto" w:fill="auto"/>
            <w:noWrap/>
            <w:vAlign w:val="center"/>
            <w:hideMark/>
          </w:tcPr>
          <w:p w14:paraId="24BCE866" w14:textId="0F0BBDCA"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£26,</w:t>
            </w:r>
            <w:r>
              <w:rPr>
                <w:rFonts w:cs="Arial"/>
                <w:color w:val="000000"/>
                <w:sz w:val="20"/>
                <w:szCs w:val="20"/>
              </w:rPr>
              <w:t>264</w:t>
            </w:r>
          </w:p>
        </w:tc>
        <w:tc>
          <w:tcPr>
            <w:tcW w:w="1284" w:type="dxa"/>
            <w:tcBorders>
              <w:top w:val="nil"/>
              <w:left w:val="nil"/>
              <w:bottom w:val="nil"/>
              <w:right w:val="single" w:sz="4" w:space="0" w:color="auto"/>
            </w:tcBorders>
            <w:shd w:val="clear" w:color="auto" w:fill="auto"/>
            <w:vAlign w:val="center"/>
            <w:hideMark/>
          </w:tcPr>
          <w:p w14:paraId="7E2C5CA7"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£37,969</w:t>
            </w:r>
          </w:p>
        </w:tc>
        <w:tc>
          <w:tcPr>
            <w:tcW w:w="1250" w:type="dxa"/>
            <w:tcBorders>
              <w:top w:val="nil"/>
              <w:left w:val="nil"/>
              <w:bottom w:val="nil"/>
              <w:right w:val="nil"/>
            </w:tcBorders>
            <w:shd w:val="clear" w:color="auto" w:fill="auto"/>
            <w:vAlign w:val="center"/>
            <w:hideMark/>
          </w:tcPr>
          <w:p w14:paraId="06EB7D70" w14:textId="447BA07E"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£73,885</w:t>
            </w:r>
          </w:p>
        </w:tc>
        <w:tc>
          <w:tcPr>
            <w:tcW w:w="1262" w:type="dxa"/>
            <w:tcBorders>
              <w:top w:val="nil"/>
              <w:left w:val="nil"/>
              <w:bottom w:val="nil"/>
              <w:right w:val="nil"/>
            </w:tcBorders>
            <w:shd w:val="clear" w:color="auto" w:fill="auto"/>
            <w:vAlign w:val="center"/>
            <w:hideMark/>
          </w:tcPr>
          <w:p w14:paraId="1337F474" w14:textId="15058E90"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£16,</w:t>
            </w:r>
            <w:r>
              <w:rPr>
                <w:rFonts w:cs="Arial"/>
                <w:color w:val="000000"/>
                <w:sz w:val="20"/>
                <w:szCs w:val="20"/>
              </w:rPr>
              <w:t>210</w:t>
            </w:r>
          </w:p>
        </w:tc>
        <w:tc>
          <w:tcPr>
            <w:tcW w:w="1262" w:type="dxa"/>
            <w:tcBorders>
              <w:top w:val="nil"/>
              <w:left w:val="nil"/>
              <w:bottom w:val="nil"/>
              <w:right w:val="nil"/>
            </w:tcBorders>
            <w:shd w:val="clear" w:color="auto" w:fill="auto"/>
            <w:vAlign w:val="center"/>
            <w:hideMark/>
          </w:tcPr>
          <w:p w14:paraId="64A9B38C" w14:textId="1E4692EC"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£4,</w:t>
            </w:r>
            <w:r>
              <w:rPr>
                <w:rFonts w:cs="Arial"/>
                <w:color w:val="000000"/>
                <w:sz w:val="20"/>
                <w:szCs w:val="20"/>
              </w:rPr>
              <w:t>403</w:t>
            </w:r>
          </w:p>
        </w:tc>
        <w:tc>
          <w:tcPr>
            <w:tcW w:w="1062" w:type="dxa"/>
            <w:tcBorders>
              <w:top w:val="nil"/>
              <w:left w:val="single" w:sz="4" w:space="0" w:color="auto"/>
              <w:bottom w:val="nil"/>
              <w:right w:val="nil"/>
            </w:tcBorders>
            <w:shd w:val="clear" w:color="auto" w:fill="auto"/>
            <w:vAlign w:val="center"/>
            <w:hideMark/>
          </w:tcPr>
          <w:p w14:paraId="5D59DE8B" w14:textId="6E20B74F"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£27,762</w:t>
            </w:r>
          </w:p>
        </w:tc>
        <w:tc>
          <w:tcPr>
            <w:tcW w:w="1050" w:type="dxa"/>
            <w:tcBorders>
              <w:top w:val="nil"/>
              <w:left w:val="nil"/>
              <w:bottom w:val="nil"/>
              <w:right w:val="nil"/>
            </w:tcBorders>
            <w:shd w:val="clear" w:color="auto" w:fill="auto"/>
            <w:noWrap/>
            <w:vAlign w:val="center"/>
            <w:hideMark/>
          </w:tcPr>
          <w:p w14:paraId="5BBB6EC9" w14:textId="4870D75C"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£56,978</w:t>
            </w:r>
          </w:p>
        </w:tc>
        <w:tc>
          <w:tcPr>
            <w:tcW w:w="939" w:type="dxa"/>
            <w:tcBorders>
              <w:top w:val="nil"/>
              <w:left w:val="nil"/>
              <w:bottom w:val="nil"/>
              <w:right w:val="nil"/>
            </w:tcBorders>
            <w:shd w:val="clear" w:color="auto" w:fill="auto"/>
            <w:vAlign w:val="center"/>
            <w:hideMark/>
          </w:tcPr>
          <w:p w14:paraId="4095EB43" w14:textId="01975304"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£32,872</w:t>
            </w:r>
          </w:p>
        </w:tc>
        <w:tc>
          <w:tcPr>
            <w:tcW w:w="939" w:type="dxa"/>
            <w:tcBorders>
              <w:top w:val="nil"/>
              <w:left w:val="nil"/>
              <w:bottom w:val="nil"/>
              <w:right w:val="single" w:sz="4" w:space="0" w:color="auto"/>
            </w:tcBorders>
            <w:shd w:val="clear" w:color="auto" w:fill="auto"/>
            <w:vAlign w:val="center"/>
            <w:hideMark/>
          </w:tcPr>
          <w:p w14:paraId="526F45CD" w14:textId="4AACA26E"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£26,</w:t>
            </w:r>
            <w:r>
              <w:rPr>
                <w:rFonts w:cs="Arial"/>
                <w:color w:val="000000"/>
                <w:sz w:val="20"/>
                <w:szCs w:val="20"/>
              </w:rPr>
              <w:t>237</w:t>
            </w:r>
          </w:p>
        </w:tc>
        <w:tc>
          <w:tcPr>
            <w:tcW w:w="1262" w:type="dxa"/>
            <w:tcBorders>
              <w:top w:val="nil"/>
              <w:left w:val="nil"/>
              <w:bottom w:val="nil"/>
              <w:right w:val="single" w:sz="4" w:space="0" w:color="auto"/>
            </w:tcBorders>
            <w:shd w:val="clear" w:color="auto" w:fill="auto"/>
            <w:vAlign w:val="center"/>
            <w:hideMark/>
          </w:tcPr>
          <w:p w14:paraId="11D5A8DC" w14:textId="4438DA5D"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£26,237</w:t>
            </w:r>
          </w:p>
        </w:tc>
        <w:tc>
          <w:tcPr>
            <w:tcW w:w="1295" w:type="dxa"/>
            <w:tcBorders>
              <w:top w:val="nil"/>
              <w:left w:val="nil"/>
              <w:bottom w:val="nil"/>
              <w:right w:val="nil"/>
            </w:tcBorders>
            <w:shd w:val="clear" w:color="auto" w:fill="auto"/>
            <w:vAlign w:val="center"/>
            <w:hideMark/>
          </w:tcPr>
          <w:p w14:paraId="4CBBBC2A"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£26,108</w:t>
            </w:r>
          </w:p>
        </w:tc>
      </w:tr>
      <w:tr w:rsidR="0050479F" w:rsidRPr="002D3AA0" w14:paraId="54E98A85" w14:textId="77777777" w:rsidTr="0050479F">
        <w:trPr>
          <w:trHeight w:val="510"/>
        </w:trPr>
        <w:tc>
          <w:tcPr>
            <w:tcW w:w="1261" w:type="dxa"/>
            <w:tcBorders>
              <w:top w:val="nil"/>
              <w:left w:val="nil"/>
              <w:bottom w:val="single" w:sz="4" w:space="0" w:color="auto"/>
              <w:right w:val="single" w:sz="4" w:space="0" w:color="auto"/>
            </w:tcBorders>
            <w:shd w:val="clear" w:color="auto" w:fill="auto"/>
            <w:vAlign w:val="center"/>
            <w:hideMark/>
          </w:tcPr>
          <w:p w14:paraId="65EF1B2A" w14:textId="77777777" w:rsidR="0050479F" w:rsidRPr="002D3AA0" w:rsidRDefault="0050479F" w:rsidP="0050479F">
            <w:pPr>
              <w:contextualSpacing w:val="0"/>
              <w:rPr>
                <w:rFonts w:eastAsia="Times New Roman" w:cs="Arial"/>
                <w:color w:val="000000"/>
                <w:sz w:val="20"/>
                <w:szCs w:val="20"/>
                <w:lang w:eastAsia="en-GB"/>
              </w:rPr>
            </w:pPr>
            <w:r w:rsidRPr="002D3AA0">
              <w:rPr>
                <w:rFonts w:eastAsia="Times New Roman" w:cs="Arial"/>
                <w:color w:val="000000"/>
                <w:sz w:val="20"/>
                <w:szCs w:val="20"/>
                <w:lang w:eastAsia="en-GB"/>
              </w:rPr>
              <w:t>Cost per QALY (public sector)</w:t>
            </w:r>
          </w:p>
        </w:tc>
        <w:tc>
          <w:tcPr>
            <w:tcW w:w="939" w:type="dxa"/>
            <w:tcBorders>
              <w:top w:val="nil"/>
              <w:left w:val="nil"/>
              <w:bottom w:val="single" w:sz="4" w:space="0" w:color="auto"/>
              <w:right w:val="single" w:sz="4" w:space="0" w:color="auto"/>
            </w:tcBorders>
            <w:shd w:val="clear" w:color="auto" w:fill="auto"/>
            <w:vAlign w:val="center"/>
            <w:hideMark/>
          </w:tcPr>
          <w:p w14:paraId="20F21451" w14:textId="1FE01D0E"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£6,</w:t>
            </w:r>
            <w:r>
              <w:rPr>
                <w:rFonts w:cs="Arial"/>
                <w:color w:val="000000"/>
                <w:sz w:val="20"/>
                <w:szCs w:val="20"/>
              </w:rPr>
              <w:t>384</w:t>
            </w:r>
          </w:p>
        </w:tc>
        <w:tc>
          <w:tcPr>
            <w:tcW w:w="1284" w:type="dxa"/>
            <w:tcBorders>
              <w:top w:val="nil"/>
              <w:left w:val="nil"/>
              <w:bottom w:val="single" w:sz="4" w:space="0" w:color="auto"/>
              <w:right w:val="single" w:sz="4" w:space="0" w:color="auto"/>
            </w:tcBorders>
            <w:shd w:val="clear" w:color="auto" w:fill="auto"/>
            <w:noWrap/>
            <w:vAlign w:val="center"/>
            <w:hideMark/>
          </w:tcPr>
          <w:p w14:paraId="02023D26"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£29,730</w:t>
            </w:r>
          </w:p>
        </w:tc>
        <w:tc>
          <w:tcPr>
            <w:tcW w:w="1250" w:type="dxa"/>
            <w:tcBorders>
              <w:top w:val="nil"/>
              <w:left w:val="nil"/>
              <w:bottom w:val="single" w:sz="4" w:space="0" w:color="auto"/>
              <w:right w:val="nil"/>
            </w:tcBorders>
            <w:shd w:val="clear" w:color="auto" w:fill="auto"/>
            <w:noWrap/>
            <w:vAlign w:val="center"/>
            <w:hideMark/>
          </w:tcPr>
          <w:p w14:paraId="2AF0867D" w14:textId="748D4459"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£17,959</w:t>
            </w:r>
          </w:p>
        </w:tc>
        <w:tc>
          <w:tcPr>
            <w:tcW w:w="1262" w:type="dxa"/>
            <w:tcBorders>
              <w:top w:val="nil"/>
              <w:left w:val="nil"/>
              <w:bottom w:val="single" w:sz="4" w:space="0" w:color="auto"/>
              <w:right w:val="nil"/>
            </w:tcBorders>
            <w:shd w:val="clear" w:color="auto" w:fill="auto"/>
            <w:noWrap/>
            <w:vAlign w:val="center"/>
            <w:hideMark/>
          </w:tcPr>
          <w:p w14:paraId="68643F47" w14:textId="67BA2E53"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£3,</w:t>
            </w:r>
            <w:r>
              <w:rPr>
                <w:rFonts w:cs="Arial"/>
                <w:color w:val="000000"/>
                <w:sz w:val="20"/>
                <w:szCs w:val="20"/>
              </w:rPr>
              <w:t>940</w:t>
            </w:r>
          </w:p>
        </w:tc>
        <w:tc>
          <w:tcPr>
            <w:tcW w:w="1262" w:type="dxa"/>
            <w:tcBorders>
              <w:top w:val="nil"/>
              <w:left w:val="nil"/>
              <w:bottom w:val="single" w:sz="4" w:space="0" w:color="auto"/>
              <w:right w:val="nil"/>
            </w:tcBorders>
            <w:shd w:val="clear" w:color="auto" w:fill="auto"/>
            <w:noWrap/>
            <w:vAlign w:val="center"/>
            <w:hideMark/>
          </w:tcPr>
          <w:p w14:paraId="68DC7DC7" w14:textId="6C95D6D9"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w:t>
            </w:r>
            <w:r>
              <w:rPr>
                <w:rFonts w:cs="Arial"/>
                <w:color w:val="000000"/>
                <w:sz w:val="20"/>
                <w:szCs w:val="20"/>
              </w:rPr>
              <w:t>070</w:t>
            </w:r>
          </w:p>
        </w:tc>
        <w:tc>
          <w:tcPr>
            <w:tcW w:w="1062" w:type="dxa"/>
            <w:tcBorders>
              <w:top w:val="nil"/>
              <w:left w:val="single" w:sz="4" w:space="0" w:color="auto"/>
              <w:bottom w:val="single" w:sz="4" w:space="0" w:color="auto"/>
              <w:right w:val="nil"/>
            </w:tcBorders>
            <w:shd w:val="clear" w:color="auto" w:fill="auto"/>
            <w:noWrap/>
            <w:vAlign w:val="center"/>
            <w:hideMark/>
          </w:tcPr>
          <w:p w14:paraId="6DD22637" w14:textId="42D6B19C"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£6,748</w:t>
            </w:r>
          </w:p>
        </w:tc>
        <w:tc>
          <w:tcPr>
            <w:tcW w:w="1050" w:type="dxa"/>
            <w:tcBorders>
              <w:top w:val="nil"/>
              <w:left w:val="nil"/>
              <w:bottom w:val="single" w:sz="4" w:space="0" w:color="auto"/>
              <w:right w:val="nil"/>
            </w:tcBorders>
            <w:shd w:val="clear" w:color="auto" w:fill="auto"/>
            <w:vAlign w:val="center"/>
            <w:hideMark/>
          </w:tcPr>
          <w:p w14:paraId="3210ED8A" w14:textId="606BB20C"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£37,118</w:t>
            </w:r>
          </w:p>
        </w:tc>
        <w:tc>
          <w:tcPr>
            <w:tcW w:w="939" w:type="dxa"/>
            <w:tcBorders>
              <w:top w:val="nil"/>
              <w:left w:val="nil"/>
              <w:bottom w:val="single" w:sz="4" w:space="0" w:color="auto"/>
              <w:right w:val="nil"/>
            </w:tcBorders>
            <w:shd w:val="clear" w:color="auto" w:fill="auto"/>
            <w:noWrap/>
            <w:vAlign w:val="center"/>
            <w:hideMark/>
          </w:tcPr>
          <w:p w14:paraId="4E758DCA" w14:textId="23734A23"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£13,012</w:t>
            </w:r>
          </w:p>
        </w:tc>
        <w:tc>
          <w:tcPr>
            <w:tcW w:w="939" w:type="dxa"/>
            <w:tcBorders>
              <w:top w:val="nil"/>
              <w:left w:val="nil"/>
              <w:bottom w:val="single" w:sz="4" w:space="0" w:color="auto"/>
              <w:right w:val="single" w:sz="4" w:space="0" w:color="auto"/>
            </w:tcBorders>
            <w:shd w:val="clear" w:color="auto" w:fill="auto"/>
            <w:noWrap/>
            <w:vAlign w:val="center"/>
            <w:hideMark/>
          </w:tcPr>
          <w:p w14:paraId="0ECD633D" w14:textId="4791A099"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£16,</w:t>
            </w:r>
            <w:r>
              <w:rPr>
                <w:rFonts w:cs="Arial"/>
                <w:color w:val="000000"/>
                <w:sz w:val="20"/>
                <w:szCs w:val="20"/>
              </w:rPr>
              <w:t>307</w:t>
            </w:r>
          </w:p>
        </w:tc>
        <w:tc>
          <w:tcPr>
            <w:tcW w:w="1262" w:type="dxa"/>
            <w:tcBorders>
              <w:top w:val="nil"/>
              <w:left w:val="nil"/>
              <w:bottom w:val="single" w:sz="4" w:space="0" w:color="auto"/>
              <w:right w:val="single" w:sz="4" w:space="0" w:color="auto"/>
            </w:tcBorders>
            <w:shd w:val="clear" w:color="auto" w:fill="auto"/>
            <w:noWrap/>
            <w:vAlign w:val="center"/>
            <w:hideMark/>
          </w:tcPr>
          <w:p w14:paraId="7864E15D" w14:textId="59765EEA" w:rsidR="0050479F" w:rsidRPr="002D3AA0" w:rsidRDefault="0050479F" w:rsidP="0050479F">
            <w:pPr>
              <w:contextualSpacing w:val="0"/>
              <w:jc w:val="center"/>
              <w:rPr>
                <w:rFonts w:eastAsia="Times New Roman" w:cs="Arial"/>
                <w:color w:val="000000"/>
                <w:sz w:val="20"/>
                <w:szCs w:val="20"/>
                <w:lang w:eastAsia="en-GB"/>
              </w:rPr>
            </w:pPr>
            <w:r>
              <w:rPr>
                <w:rFonts w:cs="Arial"/>
                <w:color w:val="000000"/>
                <w:sz w:val="20"/>
                <w:szCs w:val="20"/>
              </w:rPr>
              <w:t>£16,811</w:t>
            </w:r>
          </w:p>
        </w:tc>
        <w:tc>
          <w:tcPr>
            <w:tcW w:w="1295" w:type="dxa"/>
            <w:tcBorders>
              <w:top w:val="nil"/>
              <w:left w:val="nil"/>
              <w:bottom w:val="single" w:sz="4" w:space="0" w:color="auto"/>
              <w:right w:val="nil"/>
            </w:tcBorders>
            <w:shd w:val="clear" w:color="auto" w:fill="auto"/>
            <w:vAlign w:val="center"/>
            <w:hideMark/>
          </w:tcPr>
          <w:p w14:paraId="5126B48E" w14:textId="77777777" w:rsidR="0050479F" w:rsidRPr="002D3AA0" w:rsidRDefault="0050479F" w:rsidP="0050479F">
            <w:pPr>
              <w:contextualSpacing w:val="0"/>
              <w:jc w:val="center"/>
              <w:rPr>
                <w:rFonts w:eastAsia="Times New Roman" w:cs="Arial"/>
                <w:color w:val="000000"/>
                <w:sz w:val="20"/>
                <w:szCs w:val="20"/>
                <w:lang w:eastAsia="en-GB"/>
              </w:rPr>
            </w:pPr>
            <w:r w:rsidRPr="002D3AA0">
              <w:rPr>
                <w:rFonts w:eastAsia="Times New Roman" w:cs="Arial"/>
                <w:color w:val="000000"/>
                <w:sz w:val="20"/>
                <w:szCs w:val="20"/>
                <w:lang w:eastAsia="en-GB"/>
              </w:rPr>
              <w:t>£6,023</w:t>
            </w:r>
          </w:p>
        </w:tc>
      </w:tr>
    </w:tbl>
    <w:p w14:paraId="739456BE" w14:textId="77777777" w:rsidR="0075010F" w:rsidRDefault="0075010F" w:rsidP="001A37CE">
      <w:pPr>
        <w:pStyle w:val="NoSpacing"/>
        <w:spacing w:line="360" w:lineRule="auto"/>
      </w:pPr>
    </w:p>
    <w:p w14:paraId="5468F718" w14:textId="77777777" w:rsidR="00B51261" w:rsidRDefault="00B51261" w:rsidP="001A37CE">
      <w:pPr>
        <w:pStyle w:val="NoSpacing"/>
        <w:spacing w:line="360" w:lineRule="auto"/>
        <w:sectPr w:rsidR="00B51261" w:rsidSect="00B51261">
          <w:pgSz w:w="16838" w:h="11906" w:orient="landscape"/>
          <w:pgMar w:top="1440" w:right="1440" w:bottom="1440" w:left="1440" w:header="708" w:footer="708" w:gutter="0"/>
          <w:cols w:space="708"/>
          <w:docGrid w:linePitch="360"/>
        </w:sectPr>
      </w:pPr>
    </w:p>
    <w:p w14:paraId="32321DF7" w14:textId="3F2DDCA3" w:rsidR="00020644" w:rsidRPr="00E975A6" w:rsidRDefault="00C20230" w:rsidP="00C20230">
      <w:pPr>
        <w:pStyle w:val="Caption"/>
        <w:rPr>
          <w:b w:val="0"/>
          <w:bCs w:val="0"/>
          <w:i/>
          <w:iCs/>
          <w:color w:val="auto"/>
          <w:sz w:val="24"/>
          <w:szCs w:val="24"/>
        </w:rPr>
      </w:pPr>
      <w:bookmarkStart w:id="148" w:name="_Ref176713763"/>
      <w:bookmarkStart w:id="149" w:name="_Toc185845013"/>
      <w:r w:rsidRPr="004B2AEC">
        <w:rPr>
          <w:b w:val="0"/>
          <w:bCs w:val="0"/>
          <w:i/>
          <w:iCs/>
          <w:color w:val="auto"/>
          <w:sz w:val="24"/>
          <w:szCs w:val="24"/>
        </w:rPr>
        <w:lastRenderedPageBreak/>
        <w:t xml:space="preserve">Figure </w:t>
      </w:r>
      <w:r w:rsidR="002B1FB9">
        <w:rPr>
          <w:b w:val="0"/>
          <w:bCs w:val="0"/>
          <w:i/>
          <w:iCs/>
          <w:color w:val="auto"/>
          <w:sz w:val="24"/>
          <w:szCs w:val="24"/>
        </w:rPr>
        <w:fldChar w:fldCharType="begin"/>
      </w:r>
      <w:r w:rsidR="002B1FB9">
        <w:rPr>
          <w:b w:val="0"/>
          <w:bCs w:val="0"/>
          <w:i/>
          <w:iCs/>
          <w:color w:val="auto"/>
          <w:sz w:val="24"/>
          <w:szCs w:val="24"/>
        </w:rPr>
        <w:instrText xml:space="preserve"> STYLEREF 2 \s </w:instrText>
      </w:r>
      <w:r w:rsidR="002B1FB9">
        <w:rPr>
          <w:b w:val="0"/>
          <w:bCs w:val="0"/>
          <w:i/>
          <w:iCs/>
          <w:color w:val="auto"/>
          <w:sz w:val="24"/>
          <w:szCs w:val="24"/>
        </w:rPr>
        <w:fldChar w:fldCharType="separate"/>
      </w:r>
      <w:r w:rsidR="002B1FB9">
        <w:rPr>
          <w:b w:val="0"/>
          <w:bCs w:val="0"/>
          <w:i/>
          <w:iCs/>
          <w:noProof/>
          <w:color w:val="auto"/>
          <w:sz w:val="24"/>
          <w:szCs w:val="24"/>
        </w:rPr>
        <w:t>5.4</w:t>
      </w:r>
      <w:r w:rsidR="002B1FB9">
        <w:rPr>
          <w:b w:val="0"/>
          <w:bCs w:val="0"/>
          <w:i/>
          <w:iCs/>
          <w:color w:val="auto"/>
          <w:sz w:val="24"/>
          <w:szCs w:val="24"/>
        </w:rPr>
        <w:fldChar w:fldCharType="end"/>
      </w:r>
      <w:r w:rsidR="002B1FB9">
        <w:rPr>
          <w:b w:val="0"/>
          <w:bCs w:val="0"/>
          <w:i/>
          <w:iCs/>
          <w:color w:val="auto"/>
          <w:sz w:val="24"/>
          <w:szCs w:val="24"/>
        </w:rPr>
        <w:noBreakHyphen/>
      </w:r>
      <w:r w:rsidR="002B1FB9">
        <w:rPr>
          <w:b w:val="0"/>
          <w:bCs w:val="0"/>
          <w:i/>
          <w:iCs/>
          <w:color w:val="auto"/>
          <w:sz w:val="24"/>
          <w:szCs w:val="24"/>
        </w:rPr>
        <w:fldChar w:fldCharType="begin"/>
      </w:r>
      <w:r w:rsidR="002B1FB9">
        <w:rPr>
          <w:b w:val="0"/>
          <w:bCs w:val="0"/>
          <w:i/>
          <w:iCs/>
          <w:color w:val="auto"/>
          <w:sz w:val="24"/>
          <w:szCs w:val="24"/>
        </w:rPr>
        <w:instrText xml:space="preserve"> SEQ Figure \* ARABIC \s 2 </w:instrText>
      </w:r>
      <w:r w:rsidR="002B1FB9">
        <w:rPr>
          <w:b w:val="0"/>
          <w:bCs w:val="0"/>
          <w:i/>
          <w:iCs/>
          <w:color w:val="auto"/>
          <w:sz w:val="24"/>
          <w:szCs w:val="24"/>
        </w:rPr>
        <w:fldChar w:fldCharType="separate"/>
      </w:r>
      <w:r w:rsidR="002B1FB9">
        <w:rPr>
          <w:b w:val="0"/>
          <w:bCs w:val="0"/>
          <w:i/>
          <w:iCs/>
          <w:noProof/>
          <w:color w:val="auto"/>
          <w:sz w:val="24"/>
          <w:szCs w:val="24"/>
        </w:rPr>
        <w:t>1</w:t>
      </w:r>
      <w:r w:rsidR="002B1FB9">
        <w:rPr>
          <w:b w:val="0"/>
          <w:bCs w:val="0"/>
          <w:i/>
          <w:iCs/>
          <w:color w:val="auto"/>
          <w:sz w:val="24"/>
          <w:szCs w:val="24"/>
        </w:rPr>
        <w:fldChar w:fldCharType="end"/>
      </w:r>
      <w:bookmarkEnd w:id="148"/>
      <w:r w:rsidR="00E975A6" w:rsidRPr="004B2AEC">
        <w:rPr>
          <w:b w:val="0"/>
          <w:bCs w:val="0"/>
          <w:i/>
          <w:iCs/>
          <w:color w:val="auto"/>
          <w:sz w:val="24"/>
          <w:szCs w:val="24"/>
        </w:rPr>
        <w:tab/>
        <w:t>Cost-effectiveness planes with 1 QALY = £20,000</w:t>
      </w:r>
      <w:bookmarkEnd w:id="149"/>
      <w:r w:rsidR="00AA4888">
        <w:rPr>
          <w:b w:val="0"/>
          <w:bCs w:val="0"/>
          <w:i/>
          <w:iCs/>
          <w:color w:val="auto"/>
          <w:sz w:val="24"/>
          <w:szCs w:val="24"/>
        </w:rPr>
        <w:t xml:space="preserve"> </w:t>
      </w:r>
    </w:p>
    <w:p w14:paraId="6AED2D75" w14:textId="77777777" w:rsidR="00D9769F" w:rsidRDefault="00D9769F" w:rsidP="00D9769F"/>
    <w:p w14:paraId="06E33A77" w14:textId="60F1DE53" w:rsidR="00FD19DC" w:rsidRPr="00FD19DC" w:rsidRDefault="004B2AEC" w:rsidP="00FD19DC">
      <w:pPr>
        <w:pStyle w:val="NoSpacing"/>
      </w:pPr>
      <w:r>
        <w:rPr>
          <w:noProof/>
        </w:rPr>
        <w:drawing>
          <wp:inline distT="0" distB="0" distL="0" distR="0" wp14:anchorId="2A91180C" wp14:editId="1A294992">
            <wp:extent cx="4285753" cy="3927944"/>
            <wp:effectExtent l="0" t="0" r="635" b="0"/>
            <wp:docPr id="1102382902" name="Chart 1">
              <a:extLst xmlns:a="http://schemas.openxmlformats.org/drawingml/2006/main">
                <a:ext uri="{FF2B5EF4-FFF2-40B4-BE49-F238E27FC236}">
                  <a16:creationId xmlns:a16="http://schemas.microsoft.com/office/drawing/2014/main" id="{00000000-0008-0000-0100-000007000000}"/>
                </a:ext>
                <a:ext uri="{147F2762-F138-4A5C-976F-8EAC2B608ADB}">
                  <a16:predDERef xmlns:a16="http://schemas.microsoft.com/office/drawing/2014/main" pred="{ACEDEC29-5B84-4658-8A44-49F13EADC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902472">
        <w:rPr>
          <w:noProof/>
        </w:rPr>
        <w:drawing>
          <wp:inline distT="0" distB="0" distL="0" distR="0" wp14:anchorId="39EAFBAE" wp14:editId="3EB6397D">
            <wp:extent cx="4214191" cy="3888188"/>
            <wp:effectExtent l="0" t="0" r="0" b="0"/>
            <wp:docPr id="2034849855" name="Chart 1">
              <a:extLst xmlns:a="http://schemas.openxmlformats.org/drawingml/2006/main">
                <a:ext uri="{FF2B5EF4-FFF2-40B4-BE49-F238E27FC236}">
                  <a16:creationId xmlns:a16="http://schemas.microsoft.com/office/drawing/2014/main" id="{167C0C1F-487F-4D09-89C0-5E8D9956F4A4}"/>
                </a:ext>
                <a:ext uri="{147F2762-F138-4A5C-976F-8EAC2B608ADB}">
                  <a16:predDERef xmlns:a16="http://schemas.microsoft.com/office/drawing/2014/main" pred="{ACEDEC29-5B84-4658-8A44-49F13EADC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06E65F" w14:textId="77777777" w:rsidR="00D9769F" w:rsidRDefault="00D9769F" w:rsidP="00D9769F">
      <w:pPr>
        <w:pStyle w:val="NoSpacing"/>
      </w:pPr>
    </w:p>
    <w:p w14:paraId="0B9CA5F0" w14:textId="77777777" w:rsidR="00E975A6" w:rsidRDefault="00E975A6" w:rsidP="00D9769F">
      <w:pPr>
        <w:pStyle w:val="Caption"/>
        <w:rPr>
          <w:b w:val="0"/>
          <w:bCs w:val="0"/>
          <w:i/>
          <w:iCs/>
          <w:color w:val="auto"/>
          <w:sz w:val="24"/>
          <w:szCs w:val="24"/>
        </w:rPr>
      </w:pPr>
      <w:bookmarkStart w:id="150" w:name="_Ref176713820"/>
    </w:p>
    <w:p w14:paraId="12EA456D" w14:textId="77777777" w:rsidR="00E975A6" w:rsidRDefault="00E975A6" w:rsidP="00D9769F">
      <w:pPr>
        <w:pStyle w:val="Caption"/>
        <w:rPr>
          <w:b w:val="0"/>
          <w:bCs w:val="0"/>
          <w:i/>
          <w:iCs/>
          <w:color w:val="auto"/>
          <w:sz w:val="24"/>
          <w:szCs w:val="24"/>
        </w:rPr>
      </w:pPr>
    </w:p>
    <w:p w14:paraId="0E8274B0" w14:textId="77777777" w:rsidR="00E975A6" w:rsidRDefault="00E975A6" w:rsidP="00D9769F">
      <w:pPr>
        <w:pStyle w:val="Caption"/>
        <w:rPr>
          <w:b w:val="0"/>
          <w:bCs w:val="0"/>
          <w:i/>
          <w:iCs/>
          <w:color w:val="auto"/>
          <w:sz w:val="24"/>
          <w:szCs w:val="24"/>
        </w:rPr>
      </w:pPr>
    </w:p>
    <w:p w14:paraId="07B2B258" w14:textId="77777777" w:rsidR="00E975A6" w:rsidRDefault="00E975A6" w:rsidP="00D9769F">
      <w:pPr>
        <w:pStyle w:val="Caption"/>
        <w:rPr>
          <w:b w:val="0"/>
          <w:bCs w:val="0"/>
          <w:i/>
          <w:iCs/>
          <w:color w:val="auto"/>
          <w:sz w:val="24"/>
          <w:szCs w:val="24"/>
        </w:rPr>
      </w:pPr>
    </w:p>
    <w:p w14:paraId="121FFDE4" w14:textId="77777777" w:rsidR="00E975A6" w:rsidRDefault="00E975A6" w:rsidP="00D9769F">
      <w:pPr>
        <w:pStyle w:val="Caption"/>
        <w:rPr>
          <w:b w:val="0"/>
          <w:bCs w:val="0"/>
          <w:i/>
          <w:iCs/>
          <w:color w:val="auto"/>
          <w:sz w:val="24"/>
          <w:szCs w:val="24"/>
        </w:rPr>
      </w:pPr>
    </w:p>
    <w:p w14:paraId="0CEB4226" w14:textId="77777777" w:rsidR="00E975A6" w:rsidRDefault="00E975A6" w:rsidP="00D9769F">
      <w:pPr>
        <w:pStyle w:val="Caption"/>
        <w:rPr>
          <w:b w:val="0"/>
          <w:bCs w:val="0"/>
          <w:i/>
          <w:iCs/>
          <w:color w:val="auto"/>
          <w:sz w:val="24"/>
          <w:szCs w:val="24"/>
        </w:rPr>
      </w:pPr>
    </w:p>
    <w:p w14:paraId="3E0720E6" w14:textId="77777777" w:rsidR="00E975A6" w:rsidRDefault="00E975A6" w:rsidP="00D9769F">
      <w:pPr>
        <w:pStyle w:val="Caption"/>
        <w:rPr>
          <w:b w:val="0"/>
          <w:bCs w:val="0"/>
          <w:i/>
          <w:iCs/>
          <w:color w:val="auto"/>
          <w:sz w:val="24"/>
          <w:szCs w:val="24"/>
        </w:rPr>
      </w:pPr>
    </w:p>
    <w:p w14:paraId="7688ADF6" w14:textId="0709C57F" w:rsidR="00F31F5C" w:rsidRPr="00FC4C0E" w:rsidRDefault="00D9769F" w:rsidP="00FC4C0E">
      <w:pPr>
        <w:pStyle w:val="NoSpacing"/>
        <w:spacing w:line="360" w:lineRule="auto"/>
        <w:rPr>
          <w:i/>
          <w:iCs/>
        </w:rPr>
      </w:pPr>
      <w:bookmarkStart w:id="151" w:name="_Toc185845014"/>
      <w:r w:rsidRPr="003902BB">
        <w:rPr>
          <w:i/>
          <w:iCs/>
        </w:rPr>
        <w:t xml:space="preserve">Figure </w:t>
      </w:r>
      <w:r w:rsidR="002B1FB9">
        <w:rPr>
          <w:i/>
          <w:iCs/>
        </w:rPr>
        <w:fldChar w:fldCharType="begin"/>
      </w:r>
      <w:r w:rsidR="002B1FB9">
        <w:rPr>
          <w:i/>
          <w:iCs/>
        </w:rPr>
        <w:instrText xml:space="preserve"> STYLEREF 2 \s </w:instrText>
      </w:r>
      <w:r w:rsidR="002B1FB9">
        <w:rPr>
          <w:i/>
          <w:iCs/>
        </w:rPr>
        <w:fldChar w:fldCharType="separate"/>
      </w:r>
      <w:r w:rsidR="002B1FB9">
        <w:rPr>
          <w:i/>
          <w:iCs/>
          <w:noProof/>
        </w:rPr>
        <w:t>5.4</w:t>
      </w:r>
      <w:r w:rsidR="002B1FB9">
        <w:rPr>
          <w:i/>
          <w:iCs/>
        </w:rPr>
        <w:fldChar w:fldCharType="end"/>
      </w:r>
      <w:r w:rsidR="002B1FB9">
        <w:rPr>
          <w:i/>
          <w:iCs/>
        </w:rPr>
        <w:noBreakHyphen/>
      </w:r>
      <w:r w:rsidR="002B1FB9">
        <w:rPr>
          <w:i/>
          <w:iCs/>
        </w:rPr>
        <w:fldChar w:fldCharType="begin"/>
      </w:r>
      <w:r w:rsidR="002B1FB9">
        <w:rPr>
          <w:i/>
          <w:iCs/>
        </w:rPr>
        <w:instrText xml:space="preserve"> SEQ Figure \* ARABIC \s 2 </w:instrText>
      </w:r>
      <w:r w:rsidR="002B1FB9">
        <w:rPr>
          <w:i/>
          <w:iCs/>
        </w:rPr>
        <w:fldChar w:fldCharType="separate"/>
      </w:r>
      <w:r w:rsidR="002B1FB9">
        <w:rPr>
          <w:i/>
          <w:iCs/>
          <w:noProof/>
        </w:rPr>
        <w:t>2</w:t>
      </w:r>
      <w:r w:rsidR="002B1FB9">
        <w:rPr>
          <w:i/>
          <w:iCs/>
        </w:rPr>
        <w:fldChar w:fldCharType="end"/>
      </w:r>
      <w:bookmarkEnd w:id="150"/>
      <w:r w:rsidR="00F31F5C" w:rsidRPr="003902BB">
        <w:rPr>
          <w:i/>
          <w:iCs/>
        </w:rPr>
        <w:tab/>
        <w:t>Cost-effectiveness acceptability curves</w:t>
      </w:r>
      <w:bookmarkEnd w:id="151"/>
    </w:p>
    <w:p w14:paraId="2DA40C18" w14:textId="12FABA19" w:rsidR="002825BA" w:rsidRDefault="00DD5B1E" w:rsidP="00F31F5C">
      <w:pPr>
        <w:pStyle w:val="NoSpacing"/>
      </w:pPr>
      <w:r>
        <w:rPr>
          <w:noProof/>
        </w:rPr>
        <w:drawing>
          <wp:inline distT="0" distB="0" distL="0" distR="0" wp14:anchorId="37C210FF" wp14:editId="13F29794">
            <wp:extent cx="7402664" cy="3781796"/>
            <wp:effectExtent l="0" t="0" r="8255" b="9525"/>
            <wp:docPr id="77614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46581" name=""/>
                    <pic:cNvPicPr/>
                  </pic:nvPicPr>
                  <pic:blipFill rotWithShape="1">
                    <a:blip r:embed="rId47"/>
                    <a:srcRect l="26285" t="37092" r="32869" b="25810"/>
                    <a:stretch/>
                  </pic:blipFill>
                  <pic:spPr bwMode="auto">
                    <a:xfrm>
                      <a:off x="0" y="0"/>
                      <a:ext cx="7424850" cy="3793130"/>
                    </a:xfrm>
                    <a:prstGeom prst="rect">
                      <a:avLst/>
                    </a:prstGeom>
                    <a:ln>
                      <a:noFill/>
                    </a:ln>
                    <a:extLst>
                      <a:ext uri="{53640926-AAD7-44D8-BBD7-CCE9431645EC}">
                        <a14:shadowObscured xmlns:a14="http://schemas.microsoft.com/office/drawing/2010/main"/>
                      </a:ext>
                    </a:extLst>
                  </pic:spPr>
                </pic:pic>
              </a:graphicData>
            </a:graphic>
          </wp:inline>
        </w:drawing>
      </w:r>
    </w:p>
    <w:p w14:paraId="470D3CFE" w14:textId="3AA42124" w:rsidR="002825BA" w:rsidRDefault="002825BA" w:rsidP="00F31F5C">
      <w:pPr>
        <w:pStyle w:val="NoSpacing"/>
      </w:pPr>
    </w:p>
    <w:p w14:paraId="5EA020D5" w14:textId="0EAE3BF8" w:rsidR="002825BA" w:rsidRDefault="002825BA" w:rsidP="00F31F5C">
      <w:pPr>
        <w:pStyle w:val="NoSpacing"/>
      </w:pPr>
    </w:p>
    <w:p w14:paraId="71DC2B68" w14:textId="236C4F7C" w:rsidR="002825BA" w:rsidRPr="00F31F5C" w:rsidRDefault="002825BA" w:rsidP="00F31F5C">
      <w:pPr>
        <w:pStyle w:val="NoSpacing"/>
        <w:sectPr w:rsidR="002825BA" w:rsidRPr="00F31F5C" w:rsidSect="00020644">
          <w:pgSz w:w="16838" w:h="11906" w:orient="landscape"/>
          <w:pgMar w:top="1440" w:right="1440" w:bottom="1440" w:left="1440" w:header="708" w:footer="708" w:gutter="0"/>
          <w:cols w:space="708"/>
          <w:docGrid w:linePitch="360"/>
        </w:sectPr>
      </w:pPr>
    </w:p>
    <w:p w14:paraId="5FB48794" w14:textId="38EE2BB5" w:rsidR="00767CF3" w:rsidRDefault="00767CF3" w:rsidP="00767CF3">
      <w:pPr>
        <w:pStyle w:val="NoSpacing"/>
        <w:spacing w:line="360" w:lineRule="auto"/>
      </w:pPr>
      <w:r>
        <w:lastRenderedPageBreak/>
        <w:t xml:space="preserve">The scatterplot for the cost per QALY (public sector) show that incremental costs could range from </w:t>
      </w:r>
      <w:r w:rsidR="008C5EA5">
        <w:t>-£323</w:t>
      </w:r>
      <w:r>
        <w:t xml:space="preserve"> to </w:t>
      </w:r>
      <w:r w:rsidR="008C5EA5">
        <w:t>£559</w:t>
      </w:r>
      <w:r>
        <w:t xml:space="preserve">. The cost effectiveness acceptability curve </w:t>
      </w:r>
      <w:r w:rsidRPr="00BC6134">
        <w:t xml:space="preserve">indicates that compared with treatment only, the chance that treatment </w:t>
      </w:r>
      <w:r w:rsidR="00545D7B">
        <w:t>plus</w:t>
      </w:r>
      <w:r w:rsidRPr="00BC6134">
        <w:t xml:space="preserve"> parenting and/or recovery support interventions is cost-effective at </w:t>
      </w:r>
      <w:r>
        <w:t>the lower bound</w:t>
      </w:r>
      <w:r w:rsidRPr="00BC6134">
        <w:t xml:space="preserve"> </w:t>
      </w:r>
      <w:r>
        <w:t>WTP</w:t>
      </w:r>
      <w:r w:rsidRPr="00BC6134">
        <w:t xml:space="preserve"> threshold of £20,000 is </w:t>
      </w:r>
      <w:r>
        <w:t>72</w:t>
      </w:r>
      <w:r w:rsidRPr="00BC6134">
        <w:t xml:space="preserve">% </w:t>
      </w:r>
      <w:r>
        <w:t xml:space="preserve">rising to 73% if WTP is £30,000. Thus, there is more certainty of cost-effectiveness surrounding the results from the public sector perspective. </w:t>
      </w:r>
    </w:p>
    <w:p w14:paraId="05980F54" w14:textId="77777777" w:rsidR="008C5EA5" w:rsidRDefault="008C5EA5" w:rsidP="00767CF3">
      <w:pPr>
        <w:pStyle w:val="NoSpacing"/>
        <w:spacing w:line="360" w:lineRule="auto"/>
      </w:pPr>
    </w:p>
    <w:p w14:paraId="3DF62A5D" w14:textId="5C38912D" w:rsidR="00767CF3" w:rsidRDefault="00767CF3" w:rsidP="003E2FFD">
      <w:pPr>
        <w:pStyle w:val="NoSpacing"/>
        <w:spacing w:line="360" w:lineRule="auto"/>
      </w:pPr>
      <w:r>
        <w:t xml:space="preserve">The results of the deterministic and probabilistic sensitivity analyses are also </w:t>
      </w:r>
      <w:r w:rsidRPr="00ED438E">
        <w:t xml:space="preserve">presented in </w:t>
      </w:r>
      <w:r w:rsidRPr="00ED438E">
        <w:fldChar w:fldCharType="begin"/>
      </w:r>
      <w:r w:rsidRPr="00ED438E">
        <w:instrText xml:space="preserve"> REF _Ref176713183 \h  \* MERGEFORMAT </w:instrText>
      </w:r>
      <w:r w:rsidRPr="00ED438E">
        <w:fldChar w:fldCharType="separate"/>
      </w:r>
      <w:r w:rsidRPr="00ED438E">
        <w:t xml:space="preserve">Table </w:t>
      </w:r>
      <w:r w:rsidRPr="00ED438E">
        <w:rPr>
          <w:noProof/>
        </w:rPr>
        <w:t>5.4</w:t>
      </w:r>
      <w:r w:rsidRPr="00ED438E">
        <w:rPr>
          <w:noProof/>
        </w:rPr>
        <w:noBreakHyphen/>
        <w:t>1</w:t>
      </w:r>
      <w:r w:rsidRPr="00ED438E">
        <w:fldChar w:fldCharType="end"/>
      </w:r>
      <w:r w:rsidRPr="00ED438E">
        <w:t>.</w:t>
      </w:r>
      <w:r>
        <w:t xml:space="preserve"> The scenario results suggest that the model is highly sensitive to changes in the transition probabilities, utility gains and costs, but less so in changes to discount rates. From a public sector perspective, the intervention would be considered cost-effective under every scenario with the exception of scenario 6, where the cost of the intervention was assumed to be the cost of individualised rather than group sessions.</w:t>
      </w:r>
    </w:p>
    <w:p w14:paraId="5EEDAFB3" w14:textId="77777777" w:rsidR="00767CF3" w:rsidRPr="00767CF3" w:rsidRDefault="00767CF3" w:rsidP="003E2FFD">
      <w:pPr>
        <w:pStyle w:val="NoSpacing"/>
      </w:pPr>
    </w:p>
    <w:p w14:paraId="49FDFEC6" w14:textId="763DDA8C" w:rsidR="00F31F5C" w:rsidRPr="00B54AEF" w:rsidRDefault="000A69C8" w:rsidP="00BD4A11">
      <w:pPr>
        <w:pStyle w:val="Heading2"/>
        <w:numPr>
          <w:ilvl w:val="1"/>
          <w:numId w:val="19"/>
        </w:numPr>
      </w:pPr>
      <w:bookmarkStart w:id="152" w:name="_Toc189229715"/>
      <w:r>
        <w:t>Discussion</w:t>
      </w:r>
      <w:bookmarkEnd w:id="152"/>
    </w:p>
    <w:p w14:paraId="56ECA18A" w14:textId="26BD97A9" w:rsidR="000A69C8" w:rsidRPr="0027034A" w:rsidRDefault="001A37CE" w:rsidP="0027034A">
      <w:pPr>
        <w:pStyle w:val="paragraph"/>
        <w:spacing w:before="0" w:after="0" w:line="360" w:lineRule="auto"/>
        <w:textAlignment w:val="baseline"/>
        <w:rPr>
          <w:rFonts w:ascii="Arial" w:eastAsiaTheme="minorHAnsi" w:hAnsi="Arial" w:cstheme="minorBidi"/>
          <w:szCs w:val="22"/>
          <w:lang w:eastAsia="en-US"/>
        </w:rPr>
      </w:pPr>
      <w:r w:rsidRPr="796C2215">
        <w:rPr>
          <w:rFonts w:ascii="Arial" w:eastAsiaTheme="minorEastAsia" w:hAnsi="Arial" w:cstheme="minorBidi"/>
          <w:lang w:eastAsia="en-US"/>
        </w:rPr>
        <w:t xml:space="preserve">The evidence for parenting and/or </w:t>
      </w:r>
      <w:r w:rsidR="00F31F5C" w:rsidRPr="796C2215">
        <w:rPr>
          <w:rFonts w:ascii="Arial" w:eastAsiaTheme="minorEastAsia" w:hAnsi="Arial" w:cstheme="minorBidi"/>
          <w:lang w:eastAsia="en-US"/>
        </w:rPr>
        <w:t xml:space="preserve">family recovery </w:t>
      </w:r>
      <w:r w:rsidRPr="796C2215">
        <w:rPr>
          <w:rFonts w:ascii="Arial" w:eastAsiaTheme="minorEastAsia" w:hAnsi="Arial" w:cstheme="minorBidi"/>
          <w:lang w:eastAsia="en-US"/>
        </w:rPr>
        <w:t>support interventions is limited, especially for those receiving treatment for substance use disorders, such as AUD. This study presents</w:t>
      </w:r>
      <w:r w:rsidR="00A43C75" w:rsidRPr="796C2215">
        <w:rPr>
          <w:rFonts w:ascii="Arial" w:eastAsiaTheme="minorEastAsia" w:hAnsi="Arial" w:cstheme="minorBidi"/>
          <w:lang w:eastAsia="en-US"/>
        </w:rPr>
        <w:t>,</w:t>
      </w:r>
      <w:r w:rsidRPr="796C2215">
        <w:rPr>
          <w:rFonts w:ascii="Arial" w:eastAsiaTheme="minorEastAsia" w:hAnsi="Arial" w:cstheme="minorBidi"/>
          <w:lang w:eastAsia="en-US"/>
        </w:rPr>
        <w:t xml:space="preserve"> for the first-time</w:t>
      </w:r>
      <w:r w:rsidR="00A43C75" w:rsidRPr="796C2215">
        <w:rPr>
          <w:rFonts w:ascii="Arial" w:eastAsiaTheme="minorEastAsia" w:hAnsi="Arial" w:cstheme="minorBidi"/>
          <w:lang w:eastAsia="en-US"/>
        </w:rPr>
        <w:t>,</w:t>
      </w:r>
      <w:r w:rsidRPr="796C2215">
        <w:rPr>
          <w:rFonts w:ascii="Arial" w:eastAsiaTheme="minorEastAsia" w:hAnsi="Arial" w:cstheme="minorBidi"/>
          <w:lang w:eastAsia="en-US"/>
        </w:rPr>
        <w:t xml:space="preserve"> cost-effectiveness evidence supporting treatment </w:t>
      </w:r>
      <w:r w:rsidR="00545D7B">
        <w:rPr>
          <w:rFonts w:ascii="Arial" w:eastAsiaTheme="minorEastAsia" w:hAnsi="Arial" w:cstheme="minorBidi"/>
          <w:lang w:eastAsia="en-US"/>
        </w:rPr>
        <w:t>plus</w:t>
      </w:r>
      <w:r w:rsidRPr="796C2215">
        <w:rPr>
          <w:rFonts w:ascii="Arial" w:eastAsiaTheme="minorEastAsia" w:hAnsi="Arial" w:cstheme="minorBidi"/>
          <w:lang w:eastAsia="en-US"/>
        </w:rPr>
        <w:t xml:space="preserve"> parenting and/or recovery support interventions offered by AUD treatment services in England for both </w:t>
      </w:r>
      <w:r w:rsidR="008B039F" w:rsidRPr="796C2215">
        <w:rPr>
          <w:rFonts w:ascii="Arial" w:eastAsiaTheme="minorEastAsia" w:hAnsi="Arial" w:cstheme="minorBidi"/>
          <w:lang w:eastAsia="en-US"/>
        </w:rPr>
        <w:t>parents</w:t>
      </w:r>
      <w:r w:rsidRPr="796C2215">
        <w:rPr>
          <w:rFonts w:ascii="Arial" w:eastAsiaTheme="minorEastAsia" w:hAnsi="Arial" w:cstheme="minorBidi"/>
          <w:lang w:eastAsia="en-US"/>
        </w:rPr>
        <w:t xml:space="preserve"> living with children and not living with children. Results from the deterministic </w:t>
      </w:r>
      <w:r w:rsidR="00C23B96">
        <w:rPr>
          <w:rFonts w:ascii="Arial" w:eastAsiaTheme="minorEastAsia" w:hAnsi="Arial" w:cstheme="minorBidi"/>
          <w:lang w:eastAsia="en-US"/>
        </w:rPr>
        <w:t xml:space="preserve">and probabilistic </w:t>
      </w:r>
      <w:r w:rsidRPr="796C2215">
        <w:rPr>
          <w:rFonts w:ascii="Arial" w:eastAsiaTheme="minorEastAsia" w:hAnsi="Arial" w:cstheme="minorBidi"/>
          <w:lang w:eastAsia="en-US"/>
        </w:rPr>
        <w:t>Markov model</w:t>
      </w:r>
      <w:r w:rsidR="00C23B96">
        <w:rPr>
          <w:rFonts w:ascii="Arial" w:eastAsiaTheme="minorEastAsia" w:hAnsi="Arial" w:cstheme="minorBidi"/>
          <w:lang w:eastAsia="en-US"/>
        </w:rPr>
        <w:t>s</w:t>
      </w:r>
      <w:r w:rsidRPr="796C2215">
        <w:rPr>
          <w:rFonts w:ascii="Arial" w:eastAsiaTheme="minorEastAsia" w:hAnsi="Arial" w:cstheme="minorBidi"/>
          <w:lang w:eastAsia="en-US"/>
        </w:rPr>
        <w:t xml:space="preserve"> suggest that</w:t>
      </w:r>
      <w:r w:rsidR="00B61B50">
        <w:rPr>
          <w:rFonts w:ascii="Arial" w:eastAsiaTheme="minorEastAsia" w:hAnsi="Arial" w:cstheme="minorBidi"/>
          <w:lang w:eastAsia="en-US"/>
        </w:rPr>
        <w:t>,</w:t>
      </w:r>
      <w:r w:rsidRPr="796C2215">
        <w:rPr>
          <w:rFonts w:ascii="Arial" w:eastAsiaTheme="minorEastAsia" w:hAnsi="Arial" w:cstheme="minorBidi"/>
          <w:lang w:eastAsia="en-US"/>
        </w:rPr>
        <w:t xml:space="preserve"> compared with treatment </w:t>
      </w:r>
      <w:r w:rsidR="008B039F" w:rsidRPr="796C2215">
        <w:rPr>
          <w:rFonts w:ascii="Arial" w:eastAsiaTheme="minorEastAsia" w:hAnsi="Arial" w:cstheme="minorBidi"/>
          <w:lang w:eastAsia="en-US"/>
        </w:rPr>
        <w:t>only</w:t>
      </w:r>
      <w:r w:rsidRPr="796C2215">
        <w:rPr>
          <w:rFonts w:ascii="Arial" w:eastAsiaTheme="minorEastAsia" w:hAnsi="Arial" w:cstheme="minorBidi"/>
          <w:lang w:eastAsia="en-US"/>
        </w:rPr>
        <w:t xml:space="preserve">, treatment </w:t>
      </w:r>
      <w:r w:rsidR="00545D7B">
        <w:rPr>
          <w:rFonts w:ascii="Arial" w:eastAsiaTheme="minorEastAsia" w:hAnsi="Arial" w:cstheme="minorBidi"/>
          <w:lang w:eastAsia="en-US"/>
        </w:rPr>
        <w:t>plus</w:t>
      </w:r>
      <w:r w:rsidRPr="796C2215">
        <w:rPr>
          <w:rFonts w:ascii="Arial" w:eastAsiaTheme="minorEastAsia" w:hAnsi="Arial" w:cstheme="minorBidi"/>
          <w:lang w:eastAsia="en-US"/>
        </w:rPr>
        <w:t xml:space="preserve"> parenting and/or </w:t>
      </w:r>
      <w:r w:rsidR="008B039F" w:rsidRPr="796C2215">
        <w:rPr>
          <w:rFonts w:ascii="Arial" w:eastAsiaTheme="minorEastAsia" w:hAnsi="Arial" w:cstheme="minorBidi"/>
          <w:lang w:eastAsia="en-US"/>
        </w:rPr>
        <w:t xml:space="preserve">family </w:t>
      </w:r>
      <w:r w:rsidRPr="796C2215">
        <w:rPr>
          <w:rFonts w:ascii="Arial" w:eastAsiaTheme="minorEastAsia" w:hAnsi="Arial" w:cstheme="minorBidi"/>
          <w:lang w:eastAsia="en-US"/>
        </w:rPr>
        <w:t xml:space="preserve">recovery support is cost-effective. Given that the intervention is a public health one, local authorities in England would be justified in commissioning AUD treatment </w:t>
      </w:r>
      <w:r w:rsidR="00545D7B">
        <w:rPr>
          <w:rFonts w:ascii="Arial" w:eastAsiaTheme="minorEastAsia" w:hAnsi="Arial" w:cstheme="minorBidi"/>
          <w:lang w:eastAsia="en-US"/>
        </w:rPr>
        <w:t>plus</w:t>
      </w:r>
      <w:r w:rsidRPr="796C2215">
        <w:rPr>
          <w:rFonts w:ascii="Arial" w:eastAsiaTheme="minorEastAsia" w:hAnsi="Arial" w:cstheme="minorBidi"/>
          <w:lang w:eastAsia="en-US"/>
        </w:rPr>
        <w:t xml:space="preserve"> parenting and recovery support. </w:t>
      </w:r>
      <w:r w:rsidR="0027034A">
        <w:rPr>
          <w:rFonts w:ascii="Arial" w:eastAsiaTheme="minorHAnsi" w:hAnsi="Arial" w:cstheme="minorBidi"/>
          <w:szCs w:val="22"/>
          <w:lang w:eastAsia="en-US"/>
        </w:rPr>
        <w:t xml:space="preserve">However, decision-makers should be cautious as further analyses </w:t>
      </w:r>
      <w:r w:rsidR="00BD4A11">
        <w:rPr>
          <w:rFonts w:ascii="Arial" w:eastAsiaTheme="minorHAnsi" w:hAnsi="Arial" w:cstheme="minorBidi"/>
          <w:szCs w:val="22"/>
          <w:lang w:eastAsia="en-US"/>
        </w:rPr>
        <w:t xml:space="preserve">highlighted </w:t>
      </w:r>
      <w:r w:rsidR="007A607C">
        <w:rPr>
          <w:rFonts w:ascii="Arial" w:eastAsiaTheme="minorHAnsi" w:hAnsi="Arial" w:cstheme="minorBidi"/>
          <w:szCs w:val="22"/>
          <w:lang w:eastAsia="en-US"/>
        </w:rPr>
        <w:t>some</w:t>
      </w:r>
      <w:r w:rsidR="0027034A">
        <w:rPr>
          <w:rFonts w:ascii="Arial" w:eastAsiaTheme="minorHAnsi" w:hAnsi="Arial" w:cstheme="minorBidi"/>
          <w:szCs w:val="22"/>
          <w:lang w:eastAsia="en-US"/>
        </w:rPr>
        <w:t xml:space="preserve"> sensitivity and uncertainty in the economic modelling.</w:t>
      </w:r>
    </w:p>
    <w:p w14:paraId="03C3A29B" w14:textId="77777777" w:rsidR="000A69C8" w:rsidRDefault="000A69C8" w:rsidP="001A37CE">
      <w:pPr>
        <w:pStyle w:val="paragraph"/>
        <w:spacing w:before="0" w:after="0" w:line="360" w:lineRule="auto"/>
        <w:rPr>
          <w:rFonts w:ascii="Arial" w:eastAsiaTheme="minorHAnsi" w:hAnsi="Arial" w:cstheme="minorBidi"/>
          <w:szCs w:val="22"/>
          <w:lang w:eastAsia="en-US"/>
        </w:rPr>
      </w:pPr>
    </w:p>
    <w:p w14:paraId="6CFE06B9" w14:textId="526FF820" w:rsidR="00F72E81" w:rsidRDefault="007A607C" w:rsidP="00F72E81">
      <w:pPr>
        <w:pStyle w:val="paragraph"/>
        <w:spacing w:before="0" w:after="0" w:line="360" w:lineRule="auto"/>
        <w:rPr>
          <w:rFonts w:ascii="Arial" w:eastAsiaTheme="minorEastAsia" w:hAnsi="Arial" w:cstheme="minorBidi"/>
          <w:lang w:eastAsia="en-US"/>
        </w:rPr>
      </w:pPr>
      <w:r>
        <w:rPr>
          <w:rFonts w:ascii="Arial" w:eastAsiaTheme="minorEastAsia" w:hAnsi="Arial" w:cstheme="minorBidi"/>
          <w:lang w:eastAsia="en-US"/>
        </w:rPr>
        <w:t>Our</w:t>
      </w:r>
      <w:r w:rsidR="001A37CE" w:rsidRPr="22B638A3">
        <w:rPr>
          <w:rFonts w:ascii="Arial" w:eastAsiaTheme="minorEastAsia" w:hAnsi="Arial" w:cstheme="minorBidi"/>
          <w:lang w:eastAsia="en-US"/>
        </w:rPr>
        <w:t xml:space="preserve"> findings corroborate and build on previous studies that have suggested that treatment </w:t>
      </w:r>
      <w:r w:rsidR="00545D7B">
        <w:rPr>
          <w:rFonts w:ascii="Arial" w:eastAsiaTheme="minorEastAsia" w:hAnsi="Arial" w:cstheme="minorBidi"/>
          <w:lang w:eastAsia="en-US"/>
        </w:rPr>
        <w:t>plus</w:t>
      </w:r>
      <w:r w:rsidR="001A37CE" w:rsidRPr="22B638A3">
        <w:rPr>
          <w:rFonts w:ascii="Arial" w:eastAsiaTheme="minorEastAsia" w:hAnsi="Arial" w:cstheme="minorBidi"/>
          <w:lang w:eastAsia="en-US"/>
        </w:rPr>
        <w:t xml:space="preserve"> parenting programmes are an effective option for parents with AUD</w:t>
      </w:r>
      <w:r w:rsidR="00B83AB8">
        <w:rPr>
          <w:rFonts w:ascii="Arial" w:eastAsiaTheme="minorEastAsia" w:hAnsi="Arial" w:cstheme="minorBidi"/>
          <w:lang w:eastAsia="en-US"/>
        </w:rPr>
        <w:t xml:space="preserve"> </w:t>
      </w:r>
      <w:r w:rsidR="00B83AB8">
        <w:rPr>
          <w:rFonts w:ascii="Arial" w:eastAsiaTheme="minorEastAsia" w:hAnsi="Arial" w:cstheme="minorBidi"/>
          <w:lang w:eastAsia="en-US"/>
        </w:rPr>
        <w:fldChar w:fldCharType="begin">
          <w:fldData xml:space="preserve">PEVuZE5vdGU+PENpdGU+PEF1dGhvcj5CYXJsb3c8L0F1dGhvcj48WWVhcj4yMDE5PC9ZZWFyPjxS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</w:fldData>
        </w:fldChar>
      </w:r>
      <w:r w:rsidR="00B9334F">
        <w:rPr>
          <w:rFonts w:ascii="Arial" w:eastAsiaTheme="minorEastAsia" w:hAnsi="Arial" w:cstheme="minorBidi"/>
          <w:lang w:eastAsia="en-US"/>
        </w:rPr>
        <w:instrText xml:space="preserve"> ADDIN EN.CITE </w:instrText>
      </w:r>
      <w:r w:rsidR="00B9334F">
        <w:rPr>
          <w:rFonts w:ascii="Arial" w:eastAsiaTheme="minorEastAsia" w:hAnsi="Arial" w:cstheme="minorBidi"/>
          <w:lang w:eastAsia="en-US"/>
        </w:rPr>
        <w:fldChar w:fldCharType="begin">
          <w:fldData xml:space="preserve">PEVuZE5vdGU+PENpdGU+PEF1dGhvcj5CYXJsb3c8L0F1dGhvcj48WWVhcj4yMDE5PC9ZZWFyPjxS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</w:fldData>
        </w:fldChar>
      </w:r>
      <w:r w:rsidR="00B9334F">
        <w:rPr>
          <w:rFonts w:ascii="Arial" w:eastAsiaTheme="minorEastAsia" w:hAnsi="Arial" w:cstheme="minorBidi"/>
          <w:lang w:eastAsia="en-US"/>
        </w:rPr>
        <w:instrText xml:space="preserve"> ADDIN EN.CITE.DATA </w:instrText>
      </w:r>
      <w:r w:rsidR="00B9334F">
        <w:rPr>
          <w:rFonts w:ascii="Arial" w:eastAsiaTheme="minorEastAsia" w:hAnsi="Arial" w:cstheme="minorBidi"/>
          <w:lang w:eastAsia="en-US"/>
        </w:rPr>
      </w:r>
      <w:r w:rsidR="00B9334F">
        <w:rPr>
          <w:rFonts w:ascii="Arial" w:eastAsiaTheme="minorEastAsia" w:hAnsi="Arial" w:cstheme="minorBidi"/>
          <w:lang w:eastAsia="en-US"/>
        </w:rPr>
        <w:fldChar w:fldCharType="end"/>
      </w:r>
      <w:r w:rsidR="00B83AB8">
        <w:rPr>
          <w:rFonts w:ascii="Arial" w:eastAsiaTheme="minorEastAsia" w:hAnsi="Arial" w:cstheme="minorBidi"/>
          <w:lang w:eastAsia="en-US"/>
        </w:rPr>
      </w:r>
      <w:r w:rsidR="00B83AB8">
        <w:rPr>
          <w:rFonts w:ascii="Arial" w:eastAsiaTheme="minorEastAsia" w:hAnsi="Arial" w:cstheme="minorBidi"/>
          <w:lang w:eastAsia="en-US"/>
        </w:rPr>
        <w:fldChar w:fldCharType="separate"/>
      </w:r>
      <w:r w:rsidR="003C6F70">
        <w:rPr>
          <w:rFonts w:ascii="Arial" w:eastAsiaTheme="minorEastAsia" w:hAnsi="Arial" w:cstheme="minorBidi"/>
          <w:noProof/>
          <w:lang w:eastAsia="en-US"/>
        </w:rPr>
        <w:t>(Barlow et al., 2019; McGovern et al., 2022; Musto Wright et al., 2024a; Musto Wright et al., 2024b)</w:t>
      </w:r>
      <w:r w:rsidR="00B83AB8">
        <w:rPr>
          <w:rFonts w:ascii="Arial" w:eastAsiaTheme="minorEastAsia" w:hAnsi="Arial" w:cstheme="minorBidi"/>
          <w:lang w:eastAsia="en-US"/>
        </w:rPr>
        <w:fldChar w:fldCharType="end"/>
      </w:r>
      <w:r w:rsidR="001A37CE" w:rsidRPr="22B638A3">
        <w:rPr>
          <w:rFonts w:ascii="Arial" w:eastAsiaTheme="minorEastAsia" w:hAnsi="Arial" w:cstheme="minorBidi"/>
          <w:lang w:eastAsia="en-US"/>
        </w:rPr>
        <w:t xml:space="preserve">, as well as economic evaluations of parenting programmes </w:t>
      </w:r>
      <w:r w:rsidR="001A37CE" w:rsidRPr="22B638A3">
        <w:rPr>
          <w:rFonts w:ascii="Arial" w:eastAsiaTheme="minorEastAsia" w:hAnsi="Arial" w:cstheme="minorBidi"/>
          <w:lang w:eastAsia="en-US"/>
        </w:rPr>
        <w:lastRenderedPageBreak/>
        <w:t>aiming to improve child health, particularly in the context of internalising and externalising behaviours</w:t>
      </w:r>
      <w:r w:rsidR="00622F6F" w:rsidRPr="22B638A3">
        <w:rPr>
          <w:rFonts w:ascii="Arial" w:eastAsiaTheme="minorEastAsia" w:hAnsi="Arial" w:cstheme="minorBidi"/>
          <w:lang w:eastAsia="en-US"/>
        </w:rPr>
        <w:t xml:space="preserve">, </w:t>
      </w:r>
      <w:r w:rsidR="001A37CE" w:rsidRPr="22B638A3">
        <w:rPr>
          <w:rFonts w:ascii="Arial" w:eastAsiaTheme="minorEastAsia" w:hAnsi="Arial" w:cstheme="minorBidi"/>
          <w:lang w:eastAsia="en-US"/>
        </w:rPr>
        <w:t xml:space="preserve">mental health and child abuse </w:t>
      </w:r>
      <w:r w:rsidR="001A37CE" w:rsidRPr="22B638A3">
        <w:rPr>
          <w:rFonts w:ascii="Arial" w:eastAsiaTheme="minorEastAsia" w:hAnsi="Arial" w:cstheme="minorBidi"/>
          <w:lang w:eastAsia="en-US"/>
        </w:rPr>
        <w:fldChar w:fldCharType="begin">
          <w:fldData xml:space="preserve">PEVuZE5vdGU+PENpdGU+PEF1dGhvcj5TYW1wYWlvPC9BdXRob3I+PFllYXI+MjAyNDwvWWVhcj48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</w:fldData>
        </w:fldChar>
      </w:r>
      <w:r w:rsidR="00B9334F">
        <w:rPr>
          <w:rFonts w:ascii="Arial" w:eastAsiaTheme="minorEastAsia" w:hAnsi="Arial" w:cstheme="minorBidi"/>
          <w:lang w:eastAsia="en-US"/>
        </w:rPr>
        <w:instrText xml:space="preserve"> ADDIN EN.CITE </w:instrText>
      </w:r>
      <w:r w:rsidR="00B9334F">
        <w:rPr>
          <w:rFonts w:ascii="Arial" w:eastAsiaTheme="minorEastAsia" w:hAnsi="Arial" w:cstheme="minorBidi"/>
          <w:lang w:eastAsia="en-US"/>
        </w:rPr>
        <w:fldChar w:fldCharType="begin">
          <w:fldData xml:space="preserve">PEVuZE5vdGU+PENpdGU+PEF1dGhvcj5TYW1wYWlvPC9BdXRob3I+PFllYXI+MjAyNDwvWWVhcj48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</w:fldData>
        </w:fldChar>
      </w:r>
      <w:r w:rsidR="00B9334F">
        <w:rPr>
          <w:rFonts w:ascii="Arial" w:eastAsiaTheme="minorEastAsia" w:hAnsi="Arial" w:cstheme="minorBidi"/>
          <w:lang w:eastAsia="en-US"/>
        </w:rPr>
        <w:instrText xml:space="preserve"> ADDIN EN.CITE.DATA </w:instrText>
      </w:r>
      <w:r w:rsidR="00B9334F">
        <w:rPr>
          <w:rFonts w:ascii="Arial" w:eastAsiaTheme="minorEastAsia" w:hAnsi="Arial" w:cstheme="minorBidi"/>
          <w:lang w:eastAsia="en-US"/>
        </w:rPr>
      </w:r>
      <w:r w:rsidR="00B9334F">
        <w:rPr>
          <w:rFonts w:ascii="Arial" w:eastAsiaTheme="minorEastAsia" w:hAnsi="Arial" w:cstheme="minorBidi"/>
          <w:lang w:eastAsia="en-US"/>
        </w:rPr>
        <w:fldChar w:fldCharType="end"/>
      </w:r>
      <w:r w:rsidR="001A37CE" w:rsidRPr="22B638A3">
        <w:rPr>
          <w:rFonts w:ascii="Arial" w:eastAsiaTheme="minorEastAsia" w:hAnsi="Arial" w:cstheme="minorBidi"/>
          <w:lang w:eastAsia="en-US"/>
        </w:rPr>
      </w:r>
      <w:r w:rsidR="001A37CE" w:rsidRPr="22B638A3">
        <w:rPr>
          <w:rFonts w:ascii="Arial" w:eastAsiaTheme="minorEastAsia" w:hAnsi="Arial" w:cstheme="minorBidi"/>
          <w:lang w:eastAsia="en-US"/>
        </w:rPr>
        <w:fldChar w:fldCharType="separate"/>
      </w:r>
      <w:r w:rsidR="003C6F70">
        <w:rPr>
          <w:rFonts w:ascii="Arial" w:eastAsiaTheme="minorEastAsia" w:hAnsi="Arial" w:cstheme="minorBidi"/>
          <w:noProof/>
          <w:lang w:eastAsia="en-US"/>
        </w:rPr>
        <w:t>(Barlow et al., 2019; Day et al., 2020; Forrester et al., 2014; Sampaio et al., 2024)</w:t>
      </w:r>
      <w:r w:rsidR="001A37CE" w:rsidRPr="22B638A3">
        <w:rPr>
          <w:rFonts w:ascii="Arial" w:eastAsiaTheme="minorEastAsia" w:hAnsi="Arial" w:cstheme="minorBidi"/>
          <w:lang w:eastAsia="en-US"/>
        </w:rPr>
        <w:fldChar w:fldCharType="end"/>
      </w:r>
      <w:r w:rsidR="001A37CE" w:rsidRPr="22B638A3">
        <w:rPr>
          <w:rFonts w:ascii="Arial" w:eastAsiaTheme="minorEastAsia" w:hAnsi="Arial" w:cstheme="minorBidi"/>
          <w:lang w:eastAsia="en-US"/>
        </w:rPr>
        <w:t>.</w:t>
      </w:r>
    </w:p>
    <w:p w14:paraId="1955FA51" w14:textId="77777777" w:rsidR="00F72E81" w:rsidRDefault="00F72E81" w:rsidP="00F72E81">
      <w:pPr>
        <w:pStyle w:val="paragraph"/>
        <w:spacing w:before="0" w:after="0" w:line="360" w:lineRule="auto"/>
        <w:rPr>
          <w:rFonts w:ascii="Arial" w:eastAsiaTheme="minorEastAsia" w:hAnsi="Arial" w:cstheme="minorBidi"/>
          <w:lang w:eastAsia="en-US"/>
        </w:rPr>
      </w:pPr>
    </w:p>
    <w:p w14:paraId="6B7F38F2" w14:textId="19E248C2" w:rsidR="007A607C" w:rsidRDefault="001A37CE" w:rsidP="00F72E81">
      <w:pPr>
        <w:pStyle w:val="paragraph"/>
        <w:spacing w:before="0" w:after="0" w:line="360" w:lineRule="auto"/>
        <w:rPr>
          <w:rFonts w:ascii="Arial" w:hAnsi="Arial" w:cs="Arial"/>
        </w:rPr>
      </w:pPr>
      <w:r w:rsidRPr="00F72E81">
        <w:rPr>
          <w:rFonts w:ascii="Arial" w:hAnsi="Arial" w:cs="Arial"/>
        </w:rPr>
        <w:t xml:space="preserve">While we tried to be comprehensive in our approach to capturing costs and savings, there were some costs we were not able to include because of data limitations. For example, we were unable to model the reduction in occurrence or costs and increased benefits associated with reductions in FASD, or of reductions in children going into care. The use of ATEs based on successful completions of treatment is another limitation of the study as AUD is a chronic health condition which can involve multiple episodes remission and relapse. However successful completion is the main outcome measure in the English system and so we are using measures understood by English decision and policymakers. Moreover, through our health state transition probabilities over 10 years we have attempted to model rates of remission and relapse over time, and through our </w:t>
      </w:r>
      <w:r w:rsidR="006277AA" w:rsidRPr="00F72E81">
        <w:rPr>
          <w:rFonts w:ascii="Arial" w:hAnsi="Arial" w:cs="Arial"/>
        </w:rPr>
        <w:t xml:space="preserve">deterministic sensitivity analysis and </w:t>
      </w:r>
      <w:r w:rsidRPr="00F72E81">
        <w:rPr>
          <w:rFonts w:ascii="Arial" w:hAnsi="Arial" w:cs="Arial"/>
        </w:rPr>
        <w:t>PSA we adjusted for uncertainty in the transition probabilities. Our use of PSA also enabled us to adjust for uncertainty in our costs and utility scores</w:t>
      </w:r>
      <w:r w:rsidR="007A607C">
        <w:rPr>
          <w:rFonts w:ascii="Arial" w:hAnsi="Arial" w:cs="Arial"/>
        </w:rPr>
        <w:t>.</w:t>
      </w:r>
    </w:p>
    <w:p w14:paraId="04B52704" w14:textId="77777777" w:rsidR="007A607C" w:rsidRPr="003E2FFD" w:rsidRDefault="007A607C" w:rsidP="00F72E81">
      <w:pPr>
        <w:pStyle w:val="paragraph"/>
        <w:spacing w:before="0" w:after="0" w:line="360" w:lineRule="auto"/>
        <w:rPr>
          <w:rFonts w:ascii="Arial" w:hAnsi="Arial" w:cs="Arial"/>
        </w:rPr>
      </w:pPr>
    </w:p>
    <w:p w14:paraId="5334A1A1" w14:textId="190DFBBE" w:rsidR="009C6923" w:rsidRPr="003E2FFD" w:rsidRDefault="001A37CE" w:rsidP="003E2FFD">
      <w:pPr>
        <w:pStyle w:val="paragraph"/>
        <w:spacing w:before="0" w:after="0" w:line="360" w:lineRule="auto"/>
        <w:rPr>
          <w:rFonts w:ascii="Arial" w:hAnsi="Arial" w:cs="Arial"/>
        </w:rPr>
      </w:pPr>
      <w:r w:rsidRPr="003E2FFD">
        <w:rPr>
          <w:rFonts w:ascii="Arial" w:eastAsiaTheme="minorEastAsia" w:hAnsi="Arial" w:cs="Arial"/>
        </w:rPr>
        <w:t xml:space="preserve">Our assumption that the public sector savings costs from UKATT, which were published over twenty years ago, and which were derived from those receiving either motivational enhancement therapy or social behaviour and network therapy were comparable to </w:t>
      </w:r>
      <w:r w:rsidR="001B49CE" w:rsidRPr="003E2FFD">
        <w:rPr>
          <w:rFonts w:ascii="Arial" w:eastAsiaTheme="minorEastAsia" w:hAnsi="Arial" w:cs="Arial"/>
        </w:rPr>
        <w:t>our cohort</w:t>
      </w:r>
      <w:r w:rsidRPr="003E2FFD">
        <w:rPr>
          <w:rFonts w:ascii="Arial" w:eastAsiaTheme="minorEastAsia" w:hAnsi="Arial" w:cs="Arial"/>
        </w:rPr>
        <w:t xml:space="preserve"> is a further limitation. A research priority is to update and capture the broad spectrum of societal costs associated with parental AUD treatment for both children and parents. Using national administrative databases matched to NDTMS to measure reductions in, for example, hospital admissions (via the Hospital Episodes Statistics database) and offending (via the Police National Computer database) could be a more robust way of estimating public sector costs for parents with AUD in treatment as it does not rely on patient recall and the large sample sizes should lower the amount of variance in the observed data around the mean cost averages. Patients could also be followed up for longer than six months. As there is no social care database that could be matched to the NDTMS, resource usage would need to be captured via a longitudinal survey.  </w:t>
      </w:r>
    </w:p>
    <w:p w14:paraId="1A3E4861" w14:textId="3330D6C2" w:rsidR="00D06422" w:rsidRDefault="00D76586" w:rsidP="001A37CE">
      <w:pPr>
        <w:pStyle w:val="paragraph"/>
        <w:spacing w:before="0" w:after="0" w:line="360" w:lineRule="auto"/>
        <w:textAlignment w:val="baseline"/>
        <w:rPr>
          <w:rFonts w:ascii="Arial" w:eastAsiaTheme="minorHAnsi" w:hAnsi="Arial" w:cstheme="minorBidi"/>
          <w:szCs w:val="22"/>
          <w:lang w:eastAsia="en-US"/>
        </w:rPr>
      </w:pPr>
      <w:r>
        <w:rPr>
          <w:rFonts w:ascii="Arial" w:eastAsiaTheme="minorHAnsi" w:hAnsi="Arial" w:cstheme="minorBidi"/>
          <w:szCs w:val="22"/>
          <w:lang w:eastAsia="en-US"/>
        </w:rPr>
        <w:t>Similarly</w:t>
      </w:r>
      <w:r w:rsidR="00311F8F">
        <w:rPr>
          <w:rFonts w:ascii="Arial" w:eastAsiaTheme="minorHAnsi" w:hAnsi="Arial" w:cstheme="minorBidi"/>
          <w:szCs w:val="22"/>
          <w:lang w:eastAsia="en-US"/>
        </w:rPr>
        <w:t>,</w:t>
      </w:r>
      <w:r>
        <w:rPr>
          <w:rFonts w:ascii="Arial" w:eastAsiaTheme="minorHAnsi" w:hAnsi="Arial" w:cstheme="minorBidi"/>
          <w:szCs w:val="22"/>
          <w:lang w:eastAsia="en-US"/>
        </w:rPr>
        <w:t xml:space="preserve"> a research priority would be </w:t>
      </w:r>
      <w:r w:rsidR="00E31832">
        <w:rPr>
          <w:rFonts w:ascii="Arial" w:eastAsiaTheme="minorHAnsi" w:hAnsi="Arial" w:cstheme="minorBidi"/>
          <w:szCs w:val="22"/>
          <w:lang w:eastAsia="en-US"/>
        </w:rPr>
        <w:t xml:space="preserve">to have QALYs more directly comparable to our cohort. In theory, this could be achieved by adding the EQ-5D-5L or similar to the </w:t>
      </w:r>
      <w:r w:rsidR="00E31832">
        <w:rPr>
          <w:rFonts w:ascii="Arial" w:eastAsiaTheme="minorHAnsi" w:hAnsi="Arial" w:cstheme="minorBidi"/>
          <w:szCs w:val="22"/>
          <w:lang w:eastAsia="en-US"/>
        </w:rPr>
        <w:lastRenderedPageBreak/>
        <w:t>NDTMS reporting and to ask for the survey to be completed once people enter treatment, during their reviews and at the end of treatment. In this way,</w:t>
      </w:r>
      <w:r w:rsidR="00057F10">
        <w:rPr>
          <w:rFonts w:ascii="Arial" w:eastAsiaTheme="minorHAnsi" w:hAnsi="Arial" w:cstheme="minorBidi"/>
          <w:szCs w:val="22"/>
          <w:lang w:eastAsia="en-US"/>
        </w:rPr>
        <w:t xml:space="preserve"> the robustness</w:t>
      </w:r>
      <w:r w:rsidR="00E31832">
        <w:rPr>
          <w:rFonts w:ascii="Arial" w:eastAsiaTheme="minorHAnsi" w:hAnsi="Arial" w:cstheme="minorBidi"/>
          <w:szCs w:val="22"/>
          <w:lang w:eastAsia="en-US"/>
        </w:rPr>
        <w:t xml:space="preserve"> </w:t>
      </w:r>
      <w:r w:rsidR="00057F10">
        <w:rPr>
          <w:rFonts w:ascii="Arial" w:eastAsiaTheme="minorHAnsi" w:hAnsi="Arial" w:cstheme="minorBidi"/>
          <w:szCs w:val="22"/>
          <w:lang w:eastAsia="en-US"/>
        </w:rPr>
        <w:t xml:space="preserve">of the </w:t>
      </w:r>
      <w:r w:rsidR="00E31832">
        <w:rPr>
          <w:rFonts w:ascii="Arial" w:eastAsiaTheme="minorHAnsi" w:hAnsi="Arial" w:cstheme="minorBidi"/>
          <w:szCs w:val="22"/>
          <w:lang w:eastAsia="en-US"/>
        </w:rPr>
        <w:t xml:space="preserve">QALY gains for </w:t>
      </w:r>
      <w:r w:rsidR="002C7CCC">
        <w:rPr>
          <w:rFonts w:ascii="Arial" w:eastAsiaTheme="minorHAnsi" w:hAnsi="Arial" w:cstheme="minorBidi"/>
          <w:szCs w:val="22"/>
          <w:lang w:eastAsia="en-US"/>
        </w:rPr>
        <w:t xml:space="preserve">all the different subgroups and health states in this </w:t>
      </w:r>
      <w:r w:rsidR="00C33410">
        <w:rPr>
          <w:rFonts w:ascii="Arial" w:eastAsiaTheme="minorHAnsi" w:hAnsi="Arial" w:cstheme="minorBidi"/>
          <w:szCs w:val="22"/>
          <w:lang w:eastAsia="en-US"/>
        </w:rPr>
        <w:t xml:space="preserve">study </w:t>
      </w:r>
      <w:r w:rsidR="00D06422">
        <w:rPr>
          <w:rFonts w:ascii="Arial" w:eastAsiaTheme="minorHAnsi" w:hAnsi="Arial" w:cstheme="minorBidi"/>
          <w:szCs w:val="22"/>
          <w:lang w:eastAsia="en-US"/>
        </w:rPr>
        <w:t xml:space="preserve">would be vastly improved. </w:t>
      </w:r>
    </w:p>
    <w:p w14:paraId="4D45AF2D" w14:textId="77777777" w:rsidR="00D06422" w:rsidRDefault="00D06422" w:rsidP="001A37CE">
      <w:pPr>
        <w:pStyle w:val="paragraph"/>
        <w:spacing w:before="0" w:after="0" w:line="360" w:lineRule="auto"/>
        <w:textAlignment w:val="baseline"/>
        <w:rPr>
          <w:rFonts w:ascii="Arial" w:eastAsiaTheme="minorHAnsi" w:hAnsi="Arial" w:cstheme="minorBidi"/>
          <w:szCs w:val="22"/>
          <w:lang w:eastAsia="en-US"/>
        </w:rPr>
      </w:pPr>
    </w:p>
    <w:p w14:paraId="07DB8F3D" w14:textId="0BEB0710" w:rsidR="001A37CE" w:rsidRPr="00F50054" w:rsidRDefault="001A37CE" w:rsidP="001A37CE">
      <w:pPr>
        <w:pStyle w:val="paragraph"/>
        <w:spacing w:before="0" w:after="0" w:line="360" w:lineRule="auto"/>
        <w:textAlignment w:val="baseline"/>
        <w:rPr>
          <w:rFonts w:ascii="Arial" w:eastAsiaTheme="minorHAnsi" w:hAnsi="Arial" w:cstheme="minorBidi"/>
          <w:szCs w:val="22"/>
          <w:lang w:eastAsia="en-US"/>
        </w:rPr>
      </w:pPr>
      <w:r w:rsidRPr="003822FE">
        <w:rPr>
          <w:rFonts w:ascii="Arial" w:eastAsiaTheme="minorHAnsi" w:hAnsi="Arial" w:cstheme="minorBidi"/>
          <w:szCs w:val="22"/>
          <w:lang w:eastAsia="en-US"/>
        </w:rPr>
        <w:t xml:space="preserve">While </w:t>
      </w:r>
      <w:r>
        <w:rPr>
          <w:rFonts w:ascii="Arial" w:eastAsiaTheme="minorHAnsi" w:hAnsi="Arial" w:cstheme="minorBidi"/>
          <w:szCs w:val="22"/>
          <w:lang w:eastAsia="en-US"/>
        </w:rPr>
        <w:t xml:space="preserve">estimated </w:t>
      </w:r>
      <w:r w:rsidRPr="003822FE">
        <w:rPr>
          <w:rFonts w:ascii="Arial" w:eastAsiaTheme="minorHAnsi" w:hAnsi="Arial" w:cstheme="minorBidi"/>
          <w:szCs w:val="22"/>
          <w:lang w:eastAsia="en-US"/>
        </w:rPr>
        <w:t xml:space="preserve">QALY gains in parents are valuable outcomes, they are </w:t>
      </w:r>
      <w:r>
        <w:rPr>
          <w:rFonts w:ascii="Arial" w:eastAsiaTheme="minorHAnsi" w:hAnsi="Arial" w:cstheme="minorBidi"/>
          <w:szCs w:val="22"/>
          <w:lang w:eastAsia="en-US"/>
        </w:rPr>
        <w:t xml:space="preserve">not relevant when </w:t>
      </w:r>
      <w:r w:rsidRPr="003822FE">
        <w:rPr>
          <w:rFonts w:ascii="Arial" w:eastAsiaTheme="minorHAnsi" w:hAnsi="Arial" w:cstheme="minorBidi"/>
          <w:szCs w:val="22"/>
          <w:lang w:eastAsia="en-US"/>
        </w:rPr>
        <w:t>regarding the wellbeing of the</w:t>
      </w:r>
      <w:r>
        <w:rPr>
          <w:rFonts w:ascii="Arial" w:eastAsiaTheme="minorHAnsi" w:hAnsi="Arial" w:cstheme="minorBidi"/>
          <w:szCs w:val="22"/>
          <w:lang w:eastAsia="en-US"/>
        </w:rPr>
        <w:t>ir</w:t>
      </w:r>
      <w:r w:rsidRPr="003822FE">
        <w:rPr>
          <w:rFonts w:ascii="Arial" w:eastAsiaTheme="minorHAnsi" w:hAnsi="Arial" w:cstheme="minorBidi"/>
          <w:szCs w:val="22"/>
          <w:lang w:eastAsia="en-US"/>
        </w:rPr>
        <w:t xml:space="preserve"> children</w:t>
      </w:r>
      <w:r>
        <w:rPr>
          <w:rFonts w:ascii="Arial" w:eastAsiaTheme="minorHAnsi" w:hAnsi="Arial" w:cstheme="minorBidi"/>
          <w:szCs w:val="22"/>
          <w:lang w:eastAsia="en-US"/>
        </w:rPr>
        <w:t xml:space="preserve"> </w:t>
      </w:r>
      <w:r>
        <w:rPr>
          <w:rFonts w:ascii="Arial" w:eastAsiaTheme="minorHAnsi" w:hAnsi="Arial" w:cstheme="minorBidi"/>
          <w:szCs w:val="22"/>
          <w:lang w:eastAsia="en-US"/>
        </w:rPr>
        <w:fldChar w:fldCharType="begin"/>
      </w:r>
      <w:r w:rsidR="00B9334F">
        <w:rPr>
          <w:rFonts w:ascii="Arial" w:eastAsiaTheme="minorHAnsi" w:hAnsi="Arial" w:cstheme="minorBidi"/>
          <w:szCs w:val="22"/>
          <w:lang w:eastAsia="en-US"/>
        </w:rPr>
        <w:instrText xml:space="preserve"> ADDIN EN.CITE &lt;EndNote&gt;&lt;Cite&gt;&lt;Author&gt;Barlow&lt;/Author&gt;&lt;Year&gt;2019&lt;/Year&gt;&lt;RecNum&gt;352&lt;/RecNum&gt;&lt;DisplayText&gt;(Barlow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rPr>
          <w:rFonts w:ascii="Arial" w:eastAsiaTheme="minorHAnsi" w:hAnsi="Arial" w:cstheme="minorBidi"/>
          <w:szCs w:val="22"/>
          <w:lang w:eastAsia="en-US"/>
        </w:rPr>
        <w:fldChar w:fldCharType="separate"/>
      </w:r>
      <w:r w:rsidR="00A77498">
        <w:rPr>
          <w:rFonts w:ascii="Arial" w:eastAsiaTheme="minorHAnsi" w:hAnsi="Arial" w:cstheme="minorBidi"/>
          <w:noProof/>
          <w:szCs w:val="22"/>
          <w:lang w:eastAsia="en-US"/>
        </w:rPr>
        <w:t>(Barlow et al., 2019)</w:t>
      </w:r>
      <w:r>
        <w:rPr>
          <w:rFonts w:ascii="Arial" w:eastAsiaTheme="minorHAnsi" w:hAnsi="Arial" w:cstheme="minorBidi"/>
          <w:szCs w:val="22"/>
          <w:lang w:eastAsia="en-US"/>
        </w:rPr>
        <w:fldChar w:fldCharType="end"/>
      </w:r>
      <w:r w:rsidRPr="003822FE">
        <w:rPr>
          <w:rFonts w:ascii="Arial" w:eastAsiaTheme="minorHAnsi" w:hAnsi="Arial" w:cstheme="minorBidi"/>
          <w:szCs w:val="22"/>
          <w:lang w:eastAsia="en-US"/>
        </w:rPr>
        <w:t>.</w:t>
      </w:r>
      <w:r>
        <w:rPr>
          <w:rFonts w:ascii="Arial" w:eastAsiaTheme="minorHAnsi" w:hAnsi="Arial" w:cstheme="minorBidi"/>
          <w:szCs w:val="22"/>
          <w:lang w:eastAsia="en-US"/>
        </w:rPr>
        <w:t xml:space="preserve"> Future research in this space should prioritise establishing a willingness to pay per child outcome gained, such as those measured using the </w:t>
      </w:r>
      <w:r w:rsidR="00CB5FE1">
        <w:rPr>
          <w:rFonts w:ascii="Arial" w:eastAsiaTheme="minorHAnsi" w:hAnsi="Arial" w:cstheme="minorBidi"/>
          <w:szCs w:val="22"/>
          <w:lang w:eastAsia="en-US"/>
        </w:rPr>
        <w:t>BCAP</w:t>
      </w:r>
      <w:r w:rsidR="00823E07">
        <w:rPr>
          <w:rFonts w:ascii="Arial" w:eastAsiaTheme="minorHAnsi" w:hAnsi="Arial" w:cstheme="minorBidi"/>
          <w:szCs w:val="22"/>
          <w:lang w:eastAsia="en-US"/>
        </w:rPr>
        <w:t xml:space="preserve"> </w:t>
      </w:r>
      <w:r w:rsidR="0064175C">
        <w:rPr>
          <w:rFonts w:ascii="Arial" w:eastAsiaTheme="minorHAnsi" w:hAnsi="Arial" w:cstheme="minorBidi"/>
          <w:szCs w:val="22"/>
          <w:lang w:eastAsia="en-US"/>
        </w:rPr>
        <w:fldChar w:fldCharType="begin"/>
      </w:r>
      <w:r w:rsidR="00B9334F">
        <w:rPr>
          <w:rFonts w:ascii="Arial" w:eastAsiaTheme="minorHAnsi" w:hAnsi="Arial" w:cstheme="minorBidi"/>
          <w:szCs w:val="22"/>
          <w:lang w:eastAsia="en-US"/>
        </w:rPr>
        <w:instrText xml:space="preserve"> ADDIN EN.CITE &lt;EndNote&gt;&lt;Cite&gt;&lt;Author&gt;Ondersma&lt;/Author&gt;&lt;Year&gt;2005&lt;/Year&gt;&lt;RecNum&gt;480&lt;/RecNum&gt;&lt;DisplayText&gt;(Ondersma et al., 2005)&lt;/DisplayText&gt;&lt;record&gt;&lt;rec-number&gt;480&lt;/rec-number&gt;&lt;foreign-keys&gt;&lt;key app="EN" db-id="ffzvr5fstavwxoe9v04xf0wmp5t50as52da0" timestamp="1731671682" guid="185014df-b873-41fa-8685-e14b719169ae"&gt;480&lt;/key&gt;&lt;/foreign-keys&gt;&lt;ref-type name="Journal Article"&gt;17&lt;/ref-type&gt;&lt;contributors&gt;&lt;authors&gt;&lt;author&gt;Ondersma, S. J.&lt;/author&gt;&lt;author&gt;Chaffin, M. J.&lt;/author&gt;&lt;author&gt;Mullins, S. M.&lt;/author&gt;&lt;author&gt;LeBreton, J. M.&lt;/author&gt;&lt;/authors&gt;&lt;/contributors&gt;&lt;titles&gt;&lt;title&gt;A brief form of the child abuse potential inventory: development and validation&lt;/title&gt;&lt;alt-title&gt;J Clin Child Adolesc Psychol&lt;/alt-title&gt;&lt;/titles&gt;&lt;alt-periodical&gt;&lt;abbr-1&gt;J Clin Child Adolesc Psychol&lt;/abbr-1&gt;&lt;/alt-periodical&gt;&lt;pages&gt;301-311&lt;/pages&gt;&lt;volume&gt;34&lt;/volume&gt;&lt;dates&gt;&lt;year&gt;2005&lt;/year&gt;&lt;/dates&gt;&lt;label&gt;77.&lt;/label&gt;&lt;urls&gt;&lt;related-urls&gt;&lt;url&gt;https://doi.org/10.1207/s15374424jccp3402_9&lt;/url&gt;&lt;/related-urls&gt;&lt;/urls&gt;&lt;/record&gt;&lt;/Cite&gt;&lt;/EndNote&gt;</w:instrText>
      </w:r>
      <w:r w:rsidR="0064175C">
        <w:rPr>
          <w:rFonts w:ascii="Arial" w:eastAsiaTheme="minorHAnsi" w:hAnsi="Arial" w:cstheme="minorBidi"/>
          <w:szCs w:val="22"/>
          <w:lang w:eastAsia="en-US"/>
        </w:rPr>
        <w:fldChar w:fldCharType="separate"/>
      </w:r>
      <w:r w:rsidR="0064175C">
        <w:rPr>
          <w:rFonts w:ascii="Arial" w:eastAsiaTheme="minorHAnsi" w:hAnsi="Arial" w:cstheme="minorBidi"/>
          <w:noProof/>
          <w:szCs w:val="22"/>
          <w:lang w:eastAsia="en-US"/>
        </w:rPr>
        <w:t>(Ondersma et al., 2005)</w:t>
      </w:r>
      <w:r w:rsidR="0064175C">
        <w:rPr>
          <w:rFonts w:ascii="Arial" w:eastAsiaTheme="minorHAnsi" w:hAnsi="Arial" w:cstheme="minorBidi"/>
          <w:szCs w:val="22"/>
          <w:lang w:eastAsia="en-US"/>
        </w:rPr>
        <w:fldChar w:fldCharType="end"/>
      </w:r>
      <w:r>
        <w:rPr>
          <w:rFonts w:ascii="Arial" w:eastAsiaTheme="minorHAnsi" w:hAnsi="Arial" w:cstheme="minorBidi"/>
          <w:szCs w:val="22"/>
          <w:lang w:eastAsia="en-US"/>
        </w:rPr>
        <w:t>, to be used in health economic evaluations, particularly as pa</w:t>
      </w:r>
      <w:r w:rsidRPr="00A54870">
        <w:rPr>
          <w:rFonts w:ascii="Arial" w:eastAsiaTheme="minorHAnsi" w:hAnsi="Arial" w:cstheme="minorBidi"/>
          <w:szCs w:val="22"/>
          <w:lang w:eastAsia="en-US"/>
        </w:rPr>
        <w:t xml:space="preserve">rental </w:t>
      </w:r>
      <w:r>
        <w:rPr>
          <w:rFonts w:ascii="Arial" w:eastAsiaTheme="minorHAnsi" w:hAnsi="Arial" w:cstheme="minorBidi"/>
          <w:szCs w:val="22"/>
          <w:lang w:eastAsia="en-US"/>
        </w:rPr>
        <w:t>AUD</w:t>
      </w:r>
      <w:r w:rsidRPr="00A54870">
        <w:rPr>
          <w:rFonts w:ascii="Arial" w:eastAsiaTheme="minorHAnsi" w:hAnsi="Arial" w:cstheme="minorBidi"/>
          <w:szCs w:val="22"/>
          <w:lang w:eastAsia="en-US"/>
        </w:rPr>
        <w:t xml:space="preserve"> is associated with poor parenting capacity, sensitivity and attachment </w:t>
      </w:r>
      <w:r w:rsidRPr="00A54870">
        <w:rPr>
          <w:rFonts w:ascii="Arial" w:eastAsiaTheme="minorHAnsi" w:hAnsi="Arial" w:cstheme="minorBidi"/>
          <w:szCs w:val="22"/>
          <w:lang w:eastAsia="en-US"/>
        </w:rPr>
        <w:fldChar w:fldCharType="begin">
          <w:fldData xml:space="preserve">PEVuZE5vdGU+PENpdGU+PEF1dGhvcj5DYW5maWVsZDwvQXV0aG9yPjxZZWFyPjIwMTc8L1llYXI+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</w:fldData>
        </w:fldChar>
      </w:r>
      <w:r w:rsidR="00B9334F">
        <w:rPr>
          <w:rFonts w:ascii="Arial" w:eastAsiaTheme="minorHAnsi" w:hAnsi="Arial" w:cstheme="minorBidi"/>
          <w:szCs w:val="22"/>
          <w:lang w:eastAsia="en-US"/>
        </w:rPr>
        <w:instrText xml:space="preserve"> ADDIN EN.CITE </w:instrText>
      </w:r>
      <w:r w:rsidR="00B9334F">
        <w:rPr>
          <w:rFonts w:ascii="Arial" w:eastAsiaTheme="minorHAnsi" w:hAnsi="Arial" w:cstheme="minorBidi"/>
          <w:szCs w:val="22"/>
          <w:lang w:eastAsia="en-US"/>
        </w:rPr>
        <w:fldChar w:fldCharType="begin">
          <w:fldData xml:space="preserve">PEVuZE5vdGU+PENpdGU+PEF1dGhvcj5DYW5maWVsZDwvQXV0aG9yPjxZZWFyPjIwMTc8L1llYXI+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</w:fldData>
        </w:fldChar>
      </w:r>
      <w:r w:rsidR="00B9334F">
        <w:rPr>
          <w:rFonts w:ascii="Arial" w:eastAsiaTheme="minorHAnsi" w:hAnsi="Arial" w:cstheme="minorBidi"/>
          <w:szCs w:val="22"/>
          <w:lang w:eastAsia="en-US"/>
        </w:rPr>
        <w:instrText xml:space="preserve"> ADDIN EN.CITE.DATA </w:instrText>
      </w:r>
      <w:r w:rsidR="00B9334F">
        <w:rPr>
          <w:rFonts w:ascii="Arial" w:eastAsiaTheme="minorHAnsi" w:hAnsi="Arial" w:cstheme="minorBidi"/>
          <w:szCs w:val="22"/>
          <w:lang w:eastAsia="en-US"/>
        </w:rPr>
      </w:r>
      <w:r w:rsidR="00B9334F">
        <w:rPr>
          <w:rFonts w:ascii="Arial" w:eastAsiaTheme="minorHAnsi" w:hAnsi="Arial" w:cstheme="minorBidi"/>
          <w:szCs w:val="22"/>
          <w:lang w:eastAsia="en-US"/>
        </w:rPr>
        <w:fldChar w:fldCharType="end"/>
      </w:r>
      <w:r w:rsidRPr="00A54870">
        <w:rPr>
          <w:rFonts w:ascii="Arial" w:eastAsiaTheme="minorHAnsi" w:hAnsi="Arial" w:cstheme="minorBidi"/>
          <w:szCs w:val="22"/>
          <w:lang w:eastAsia="en-US"/>
        </w:rPr>
      </w:r>
      <w:r w:rsidRPr="00A54870">
        <w:rPr>
          <w:rFonts w:ascii="Arial" w:eastAsiaTheme="minorHAnsi" w:hAnsi="Arial" w:cstheme="minorBidi"/>
          <w:szCs w:val="22"/>
          <w:lang w:eastAsia="en-US"/>
        </w:rPr>
        <w:fldChar w:fldCharType="separate"/>
      </w:r>
      <w:r w:rsidR="003C6F70">
        <w:rPr>
          <w:rFonts w:ascii="Arial" w:eastAsiaTheme="minorHAnsi" w:hAnsi="Arial" w:cstheme="minorBidi"/>
          <w:noProof/>
          <w:szCs w:val="22"/>
          <w:lang w:eastAsia="en-US"/>
        </w:rPr>
        <w:t>(Canfield et al., 2017; Slesnick et al., 2014)</w:t>
      </w:r>
      <w:r w:rsidRPr="00A54870">
        <w:rPr>
          <w:rFonts w:ascii="Arial" w:eastAsiaTheme="minorHAnsi" w:hAnsi="Arial" w:cstheme="minorBidi"/>
          <w:szCs w:val="22"/>
          <w:lang w:eastAsia="en-US"/>
        </w:rPr>
        <w:fldChar w:fldCharType="end"/>
      </w:r>
      <w:r>
        <w:rPr>
          <w:rFonts w:ascii="Arial" w:eastAsiaTheme="minorHAnsi" w:hAnsi="Arial" w:cstheme="minorBidi"/>
          <w:szCs w:val="22"/>
          <w:lang w:eastAsia="en-US"/>
        </w:rPr>
        <w:t xml:space="preserve"> – key factors in child safeguarding risk. Moreover, standard quality of life utility instruments used in health economic evaluations may not be appropriate for measuring meaningful change in health status for people with AUD </w:t>
      </w:r>
      <w:r>
        <w:rPr>
          <w:rFonts w:ascii="Arial" w:eastAsiaTheme="minorHAnsi" w:hAnsi="Arial" w:cstheme="minorBidi"/>
          <w:szCs w:val="22"/>
          <w:lang w:eastAsia="en-US"/>
        </w:rPr>
        <w:fldChar w:fldCharType="begin">
          <w:fldData xml:space="preserve">PEVuZE5vdGU+PENpdGU+PEF1dGhvcj5QYXlha2FjaGF0PC9BdXRob3I+PFllYXI+MjAxNTwvWWVh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=
</w:fldData>
        </w:fldChar>
      </w:r>
      <w:r w:rsidR="00B9334F">
        <w:rPr>
          <w:rFonts w:ascii="Arial" w:eastAsiaTheme="minorHAnsi" w:hAnsi="Arial" w:cstheme="minorBidi"/>
          <w:szCs w:val="22"/>
          <w:lang w:eastAsia="en-US"/>
        </w:rPr>
        <w:instrText xml:space="preserve"> ADDIN EN.CITE </w:instrText>
      </w:r>
      <w:r w:rsidR="00B9334F">
        <w:rPr>
          <w:rFonts w:ascii="Arial" w:eastAsiaTheme="minorHAnsi" w:hAnsi="Arial" w:cstheme="minorBidi"/>
          <w:szCs w:val="22"/>
          <w:lang w:eastAsia="en-US"/>
        </w:rPr>
        <w:fldChar w:fldCharType="begin">
          <w:fldData xml:space="preserve">PEVuZE5vdGU+PENpdGU+PEF1dGhvcj5QYXlha2FjaGF0PC9BdXRob3I+PFllYXI+MjAxNTwvWWVh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=
</w:fldData>
        </w:fldChar>
      </w:r>
      <w:r w:rsidR="00B9334F">
        <w:rPr>
          <w:rFonts w:ascii="Arial" w:eastAsiaTheme="minorHAnsi" w:hAnsi="Arial" w:cstheme="minorBidi"/>
          <w:szCs w:val="22"/>
          <w:lang w:eastAsia="en-US"/>
        </w:rPr>
        <w:instrText xml:space="preserve"> ADDIN EN.CITE.DATA </w:instrText>
      </w:r>
      <w:r w:rsidR="00B9334F">
        <w:rPr>
          <w:rFonts w:ascii="Arial" w:eastAsiaTheme="minorHAnsi" w:hAnsi="Arial" w:cstheme="minorBidi"/>
          <w:szCs w:val="22"/>
          <w:lang w:eastAsia="en-US"/>
        </w:rPr>
      </w:r>
      <w:r w:rsidR="00B9334F">
        <w:rPr>
          <w:rFonts w:ascii="Arial" w:eastAsiaTheme="minorHAnsi" w:hAnsi="Arial" w:cstheme="minorBidi"/>
          <w:szCs w:val="22"/>
          <w:lang w:eastAsia="en-US"/>
        </w:rPr>
        <w:fldChar w:fldCharType="end"/>
      </w:r>
      <w:r>
        <w:rPr>
          <w:rFonts w:ascii="Arial" w:eastAsiaTheme="minorHAnsi" w:hAnsi="Arial" w:cstheme="minorBidi"/>
          <w:szCs w:val="22"/>
          <w:lang w:eastAsia="en-US"/>
        </w:rPr>
      </w:r>
      <w:r>
        <w:rPr>
          <w:rFonts w:ascii="Arial" w:eastAsiaTheme="minorHAnsi" w:hAnsi="Arial" w:cstheme="minorBidi"/>
          <w:szCs w:val="22"/>
          <w:lang w:eastAsia="en-US"/>
        </w:rPr>
        <w:fldChar w:fldCharType="separate"/>
      </w:r>
      <w:r w:rsidR="00A77498">
        <w:rPr>
          <w:rFonts w:ascii="Arial" w:eastAsiaTheme="minorHAnsi" w:hAnsi="Arial" w:cstheme="minorBidi"/>
          <w:noProof/>
          <w:szCs w:val="22"/>
          <w:lang w:eastAsia="en-US"/>
        </w:rPr>
        <w:t>(Payakachat et al., 2015)</w:t>
      </w:r>
      <w:r>
        <w:rPr>
          <w:rFonts w:ascii="Arial" w:eastAsiaTheme="minorHAnsi" w:hAnsi="Arial" w:cstheme="minorBidi"/>
          <w:szCs w:val="22"/>
          <w:lang w:eastAsia="en-US"/>
        </w:rPr>
        <w:fldChar w:fldCharType="end"/>
      </w:r>
      <w:r>
        <w:rPr>
          <w:rFonts w:ascii="Arial" w:eastAsiaTheme="minorHAnsi" w:hAnsi="Arial" w:cstheme="minorBidi"/>
          <w:szCs w:val="22"/>
          <w:lang w:eastAsia="en-US"/>
        </w:rPr>
        <w:t xml:space="preserve">. Thus, a key research priority would also be to develop a more suitable measure. </w:t>
      </w:r>
    </w:p>
    <w:p w14:paraId="45BC21B1" w14:textId="77777777" w:rsidR="009C6923" w:rsidRDefault="009C6923" w:rsidP="001A37CE">
      <w:pPr>
        <w:pStyle w:val="paragraph"/>
        <w:spacing w:before="0" w:after="0" w:line="360" w:lineRule="auto"/>
        <w:textAlignment w:val="baseline"/>
        <w:rPr>
          <w:rFonts w:ascii="Arial" w:eastAsiaTheme="minorHAnsi" w:hAnsi="Arial" w:cstheme="minorBidi"/>
          <w:szCs w:val="22"/>
          <w:lang w:eastAsia="en-US"/>
        </w:rPr>
      </w:pPr>
    </w:p>
    <w:p w14:paraId="0D12DA13" w14:textId="2C8EB346" w:rsidR="001A37CE" w:rsidRPr="00B824B0" w:rsidRDefault="001A37CE" w:rsidP="001A37CE">
      <w:pPr>
        <w:pStyle w:val="paragraph"/>
        <w:spacing w:before="0" w:after="0" w:line="360" w:lineRule="auto"/>
        <w:textAlignment w:val="baseline"/>
        <w:rPr>
          <w:rFonts w:ascii="Arial" w:eastAsiaTheme="minorHAnsi" w:hAnsi="Arial" w:cstheme="minorBidi"/>
          <w:szCs w:val="22"/>
          <w:lang w:eastAsia="en-US"/>
        </w:rPr>
      </w:pPr>
      <w:r>
        <w:rPr>
          <w:rFonts w:ascii="Arial" w:eastAsiaTheme="minorHAnsi" w:hAnsi="Arial" w:cstheme="minorBidi"/>
          <w:szCs w:val="22"/>
          <w:lang w:eastAsia="en-US"/>
        </w:rPr>
        <w:t xml:space="preserve">Our previous research </w:t>
      </w:r>
      <w:r>
        <w:rPr>
          <w:rFonts w:ascii="Arial" w:eastAsiaTheme="minorHAnsi" w:hAnsi="Arial" w:cstheme="minorBidi"/>
          <w:szCs w:val="22"/>
          <w:lang w:eastAsia="en-US"/>
        </w:rPr>
        <w:fldChar w:fldCharType="begin"/>
      </w:r>
      <w:r w:rsidR="00B9334F">
        <w:rPr>
          <w:rFonts w:ascii="Arial" w:eastAsiaTheme="minorHAnsi" w:hAnsi="Arial" w:cstheme="minorBidi"/>
          <w:szCs w:val="22"/>
          <w:lang w:eastAsia="en-US"/>
        </w:rPr>
        <w:instrText xml:space="preserve"> ADDIN EN.CITE &lt;EndNote&gt;&lt;Cite&gt;&lt;Author&gt;Musto Wright&lt;/Author&gt;&lt;Year&gt;2024&lt;/Year&gt;&lt;RecNum&gt;278&lt;/RecNum&gt;&lt;DisplayText&gt;(Musto Wright et al., 2024a; Musto Wright et al., 2024b)&lt;/DisplayText&gt;&lt;record&gt;&lt;rec-number&gt;278&lt;/rec-number&gt;&lt;foreign-keys&gt;&lt;key app="EN" db-id="ffzvr5fstavwxoe9v04xf0wmp5t50as52da0" timestamp="1731671654" guid="a1defd86-bf13-46f7-99c1-13d00def814c"&gt;278&lt;/key&gt;&lt;/foreign-keys&gt;&lt;ref-type name="Journal Article"&gt;17&lt;/ref-type&gt;&lt;contributors&gt;&lt;authors&gt;&lt;author&gt;Musto Wright, V.,&lt;/author&gt;&lt;author&gt;Eastwood, B.,&lt;/author&gt;&lt;author&gt;Meier, P.,&lt;/author&gt;&lt;author&gt;Brennan, A.,&lt;/author&gt;&lt;/authors&gt;&lt;/contributors&gt;&lt;titles&gt;&lt;title&gt;Characteristics of parents who use substances, receive specialist treatment and child welfare support in England&lt;/title&gt;&lt;secondary-title&gt;Manuscript submitted for publication&lt;/secondary-title&gt;&lt;/titles&gt;&lt;periodical&gt;&lt;full-title&gt;Manuscript submitted for publication&lt;/full-title&gt;&lt;/periodical&gt;&lt;dates&gt;&lt;year&gt;2024&lt;/year&gt;&lt;/dates&gt;&lt;urls&gt;&lt;/urls&gt;&lt;/record&gt;&lt;/Cite&gt;&lt;Cite&gt;&lt;Author&gt;Musto Wright&lt;/Author&gt;&lt;Year&gt;2024&lt;/Year&gt;&lt;RecNum&gt;297&lt;/RecNum&gt;&lt;record&gt;&lt;rec-number&gt;297&lt;/rec-number&gt;&lt;foreign-keys&gt;&lt;key app="EN" db-id="ffzvr5fstavwxoe9v04xf0wmp5t50as52da0" timestamp="1731671657" guid="374df23f-bbff-422b-bb98-43e741de65b5"&gt;297&lt;/key&gt;&lt;/foreign-keys&gt;&lt;ref-type name="Journal Article"&gt;17&lt;/ref-type&gt;&lt;contributors&gt;&lt;authors&gt;&lt;author&gt;Musto Wright, V.&lt;/author&gt;&lt;author&gt;Eastwood, B.&lt;/author&gt;&lt;author&gt;Meier, P&lt;/author&gt;&lt;author&gt;Brennan, A&lt;/author&gt;&lt;/authors&gt;&lt;/contributors&gt;&lt;titles&gt;&lt;title&gt;Do parenting or child welfare support interventions improve alcohol and drug treatment completions among parents with a substance use disorder? A quasi-experimental study using generalized boosted models.&lt;/title&gt;&lt;secondary-title&gt;Manuscript submitted for publication&lt;/secondary-title&gt;&lt;/titles&gt;&lt;periodical&gt;&lt;full-title&gt;Manuscript submitted for publication&lt;/full-title&gt;&lt;/periodical&gt;&lt;dates&gt;&lt;year&gt;2024&lt;/year&gt;&lt;/dates&gt;&lt;urls&gt;&lt;/urls&gt;&lt;/record&gt;&lt;/Cite&gt;&lt;/EndNote&gt;</w:instrText>
      </w:r>
      <w:r>
        <w:rPr>
          <w:rFonts w:ascii="Arial" w:eastAsiaTheme="minorHAnsi" w:hAnsi="Arial" w:cstheme="minorBidi"/>
          <w:szCs w:val="22"/>
          <w:lang w:eastAsia="en-US"/>
        </w:rPr>
        <w:fldChar w:fldCharType="separate"/>
      </w:r>
      <w:r w:rsidR="003C6F70">
        <w:rPr>
          <w:rFonts w:ascii="Arial" w:eastAsiaTheme="minorHAnsi" w:hAnsi="Arial" w:cstheme="minorBidi"/>
          <w:noProof/>
          <w:szCs w:val="22"/>
          <w:lang w:eastAsia="en-US"/>
        </w:rPr>
        <w:t>(Musto Wright et al., 2024a; Musto Wright et al., 2024b)</w:t>
      </w:r>
      <w:r>
        <w:rPr>
          <w:rFonts w:ascii="Arial" w:eastAsiaTheme="minorHAnsi" w:hAnsi="Arial" w:cstheme="minorBidi"/>
          <w:szCs w:val="22"/>
          <w:lang w:eastAsia="en-US"/>
        </w:rPr>
        <w:fldChar w:fldCharType="end"/>
      </w:r>
      <w:r>
        <w:rPr>
          <w:rFonts w:ascii="Arial" w:eastAsiaTheme="minorHAnsi" w:hAnsi="Arial" w:cstheme="minorBidi"/>
          <w:szCs w:val="22"/>
          <w:lang w:eastAsia="en-US"/>
        </w:rPr>
        <w:t xml:space="preserve"> showed that relatively few parents or carers with a substance use disorder, including AUD, received treatment </w:t>
      </w:r>
      <w:r w:rsidR="00545D7B">
        <w:rPr>
          <w:rFonts w:ascii="Arial" w:eastAsiaTheme="minorHAnsi" w:hAnsi="Arial" w:cstheme="minorBidi"/>
          <w:szCs w:val="22"/>
          <w:lang w:eastAsia="en-US"/>
        </w:rPr>
        <w:t>plus</w:t>
      </w:r>
      <w:r>
        <w:rPr>
          <w:rFonts w:ascii="Arial" w:eastAsiaTheme="minorHAnsi" w:hAnsi="Arial" w:cstheme="minorBidi"/>
          <w:szCs w:val="22"/>
          <w:lang w:eastAsia="en-US"/>
        </w:rPr>
        <w:t xml:space="preserve"> parenting and/or </w:t>
      </w:r>
      <w:r w:rsidR="000D6A4C">
        <w:rPr>
          <w:rFonts w:ascii="Arial" w:eastAsiaTheme="minorHAnsi" w:hAnsi="Arial" w:cstheme="minorBidi"/>
          <w:szCs w:val="22"/>
          <w:lang w:eastAsia="en-US"/>
        </w:rPr>
        <w:t xml:space="preserve">family </w:t>
      </w:r>
      <w:r>
        <w:rPr>
          <w:rFonts w:ascii="Arial" w:eastAsiaTheme="minorHAnsi" w:hAnsi="Arial" w:cstheme="minorBidi"/>
          <w:szCs w:val="22"/>
          <w:lang w:eastAsia="en-US"/>
        </w:rPr>
        <w:t xml:space="preserve">recovery support, despite our analysis suggesting that this is a more effective option than treatment alone for most parents irrespective of child living arrangements. Given that we also find the intervention to be cost-effective in this study, we hope that there is more consideration into commissioning parenting and/or </w:t>
      </w:r>
      <w:r w:rsidR="000D6A4C">
        <w:rPr>
          <w:rFonts w:ascii="Arial" w:eastAsiaTheme="minorHAnsi" w:hAnsi="Arial" w:cstheme="minorBidi"/>
          <w:szCs w:val="22"/>
          <w:lang w:eastAsia="en-US"/>
        </w:rPr>
        <w:t xml:space="preserve">family </w:t>
      </w:r>
      <w:r>
        <w:rPr>
          <w:rFonts w:ascii="Arial" w:eastAsiaTheme="minorHAnsi" w:hAnsi="Arial" w:cstheme="minorBidi"/>
          <w:szCs w:val="22"/>
          <w:lang w:eastAsia="en-US"/>
        </w:rPr>
        <w:t>recovery support interventions and more referrals into such interventions being made regardless of whether parents live with their children or not.</w:t>
      </w:r>
    </w:p>
    <w:p w14:paraId="28702BF7" w14:textId="1A0C5CA1" w:rsidR="003E2FFD" w:rsidRPr="00365C9F" w:rsidRDefault="001A37CE" w:rsidP="001A37CE">
      <w:pPr>
        <w:pStyle w:val="NoSpacing"/>
        <w:spacing w:line="360" w:lineRule="auto"/>
        <w:rPr>
          <w:rStyle w:val="normaltextrun"/>
          <w:rFonts w:eastAsiaTheme="majorEastAsia"/>
        </w:rPr>
      </w:pPr>
      <w:r>
        <w:t xml:space="preserve">Over the past decade, English local authorities have reduced spend on targeted prevention activities for families, such as parenting programmes. As these services are non-statutory, they are vulnerable to being cut when budgets are constrained </w:t>
      </w:r>
      <w:r>
        <w:fldChar w:fldCharType="begin"/>
      </w:r>
      <w:r w:rsidR="00B9334F">
        <w:instrText xml:space="preserve"> ADDIN EN.CITE &lt;EndNote&gt;&lt;Cite&gt;&lt;Author&gt;Franklin&lt;/Author&gt;&lt;Year&gt;2023&lt;/Year&gt;&lt;RecNum&gt;697&lt;/RecNum&gt;&lt;DisplayText&gt;(Franklin et al., 2023)&lt;/DisplayText&gt;&lt;record&gt;&lt;rec-number&gt;697&lt;/rec-number&gt;&lt;foreign-keys&gt;&lt;key app="EN" db-id="ffzvr5fstavwxoe9v04xf0wmp5t50as52da0" timestamp="1731671737" guid="414db0de-751c-464a-9743-bd5a251899ab"&gt;697&lt;/key&gt;&lt;/foreign-keys&gt;&lt;ref-type name="Electronic Article"&gt;43&lt;/ref-type&gt;&lt;contributors&gt;&lt;authors&gt;&lt;author&gt;Jon Franklin&lt;/author&gt;&lt;author&gt;Jack Larkham&lt;/author&gt;&lt;author&gt;Mariam Mansoor&lt;/author&gt;&lt;/authors&gt;&lt;/contributors&gt;&lt;titles&gt;&lt;title&gt;The well-worn path: Children’s services spending 2010-11 to 2021-22&lt;/title&gt;&lt;/titles&gt;&lt;dates&gt;&lt;year&gt;2023&lt;/year&gt;&lt;/dates&gt;&lt;urls&gt;&lt;related-urls&gt;&lt;url&gt;https://www.probonoeconomics.com/Handlers/Download.ashx?IDMF=64274c2e-73c3-4364-b995-4b31b6825dd8&lt;/url&gt;&lt;/related-urls&gt;&lt;/urls&gt;&lt;/record&gt;&lt;/Cite&gt;&lt;/EndNote&gt;</w:instrText>
      </w:r>
      <w:r>
        <w:fldChar w:fldCharType="separate"/>
      </w:r>
      <w:r w:rsidR="000C44DD">
        <w:rPr>
          <w:noProof/>
        </w:rPr>
        <w:t>(Franklin et al., 2023)</w:t>
      </w:r>
      <w:r>
        <w:fldChar w:fldCharType="end"/>
      </w:r>
      <w:r>
        <w:t xml:space="preserve">. </w:t>
      </w:r>
      <w:r w:rsidR="009C0927">
        <w:t>This</w:t>
      </w:r>
      <w:r>
        <w:t xml:space="preserve"> study shows there may be benefits associated with commissioning parenting and/or </w:t>
      </w:r>
      <w:r w:rsidR="00797C95">
        <w:t xml:space="preserve">family </w:t>
      </w:r>
      <w:r>
        <w:t>recovery support for parents with AUD and offering more parents the opportunity to engage with the intervention. Given the limited economic evidence on interventions for parents with AUD in England,</w:t>
      </w:r>
      <w:r>
        <w:rPr>
          <w:rStyle w:val="normaltextrun"/>
          <w:rFonts w:eastAsiaTheme="majorEastAsia"/>
        </w:rPr>
        <w:t xml:space="preserve"> we </w:t>
      </w:r>
      <w:r>
        <w:rPr>
          <w:rStyle w:val="normaltextrun"/>
          <w:rFonts w:eastAsiaTheme="majorEastAsia"/>
        </w:rPr>
        <w:lastRenderedPageBreak/>
        <w:t xml:space="preserve">hope that </w:t>
      </w:r>
      <w:r w:rsidRPr="001F7A4C">
        <w:rPr>
          <w:rStyle w:val="normaltextrun"/>
          <w:rFonts w:eastAsiaTheme="majorEastAsia"/>
        </w:rPr>
        <w:t>the findings of this study represent a useful contribution to the field</w:t>
      </w:r>
      <w:r w:rsidR="003C274C">
        <w:rPr>
          <w:rStyle w:val="normaltextrun"/>
          <w:rFonts w:eastAsiaTheme="majorEastAsia"/>
        </w:rPr>
        <w:t xml:space="preserve">. We further hope the study </w:t>
      </w:r>
      <w:r>
        <w:rPr>
          <w:rStyle w:val="normaltextrun"/>
          <w:rFonts w:eastAsiaTheme="majorEastAsia"/>
        </w:rPr>
        <w:t>offers a methodology that is generalisable in other countries and identifies key research priorities to reduce uncertainty in future estimates.</w:t>
      </w:r>
    </w:p>
    <w:p w14:paraId="14763355" w14:textId="77777777" w:rsidR="001A37CE" w:rsidRPr="003E2FFD" w:rsidRDefault="001A37CE" w:rsidP="003E2FFD">
      <w:pPr>
        <w:pStyle w:val="NoSpacing"/>
        <w:spacing w:line="360" w:lineRule="auto"/>
      </w:pPr>
    </w:p>
    <w:p w14:paraId="159C128E" w14:textId="15C506AD" w:rsidR="001A37CE" w:rsidRPr="003E2FFD" w:rsidRDefault="00421861" w:rsidP="00065F85">
      <w:pPr>
        <w:pStyle w:val="Heading2"/>
        <w:numPr>
          <w:ilvl w:val="1"/>
          <w:numId w:val="19"/>
        </w:numPr>
      </w:pPr>
      <w:bookmarkStart w:id="153" w:name="_Toc189229716"/>
      <w:r>
        <w:t>Conclusion</w:t>
      </w:r>
      <w:bookmarkEnd w:id="153"/>
    </w:p>
    <w:p w14:paraId="1F80A0CA" w14:textId="7980617D" w:rsidR="001A37CE" w:rsidRPr="008332BA" w:rsidRDefault="001A37CE" w:rsidP="001A37CE">
      <w:pPr>
        <w:pStyle w:val="paragraph"/>
        <w:spacing w:before="0" w:after="0" w:line="360" w:lineRule="auto"/>
        <w:textAlignment w:val="baseline"/>
        <w:rPr>
          <w:rFonts w:ascii="Arial" w:eastAsiaTheme="minorHAnsi" w:hAnsi="Arial" w:cstheme="minorBidi"/>
          <w:szCs w:val="22"/>
          <w:lang w:eastAsia="en-US"/>
        </w:rPr>
      </w:pPr>
      <w:r w:rsidRPr="00415708">
        <w:rPr>
          <w:rFonts w:ascii="Arial" w:eastAsiaTheme="minorHAnsi" w:hAnsi="Arial" w:cstheme="minorBidi"/>
          <w:szCs w:val="22"/>
          <w:lang w:eastAsia="en-US"/>
        </w:rPr>
        <w:t>The analysis suggests that</w:t>
      </w:r>
      <w:r>
        <w:rPr>
          <w:rFonts w:ascii="Arial" w:eastAsiaTheme="minorHAnsi" w:hAnsi="Arial" w:cstheme="minorBidi"/>
          <w:szCs w:val="22"/>
          <w:lang w:eastAsia="en-US"/>
        </w:rPr>
        <w:t xml:space="preserve"> </w:t>
      </w:r>
      <w:r w:rsidRPr="00415708">
        <w:rPr>
          <w:rFonts w:ascii="Arial" w:eastAsiaTheme="minorHAnsi" w:hAnsi="Arial" w:cstheme="minorBidi"/>
          <w:szCs w:val="22"/>
          <w:lang w:eastAsia="en-US"/>
        </w:rPr>
        <w:t xml:space="preserve">compared with treatment </w:t>
      </w:r>
      <w:r w:rsidR="00797C95">
        <w:rPr>
          <w:rFonts w:ascii="Arial" w:eastAsiaTheme="minorHAnsi" w:hAnsi="Arial" w:cstheme="minorBidi"/>
          <w:szCs w:val="22"/>
          <w:lang w:eastAsia="en-US"/>
        </w:rPr>
        <w:t>only</w:t>
      </w:r>
      <w:r w:rsidRPr="00415708">
        <w:rPr>
          <w:rFonts w:ascii="Arial" w:eastAsiaTheme="minorHAnsi" w:hAnsi="Arial" w:cstheme="minorBidi"/>
          <w:szCs w:val="22"/>
          <w:lang w:eastAsia="en-US"/>
        </w:rPr>
        <w:t xml:space="preserve">, treatment </w:t>
      </w:r>
      <w:r w:rsidR="00545D7B">
        <w:rPr>
          <w:rFonts w:ascii="Arial" w:eastAsiaTheme="minorHAnsi" w:hAnsi="Arial" w:cstheme="minorBidi"/>
          <w:szCs w:val="22"/>
          <w:lang w:eastAsia="en-US"/>
        </w:rPr>
        <w:t>plus</w:t>
      </w:r>
      <w:r w:rsidRPr="00415708">
        <w:rPr>
          <w:rFonts w:ascii="Arial" w:eastAsiaTheme="minorHAnsi" w:hAnsi="Arial" w:cstheme="minorBidi"/>
          <w:szCs w:val="22"/>
          <w:lang w:eastAsia="en-US"/>
        </w:rPr>
        <w:t xml:space="preserve"> </w:t>
      </w:r>
      <w:r>
        <w:rPr>
          <w:rFonts w:ascii="Arial" w:eastAsiaTheme="minorHAnsi" w:hAnsi="Arial" w:cstheme="minorBidi"/>
          <w:szCs w:val="22"/>
          <w:lang w:eastAsia="en-US"/>
        </w:rPr>
        <w:t>parenting and/or family</w:t>
      </w:r>
      <w:r w:rsidRPr="00415708">
        <w:rPr>
          <w:rFonts w:ascii="Arial" w:eastAsiaTheme="minorHAnsi" w:hAnsi="Arial" w:cstheme="minorBidi"/>
          <w:szCs w:val="22"/>
          <w:lang w:eastAsia="en-US"/>
        </w:rPr>
        <w:t xml:space="preserve"> recovery support </w:t>
      </w:r>
      <w:r>
        <w:rPr>
          <w:rFonts w:ascii="Arial" w:eastAsiaTheme="minorHAnsi" w:hAnsi="Arial" w:cstheme="minorBidi"/>
          <w:szCs w:val="22"/>
          <w:lang w:eastAsia="en-US"/>
        </w:rPr>
        <w:t>could be a more</w:t>
      </w:r>
      <w:r w:rsidRPr="00415708">
        <w:rPr>
          <w:rFonts w:ascii="Arial" w:eastAsiaTheme="minorHAnsi" w:hAnsi="Arial" w:cstheme="minorBidi"/>
          <w:szCs w:val="22"/>
          <w:lang w:eastAsia="en-US"/>
        </w:rPr>
        <w:t xml:space="preserve"> cost-effective option for </w:t>
      </w:r>
      <w:r w:rsidR="009A2BED">
        <w:rPr>
          <w:rFonts w:ascii="Arial" w:eastAsiaTheme="minorHAnsi" w:hAnsi="Arial" w:cstheme="minorBidi"/>
          <w:szCs w:val="22"/>
          <w:lang w:eastAsia="en-US"/>
        </w:rPr>
        <w:t>parents</w:t>
      </w:r>
      <w:r w:rsidRPr="00415708">
        <w:rPr>
          <w:rFonts w:ascii="Arial" w:eastAsiaTheme="minorHAnsi" w:hAnsi="Arial" w:cstheme="minorBidi"/>
          <w:szCs w:val="22"/>
          <w:lang w:eastAsia="en-US"/>
        </w:rPr>
        <w:t xml:space="preserve"> receiving treatment for AUD in England.</w:t>
      </w:r>
      <w:r>
        <w:rPr>
          <w:rFonts w:ascii="Arial" w:eastAsiaTheme="minorHAnsi" w:hAnsi="Arial" w:cstheme="minorBidi"/>
          <w:szCs w:val="22"/>
          <w:lang w:eastAsia="en-US"/>
        </w:rPr>
        <w:t xml:space="preserve"> However, </w:t>
      </w:r>
      <w:r w:rsidR="009A2BED">
        <w:rPr>
          <w:rFonts w:ascii="Arial" w:eastAsiaTheme="minorHAnsi" w:hAnsi="Arial" w:cstheme="minorBidi"/>
          <w:szCs w:val="22"/>
          <w:lang w:eastAsia="en-US"/>
        </w:rPr>
        <w:t xml:space="preserve">decision-makers should be cautious as </w:t>
      </w:r>
      <w:r w:rsidR="00C02549">
        <w:rPr>
          <w:rFonts w:ascii="Arial" w:eastAsiaTheme="minorHAnsi" w:hAnsi="Arial" w:cstheme="minorBidi"/>
          <w:szCs w:val="22"/>
          <w:lang w:eastAsia="en-US"/>
        </w:rPr>
        <w:t xml:space="preserve">further </w:t>
      </w:r>
      <w:r>
        <w:rPr>
          <w:rFonts w:ascii="Arial" w:eastAsiaTheme="minorHAnsi" w:hAnsi="Arial" w:cstheme="minorBidi"/>
          <w:szCs w:val="22"/>
          <w:lang w:eastAsia="en-US"/>
        </w:rPr>
        <w:t>analys</w:t>
      </w:r>
      <w:r w:rsidR="00C02549">
        <w:rPr>
          <w:rFonts w:ascii="Arial" w:eastAsiaTheme="minorHAnsi" w:hAnsi="Arial" w:cstheme="minorBidi"/>
          <w:szCs w:val="22"/>
          <w:lang w:eastAsia="en-US"/>
        </w:rPr>
        <w:t>es</w:t>
      </w:r>
      <w:r>
        <w:rPr>
          <w:rFonts w:ascii="Arial" w:eastAsiaTheme="minorHAnsi" w:hAnsi="Arial" w:cstheme="minorBidi"/>
          <w:szCs w:val="22"/>
          <w:lang w:eastAsia="en-US"/>
        </w:rPr>
        <w:t xml:space="preserve"> highlighted </w:t>
      </w:r>
      <w:r w:rsidR="00C02549">
        <w:rPr>
          <w:rFonts w:ascii="Arial" w:eastAsiaTheme="minorHAnsi" w:hAnsi="Arial" w:cstheme="minorBidi"/>
          <w:szCs w:val="22"/>
          <w:lang w:eastAsia="en-US"/>
        </w:rPr>
        <w:t xml:space="preserve">substantial sensitivity and </w:t>
      </w:r>
      <w:r>
        <w:rPr>
          <w:rFonts w:ascii="Arial" w:eastAsiaTheme="minorHAnsi" w:hAnsi="Arial" w:cstheme="minorBidi"/>
          <w:szCs w:val="22"/>
          <w:lang w:eastAsia="en-US"/>
        </w:rPr>
        <w:t>uncertainty in the economic modelling.</w:t>
      </w:r>
    </w:p>
    <w:p w14:paraId="05CCEE16" w14:textId="77777777" w:rsidR="00650185" w:rsidRDefault="00650185" w:rsidP="00650185">
      <w:pPr>
        <w:pStyle w:val="paragraph"/>
        <w:spacing w:before="0" w:after="0" w:line="360" w:lineRule="auto"/>
        <w:textAlignment w:val="baseline"/>
        <w:rPr>
          <w:rFonts w:ascii="Arial" w:hAnsi="Arial" w:cs="Arial"/>
          <w:b/>
          <w:bCs/>
        </w:rPr>
      </w:pPr>
    </w:p>
    <w:p w14:paraId="7FF296D5" w14:textId="21D675B2" w:rsidR="003F7262" w:rsidRDefault="003F7262">
      <w:pPr>
        <w:rPr>
          <w:rFonts w:eastAsiaTheme="majorEastAsia" w:cstheme="majorBidi"/>
          <w:b/>
          <w:sz w:val="32"/>
          <w:szCs w:val="32"/>
        </w:rPr>
      </w:pPr>
    </w:p>
    <w:p w14:paraId="22DED5C9" w14:textId="77777777" w:rsidR="003E2FFD" w:rsidRDefault="003E2FFD">
      <w:pPr>
        <w:spacing w:after="200" w:line="276" w:lineRule="auto"/>
        <w:contextualSpacing w:val="0"/>
        <w:rPr>
          <w:rFonts w:cs="Arial"/>
          <w:b/>
          <w:bCs/>
          <w:sz w:val="32"/>
          <w:szCs w:val="32"/>
        </w:rPr>
      </w:pPr>
      <w:r>
        <w:br w:type="page"/>
      </w:r>
    </w:p>
    <w:p w14:paraId="082D89E7" w14:textId="5D9471CE" w:rsidR="00352485" w:rsidRDefault="00F45261" w:rsidP="00836E70">
      <w:pPr>
        <w:pStyle w:val="Heading1"/>
      </w:pPr>
      <w:bookmarkStart w:id="154" w:name="_Toc189229717"/>
      <w:r>
        <w:lastRenderedPageBreak/>
        <w:t>Discussion</w:t>
      </w:r>
      <w:r w:rsidR="00577DCB">
        <w:t xml:space="preserve"> and conclusion</w:t>
      </w:r>
      <w:bookmarkEnd w:id="154"/>
    </w:p>
    <w:p w14:paraId="4D0DD10D" w14:textId="77777777" w:rsidR="00BC47E4" w:rsidRDefault="00BC47E4" w:rsidP="00176E65">
      <w:pPr>
        <w:spacing w:line="360" w:lineRule="auto"/>
      </w:pPr>
    </w:p>
    <w:p w14:paraId="2E799B27" w14:textId="21901F4E" w:rsidR="0014680D" w:rsidRDefault="0014680D" w:rsidP="00176E65">
      <w:pPr>
        <w:pStyle w:val="Heading2"/>
        <w:numPr>
          <w:ilvl w:val="1"/>
          <w:numId w:val="19"/>
        </w:numPr>
        <w:spacing w:line="360" w:lineRule="auto"/>
      </w:pPr>
      <w:bookmarkStart w:id="155" w:name="_Toc189229718"/>
      <w:r>
        <w:t>Summary of key findings</w:t>
      </w:r>
      <w:bookmarkEnd w:id="155"/>
    </w:p>
    <w:p w14:paraId="72D9A74C" w14:textId="168604FA" w:rsidR="000F3EF1" w:rsidRDefault="00C11F9D" w:rsidP="00176E65">
      <w:pPr>
        <w:spacing w:line="360" w:lineRule="auto"/>
      </w:pPr>
      <w:r>
        <w:t>Th</w:t>
      </w:r>
      <w:r w:rsidR="00BC47E4">
        <w:t>i</w:t>
      </w:r>
      <w:r>
        <w:t>s</w:t>
      </w:r>
      <w:r w:rsidR="000F3EF1">
        <w:t xml:space="preserve"> thesis </w:t>
      </w:r>
      <w:r w:rsidR="00176E65">
        <w:t>explored the following research questions via three interconnected studies</w:t>
      </w:r>
      <w:r w:rsidR="0064047D">
        <w:t xml:space="preserve"> using a national observational dataset</w:t>
      </w:r>
      <w:r w:rsidR="00176E65">
        <w:t xml:space="preserve">: </w:t>
      </w:r>
    </w:p>
    <w:p w14:paraId="3D2D69F4" w14:textId="1361DB4D" w:rsidR="00176E65" w:rsidRPr="00D66C51" w:rsidRDefault="00176E65" w:rsidP="009C3BBC">
      <w:pPr>
        <w:pStyle w:val="NoSpacing"/>
        <w:numPr>
          <w:ilvl w:val="0"/>
          <w:numId w:val="24"/>
        </w:numPr>
        <w:spacing w:line="360" w:lineRule="auto"/>
        <w:rPr>
          <w:rFonts w:cstheme="minorBidi"/>
        </w:rPr>
      </w:pPr>
      <w:r>
        <w:t xml:space="preserve">Do patient characteristics affect the types of interventions parents with </w:t>
      </w:r>
      <w:r w:rsidR="00FB00F7">
        <w:t>substance use disorder (SUD)</w:t>
      </w:r>
      <w:r>
        <w:t xml:space="preserve"> receive and/or their outcomes?</w:t>
      </w:r>
    </w:p>
    <w:p w14:paraId="124685E4" w14:textId="75FE606E" w:rsidR="00176E65" w:rsidRDefault="00176E65" w:rsidP="009C3BBC">
      <w:pPr>
        <w:pStyle w:val="NoSpacing"/>
        <w:numPr>
          <w:ilvl w:val="0"/>
          <w:numId w:val="24"/>
        </w:numPr>
        <w:spacing w:line="360" w:lineRule="auto"/>
      </w:pPr>
      <w:r>
        <w:t xml:space="preserve">Is integrated treatment </w:t>
      </w:r>
      <w:r w:rsidR="008041AE">
        <w:t>with</w:t>
      </w:r>
      <w:r>
        <w:t xml:space="preserve"> child welfare support a more effective option than treatment alone for parents with SUD?</w:t>
      </w:r>
    </w:p>
    <w:p w14:paraId="05FAA98F" w14:textId="68448086" w:rsidR="000F3EF1" w:rsidRDefault="00176E65" w:rsidP="009C3BBC">
      <w:pPr>
        <w:pStyle w:val="NoSpacing"/>
        <w:numPr>
          <w:ilvl w:val="0"/>
          <w:numId w:val="24"/>
        </w:numPr>
        <w:spacing w:line="360" w:lineRule="auto"/>
      </w:pPr>
      <w:r>
        <w:t>Is integrated treatment and child welfare support a more cost-effective option than treatment alone for parents with SUD?</w:t>
      </w:r>
    </w:p>
    <w:p w14:paraId="22AFB5C7" w14:textId="7DACB70C" w:rsidR="004C1D6A" w:rsidRDefault="00C21775" w:rsidP="004C1D6A">
      <w:pPr>
        <w:pStyle w:val="paragraph"/>
        <w:spacing w:line="360" w:lineRule="auto"/>
        <w:textAlignment w:val="baseline"/>
        <w:rPr>
          <w:rFonts w:ascii="Arial" w:eastAsiaTheme="minorEastAsia" w:hAnsi="Arial" w:cstheme="minorBidi"/>
          <w:lang w:eastAsia="en-US"/>
        </w:rPr>
      </w:pPr>
      <w:r w:rsidRPr="5A18ECEE">
        <w:rPr>
          <w:rFonts w:ascii="Arial" w:eastAsiaTheme="minorEastAsia" w:hAnsi="Arial" w:cstheme="minorBidi"/>
          <w:lang w:eastAsia="en-US"/>
        </w:rPr>
        <w:t>The</w:t>
      </w:r>
      <w:r w:rsidR="00571B4B">
        <w:rPr>
          <w:rFonts w:ascii="Arial" w:eastAsiaTheme="minorEastAsia" w:hAnsi="Arial" w:cstheme="minorBidi"/>
          <w:lang w:eastAsia="en-US"/>
        </w:rPr>
        <w:t xml:space="preserve"> </w:t>
      </w:r>
      <w:r w:rsidR="00457B8F">
        <w:rPr>
          <w:rFonts w:ascii="Arial" w:eastAsiaTheme="minorEastAsia" w:hAnsi="Arial" w:cstheme="minorBidi"/>
          <w:lang w:eastAsia="en-US"/>
        </w:rPr>
        <w:t xml:space="preserve">collective </w:t>
      </w:r>
      <w:r w:rsidR="00571B4B">
        <w:rPr>
          <w:rFonts w:ascii="Arial" w:eastAsiaTheme="minorEastAsia" w:hAnsi="Arial" w:cstheme="minorBidi"/>
          <w:lang w:eastAsia="en-US"/>
        </w:rPr>
        <w:t xml:space="preserve">main </w:t>
      </w:r>
      <w:r w:rsidR="00274415" w:rsidRPr="5A18ECEE">
        <w:rPr>
          <w:rFonts w:ascii="Arial" w:eastAsiaTheme="minorEastAsia" w:hAnsi="Arial" w:cstheme="minorBidi"/>
          <w:lang w:eastAsia="en-US"/>
        </w:rPr>
        <w:t>findings</w:t>
      </w:r>
      <w:r w:rsidR="00457B8F">
        <w:rPr>
          <w:rFonts w:ascii="Arial" w:eastAsiaTheme="minorEastAsia" w:hAnsi="Arial" w:cstheme="minorBidi"/>
          <w:lang w:eastAsia="en-US"/>
        </w:rPr>
        <w:t xml:space="preserve"> (F)</w:t>
      </w:r>
      <w:r w:rsidR="00274415" w:rsidRPr="5A18ECEE">
        <w:rPr>
          <w:rFonts w:ascii="Arial" w:eastAsiaTheme="minorEastAsia" w:hAnsi="Arial" w:cstheme="minorBidi"/>
          <w:lang w:eastAsia="en-US"/>
        </w:rPr>
        <w:t xml:space="preserve"> </w:t>
      </w:r>
      <w:r w:rsidR="00B5709E" w:rsidRPr="5A18ECEE">
        <w:rPr>
          <w:rFonts w:ascii="Arial" w:eastAsiaTheme="minorEastAsia" w:hAnsi="Arial" w:cstheme="minorBidi"/>
          <w:lang w:eastAsia="en-US"/>
        </w:rPr>
        <w:t xml:space="preserve">from the </w:t>
      </w:r>
      <w:r w:rsidR="00457B8F">
        <w:rPr>
          <w:rFonts w:ascii="Arial" w:eastAsiaTheme="minorEastAsia" w:hAnsi="Arial" w:cstheme="minorBidi"/>
          <w:lang w:eastAsia="en-US"/>
        </w:rPr>
        <w:t>three</w:t>
      </w:r>
      <w:r w:rsidR="00B5709E" w:rsidRPr="5A18ECEE">
        <w:rPr>
          <w:rFonts w:ascii="Arial" w:eastAsiaTheme="minorEastAsia" w:hAnsi="Arial" w:cstheme="minorBidi"/>
          <w:lang w:eastAsia="en-US"/>
        </w:rPr>
        <w:t xml:space="preserve"> stud</w:t>
      </w:r>
      <w:r w:rsidR="00457B8F">
        <w:rPr>
          <w:rFonts w:ascii="Arial" w:eastAsiaTheme="minorEastAsia" w:hAnsi="Arial" w:cstheme="minorBidi"/>
          <w:lang w:eastAsia="en-US"/>
        </w:rPr>
        <w:t>ies are summarised below</w:t>
      </w:r>
      <w:r w:rsidR="00D03A97">
        <w:rPr>
          <w:rFonts w:ascii="Arial" w:eastAsiaTheme="minorEastAsia" w:hAnsi="Arial" w:cstheme="minorBidi"/>
          <w:lang w:eastAsia="en-US"/>
        </w:rPr>
        <w:t xml:space="preserve">, along with a short reminder of the </w:t>
      </w:r>
      <w:r w:rsidR="00A61BF6">
        <w:rPr>
          <w:rFonts w:ascii="Arial" w:eastAsiaTheme="minorEastAsia" w:hAnsi="Arial" w:cstheme="minorBidi"/>
          <w:lang w:eastAsia="en-US"/>
        </w:rPr>
        <w:t xml:space="preserve">respective </w:t>
      </w:r>
      <w:r w:rsidR="00D03A97">
        <w:rPr>
          <w:rFonts w:ascii="Arial" w:eastAsiaTheme="minorEastAsia" w:hAnsi="Arial" w:cstheme="minorBidi"/>
          <w:lang w:eastAsia="en-US"/>
        </w:rPr>
        <w:t>approach</w:t>
      </w:r>
      <w:r w:rsidR="00A61BF6">
        <w:rPr>
          <w:rFonts w:ascii="Arial" w:eastAsiaTheme="minorEastAsia" w:hAnsi="Arial" w:cstheme="minorBidi"/>
          <w:lang w:eastAsia="en-US"/>
        </w:rPr>
        <w:t>es</w:t>
      </w:r>
      <w:r w:rsidR="00D03A97">
        <w:rPr>
          <w:rFonts w:ascii="Arial" w:eastAsiaTheme="minorEastAsia" w:hAnsi="Arial" w:cstheme="minorBidi"/>
          <w:lang w:eastAsia="en-US"/>
        </w:rPr>
        <w:t xml:space="preserve"> taken</w:t>
      </w:r>
      <w:r w:rsidR="005A3564">
        <w:rPr>
          <w:rFonts w:ascii="Arial" w:eastAsiaTheme="minorEastAsia" w:hAnsi="Arial" w:cstheme="minorBidi"/>
          <w:lang w:eastAsia="en-US"/>
        </w:rPr>
        <w:t>.</w:t>
      </w:r>
      <w:r w:rsidR="00274415" w:rsidRPr="5A18ECEE">
        <w:rPr>
          <w:rFonts w:ascii="Arial" w:eastAsiaTheme="minorEastAsia" w:hAnsi="Arial" w:cstheme="minorBidi"/>
          <w:lang w:eastAsia="en-US"/>
        </w:rPr>
        <w:t xml:space="preserve"> </w:t>
      </w:r>
    </w:p>
    <w:p w14:paraId="4A7D7364" w14:textId="77777777" w:rsidR="004C1D6A" w:rsidRDefault="004C1D6A" w:rsidP="004C1D6A">
      <w:pPr>
        <w:pStyle w:val="paragraph"/>
        <w:spacing w:line="360" w:lineRule="auto"/>
        <w:textAlignment w:val="baseline"/>
        <w:rPr>
          <w:rFonts w:ascii="Arial" w:eastAsiaTheme="minorEastAsia" w:hAnsi="Arial" w:cstheme="minorBidi"/>
          <w:lang w:eastAsia="en-US"/>
        </w:rPr>
      </w:pPr>
    </w:p>
    <w:p w14:paraId="6FB0D23D" w14:textId="256C5994" w:rsidR="004D6273" w:rsidRDefault="005F743A" w:rsidP="0683581E">
      <w:pPr>
        <w:pStyle w:val="paragraph"/>
        <w:spacing w:line="360" w:lineRule="auto"/>
        <w:rPr>
          <w:rFonts w:ascii="Arial" w:eastAsiaTheme="minorEastAsia" w:hAnsi="Arial" w:cstheme="minorBidi"/>
          <w:lang w:eastAsia="en-US"/>
        </w:rPr>
      </w:pPr>
      <w:r>
        <w:rPr>
          <w:rFonts w:ascii="Arial" w:eastAsiaTheme="minorEastAsia" w:hAnsi="Arial" w:cstheme="minorBidi"/>
          <w:lang w:eastAsia="en-US"/>
        </w:rPr>
        <w:t xml:space="preserve">Study 1 was an </w:t>
      </w:r>
      <w:r w:rsidR="0091090C">
        <w:rPr>
          <w:rFonts w:ascii="Arial" w:eastAsiaTheme="minorEastAsia" w:hAnsi="Arial" w:cstheme="minorBidi"/>
          <w:lang w:eastAsia="en-US"/>
        </w:rPr>
        <w:t>exploratory</w:t>
      </w:r>
      <w:r>
        <w:rPr>
          <w:rFonts w:ascii="Arial" w:eastAsiaTheme="minorEastAsia" w:hAnsi="Arial" w:cstheme="minorBidi"/>
          <w:lang w:eastAsia="en-US"/>
        </w:rPr>
        <w:t xml:space="preserve"> and descriptive analysis of </w:t>
      </w:r>
      <w:r w:rsidR="00032522">
        <w:rPr>
          <w:rFonts w:ascii="Arial" w:eastAsiaTheme="minorEastAsia" w:hAnsi="Arial" w:cstheme="minorBidi"/>
          <w:lang w:eastAsia="en-US"/>
        </w:rPr>
        <w:t xml:space="preserve">the </w:t>
      </w:r>
      <w:r>
        <w:rPr>
          <w:rFonts w:ascii="Arial" w:eastAsiaTheme="minorEastAsia" w:hAnsi="Arial" w:cstheme="minorBidi"/>
          <w:lang w:eastAsia="en-US"/>
        </w:rPr>
        <w:t>characteristics</w:t>
      </w:r>
      <w:r w:rsidR="00032522">
        <w:rPr>
          <w:rFonts w:ascii="Arial" w:eastAsiaTheme="minorEastAsia" w:hAnsi="Arial" w:cstheme="minorBidi"/>
          <w:lang w:eastAsia="en-US"/>
        </w:rPr>
        <w:t xml:space="preserve"> of parents in treatment</w:t>
      </w:r>
      <w:r w:rsidR="00795133">
        <w:rPr>
          <w:rFonts w:ascii="Arial" w:eastAsiaTheme="minorEastAsia" w:hAnsi="Arial" w:cstheme="minorBidi"/>
          <w:lang w:eastAsia="en-US"/>
        </w:rPr>
        <w:t>, interventions received and successful completion</w:t>
      </w:r>
      <w:r w:rsidR="005E2025">
        <w:rPr>
          <w:rFonts w:ascii="Arial" w:eastAsiaTheme="minorEastAsia" w:hAnsi="Arial" w:cstheme="minorBidi"/>
          <w:lang w:eastAsia="en-US"/>
        </w:rPr>
        <w:t xml:space="preserve"> from treatment</w:t>
      </w:r>
      <w:r w:rsidR="00795133">
        <w:rPr>
          <w:rFonts w:ascii="Arial" w:eastAsiaTheme="minorEastAsia" w:hAnsi="Arial" w:cstheme="minorBidi"/>
          <w:lang w:eastAsia="en-US"/>
        </w:rPr>
        <w:t>.</w:t>
      </w:r>
      <w:r w:rsidR="00F908ED">
        <w:rPr>
          <w:rFonts w:ascii="Arial" w:eastAsiaTheme="minorEastAsia" w:hAnsi="Arial" w:cstheme="minorBidi"/>
          <w:lang w:eastAsia="en-US"/>
        </w:rPr>
        <w:t xml:space="preserve"> </w:t>
      </w:r>
      <w:r w:rsidR="00F908ED" w:rsidRPr="00A4114B">
        <w:rPr>
          <w:rFonts w:ascii="Arial" w:eastAsiaTheme="minorEastAsia" w:hAnsi="Arial" w:cstheme="minorBidi"/>
          <w:lang w:eastAsia="en-US"/>
        </w:rPr>
        <w:t>M</w:t>
      </w:r>
      <w:r w:rsidR="004D6273" w:rsidRPr="00A4114B">
        <w:rPr>
          <w:rFonts w:ascii="Arial" w:eastAsiaTheme="minorEastAsia" w:hAnsi="Arial" w:cstheme="minorBidi"/>
          <w:lang w:eastAsia="en-US"/>
        </w:rPr>
        <w:t>ultilevel multivariable logistic regression</w:t>
      </w:r>
      <w:r w:rsidR="00F908ED" w:rsidRPr="00A4114B">
        <w:rPr>
          <w:rFonts w:ascii="Arial" w:eastAsiaTheme="minorEastAsia" w:hAnsi="Arial" w:cstheme="minorBidi"/>
          <w:lang w:eastAsia="en-US"/>
        </w:rPr>
        <w:t xml:space="preserve">s </w:t>
      </w:r>
      <w:r w:rsidR="004D6273" w:rsidRPr="00A4114B">
        <w:rPr>
          <w:rFonts w:ascii="Arial" w:eastAsiaTheme="minorEastAsia" w:hAnsi="Arial" w:cstheme="minorBidi"/>
          <w:lang w:eastAsia="en-US"/>
        </w:rPr>
        <w:t>w</w:t>
      </w:r>
      <w:r w:rsidR="00F908ED" w:rsidRPr="00A4114B">
        <w:rPr>
          <w:rFonts w:ascii="Arial" w:eastAsiaTheme="minorEastAsia" w:hAnsi="Arial" w:cstheme="minorBidi"/>
          <w:lang w:eastAsia="en-US"/>
        </w:rPr>
        <w:t>ere</w:t>
      </w:r>
      <w:r w:rsidR="004D6273" w:rsidRPr="00A4114B">
        <w:rPr>
          <w:rFonts w:ascii="Arial" w:eastAsiaTheme="minorEastAsia" w:hAnsi="Arial" w:cstheme="minorBidi"/>
          <w:lang w:eastAsia="en-US"/>
        </w:rPr>
        <w:t xml:space="preserve"> used to estimate associations</w:t>
      </w:r>
      <w:r w:rsidR="00A4114B" w:rsidRPr="00A4114B">
        <w:rPr>
          <w:rFonts w:ascii="Arial" w:eastAsiaTheme="minorEastAsia" w:hAnsi="Arial" w:cstheme="minorBidi"/>
          <w:lang w:eastAsia="en-US"/>
        </w:rPr>
        <w:t>, adjusting for baseline characteristics</w:t>
      </w:r>
      <w:r w:rsidR="00F908ED" w:rsidRPr="00A4114B">
        <w:rPr>
          <w:rFonts w:ascii="Arial" w:eastAsiaTheme="minorEastAsia" w:hAnsi="Arial" w:cstheme="minorBidi"/>
          <w:lang w:eastAsia="en-US"/>
        </w:rPr>
        <w:t>.</w:t>
      </w:r>
      <w:r w:rsidR="00A4114B">
        <w:rPr>
          <w:rFonts w:ascii="Arial" w:eastAsiaTheme="minorEastAsia" w:hAnsi="Arial" w:cstheme="minorBidi"/>
          <w:lang w:eastAsia="en-US"/>
        </w:rPr>
        <w:t xml:space="preserve"> Estimates </w:t>
      </w:r>
      <w:r w:rsidR="00A4114B" w:rsidRPr="00A4114B">
        <w:rPr>
          <w:rFonts w:ascii="Arial" w:eastAsiaTheme="minorEastAsia" w:hAnsi="Arial" w:cstheme="minorBidi"/>
          <w:lang w:eastAsia="en-US"/>
        </w:rPr>
        <w:t>of successful completion were derived using a multiple imputation model</w:t>
      </w:r>
      <w:r w:rsidR="00B67BA2">
        <w:rPr>
          <w:rFonts w:ascii="Arial" w:eastAsiaTheme="minorEastAsia" w:hAnsi="Arial" w:cstheme="minorBidi"/>
          <w:lang w:eastAsia="en-US"/>
        </w:rPr>
        <w:t>.</w:t>
      </w:r>
      <w:r w:rsidR="00D86C1B">
        <w:rPr>
          <w:rFonts w:ascii="Arial" w:eastAsiaTheme="minorEastAsia" w:hAnsi="Arial" w:cstheme="minorBidi"/>
          <w:lang w:eastAsia="en-US"/>
        </w:rPr>
        <w:t xml:space="preserve"> E-values </w:t>
      </w:r>
      <w:r w:rsidR="00D7555D">
        <w:rPr>
          <w:rFonts w:ascii="Arial" w:eastAsiaTheme="minorEastAsia" w:hAnsi="Arial" w:cstheme="minorBidi"/>
          <w:lang w:eastAsia="en-US"/>
        </w:rPr>
        <w:t xml:space="preserve">of the </w:t>
      </w:r>
      <w:r w:rsidR="00B67BA2">
        <w:rPr>
          <w:rFonts w:ascii="Arial" w:eastAsiaTheme="minorEastAsia" w:hAnsi="Arial" w:cstheme="minorBidi"/>
          <w:lang w:eastAsia="en-US"/>
        </w:rPr>
        <w:t xml:space="preserve">multiple </w:t>
      </w:r>
      <w:r w:rsidR="00032522">
        <w:rPr>
          <w:rFonts w:ascii="Arial" w:eastAsiaTheme="minorEastAsia" w:hAnsi="Arial" w:cstheme="minorBidi"/>
          <w:lang w:eastAsia="en-US"/>
        </w:rPr>
        <w:t>imputation</w:t>
      </w:r>
      <w:r w:rsidR="00B67BA2">
        <w:rPr>
          <w:rFonts w:ascii="Arial" w:eastAsiaTheme="minorEastAsia" w:hAnsi="Arial" w:cstheme="minorBidi"/>
          <w:lang w:eastAsia="en-US"/>
        </w:rPr>
        <w:t xml:space="preserve"> derived</w:t>
      </w:r>
      <w:r w:rsidR="00D7555D">
        <w:rPr>
          <w:rFonts w:ascii="Arial" w:eastAsiaTheme="minorEastAsia" w:hAnsi="Arial" w:cstheme="minorBidi"/>
          <w:lang w:eastAsia="en-US"/>
        </w:rPr>
        <w:t xml:space="preserve"> estimates </w:t>
      </w:r>
      <w:r w:rsidR="00B67BA2">
        <w:rPr>
          <w:rFonts w:ascii="Arial" w:eastAsiaTheme="minorEastAsia" w:hAnsi="Arial" w:cstheme="minorBidi"/>
          <w:lang w:eastAsia="en-US"/>
        </w:rPr>
        <w:t xml:space="preserve">were </w:t>
      </w:r>
      <w:r w:rsidR="00D86C1B">
        <w:rPr>
          <w:rFonts w:ascii="Arial" w:eastAsiaTheme="minorEastAsia" w:hAnsi="Arial" w:cstheme="minorBidi"/>
          <w:lang w:eastAsia="en-US"/>
        </w:rPr>
        <w:t xml:space="preserve">calculated </w:t>
      </w:r>
      <w:r w:rsidR="00D7555D">
        <w:rPr>
          <w:rFonts w:ascii="Arial" w:eastAsiaTheme="minorEastAsia" w:hAnsi="Arial" w:cstheme="minorBidi"/>
          <w:lang w:eastAsia="en-US"/>
        </w:rPr>
        <w:t>as a sensitivity analysis</w:t>
      </w:r>
      <w:r w:rsidR="00966DF5">
        <w:rPr>
          <w:rFonts w:ascii="Arial" w:eastAsiaTheme="minorEastAsia" w:hAnsi="Arial" w:cstheme="minorBidi"/>
          <w:lang w:eastAsia="en-US"/>
        </w:rPr>
        <w:t>,</w:t>
      </w:r>
      <w:r w:rsidR="00D7555D">
        <w:rPr>
          <w:rFonts w:ascii="Arial" w:eastAsiaTheme="minorEastAsia" w:hAnsi="Arial" w:cstheme="minorBidi"/>
          <w:lang w:eastAsia="en-US"/>
        </w:rPr>
        <w:t xml:space="preserve"> to test </w:t>
      </w:r>
      <w:r w:rsidR="00B77A1A">
        <w:rPr>
          <w:rFonts w:ascii="Arial" w:eastAsiaTheme="minorEastAsia" w:hAnsi="Arial" w:cstheme="minorBidi"/>
          <w:lang w:eastAsia="en-US"/>
        </w:rPr>
        <w:t xml:space="preserve">the magnitude of confounder associations </w:t>
      </w:r>
      <w:r w:rsidR="00E90AC4">
        <w:rPr>
          <w:rFonts w:ascii="Arial" w:eastAsiaTheme="minorEastAsia" w:hAnsi="Arial" w:cstheme="minorBidi"/>
          <w:lang w:eastAsia="en-US"/>
        </w:rPr>
        <w:t>that would be needed to render a significant finding non-significant.</w:t>
      </w:r>
      <w:r w:rsidR="00966DF5">
        <w:rPr>
          <w:rFonts w:ascii="Arial" w:eastAsiaTheme="minorEastAsia" w:hAnsi="Arial" w:cstheme="minorBidi"/>
          <w:lang w:eastAsia="en-US"/>
        </w:rPr>
        <w:t xml:space="preserve"> </w:t>
      </w:r>
      <w:r w:rsidR="00D03A97">
        <w:rPr>
          <w:rFonts w:ascii="Arial" w:eastAsiaTheme="minorEastAsia" w:hAnsi="Arial" w:cstheme="minorBidi"/>
          <w:lang w:eastAsia="en-US"/>
        </w:rPr>
        <w:t xml:space="preserve">This study presented </w:t>
      </w:r>
      <w:r w:rsidR="00450D84">
        <w:rPr>
          <w:rFonts w:ascii="Arial" w:eastAsiaTheme="minorEastAsia" w:hAnsi="Arial" w:cstheme="minorBidi"/>
          <w:lang w:eastAsia="en-US"/>
        </w:rPr>
        <w:t>eight</w:t>
      </w:r>
      <w:r w:rsidR="00D03A97">
        <w:rPr>
          <w:rFonts w:ascii="Arial" w:eastAsiaTheme="minorEastAsia" w:hAnsi="Arial" w:cstheme="minorBidi"/>
          <w:lang w:eastAsia="en-US"/>
        </w:rPr>
        <w:t xml:space="preserve"> key findings.</w:t>
      </w:r>
    </w:p>
    <w:p w14:paraId="5BBE1E3D" w14:textId="77777777" w:rsidR="00AB419B" w:rsidRDefault="00AB419B" w:rsidP="0683581E">
      <w:pPr>
        <w:pStyle w:val="paragraph"/>
        <w:spacing w:line="360" w:lineRule="auto"/>
        <w:rPr>
          <w:rFonts w:ascii="Arial" w:eastAsiaTheme="minorEastAsia" w:hAnsi="Arial" w:cstheme="minorBidi"/>
          <w:lang w:eastAsia="en-US"/>
        </w:rPr>
      </w:pPr>
    </w:p>
    <w:p w14:paraId="30C7AEA0" w14:textId="791DCF10" w:rsidR="004C1D6A" w:rsidRDefault="00457B8F" w:rsidP="004C1D6A">
      <w:pPr>
        <w:pStyle w:val="paragraph"/>
        <w:spacing w:line="360" w:lineRule="auto"/>
        <w:textAlignment w:val="baseline"/>
        <w:rPr>
          <w:rFonts w:ascii="Arial" w:eastAsiaTheme="minorEastAsia" w:hAnsi="Arial" w:cstheme="minorBidi"/>
          <w:lang w:eastAsia="en-US"/>
        </w:rPr>
      </w:pPr>
      <w:bookmarkStart w:id="156" w:name="_Ref176981304"/>
      <w:r w:rsidRPr="00457B8F">
        <w:rPr>
          <w:rFonts w:ascii="Arial" w:hAnsi="Arial" w:cs="Arial"/>
          <w:b/>
          <w:bCs/>
        </w:rPr>
        <w:t>F</w:t>
      </w:r>
      <w:r w:rsidRPr="00457B8F">
        <w:rPr>
          <w:rFonts w:ascii="Arial" w:hAnsi="Arial" w:cs="Arial"/>
          <w:b/>
          <w:bCs/>
        </w:rPr>
        <w:fldChar w:fldCharType="begin"/>
      </w:r>
      <w:r w:rsidRPr="00457B8F">
        <w:rPr>
          <w:rFonts w:ascii="Arial" w:hAnsi="Arial" w:cs="Arial"/>
          <w:b/>
          <w:bCs/>
        </w:rPr>
        <w:instrText xml:space="preserve"> SEQ F \* ARABIC </w:instrText>
      </w:r>
      <w:r w:rsidRPr="00457B8F">
        <w:rPr>
          <w:rFonts w:ascii="Arial" w:hAnsi="Arial" w:cs="Arial"/>
          <w:b/>
          <w:bCs/>
        </w:rPr>
        <w:fldChar w:fldCharType="separate"/>
      </w:r>
      <w:r w:rsidR="0027126E">
        <w:rPr>
          <w:rFonts w:ascii="Arial" w:hAnsi="Arial" w:cs="Arial"/>
          <w:b/>
          <w:bCs/>
          <w:noProof/>
        </w:rPr>
        <w:t>1</w:t>
      </w:r>
      <w:r w:rsidRPr="00457B8F">
        <w:rPr>
          <w:rFonts w:ascii="Arial" w:hAnsi="Arial" w:cs="Arial"/>
          <w:b/>
          <w:bCs/>
        </w:rPr>
        <w:fldChar w:fldCharType="end"/>
      </w:r>
      <w:bookmarkEnd w:id="156"/>
      <w:r>
        <w:t xml:space="preserve"> </w:t>
      </w:r>
      <w:r>
        <w:rPr>
          <w:rFonts w:ascii="Arial" w:eastAsiaTheme="minorEastAsia" w:hAnsi="Arial" w:cstheme="minorBidi"/>
          <w:lang w:eastAsia="en-US"/>
        </w:rPr>
        <w:t>P</w:t>
      </w:r>
      <w:r w:rsidR="00274415" w:rsidRPr="5A18ECEE">
        <w:rPr>
          <w:rFonts w:ascii="Arial" w:eastAsiaTheme="minorEastAsia" w:hAnsi="Arial" w:cstheme="minorBidi"/>
          <w:lang w:eastAsia="en-US"/>
        </w:rPr>
        <w:t xml:space="preserve">arents with SUD </w:t>
      </w:r>
      <w:r w:rsidR="005C1A3D">
        <w:rPr>
          <w:rFonts w:ascii="Arial" w:eastAsiaTheme="minorEastAsia" w:hAnsi="Arial" w:cstheme="minorBidi"/>
          <w:lang w:eastAsia="en-US"/>
        </w:rPr>
        <w:t xml:space="preserve">in treatment </w:t>
      </w:r>
      <w:r w:rsidR="00274415" w:rsidRPr="5A18ECEE">
        <w:rPr>
          <w:rFonts w:ascii="Arial" w:eastAsiaTheme="minorEastAsia" w:hAnsi="Arial" w:cstheme="minorBidi"/>
          <w:lang w:eastAsia="en-US"/>
        </w:rPr>
        <w:t>are not a homogenous group</w:t>
      </w:r>
      <w:r w:rsidR="00571B4B">
        <w:rPr>
          <w:rFonts w:ascii="Arial" w:eastAsiaTheme="minorEastAsia" w:hAnsi="Arial" w:cstheme="minorBidi"/>
          <w:lang w:eastAsia="en-US"/>
        </w:rPr>
        <w:t xml:space="preserve">, with </w:t>
      </w:r>
      <w:r w:rsidR="005C05B9">
        <w:rPr>
          <w:rFonts w:ascii="Arial" w:eastAsiaTheme="minorEastAsia" w:hAnsi="Arial" w:cstheme="minorBidi"/>
          <w:lang w:eastAsia="en-US"/>
        </w:rPr>
        <w:t xml:space="preserve">parents not living with their children </w:t>
      </w:r>
      <w:r w:rsidR="00B21F49">
        <w:rPr>
          <w:rFonts w:ascii="Arial" w:eastAsiaTheme="minorEastAsia" w:hAnsi="Arial" w:cstheme="minorBidi"/>
          <w:lang w:eastAsia="en-US"/>
        </w:rPr>
        <w:t>being more likely to have</w:t>
      </w:r>
      <w:r w:rsidR="005C05B9">
        <w:rPr>
          <w:rFonts w:ascii="Arial" w:eastAsiaTheme="minorEastAsia" w:hAnsi="Arial" w:cstheme="minorBidi"/>
          <w:lang w:eastAsia="en-US"/>
        </w:rPr>
        <w:t xml:space="preserve"> </w:t>
      </w:r>
      <w:r w:rsidR="0038033C">
        <w:rPr>
          <w:rFonts w:ascii="Arial" w:eastAsiaTheme="minorEastAsia" w:hAnsi="Arial" w:cstheme="minorBidi"/>
          <w:lang w:eastAsia="en-US"/>
        </w:rPr>
        <w:t xml:space="preserve">multiple and </w:t>
      </w:r>
      <w:r w:rsidR="005C05B9">
        <w:rPr>
          <w:rFonts w:ascii="Arial" w:eastAsiaTheme="minorEastAsia" w:hAnsi="Arial" w:cstheme="minorBidi"/>
          <w:lang w:eastAsia="en-US"/>
        </w:rPr>
        <w:t>complex support needs compared with non-parents and parents living with children</w:t>
      </w:r>
      <w:r w:rsidR="00D96001">
        <w:rPr>
          <w:rFonts w:ascii="Arial" w:eastAsiaTheme="minorEastAsia" w:hAnsi="Arial" w:cstheme="minorBidi"/>
          <w:lang w:eastAsia="en-US"/>
        </w:rPr>
        <w:t>.</w:t>
      </w:r>
    </w:p>
    <w:p w14:paraId="749E8E63" w14:textId="77777777" w:rsidR="004C1D6A" w:rsidRDefault="004C1D6A" w:rsidP="004C1D6A">
      <w:pPr>
        <w:pStyle w:val="paragraph"/>
        <w:spacing w:line="360" w:lineRule="auto"/>
        <w:textAlignment w:val="baseline"/>
        <w:rPr>
          <w:rFonts w:ascii="Arial" w:eastAsiaTheme="minorEastAsia" w:hAnsi="Arial" w:cstheme="minorBidi"/>
          <w:lang w:eastAsia="en-US"/>
        </w:rPr>
      </w:pPr>
    </w:p>
    <w:p w14:paraId="02C7E711" w14:textId="03DF6B20" w:rsidR="004C1D6A" w:rsidRDefault="005C05B9" w:rsidP="004C1D6A">
      <w:pPr>
        <w:pStyle w:val="paragraph"/>
        <w:spacing w:line="360" w:lineRule="auto"/>
        <w:textAlignment w:val="baseline"/>
        <w:rPr>
          <w:rFonts w:ascii="Arial" w:eastAsiaTheme="minorEastAsia" w:hAnsi="Arial" w:cstheme="minorBidi"/>
          <w:lang w:eastAsia="en-US"/>
        </w:rPr>
      </w:pPr>
      <w:bookmarkStart w:id="157" w:name="_Ref176981308"/>
      <w:r w:rsidRPr="00457B8F">
        <w:rPr>
          <w:rFonts w:ascii="Arial" w:hAnsi="Arial" w:cs="Arial"/>
          <w:b/>
          <w:bCs/>
        </w:rPr>
        <w:t>F</w:t>
      </w:r>
      <w:r w:rsidRPr="00457B8F">
        <w:rPr>
          <w:rFonts w:ascii="Arial" w:hAnsi="Arial" w:cs="Arial"/>
          <w:b/>
          <w:bCs/>
        </w:rPr>
        <w:fldChar w:fldCharType="begin"/>
      </w:r>
      <w:r w:rsidRPr="00457B8F">
        <w:rPr>
          <w:rFonts w:ascii="Arial" w:hAnsi="Arial" w:cs="Arial"/>
          <w:b/>
          <w:bCs/>
        </w:rPr>
        <w:instrText xml:space="preserve"> SEQ F \* ARABIC </w:instrText>
      </w:r>
      <w:r w:rsidRPr="00457B8F">
        <w:rPr>
          <w:rFonts w:ascii="Arial" w:hAnsi="Arial" w:cs="Arial"/>
          <w:b/>
          <w:bCs/>
        </w:rPr>
        <w:fldChar w:fldCharType="separate"/>
      </w:r>
      <w:r>
        <w:rPr>
          <w:rFonts w:ascii="Arial" w:hAnsi="Arial" w:cs="Arial"/>
          <w:b/>
          <w:bCs/>
          <w:noProof/>
        </w:rPr>
        <w:t>2</w:t>
      </w:r>
      <w:r w:rsidRPr="00457B8F">
        <w:rPr>
          <w:rFonts w:ascii="Arial" w:hAnsi="Arial" w:cs="Arial"/>
          <w:b/>
          <w:bCs/>
        </w:rPr>
        <w:fldChar w:fldCharType="end"/>
      </w:r>
      <w:bookmarkEnd w:id="157"/>
      <w:r w:rsidR="001C6440">
        <w:rPr>
          <w:rFonts w:ascii="Arial" w:hAnsi="Arial" w:cs="Arial"/>
          <w:b/>
          <w:bCs/>
        </w:rPr>
        <w:t xml:space="preserve"> </w:t>
      </w:r>
      <w:r w:rsidR="001C6440" w:rsidRPr="001C6440">
        <w:rPr>
          <w:rFonts w:ascii="Arial" w:hAnsi="Arial" w:cs="Arial"/>
        </w:rPr>
        <w:t xml:space="preserve">Child </w:t>
      </w:r>
      <w:r w:rsidR="001C6440">
        <w:rPr>
          <w:rFonts w:ascii="Arial" w:hAnsi="Arial" w:cs="Arial"/>
        </w:rPr>
        <w:t xml:space="preserve">living arrangements (parent living with or not living with children) </w:t>
      </w:r>
      <w:r w:rsidR="00E44063">
        <w:rPr>
          <w:rFonts w:ascii="Arial" w:hAnsi="Arial" w:cs="Arial"/>
        </w:rPr>
        <w:t xml:space="preserve">are a </w:t>
      </w:r>
      <w:r w:rsidR="00F07933">
        <w:rPr>
          <w:rFonts w:ascii="Arial" w:hAnsi="Arial" w:cs="Arial"/>
        </w:rPr>
        <w:t xml:space="preserve">more important </w:t>
      </w:r>
      <w:r w:rsidR="00E44063">
        <w:rPr>
          <w:rFonts w:ascii="Arial" w:hAnsi="Arial" w:cs="Arial"/>
        </w:rPr>
        <w:t>predictor of</w:t>
      </w:r>
      <w:r w:rsidR="0038033C">
        <w:rPr>
          <w:rFonts w:ascii="Arial" w:hAnsi="Arial" w:cs="Arial"/>
        </w:rPr>
        <w:t xml:space="preserve"> multiple and</w:t>
      </w:r>
      <w:r w:rsidR="00E44063">
        <w:rPr>
          <w:rFonts w:ascii="Arial" w:hAnsi="Arial" w:cs="Arial"/>
        </w:rPr>
        <w:t xml:space="preserve"> complex support needs than sex. </w:t>
      </w:r>
    </w:p>
    <w:p w14:paraId="24547404" w14:textId="77777777" w:rsidR="004C1D6A" w:rsidRDefault="004C1D6A" w:rsidP="004C1D6A">
      <w:pPr>
        <w:pStyle w:val="paragraph"/>
        <w:spacing w:line="360" w:lineRule="auto"/>
        <w:textAlignment w:val="baseline"/>
        <w:rPr>
          <w:rFonts w:ascii="Arial" w:eastAsiaTheme="minorEastAsia" w:hAnsi="Arial" w:cstheme="minorBidi"/>
          <w:lang w:eastAsia="en-US"/>
        </w:rPr>
      </w:pPr>
    </w:p>
    <w:p w14:paraId="3F2CCFAB" w14:textId="4D28E92D" w:rsidR="004C1D6A" w:rsidRDefault="00253658" w:rsidP="004C1D6A">
      <w:pPr>
        <w:pStyle w:val="paragraph"/>
        <w:spacing w:line="360" w:lineRule="auto"/>
        <w:textAlignment w:val="baseline"/>
        <w:rPr>
          <w:rFonts w:ascii="Arial" w:eastAsiaTheme="minorEastAsia" w:hAnsi="Arial" w:cstheme="minorBidi"/>
          <w:lang w:eastAsia="en-US"/>
        </w:rPr>
      </w:pPr>
      <w:bookmarkStart w:id="158" w:name="_Ref176981311"/>
      <w:r w:rsidRPr="006F31D9">
        <w:rPr>
          <w:rFonts w:ascii="Arial" w:eastAsiaTheme="minorEastAsia" w:hAnsi="Arial" w:cstheme="minorBidi"/>
          <w:b/>
          <w:bCs/>
          <w:lang w:eastAsia="en-US"/>
        </w:rPr>
        <w:t>F</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Pr="006F31D9">
        <w:rPr>
          <w:rFonts w:ascii="Arial" w:eastAsiaTheme="minorEastAsia" w:hAnsi="Arial" w:cstheme="minorBidi"/>
          <w:b/>
          <w:bCs/>
          <w:lang w:eastAsia="en-US"/>
        </w:rPr>
        <w:fldChar w:fldCharType="separate"/>
      </w:r>
      <w:r w:rsidR="00746755">
        <w:rPr>
          <w:rFonts w:ascii="Arial" w:eastAsiaTheme="minorEastAsia" w:hAnsi="Arial" w:cstheme="minorBidi"/>
          <w:b/>
          <w:bCs/>
          <w:noProof/>
          <w:lang w:eastAsia="en-US"/>
        </w:rPr>
        <w:t>3</w:t>
      </w:r>
      <w:r w:rsidRPr="006F31D9">
        <w:rPr>
          <w:rFonts w:ascii="Arial" w:eastAsiaTheme="minorEastAsia" w:hAnsi="Arial" w:cstheme="minorBidi"/>
          <w:b/>
          <w:bCs/>
          <w:lang w:eastAsia="en-US"/>
        </w:rPr>
        <w:fldChar w:fldCharType="end"/>
      </w:r>
      <w:bookmarkEnd w:id="158"/>
      <w:r>
        <w:rPr>
          <w:rFonts w:ascii="Arial" w:eastAsiaTheme="minorEastAsia" w:hAnsi="Arial" w:cstheme="minorBidi"/>
          <w:b/>
          <w:bCs/>
          <w:lang w:eastAsia="en-US"/>
        </w:rPr>
        <w:t xml:space="preserve"> </w:t>
      </w:r>
      <w:r w:rsidR="0062171A">
        <w:rPr>
          <w:rFonts w:ascii="Arial" w:eastAsiaTheme="minorEastAsia" w:hAnsi="Arial" w:cstheme="minorBidi"/>
          <w:lang w:eastAsia="en-US"/>
        </w:rPr>
        <w:t>Several variables were found to be</w:t>
      </w:r>
      <w:r w:rsidRPr="00EA45D7">
        <w:rPr>
          <w:rFonts w:ascii="Arial" w:eastAsiaTheme="minorEastAsia" w:hAnsi="Arial" w:cstheme="minorBidi"/>
          <w:lang w:eastAsia="en-US"/>
        </w:rPr>
        <w:t xml:space="preserve"> associated with </w:t>
      </w:r>
      <w:r w:rsidR="1335F0F1" w:rsidRPr="4686D404">
        <w:rPr>
          <w:rFonts w:ascii="Arial" w:eastAsiaTheme="minorEastAsia" w:hAnsi="Arial" w:cstheme="minorBidi"/>
          <w:lang w:eastAsia="en-US"/>
        </w:rPr>
        <w:t xml:space="preserve">increased likelihood of </w:t>
      </w:r>
      <w:r w:rsidRPr="00EA45D7">
        <w:rPr>
          <w:rFonts w:ascii="Arial" w:eastAsiaTheme="minorEastAsia" w:hAnsi="Arial" w:cstheme="minorBidi"/>
          <w:lang w:eastAsia="en-US"/>
        </w:rPr>
        <w:t xml:space="preserve">receiving treatment </w:t>
      </w:r>
      <w:r w:rsidR="00545D7B">
        <w:rPr>
          <w:rFonts w:ascii="Arial" w:eastAsiaTheme="minorEastAsia" w:hAnsi="Arial" w:cstheme="minorBidi"/>
          <w:lang w:eastAsia="en-US"/>
        </w:rPr>
        <w:t>plus</w:t>
      </w:r>
      <w:r w:rsidRPr="00EA45D7">
        <w:rPr>
          <w:rFonts w:ascii="Arial" w:eastAsiaTheme="minorEastAsia" w:hAnsi="Arial" w:cstheme="minorBidi"/>
          <w:lang w:eastAsia="en-US"/>
        </w:rPr>
        <w:t xml:space="preserve"> a</w:t>
      </w:r>
      <w:r w:rsidR="00566A84">
        <w:rPr>
          <w:rFonts w:ascii="Arial" w:eastAsiaTheme="minorEastAsia" w:hAnsi="Arial" w:cstheme="minorBidi"/>
          <w:lang w:eastAsia="en-US"/>
        </w:rPr>
        <w:t xml:space="preserve">n </w:t>
      </w:r>
      <w:r w:rsidRPr="00EA45D7">
        <w:rPr>
          <w:rFonts w:ascii="Arial" w:eastAsiaTheme="minorEastAsia" w:hAnsi="Arial" w:cstheme="minorBidi"/>
          <w:lang w:eastAsia="en-US"/>
        </w:rPr>
        <w:t>intervention</w:t>
      </w:r>
      <w:r w:rsidR="00566A84">
        <w:rPr>
          <w:rFonts w:ascii="Arial" w:eastAsiaTheme="minorEastAsia" w:hAnsi="Arial" w:cstheme="minorBidi"/>
          <w:lang w:eastAsia="en-US"/>
        </w:rPr>
        <w:t xml:space="preserve"> that promotes or protects </w:t>
      </w:r>
      <w:r w:rsidR="0062171A">
        <w:rPr>
          <w:rFonts w:ascii="Arial" w:eastAsiaTheme="minorEastAsia" w:hAnsi="Arial" w:cstheme="minorBidi"/>
          <w:lang w:eastAsia="en-US"/>
        </w:rPr>
        <w:t>child welfare (parenting and/or recovery support, early help, child in need/ child protections plans</w:t>
      </w:r>
      <w:r w:rsidR="00CA7682">
        <w:rPr>
          <w:rFonts w:ascii="Arial" w:eastAsiaTheme="minorEastAsia" w:hAnsi="Arial" w:cstheme="minorBidi"/>
          <w:lang w:eastAsia="en-US"/>
        </w:rPr>
        <w:t xml:space="preserve">). </w:t>
      </w:r>
      <w:r w:rsidR="00CA7682">
        <w:rPr>
          <w:rFonts w:ascii="Arial" w:eastAsiaTheme="minorEastAsia" w:hAnsi="Arial" w:cstheme="minorBidi"/>
          <w:lang w:eastAsia="en-US"/>
        </w:rPr>
        <w:lastRenderedPageBreak/>
        <w:t>These were:</w:t>
      </w:r>
      <w:r w:rsidRPr="00EA45D7">
        <w:rPr>
          <w:rFonts w:ascii="Arial" w:eastAsiaTheme="minorEastAsia" w:hAnsi="Arial" w:cstheme="minorBidi"/>
          <w:lang w:eastAsia="en-US"/>
        </w:rPr>
        <w:t xml:space="preserve"> living with </w:t>
      </w:r>
      <w:r w:rsidR="00986F6B">
        <w:rPr>
          <w:rFonts w:ascii="Arial" w:eastAsiaTheme="minorEastAsia" w:hAnsi="Arial" w:cstheme="minorBidi"/>
          <w:lang w:eastAsia="en-US"/>
        </w:rPr>
        <w:t>children (rather than not living with children)</w:t>
      </w:r>
      <w:r w:rsidRPr="00EA45D7">
        <w:rPr>
          <w:rFonts w:ascii="Arial" w:eastAsiaTheme="minorEastAsia" w:hAnsi="Arial" w:cstheme="minorBidi"/>
          <w:lang w:eastAsia="en-US"/>
        </w:rPr>
        <w:t>, being a mother</w:t>
      </w:r>
      <w:r w:rsidR="5CDCA35E" w:rsidRPr="4686D404">
        <w:rPr>
          <w:rFonts w:ascii="Arial" w:eastAsiaTheme="minorEastAsia" w:hAnsi="Arial" w:cstheme="minorBidi"/>
          <w:lang w:eastAsia="en-US"/>
        </w:rPr>
        <w:t xml:space="preserve"> (rather than a father)</w:t>
      </w:r>
      <w:r w:rsidRPr="4686D404">
        <w:rPr>
          <w:rFonts w:ascii="Arial" w:eastAsiaTheme="minorEastAsia" w:hAnsi="Arial" w:cstheme="minorBidi"/>
          <w:lang w:eastAsia="en-US"/>
        </w:rPr>
        <w:t>,</w:t>
      </w:r>
      <w:r w:rsidRPr="00EA45D7">
        <w:rPr>
          <w:rFonts w:ascii="Arial" w:eastAsiaTheme="minorEastAsia" w:hAnsi="Arial" w:cstheme="minorBidi"/>
          <w:lang w:eastAsia="en-US"/>
        </w:rPr>
        <w:t xml:space="preserve"> being </w:t>
      </w:r>
      <w:r w:rsidR="003F1320">
        <w:rPr>
          <w:rFonts w:ascii="Arial" w:eastAsiaTheme="minorEastAsia" w:hAnsi="Arial" w:cstheme="minorBidi"/>
          <w:lang w:eastAsia="en-US"/>
        </w:rPr>
        <w:t>aged 25 or older</w:t>
      </w:r>
      <w:r w:rsidR="00986F6B">
        <w:rPr>
          <w:rFonts w:ascii="Arial" w:eastAsiaTheme="minorEastAsia" w:hAnsi="Arial" w:cstheme="minorBidi"/>
          <w:lang w:eastAsia="en-US"/>
        </w:rPr>
        <w:t xml:space="preserve"> (rather than a young adult aged 18-24)</w:t>
      </w:r>
      <w:r w:rsidR="00803AA5" w:rsidRPr="00EA45D7">
        <w:rPr>
          <w:rFonts w:ascii="Arial" w:eastAsiaTheme="minorEastAsia" w:hAnsi="Arial" w:cstheme="minorBidi"/>
          <w:lang w:eastAsia="en-US"/>
        </w:rPr>
        <w:t xml:space="preserve">, </w:t>
      </w:r>
      <w:r w:rsidR="00D0144F" w:rsidRPr="00EA45D7">
        <w:rPr>
          <w:rFonts w:ascii="Arial" w:eastAsiaTheme="minorEastAsia" w:hAnsi="Arial" w:cstheme="minorBidi"/>
          <w:lang w:eastAsia="en-US"/>
        </w:rPr>
        <w:t>having more than one child at home</w:t>
      </w:r>
      <w:r w:rsidR="008F2F87">
        <w:rPr>
          <w:rFonts w:ascii="Arial" w:eastAsiaTheme="minorEastAsia" w:hAnsi="Arial" w:cstheme="minorBidi"/>
          <w:lang w:eastAsia="en-US"/>
        </w:rPr>
        <w:t xml:space="preserve"> (rather than just one child at home)</w:t>
      </w:r>
      <w:r w:rsidR="00EA45D7" w:rsidRPr="00EA45D7">
        <w:rPr>
          <w:rFonts w:ascii="Arial" w:eastAsiaTheme="minorEastAsia" w:hAnsi="Arial" w:cstheme="minorBidi"/>
          <w:lang w:eastAsia="en-US"/>
        </w:rPr>
        <w:t>.</w:t>
      </w:r>
      <w:r w:rsidR="0065664A">
        <w:rPr>
          <w:rFonts w:ascii="Arial" w:eastAsiaTheme="minorEastAsia" w:hAnsi="Arial" w:cstheme="minorBidi"/>
          <w:lang w:eastAsia="en-US"/>
        </w:rPr>
        <w:t xml:space="preserve"> Injecting drug users were three time more likely to have a child in care</w:t>
      </w:r>
      <w:r w:rsidR="008F2F87">
        <w:rPr>
          <w:rFonts w:ascii="Arial" w:eastAsiaTheme="minorEastAsia" w:hAnsi="Arial" w:cstheme="minorBidi"/>
          <w:lang w:eastAsia="en-US"/>
        </w:rPr>
        <w:t xml:space="preserve"> than non-injectors</w:t>
      </w:r>
      <w:r w:rsidR="0065664A">
        <w:rPr>
          <w:rFonts w:ascii="Arial" w:eastAsiaTheme="minorEastAsia" w:hAnsi="Arial" w:cstheme="minorBidi"/>
          <w:lang w:eastAsia="en-US"/>
        </w:rPr>
        <w:t>.</w:t>
      </w:r>
    </w:p>
    <w:p w14:paraId="7FAF33A2" w14:textId="075B2A79" w:rsidR="00BC423A" w:rsidRDefault="00BC423A" w:rsidP="00346B92">
      <w:pPr>
        <w:pStyle w:val="paragraph"/>
        <w:spacing w:line="360" w:lineRule="auto"/>
        <w:textAlignment w:val="baseline"/>
        <w:rPr>
          <w:rFonts w:ascii="Arial" w:eastAsiaTheme="minorEastAsia" w:hAnsi="Arial" w:cstheme="minorBidi"/>
          <w:lang w:eastAsia="en-US"/>
        </w:rPr>
      </w:pPr>
    </w:p>
    <w:p w14:paraId="2C4D2365" w14:textId="6B16924E" w:rsidR="00BC423A" w:rsidRDefault="00141D83" w:rsidP="00141D83">
      <w:pPr>
        <w:pStyle w:val="paragraph"/>
        <w:spacing w:line="360" w:lineRule="auto"/>
        <w:textAlignment w:val="baseline"/>
        <w:rPr>
          <w:rFonts w:ascii="Arial" w:eastAsiaTheme="minorEastAsia" w:hAnsi="Arial" w:cstheme="minorBidi"/>
          <w:lang w:eastAsia="en-US"/>
        </w:rPr>
      </w:pPr>
      <w:bookmarkStart w:id="159" w:name="_Ref176981708"/>
      <w:r w:rsidRPr="006F31D9">
        <w:rPr>
          <w:rFonts w:ascii="Arial" w:eastAsiaTheme="minorEastAsia" w:hAnsi="Arial" w:cstheme="minorBidi"/>
          <w:b/>
          <w:bCs/>
          <w:lang w:eastAsia="en-US"/>
        </w:rPr>
        <w:t>F</w:t>
      </w:r>
      <w:r w:rsidR="00A7657B">
        <w:rPr>
          <w:rFonts w:ascii="Arial" w:eastAsiaTheme="minorEastAsia" w:hAnsi="Arial" w:cstheme="minorBidi"/>
          <w:b/>
          <w:bCs/>
          <w:lang w:eastAsia="en-US"/>
        </w:rPr>
        <w:t>4</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00000000">
        <w:rPr>
          <w:rFonts w:ascii="Arial" w:eastAsiaTheme="minorEastAsia" w:hAnsi="Arial" w:cstheme="minorBidi"/>
          <w:b/>
          <w:bCs/>
          <w:lang w:eastAsia="en-US"/>
        </w:rPr>
        <w:fldChar w:fldCharType="separate"/>
      </w:r>
      <w:r w:rsidRPr="006F31D9">
        <w:rPr>
          <w:rFonts w:ascii="Arial" w:eastAsiaTheme="minorEastAsia" w:hAnsi="Arial" w:cstheme="minorBidi"/>
          <w:b/>
          <w:bCs/>
          <w:lang w:eastAsia="en-US"/>
        </w:rPr>
        <w:fldChar w:fldCharType="end"/>
      </w:r>
      <w:bookmarkEnd w:id="159"/>
      <w:r>
        <w:rPr>
          <w:rFonts w:ascii="Arial" w:eastAsiaTheme="minorEastAsia" w:hAnsi="Arial" w:cstheme="minorBidi"/>
          <w:b/>
          <w:bCs/>
          <w:lang w:eastAsia="en-US"/>
        </w:rPr>
        <w:t xml:space="preserve"> </w:t>
      </w:r>
      <w:r w:rsidR="00BF7CF2">
        <w:rPr>
          <w:rFonts w:ascii="Arial" w:eastAsiaTheme="minorEastAsia" w:hAnsi="Arial" w:cstheme="minorBidi"/>
          <w:lang w:eastAsia="en-US"/>
        </w:rPr>
        <w:t>Just 2% of treatment took place in</w:t>
      </w:r>
      <w:r w:rsidR="00E8604C">
        <w:rPr>
          <w:rFonts w:ascii="Arial" w:eastAsiaTheme="minorEastAsia" w:hAnsi="Arial" w:cstheme="minorBidi"/>
          <w:lang w:eastAsia="en-US"/>
        </w:rPr>
        <w:t xml:space="preserve"> </w:t>
      </w:r>
      <w:r w:rsidR="00BF7CF2">
        <w:rPr>
          <w:rFonts w:ascii="Arial" w:eastAsiaTheme="minorEastAsia" w:hAnsi="Arial" w:cstheme="minorBidi"/>
          <w:lang w:eastAsia="en-US"/>
        </w:rPr>
        <w:t xml:space="preserve">residential </w:t>
      </w:r>
      <w:r w:rsidR="00E8604C">
        <w:rPr>
          <w:rFonts w:ascii="Arial" w:eastAsiaTheme="minorEastAsia" w:hAnsi="Arial" w:cstheme="minorBidi"/>
          <w:lang w:eastAsia="en-US"/>
        </w:rPr>
        <w:t>care.</w:t>
      </w:r>
      <w:r w:rsidR="00F827BF">
        <w:rPr>
          <w:rFonts w:ascii="Arial" w:eastAsiaTheme="minorEastAsia" w:hAnsi="Arial" w:cstheme="minorBidi"/>
          <w:lang w:eastAsia="en-US"/>
        </w:rPr>
        <w:t xml:space="preserve"> </w:t>
      </w:r>
      <w:r w:rsidR="00E8604C">
        <w:rPr>
          <w:rFonts w:ascii="Arial" w:eastAsiaTheme="minorEastAsia" w:hAnsi="Arial" w:cstheme="minorBidi"/>
          <w:lang w:eastAsia="en-US"/>
        </w:rPr>
        <w:t>T</w:t>
      </w:r>
      <w:r w:rsidR="00F827BF">
        <w:rPr>
          <w:rFonts w:ascii="Arial" w:eastAsiaTheme="minorEastAsia" w:hAnsi="Arial" w:cstheme="minorBidi"/>
          <w:lang w:eastAsia="en-US"/>
        </w:rPr>
        <w:t xml:space="preserve">reatment in a residential </w:t>
      </w:r>
      <w:r w:rsidR="00E8604C">
        <w:rPr>
          <w:rFonts w:ascii="Arial" w:eastAsiaTheme="minorEastAsia" w:hAnsi="Arial" w:cstheme="minorBidi"/>
          <w:lang w:eastAsia="en-US"/>
        </w:rPr>
        <w:t>care setting</w:t>
      </w:r>
      <w:r w:rsidR="00F827BF" w:rsidRPr="5A18ECEE" w:rsidDel="00F827BF">
        <w:rPr>
          <w:rFonts w:ascii="Arial" w:eastAsiaTheme="minorEastAsia" w:hAnsi="Arial" w:cstheme="minorBidi"/>
          <w:lang w:eastAsia="en-US"/>
        </w:rPr>
        <w:t xml:space="preserve"> </w:t>
      </w:r>
      <w:r w:rsidR="00346B92" w:rsidRPr="5A18ECEE">
        <w:rPr>
          <w:rFonts w:ascii="Arial" w:eastAsiaTheme="minorEastAsia" w:hAnsi="Arial" w:cstheme="minorBidi"/>
          <w:lang w:eastAsia="en-US"/>
        </w:rPr>
        <w:t xml:space="preserve">had </w:t>
      </w:r>
      <w:r w:rsidR="00346B92" w:rsidRPr="5DDBD10A">
        <w:rPr>
          <w:rFonts w:ascii="Arial" w:eastAsiaTheme="minorEastAsia" w:hAnsi="Arial" w:cstheme="minorBidi"/>
          <w:lang w:eastAsia="en-US"/>
        </w:rPr>
        <w:t xml:space="preserve">a significant </w:t>
      </w:r>
      <w:r w:rsidR="00346B92" w:rsidRPr="5A18ECEE">
        <w:rPr>
          <w:rFonts w:ascii="Arial" w:eastAsiaTheme="minorEastAsia" w:hAnsi="Arial" w:cstheme="minorBidi"/>
          <w:lang w:eastAsia="en-US"/>
        </w:rPr>
        <w:t>association with successful completion of treatment</w:t>
      </w:r>
      <w:r w:rsidR="00E8604C">
        <w:rPr>
          <w:rFonts w:ascii="Arial" w:eastAsiaTheme="minorEastAsia" w:hAnsi="Arial" w:cstheme="minorBidi"/>
          <w:lang w:eastAsia="en-US"/>
        </w:rPr>
        <w:t xml:space="preserve"> compared with no treatment in a residential setting</w:t>
      </w:r>
      <w:r w:rsidR="005620DB">
        <w:rPr>
          <w:rFonts w:ascii="Arial" w:eastAsiaTheme="minorEastAsia" w:hAnsi="Arial" w:cstheme="minorBidi"/>
          <w:lang w:eastAsia="en-US"/>
        </w:rPr>
        <w:t xml:space="preserve">, </w:t>
      </w:r>
      <w:r w:rsidR="005620DB" w:rsidRPr="0063544A">
        <w:rPr>
          <w:rFonts w:ascii="Arial" w:hAnsi="Arial" w:cs="Arial"/>
        </w:rPr>
        <w:t>with likelihood greater for parents not living with children</w:t>
      </w:r>
      <w:r w:rsidR="00FE1E06">
        <w:rPr>
          <w:rFonts w:ascii="Arial" w:hAnsi="Arial" w:cs="Arial"/>
        </w:rPr>
        <w:t xml:space="preserve"> than parents living with children</w:t>
      </w:r>
      <w:r w:rsidR="00346B92" w:rsidRPr="402A6B09">
        <w:rPr>
          <w:rFonts w:ascii="Arial" w:eastAsiaTheme="minorEastAsia" w:hAnsi="Arial" w:cstheme="minorBidi"/>
          <w:lang w:eastAsia="en-US"/>
        </w:rPr>
        <w:t>.</w:t>
      </w:r>
      <w:r w:rsidR="0063544A">
        <w:rPr>
          <w:rFonts w:ascii="Arial" w:eastAsiaTheme="minorEastAsia" w:hAnsi="Arial" w:cstheme="minorBidi"/>
          <w:lang w:eastAsia="en-US"/>
        </w:rPr>
        <w:t xml:space="preserve"> </w:t>
      </w:r>
      <w:r w:rsidR="00346B92" w:rsidRPr="5DDBD10A">
        <w:rPr>
          <w:rFonts w:ascii="Arial" w:eastAsiaTheme="minorEastAsia" w:hAnsi="Arial" w:cstheme="minorBidi"/>
          <w:lang w:eastAsia="en-US"/>
        </w:rPr>
        <w:t>Th</w:t>
      </w:r>
      <w:r w:rsidR="00FE1E06">
        <w:rPr>
          <w:rFonts w:ascii="Arial" w:eastAsiaTheme="minorEastAsia" w:hAnsi="Arial" w:cstheme="minorBidi"/>
          <w:lang w:eastAsia="en-US"/>
        </w:rPr>
        <w:t>e strength of</w:t>
      </w:r>
      <w:r w:rsidR="00346B92" w:rsidRPr="5DDBD10A">
        <w:rPr>
          <w:rFonts w:ascii="Arial" w:eastAsiaTheme="minorEastAsia" w:hAnsi="Arial" w:cstheme="minorBidi"/>
          <w:lang w:eastAsia="en-US"/>
        </w:rPr>
        <w:t xml:space="preserve"> association was larger than the association for </w:t>
      </w:r>
      <w:r w:rsidR="00346B92">
        <w:rPr>
          <w:rFonts w:ascii="Arial" w:eastAsiaTheme="minorEastAsia" w:hAnsi="Arial" w:cstheme="minorBidi"/>
          <w:lang w:eastAsia="en-US"/>
        </w:rPr>
        <w:t>outpatient treatment</w:t>
      </w:r>
      <w:r w:rsidR="00346B92" w:rsidRPr="5DDBD10A">
        <w:rPr>
          <w:rFonts w:ascii="Arial" w:eastAsiaTheme="minorEastAsia" w:hAnsi="Arial" w:cstheme="minorBidi"/>
          <w:lang w:eastAsia="en-US"/>
        </w:rPr>
        <w:t xml:space="preserve">, or for </w:t>
      </w:r>
      <w:r w:rsidR="00346B92">
        <w:rPr>
          <w:rFonts w:ascii="Arial" w:eastAsiaTheme="minorEastAsia" w:hAnsi="Arial" w:cstheme="minorBidi"/>
          <w:lang w:eastAsia="en-US"/>
        </w:rPr>
        <w:t>inpatient detoxification</w:t>
      </w:r>
      <w:r w:rsidR="009D140F">
        <w:rPr>
          <w:rFonts w:ascii="Arial" w:eastAsiaTheme="minorEastAsia" w:hAnsi="Arial" w:cstheme="minorBidi"/>
          <w:lang w:eastAsia="en-US"/>
        </w:rPr>
        <w:t xml:space="preserve">. </w:t>
      </w:r>
    </w:p>
    <w:p w14:paraId="7004E926" w14:textId="77777777" w:rsidR="00BC423A" w:rsidRDefault="00BC423A" w:rsidP="00141D83">
      <w:pPr>
        <w:pStyle w:val="paragraph"/>
        <w:spacing w:line="360" w:lineRule="auto"/>
        <w:textAlignment w:val="baseline"/>
        <w:rPr>
          <w:rFonts w:ascii="Arial" w:eastAsiaTheme="minorEastAsia" w:hAnsi="Arial" w:cstheme="minorBidi"/>
          <w:lang w:eastAsia="en-US"/>
        </w:rPr>
      </w:pPr>
    </w:p>
    <w:p w14:paraId="61BB70B4" w14:textId="59DCDE47" w:rsidR="00556FF9" w:rsidRPr="00556FF9" w:rsidRDefault="00556FF9" w:rsidP="00556FF9">
      <w:pPr>
        <w:pStyle w:val="paragraph"/>
        <w:spacing w:line="360" w:lineRule="auto"/>
        <w:textAlignment w:val="baseline"/>
        <w:rPr>
          <w:rFonts w:ascii="Arial" w:eastAsiaTheme="minorEastAsia" w:hAnsi="Arial" w:cstheme="minorBidi"/>
          <w:lang w:eastAsia="en-US"/>
        </w:rPr>
      </w:pPr>
      <w:r w:rsidRPr="006F31D9">
        <w:rPr>
          <w:rFonts w:ascii="Arial" w:eastAsiaTheme="minorEastAsia" w:hAnsi="Arial" w:cstheme="minorBidi"/>
          <w:b/>
          <w:bCs/>
          <w:lang w:eastAsia="en-US"/>
        </w:rPr>
        <w:t>F</w:t>
      </w:r>
      <w:r w:rsidR="00A7657B">
        <w:rPr>
          <w:rFonts w:ascii="Arial" w:eastAsiaTheme="minorEastAsia" w:hAnsi="Arial" w:cstheme="minorBidi"/>
          <w:b/>
          <w:bCs/>
          <w:lang w:eastAsia="en-US"/>
        </w:rPr>
        <w:t>5</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00000000">
        <w:rPr>
          <w:rFonts w:ascii="Arial" w:eastAsiaTheme="minorEastAsia" w:hAnsi="Arial" w:cstheme="minorBidi"/>
          <w:b/>
          <w:bCs/>
          <w:lang w:eastAsia="en-US"/>
        </w:rPr>
        <w:fldChar w:fldCharType="separate"/>
      </w:r>
      <w:r w:rsidRPr="006F31D9">
        <w:rPr>
          <w:rFonts w:ascii="Arial" w:eastAsiaTheme="minorEastAsia" w:hAnsi="Arial" w:cstheme="minorBidi"/>
          <w:b/>
          <w:bCs/>
          <w:lang w:eastAsia="en-US"/>
        </w:rPr>
        <w:fldChar w:fldCharType="end"/>
      </w:r>
      <w:r>
        <w:rPr>
          <w:rFonts w:ascii="Arial" w:eastAsiaTheme="minorEastAsia" w:hAnsi="Arial" w:cstheme="minorBidi"/>
          <w:lang w:eastAsia="en-US"/>
        </w:rPr>
        <w:t xml:space="preserve"> </w:t>
      </w:r>
      <w:r>
        <w:rPr>
          <w:rFonts w:ascii="Arial" w:hAnsi="Arial" w:cs="Arial"/>
        </w:rPr>
        <w:t xml:space="preserve">Parents not living with children </w:t>
      </w:r>
      <w:r w:rsidR="002E3055">
        <w:rPr>
          <w:rFonts w:ascii="Arial" w:hAnsi="Arial" w:cs="Arial"/>
        </w:rPr>
        <w:t>and having at least one</w:t>
      </w:r>
      <w:r w:rsidR="00FE120E">
        <w:rPr>
          <w:rFonts w:ascii="Arial" w:hAnsi="Arial" w:cs="Arial"/>
        </w:rPr>
        <w:t xml:space="preserve"> of their</w:t>
      </w:r>
      <w:r w:rsidR="002E3055">
        <w:rPr>
          <w:rFonts w:ascii="Arial" w:hAnsi="Arial" w:cs="Arial"/>
        </w:rPr>
        <w:t xml:space="preserve"> child</w:t>
      </w:r>
      <w:r w:rsidR="00FE120E">
        <w:rPr>
          <w:rFonts w:ascii="Arial" w:hAnsi="Arial" w:cs="Arial"/>
        </w:rPr>
        <w:t>ren</w:t>
      </w:r>
      <w:r w:rsidR="002E3055">
        <w:rPr>
          <w:rFonts w:ascii="Arial" w:hAnsi="Arial" w:cs="Arial"/>
        </w:rPr>
        <w:t xml:space="preserve"> in care</w:t>
      </w:r>
      <w:r w:rsidRPr="006461A0">
        <w:rPr>
          <w:rFonts w:ascii="Arial" w:hAnsi="Arial" w:cs="Arial"/>
        </w:rPr>
        <w:t xml:space="preserve"> </w:t>
      </w:r>
      <w:r w:rsidRPr="00865DF3">
        <w:rPr>
          <w:rFonts w:ascii="Arial" w:hAnsi="Arial" w:cs="Arial"/>
        </w:rPr>
        <w:t xml:space="preserve">were less likely to complete </w:t>
      </w:r>
      <w:r w:rsidR="002E3055">
        <w:rPr>
          <w:rFonts w:ascii="Arial" w:hAnsi="Arial" w:cs="Arial"/>
        </w:rPr>
        <w:t>treatment</w:t>
      </w:r>
      <w:r w:rsidR="00193FEB">
        <w:rPr>
          <w:rFonts w:ascii="Arial" w:hAnsi="Arial" w:cs="Arial"/>
        </w:rPr>
        <w:t xml:space="preserve"> than those </w:t>
      </w:r>
      <w:r w:rsidR="00887CFD">
        <w:rPr>
          <w:rFonts w:ascii="Arial" w:hAnsi="Arial" w:cs="Arial"/>
        </w:rPr>
        <w:t xml:space="preserve">who </w:t>
      </w:r>
      <w:r w:rsidR="00193FEB">
        <w:rPr>
          <w:rFonts w:ascii="Arial" w:hAnsi="Arial" w:cs="Arial"/>
        </w:rPr>
        <w:t>did not have a child in care</w:t>
      </w:r>
      <w:r w:rsidR="002E3055">
        <w:rPr>
          <w:rFonts w:ascii="Arial" w:hAnsi="Arial" w:cs="Arial"/>
        </w:rPr>
        <w:t xml:space="preserve">. </w:t>
      </w:r>
    </w:p>
    <w:p w14:paraId="3E7E905B" w14:textId="77777777" w:rsidR="00B415D0" w:rsidRDefault="00B415D0" w:rsidP="00346B92">
      <w:pPr>
        <w:pStyle w:val="paragraph"/>
        <w:spacing w:line="360" w:lineRule="auto"/>
        <w:textAlignment w:val="baseline"/>
        <w:rPr>
          <w:rFonts w:ascii="Arial" w:eastAsiaTheme="minorEastAsia" w:hAnsi="Arial" w:cstheme="minorBidi"/>
          <w:lang w:eastAsia="en-US"/>
        </w:rPr>
      </w:pPr>
    </w:p>
    <w:p w14:paraId="776BDE33" w14:textId="35864B6D" w:rsidR="007D649D" w:rsidRDefault="00D87820" w:rsidP="007D649D">
      <w:pPr>
        <w:pStyle w:val="paragraph"/>
        <w:spacing w:line="360" w:lineRule="auto"/>
        <w:textAlignment w:val="baseline"/>
        <w:rPr>
          <w:rFonts w:ascii="Arial" w:eastAsiaTheme="minorEastAsia" w:hAnsi="Arial" w:cstheme="minorBidi"/>
          <w:lang w:eastAsia="en-US"/>
        </w:rPr>
      </w:pPr>
      <w:r>
        <w:rPr>
          <w:rFonts w:ascii="Arial" w:eastAsiaTheme="minorEastAsia" w:hAnsi="Arial" w:cstheme="minorBidi"/>
          <w:lang w:eastAsia="en-US"/>
        </w:rPr>
        <w:t xml:space="preserve">Study 2 was a quasi-experimental </w:t>
      </w:r>
      <w:r w:rsidR="004D242D">
        <w:rPr>
          <w:rFonts w:ascii="Arial" w:eastAsiaTheme="minorEastAsia" w:hAnsi="Arial" w:cstheme="minorBidi"/>
          <w:lang w:eastAsia="en-US"/>
        </w:rPr>
        <w:t>longit</w:t>
      </w:r>
      <w:r w:rsidR="00D96D38">
        <w:rPr>
          <w:rFonts w:ascii="Arial" w:eastAsiaTheme="minorEastAsia" w:hAnsi="Arial" w:cstheme="minorBidi"/>
          <w:lang w:eastAsia="en-US"/>
        </w:rPr>
        <w:t xml:space="preserve">udinal </w:t>
      </w:r>
      <w:r>
        <w:rPr>
          <w:rFonts w:ascii="Arial" w:eastAsiaTheme="minorEastAsia" w:hAnsi="Arial" w:cstheme="minorBidi"/>
          <w:lang w:eastAsia="en-US"/>
        </w:rPr>
        <w:t>study</w:t>
      </w:r>
      <w:r w:rsidR="00FC62BA">
        <w:rPr>
          <w:rFonts w:ascii="Arial" w:eastAsiaTheme="minorEastAsia" w:hAnsi="Arial" w:cstheme="minorBidi"/>
          <w:lang w:eastAsia="en-US"/>
        </w:rPr>
        <w:t>.</w:t>
      </w:r>
      <w:r>
        <w:rPr>
          <w:rFonts w:ascii="Arial" w:eastAsiaTheme="minorEastAsia" w:hAnsi="Arial" w:cstheme="minorBidi"/>
          <w:lang w:eastAsia="en-US"/>
        </w:rPr>
        <w:t xml:space="preserve"> Generalized Boosted Models (GBM) </w:t>
      </w:r>
      <w:r w:rsidR="00FC62BA">
        <w:rPr>
          <w:rFonts w:ascii="Arial" w:eastAsiaTheme="minorEastAsia" w:hAnsi="Arial" w:cstheme="minorBidi"/>
          <w:lang w:eastAsia="en-US"/>
        </w:rPr>
        <w:t xml:space="preserve">were used </w:t>
      </w:r>
      <w:r>
        <w:rPr>
          <w:rFonts w:ascii="Arial" w:eastAsiaTheme="minorEastAsia" w:hAnsi="Arial" w:cstheme="minorBidi"/>
          <w:lang w:eastAsia="en-US"/>
        </w:rPr>
        <w:t>to est</w:t>
      </w:r>
      <w:r w:rsidR="007D1CBC">
        <w:rPr>
          <w:rFonts w:ascii="Arial" w:eastAsiaTheme="minorEastAsia" w:hAnsi="Arial" w:cstheme="minorBidi"/>
          <w:lang w:eastAsia="en-US"/>
        </w:rPr>
        <w:t xml:space="preserve">imate </w:t>
      </w:r>
      <w:r w:rsidR="00B9299E">
        <w:rPr>
          <w:rFonts w:ascii="Arial" w:eastAsiaTheme="minorEastAsia" w:hAnsi="Arial" w:cstheme="minorBidi"/>
          <w:lang w:eastAsia="en-US"/>
        </w:rPr>
        <w:t xml:space="preserve">propensity scores </w:t>
      </w:r>
      <w:r w:rsidR="00F06588">
        <w:rPr>
          <w:rFonts w:ascii="Arial" w:eastAsiaTheme="minorEastAsia" w:hAnsi="Arial" w:cstheme="minorBidi"/>
          <w:lang w:eastAsia="en-US"/>
        </w:rPr>
        <w:t>and associated weight</w:t>
      </w:r>
      <w:r w:rsidR="007E67F1">
        <w:rPr>
          <w:rFonts w:ascii="Arial" w:eastAsiaTheme="minorEastAsia" w:hAnsi="Arial" w:cstheme="minorBidi"/>
          <w:lang w:eastAsia="en-US"/>
        </w:rPr>
        <w:t>s</w:t>
      </w:r>
      <w:r w:rsidR="00F06588">
        <w:rPr>
          <w:rFonts w:ascii="Arial" w:eastAsiaTheme="minorEastAsia" w:hAnsi="Arial" w:cstheme="minorBidi"/>
          <w:lang w:eastAsia="en-US"/>
        </w:rPr>
        <w:t xml:space="preserve"> </w:t>
      </w:r>
      <w:r w:rsidR="00B9299E">
        <w:rPr>
          <w:rFonts w:ascii="Arial" w:eastAsiaTheme="minorEastAsia" w:hAnsi="Arial" w:cstheme="minorBidi"/>
          <w:lang w:eastAsia="en-US"/>
        </w:rPr>
        <w:t xml:space="preserve">for </w:t>
      </w:r>
      <w:r w:rsidR="00D96D38">
        <w:rPr>
          <w:rFonts w:ascii="Arial" w:eastAsiaTheme="minorEastAsia" w:hAnsi="Arial" w:cstheme="minorBidi"/>
          <w:lang w:eastAsia="en-US"/>
        </w:rPr>
        <w:t>assign</w:t>
      </w:r>
      <w:r w:rsidR="000E7EA5">
        <w:rPr>
          <w:rFonts w:ascii="Arial" w:eastAsiaTheme="minorEastAsia" w:hAnsi="Arial" w:cstheme="minorBidi"/>
          <w:lang w:eastAsia="en-US"/>
        </w:rPr>
        <w:t xml:space="preserve">ment into </w:t>
      </w:r>
      <w:r w:rsidR="00F06588">
        <w:rPr>
          <w:rFonts w:ascii="Arial" w:eastAsiaTheme="minorEastAsia" w:hAnsi="Arial" w:cstheme="minorBidi"/>
          <w:lang w:eastAsia="en-US"/>
        </w:rPr>
        <w:t>multinomial intervention</w:t>
      </w:r>
      <w:r w:rsidR="002A1B54">
        <w:rPr>
          <w:rFonts w:ascii="Arial" w:eastAsiaTheme="minorEastAsia" w:hAnsi="Arial" w:cstheme="minorBidi"/>
          <w:lang w:eastAsia="en-US"/>
        </w:rPr>
        <w:t xml:space="preserve">s </w:t>
      </w:r>
      <w:r w:rsidR="00180F93">
        <w:rPr>
          <w:rFonts w:ascii="Arial" w:eastAsiaTheme="minorEastAsia" w:hAnsi="Arial" w:cstheme="minorBidi"/>
          <w:lang w:eastAsia="en-US"/>
        </w:rPr>
        <w:t>and evaluat</w:t>
      </w:r>
      <w:r w:rsidR="00B357CB">
        <w:rPr>
          <w:rFonts w:ascii="Arial" w:eastAsiaTheme="minorEastAsia" w:hAnsi="Arial" w:cstheme="minorBidi"/>
          <w:lang w:eastAsia="en-US"/>
        </w:rPr>
        <w:t>ion of</w:t>
      </w:r>
      <w:r w:rsidR="00180F93">
        <w:rPr>
          <w:rFonts w:ascii="Arial" w:eastAsiaTheme="minorEastAsia" w:hAnsi="Arial" w:cstheme="minorBidi"/>
          <w:lang w:eastAsia="en-US"/>
        </w:rPr>
        <w:t xml:space="preserve"> </w:t>
      </w:r>
      <w:r w:rsidR="002A1B54">
        <w:rPr>
          <w:rFonts w:ascii="Arial" w:eastAsiaTheme="minorEastAsia" w:hAnsi="Arial" w:cstheme="minorBidi"/>
          <w:lang w:eastAsia="en-US"/>
        </w:rPr>
        <w:t xml:space="preserve">corresponding </w:t>
      </w:r>
      <w:r w:rsidR="00180F93">
        <w:rPr>
          <w:rFonts w:ascii="Arial" w:eastAsiaTheme="minorEastAsia" w:hAnsi="Arial" w:cstheme="minorBidi"/>
          <w:lang w:eastAsia="en-US"/>
        </w:rPr>
        <w:t>average treatment effects. The intervention</w:t>
      </w:r>
      <w:r w:rsidR="008F270A">
        <w:rPr>
          <w:rFonts w:ascii="Arial" w:eastAsiaTheme="minorEastAsia" w:hAnsi="Arial" w:cstheme="minorBidi"/>
          <w:lang w:eastAsia="en-US"/>
        </w:rPr>
        <w:t>s</w:t>
      </w:r>
      <w:r w:rsidR="00180F93">
        <w:rPr>
          <w:rFonts w:ascii="Arial" w:eastAsiaTheme="minorEastAsia" w:hAnsi="Arial" w:cstheme="minorBidi"/>
          <w:lang w:eastAsia="en-US"/>
        </w:rPr>
        <w:t xml:space="preserve"> were: treatment only and treatment </w:t>
      </w:r>
      <w:r w:rsidR="00545D7B">
        <w:rPr>
          <w:rFonts w:ascii="Arial" w:eastAsiaTheme="minorEastAsia" w:hAnsi="Arial" w:cstheme="minorBidi"/>
          <w:lang w:eastAsia="en-US"/>
        </w:rPr>
        <w:t>plus</w:t>
      </w:r>
      <w:r w:rsidR="00180F93">
        <w:rPr>
          <w:rFonts w:ascii="Arial" w:eastAsiaTheme="minorEastAsia" w:hAnsi="Arial" w:cstheme="minorBidi"/>
          <w:lang w:eastAsia="en-US"/>
        </w:rPr>
        <w:t xml:space="preserve"> </w:t>
      </w:r>
      <w:r w:rsidR="00950290">
        <w:rPr>
          <w:rFonts w:ascii="Arial" w:eastAsiaTheme="minorEastAsia" w:hAnsi="Arial" w:cstheme="minorBidi"/>
          <w:lang w:eastAsia="en-US"/>
        </w:rPr>
        <w:t xml:space="preserve">targeted prevention in the form of 1) </w:t>
      </w:r>
      <w:r w:rsidR="004D242D">
        <w:rPr>
          <w:rFonts w:ascii="Arial" w:eastAsiaTheme="minorEastAsia" w:hAnsi="Arial" w:cstheme="minorBidi"/>
          <w:lang w:eastAsia="en-US"/>
        </w:rPr>
        <w:t>parenting and/or family recovery support</w:t>
      </w:r>
      <w:r w:rsidR="00950290">
        <w:rPr>
          <w:rFonts w:ascii="Arial" w:eastAsiaTheme="minorEastAsia" w:hAnsi="Arial" w:cstheme="minorBidi"/>
          <w:lang w:eastAsia="en-US"/>
        </w:rPr>
        <w:t xml:space="preserve"> and 2)</w:t>
      </w:r>
      <w:r w:rsidR="007D42B1">
        <w:rPr>
          <w:rFonts w:ascii="Arial" w:eastAsiaTheme="minorEastAsia" w:hAnsi="Arial" w:cstheme="minorBidi"/>
          <w:lang w:eastAsia="en-US"/>
        </w:rPr>
        <w:t xml:space="preserve"> early help</w:t>
      </w:r>
      <w:r w:rsidR="004D242D">
        <w:rPr>
          <w:rFonts w:ascii="Arial" w:eastAsiaTheme="minorEastAsia" w:hAnsi="Arial" w:cstheme="minorBidi"/>
          <w:lang w:eastAsia="en-US"/>
        </w:rPr>
        <w:t>.</w:t>
      </w:r>
      <w:r w:rsidR="005E16EB">
        <w:rPr>
          <w:rFonts w:ascii="Arial" w:eastAsiaTheme="minorEastAsia" w:hAnsi="Arial" w:cstheme="minorBidi"/>
          <w:lang w:eastAsia="en-US"/>
        </w:rPr>
        <w:t xml:space="preserve"> </w:t>
      </w:r>
      <w:r w:rsidR="00D547DE">
        <w:rPr>
          <w:rFonts w:ascii="Arial" w:eastAsiaTheme="minorEastAsia" w:hAnsi="Arial" w:cstheme="minorBidi"/>
          <w:lang w:eastAsia="en-US"/>
        </w:rPr>
        <w:t>Average Treatment Effect (of s</w:t>
      </w:r>
      <w:r w:rsidR="00B357CB">
        <w:rPr>
          <w:rFonts w:ascii="Arial" w:eastAsiaTheme="minorEastAsia" w:hAnsi="Arial" w:cstheme="minorBidi"/>
          <w:lang w:eastAsia="en-US"/>
        </w:rPr>
        <w:t>uccessful completion</w:t>
      </w:r>
      <w:r w:rsidR="008B4052">
        <w:rPr>
          <w:rFonts w:ascii="Arial" w:eastAsiaTheme="minorEastAsia" w:hAnsi="Arial" w:cstheme="minorBidi"/>
          <w:lang w:eastAsia="en-US"/>
        </w:rPr>
        <w:t xml:space="preserve"> of treatment</w:t>
      </w:r>
      <w:r w:rsidR="00D547DE">
        <w:rPr>
          <w:rFonts w:ascii="Arial" w:eastAsiaTheme="minorEastAsia" w:hAnsi="Arial" w:cstheme="minorBidi"/>
          <w:lang w:eastAsia="en-US"/>
        </w:rPr>
        <w:t>)</w:t>
      </w:r>
      <w:r w:rsidR="008B4052">
        <w:rPr>
          <w:rFonts w:ascii="Arial" w:eastAsiaTheme="minorEastAsia" w:hAnsi="Arial" w:cstheme="minorBidi"/>
          <w:lang w:eastAsia="en-US"/>
        </w:rPr>
        <w:t xml:space="preserve"> was the </w:t>
      </w:r>
      <w:r w:rsidR="00B357CB">
        <w:rPr>
          <w:rFonts w:ascii="Arial" w:eastAsiaTheme="minorEastAsia" w:hAnsi="Arial" w:cstheme="minorBidi"/>
          <w:lang w:eastAsia="en-US"/>
        </w:rPr>
        <w:t xml:space="preserve">outcome measure. </w:t>
      </w:r>
      <w:r w:rsidR="005E16EB">
        <w:rPr>
          <w:rFonts w:ascii="Arial" w:eastAsiaTheme="minorEastAsia" w:hAnsi="Arial" w:cstheme="minorBidi"/>
          <w:lang w:eastAsia="en-US"/>
        </w:rPr>
        <w:t>Again, e-value</w:t>
      </w:r>
      <w:r w:rsidR="002A1B54">
        <w:rPr>
          <w:rFonts w:ascii="Arial" w:eastAsiaTheme="minorEastAsia" w:hAnsi="Arial" w:cstheme="minorBidi"/>
          <w:lang w:eastAsia="en-US"/>
        </w:rPr>
        <w:t>s</w:t>
      </w:r>
      <w:r w:rsidR="005E16EB">
        <w:rPr>
          <w:rFonts w:ascii="Arial" w:eastAsiaTheme="minorEastAsia" w:hAnsi="Arial" w:cstheme="minorBidi"/>
          <w:lang w:eastAsia="en-US"/>
        </w:rPr>
        <w:t xml:space="preserve"> were calculated as a sensitivity analysis.</w:t>
      </w:r>
    </w:p>
    <w:p w14:paraId="09DA0238" w14:textId="77777777" w:rsidR="007D649D" w:rsidRDefault="007D649D" w:rsidP="007D649D">
      <w:pPr>
        <w:pStyle w:val="paragraph"/>
        <w:spacing w:line="360" w:lineRule="auto"/>
        <w:textAlignment w:val="baseline"/>
        <w:rPr>
          <w:rFonts w:ascii="Arial" w:eastAsiaTheme="minorEastAsia" w:hAnsi="Arial" w:cstheme="minorBidi"/>
          <w:lang w:eastAsia="en-US"/>
        </w:rPr>
      </w:pPr>
    </w:p>
    <w:p w14:paraId="48871CBC" w14:textId="7C085389" w:rsidR="00032ADC" w:rsidRDefault="00C92252" w:rsidP="004E4D13">
      <w:pPr>
        <w:pStyle w:val="paragraph"/>
        <w:spacing w:line="360" w:lineRule="auto"/>
        <w:textAlignment w:val="baseline"/>
        <w:rPr>
          <w:rFonts w:ascii="Arial" w:eastAsiaTheme="minorEastAsia" w:hAnsi="Arial" w:cstheme="minorBidi"/>
          <w:lang w:eastAsia="en-US"/>
        </w:rPr>
      </w:pPr>
      <w:r w:rsidRPr="006F31D9">
        <w:rPr>
          <w:rFonts w:ascii="Arial" w:eastAsiaTheme="minorEastAsia" w:hAnsi="Arial" w:cstheme="minorBidi"/>
          <w:b/>
          <w:bCs/>
          <w:lang w:eastAsia="en-US"/>
        </w:rPr>
        <w:t>F</w:t>
      </w:r>
      <w:r w:rsidR="00A7657B">
        <w:rPr>
          <w:rFonts w:ascii="Arial" w:eastAsiaTheme="minorEastAsia" w:hAnsi="Arial" w:cstheme="minorBidi"/>
          <w:b/>
          <w:bCs/>
          <w:lang w:eastAsia="en-US"/>
        </w:rPr>
        <w:t>6</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00000000">
        <w:rPr>
          <w:rFonts w:ascii="Arial" w:eastAsiaTheme="minorEastAsia" w:hAnsi="Arial" w:cstheme="minorBidi"/>
          <w:b/>
          <w:bCs/>
          <w:lang w:eastAsia="en-US"/>
        </w:rPr>
        <w:fldChar w:fldCharType="separate"/>
      </w:r>
      <w:r w:rsidRPr="006F31D9">
        <w:rPr>
          <w:rFonts w:ascii="Arial" w:eastAsiaTheme="minorEastAsia" w:hAnsi="Arial" w:cstheme="minorBidi"/>
          <w:b/>
          <w:bCs/>
          <w:lang w:eastAsia="en-US"/>
        </w:rPr>
        <w:fldChar w:fldCharType="end"/>
      </w:r>
      <w:r>
        <w:rPr>
          <w:rFonts w:ascii="Arial" w:eastAsiaTheme="minorEastAsia" w:hAnsi="Arial" w:cstheme="minorBidi"/>
          <w:lang w:eastAsia="en-US"/>
        </w:rPr>
        <w:t xml:space="preserve"> </w:t>
      </w:r>
      <w:r w:rsidR="008653D3">
        <w:rPr>
          <w:rFonts w:ascii="Arial" w:eastAsiaTheme="minorEastAsia" w:hAnsi="Arial" w:cstheme="minorBidi"/>
          <w:lang w:eastAsia="en-US"/>
        </w:rPr>
        <w:t>A minority of</w:t>
      </w:r>
      <w:r w:rsidR="00F9592F">
        <w:rPr>
          <w:rFonts w:ascii="Arial" w:eastAsiaTheme="minorEastAsia" w:hAnsi="Arial" w:cstheme="minorBidi"/>
          <w:lang w:eastAsia="en-US"/>
        </w:rPr>
        <w:t xml:space="preserve"> people in the treatment system receive </w:t>
      </w:r>
      <w:r w:rsidR="00F9592F" w:rsidRPr="5A18ECEE">
        <w:rPr>
          <w:rFonts w:ascii="Arial" w:eastAsiaTheme="minorEastAsia" w:hAnsi="Arial" w:cstheme="minorBidi"/>
          <w:lang w:eastAsia="en-US"/>
        </w:rPr>
        <w:t xml:space="preserve">treatment </w:t>
      </w:r>
      <w:r w:rsidR="00545D7B">
        <w:rPr>
          <w:rFonts w:ascii="Arial" w:eastAsiaTheme="minorEastAsia" w:hAnsi="Arial" w:cstheme="minorBidi"/>
          <w:lang w:eastAsia="en-US"/>
        </w:rPr>
        <w:t>plus</w:t>
      </w:r>
      <w:r w:rsidR="00F9592F" w:rsidRPr="5A18ECEE">
        <w:rPr>
          <w:rFonts w:ascii="Arial" w:eastAsiaTheme="minorEastAsia" w:hAnsi="Arial" w:cstheme="minorBidi"/>
          <w:lang w:eastAsia="en-US"/>
        </w:rPr>
        <w:t xml:space="preserve"> parenting and/or family recovery support</w:t>
      </w:r>
      <w:r w:rsidR="118E9ED7" w:rsidRPr="5DDBD10A">
        <w:rPr>
          <w:rFonts w:ascii="Arial" w:eastAsiaTheme="minorEastAsia" w:hAnsi="Arial" w:cstheme="minorBidi"/>
          <w:lang w:eastAsia="en-US"/>
        </w:rPr>
        <w:t xml:space="preserve"> </w:t>
      </w:r>
      <w:r w:rsidR="008653D3">
        <w:rPr>
          <w:rFonts w:ascii="Arial" w:eastAsiaTheme="minorEastAsia" w:hAnsi="Arial" w:cstheme="minorBidi"/>
          <w:lang w:eastAsia="en-US"/>
        </w:rPr>
        <w:t>or early help</w:t>
      </w:r>
      <w:r w:rsidR="009061F1" w:rsidRPr="5DDBD10A">
        <w:rPr>
          <w:rFonts w:ascii="Arial" w:eastAsiaTheme="minorEastAsia" w:hAnsi="Arial" w:cstheme="minorBidi"/>
          <w:lang w:eastAsia="en-US"/>
        </w:rPr>
        <w:t>.</w:t>
      </w:r>
      <w:r w:rsidR="009061F1">
        <w:rPr>
          <w:rFonts w:ascii="Arial" w:eastAsiaTheme="minorEastAsia" w:hAnsi="Arial" w:cstheme="minorBidi"/>
          <w:lang w:eastAsia="en-US"/>
        </w:rPr>
        <w:t xml:space="preserve"> Of those </w:t>
      </w:r>
      <w:r w:rsidR="00167339">
        <w:rPr>
          <w:rFonts w:ascii="Arial" w:eastAsiaTheme="minorEastAsia" w:hAnsi="Arial" w:cstheme="minorBidi"/>
          <w:lang w:eastAsia="en-US"/>
        </w:rPr>
        <w:t>who</w:t>
      </w:r>
      <w:r w:rsidR="009061F1">
        <w:rPr>
          <w:rFonts w:ascii="Arial" w:eastAsiaTheme="minorEastAsia" w:hAnsi="Arial" w:cstheme="minorBidi"/>
          <w:lang w:eastAsia="en-US"/>
        </w:rPr>
        <w:t xml:space="preserve"> do, most are </w:t>
      </w:r>
      <w:r w:rsidR="007664EC">
        <w:rPr>
          <w:rFonts w:ascii="Arial" w:eastAsiaTheme="minorEastAsia" w:hAnsi="Arial" w:cstheme="minorBidi"/>
          <w:lang w:eastAsia="en-US"/>
        </w:rPr>
        <w:t>mothers</w:t>
      </w:r>
      <w:r w:rsidR="009061F1">
        <w:rPr>
          <w:rFonts w:ascii="Arial" w:eastAsiaTheme="minorEastAsia" w:hAnsi="Arial" w:cstheme="minorBidi"/>
          <w:lang w:eastAsia="en-US"/>
        </w:rPr>
        <w:t xml:space="preserve"> living with children</w:t>
      </w:r>
      <w:r w:rsidR="008653D3">
        <w:rPr>
          <w:rFonts w:ascii="Arial" w:eastAsiaTheme="minorEastAsia" w:hAnsi="Arial" w:cstheme="minorBidi"/>
          <w:lang w:eastAsia="en-US"/>
        </w:rPr>
        <w:t xml:space="preserve"> and alcohol only using parents</w:t>
      </w:r>
      <w:r w:rsidR="008478D3">
        <w:rPr>
          <w:rFonts w:ascii="Arial" w:eastAsiaTheme="minorEastAsia" w:hAnsi="Arial" w:cstheme="minorBidi"/>
          <w:lang w:eastAsia="en-US"/>
        </w:rPr>
        <w:t>.</w:t>
      </w:r>
    </w:p>
    <w:p w14:paraId="24C983F5" w14:textId="77777777" w:rsidR="00032ADC" w:rsidRDefault="00032ADC" w:rsidP="004E4D13">
      <w:pPr>
        <w:pStyle w:val="paragraph"/>
        <w:spacing w:line="360" w:lineRule="auto"/>
        <w:textAlignment w:val="baseline"/>
        <w:rPr>
          <w:rFonts w:ascii="Arial" w:eastAsiaTheme="minorEastAsia" w:hAnsi="Arial" w:cstheme="minorBidi"/>
          <w:lang w:eastAsia="en-US"/>
        </w:rPr>
      </w:pPr>
    </w:p>
    <w:p w14:paraId="7182B9A6" w14:textId="66799EC9" w:rsidR="002D346D" w:rsidRDefault="00C92252" w:rsidP="004E4D13">
      <w:pPr>
        <w:pStyle w:val="paragraph"/>
        <w:spacing w:line="360" w:lineRule="auto"/>
        <w:textAlignment w:val="baseline"/>
        <w:rPr>
          <w:rFonts w:ascii="Arial" w:eastAsiaTheme="minorEastAsia" w:hAnsi="Arial" w:cstheme="minorBidi"/>
          <w:lang w:eastAsia="en-US"/>
        </w:rPr>
      </w:pPr>
      <w:r w:rsidRPr="006F31D9">
        <w:rPr>
          <w:rFonts w:ascii="Arial" w:eastAsiaTheme="minorEastAsia" w:hAnsi="Arial" w:cstheme="minorBidi"/>
          <w:b/>
          <w:bCs/>
          <w:lang w:eastAsia="en-US"/>
        </w:rPr>
        <w:t>F</w:t>
      </w:r>
      <w:r w:rsidR="00E412FD">
        <w:rPr>
          <w:rFonts w:ascii="Arial" w:eastAsiaTheme="minorEastAsia" w:hAnsi="Arial" w:cstheme="minorBidi"/>
          <w:b/>
          <w:bCs/>
          <w:lang w:eastAsia="en-US"/>
        </w:rPr>
        <w:t>7</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00000000">
        <w:rPr>
          <w:rFonts w:ascii="Arial" w:eastAsiaTheme="minorEastAsia" w:hAnsi="Arial" w:cstheme="minorBidi"/>
          <w:b/>
          <w:bCs/>
          <w:lang w:eastAsia="en-US"/>
        </w:rPr>
        <w:fldChar w:fldCharType="separate"/>
      </w:r>
      <w:r w:rsidRPr="006F31D9">
        <w:rPr>
          <w:rFonts w:ascii="Arial" w:eastAsiaTheme="minorEastAsia" w:hAnsi="Arial" w:cstheme="minorBidi"/>
          <w:b/>
          <w:bCs/>
          <w:lang w:eastAsia="en-US"/>
        </w:rPr>
        <w:fldChar w:fldCharType="end"/>
      </w:r>
      <w:r>
        <w:rPr>
          <w:rFonts w:ascii="Arial" w:eastAsiaTheme="minorEastAsia" w:hAnsi="Arial" w:cstheme="minorBidi"/>
          <w:lang w:eastAsia="en-US"/>
        </w:rPr>
        <w:t xml:space="preserve"> </w:t>
      </w:r>
      <w:r w:rsidR="000B720D">
        <w:rPr>
          <w:rFonts w:ascii="Arial" w:eastAsiaTheme="minorEastAsia" w:hAnsi="Arial" w:cstheme="minorBidi"/>
          <w:lang w:eastAsia="en-US"/>
        </w:rPr>
        <w:t>T</w:t>
      </w:r>
      <w:r w:rsidR="004E4D13" w:rsidRPr="5A18ECEE">
        <w:rPr>
          <w:rFonts w:ascii="Arial" w:eastAsiaTheme="minorEastAsia" w:hAnsi="Arial" w:cstheme="minorBidi"/>
          <w:lang w:eastAsia="en-US"/>
        </w:rPr>
        <w:t xml:space="preserve">reatment </w:t>
      </w:r>
      <w:r w:rsidR="00545D7B">
        <w:rPr>
          <w:rFonts w:ascii="Arial" w:eastAsiaTheme="minorEastAsia" w:hAnsi="Arial" w:cstheme="minorBidi"/>
          <w:lang w:eastAsia="en-US"/>
        </w:rPr>
        <w:t>plus</w:t>
      </w:r>
      <w:r w:rsidR="004E4D13" w:rsidRPr="5A18ECEE">
        <w:rPr>
          <w:rFonts w:ascii="Arial" w:eastAsiaTheme="minorEastAsia" w:hAnsi="Arial" w:cstheme="minorBidi"/>
          <w:lang w:eastAsia="en-US"/>
        </w:rPr>
        <w:t xml:space="preserve"> parenting and/or family recovery support</w:t>
      </w:r>
      <w:r w:rsidR="00F9592F">
        <w:rPr>
          <w:rFonts w:ascii="Arial" w:eastAsiaTheme="minorEastAsia" w:hAnsi="Arial" w:cstheme="minorBidi"/>
          <w:lang w:eastAsia="en-US"/>
        </w:rPr>
        <w:t xml:space="preserve"> could be a more effective option compared with treatment </w:t>
      </w:r>
      <w:r w:rsidR="00CD6501">
        <w:rPr>
          <w:rFonts w:ascii="Arial" w:eastAsiaTheme="minorEastAsia" w:hAnsi="Arial" w:cstheme="minorBidi"/>
          <w:lang w:eastAsia="en-US"/>
        </w:rPr>
        <w:t>onl</w:t>
      </w:r>
      <w:r w:rsidR="00F02234">
        <w:rPr>
          <w:rFonts w:ascii="Arial" w:eastAsiaTheme="minorEastAsia" w:hAnsi="Arial" w:cstheme="minorBidi"/>
          <w:lang w:eastAsia="en-US"/>
        </w:rPr>
        <w:t>y</w:t>
      </w:r>
      <w:r w:rsidR="00F9592F">
        <w:rPr>
          <w:rFonts w:ascii="Arial" w:eastAsiaTheme="minorEastAsia" w:hAnsi="Arial" w:cstheme="minorBidi"/>
          <w:lang w:eastAsia="en-US"/>
        </w:rPr>
        <w:t xml:space="preserve"> for</w:t>
      </w:r>
      <w:r w:rsidR="009061F1">
        <w:rPr>
          <w:rFonts w:ascii="Arial" w:eastAsiaTheme="minorEastAsia" w:hAnsi="Arial" w:cstheme="minorBidi"/>
          <w:lang w:eastAsia="en-US"/>
        </w:rPr>
        <w:t xml:space="preserve"> </w:t>
      </w:r>
      <w:r w:rsidR="009061F1" w:rsidRPr="5A18ECEE">
        <w:rPr>
          <w:rFonts w:ascii="Arial" w:eastAsiaTheme="minorEastAsia" w:hAnsi="Arial" w:cstheme="minorBidi"/>
          <w:lang w:eastAsia="en-US"/>
        </w:rPr>
        <w:t xml:space="preserve">non-opiate and/or alcohol using parents regardless of </w:t>
      </w:r>
      <w:r w:rsidR="00195AA2">
        <w:rPr>
          <w:rFonts w:ascii="Arial" w:eastAsiaTheme="minorEastAsia" w:hAnsi="Arial" w:cstheme="minorBidi"/>
          <w:lang w:eastAsia="en-US"/>
        </w:rPr>
        <w:t xml:space="preserve">sex and </w:t>
      </w:r>
      <w:r w:rsidR="009061F1" w:rsidRPr="5A18ECEE">
        <w:rPr>
          <w:rFonts w:ascii="Arial" w:eastAsiaTheme="minorEastAsia" w:hAnsi="Arial" w:cstheme="minorBidi"/>
          <w:lang w:eastAsia="en-US"/>
        </w:rPr>
        <w:t>child living arrangements</w:t>
      </w:r>
      <w:r w:rsidR="004E4D13">
        <w:rPr>
          <w:rFonts w:ascii="Arial" w:eastAsiaTheme="minorEastAsia" w:hAnsi="Arial" w:cstheme="minorBidi"/>
          <w:lang w:eastAsia="en-US"/>
        </w:rPr>
        <w:t>.</w:t>
      </w:r>
      <w:r w:rsidR="004D0364">
        <w:rPr>
          <w:rFonts w:ascii="Arial" w:eastAsiaTheme="minorEastAsia" w:hAnsi="Arial" w:cstheme="minorBidi"/>
          <w:lang w:eastAsia="en-US"/>
        </w:rPr>
        <w:t xml:space="preserve"> </w:t>
      </w:r>
      <w:r w:rsidR="00B57262">
        <w:rPr>
          <w:rFonts w:ascii="Arial" w:eastAsiaTheme="minorEastAsia" w:hAnsi="Arial" w:cstheme="minorBidi"/>
          <w:lang w:eastAsia="en-US"/>
        </w:rPr>
        <w:t>Results on early help were mostly nonsignificant.</w:t>
      </w:r>
    </w:p>
    <w:p w14:paraId="56A57DC7" w14:textId="77777777" w:rsidR="002D346D" w:rsidRDefault="002D346D" w:rsidP="004E4D13">
      <w:pPr>
        <w:pStyle w:val="paragraph"/>
        <w:spacing w:line="360" w:lineRule="auto"/>
        <w:textAlignment w:val="baseline"/>
        <w:rPr>
          <w:rFonts w:ascii="Arial" w:eastAsiaTheme="minorEastAsia" w:hAnsi="Arial" w:cstheme="minorBidi"/>
          <w:lang w:eastAsia="en-US"/>
        </w:rPr>
      </w:pPr>
    </w:p>
    <w:p w14:paraId="6810128F" w14:textId="2FD0F837" w:rsidR="00E64181" w:rsidRDefault="002D346D" w:rsidP="004E4D13">
      <w:pPr>
        <w:pStyle w:val="paragraph"/>
        <w:spacing w:line="360" w:lineRule="auto"/>
        <w:textAlignment w:val="baseline"/>
        <w:rPr>
          <w:rFonts w:ascii="Arial" w:eastAsiaTheme="minorEastAsia" w:hAnsi="Arial" w:cstheme="minorBidi"/>
          <w:lang w:eastAsia="en-US"/>
        </w:rPr>
      </w:pPr>
      <w:r w:rsidRPr="006F31D9">
        <w:rPr>
          <w:rFonts w:ascii="Arial" w:eastAsiaTheme="minorEastAsia" w:hAnsi="Arial" w:cstheme="minorBidi"/>
          <w:b/>
          <w:bCs/>
          <w:lang w:eastAsia="en-US"/>
        </w:rPr>
        <w:lastRenderedPageBreak/>
        <w:t>F</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Pr="006F31D9">
        <w:rPr>
          <w:rFonts w:ascii="Arial" w:eastAsiaTheme="minorEastAsia" w:hAnsi="Arial" w:cstheme="minorBidi"/>
          <w:b/>
          <w:bCs/>
          <w:lang w:eastAsia="en-US"/>
        </w:rPr>
        <w:fldChar w:fldCharType="separate"/>
      </w:r>
      <w:r w:rsidR="009B092E">
        <w:rPr>
          <w:rFonts w:ascii="Arial" w:eastAsiaTheme="minorEastAsia" w:hAnsi="Arial" w:cstheme="minorBidi"/>
          <w:b/>
          <w:bCs/>
          <w:noProof/>
          <w:lang w:eastAsia="en-US"/>
        </w:rPr>
        <w:t>8</w:t>
      </w:r>
      <w:r w:rsidRPr="006F31D9">
        <w:rPr>
          <w:rFonts w:ascii="Arial" w:eastAsiaTheme="minorEastAsia" w:hAnsi="Arial" w:cstheme="minorBidi"/>
          <w:b/>
          <w:bCs/>
          <w:lang w:eastAsia="en-US"/>
        </w:rPr>
        <w:fldChar w:fldCharType="end"/>
      </w:r>
      <w:r>
        <w:rPr>
          <w:rFonts w:ascii="Arial" w:eastAsiaTheme="minorEastAsia" w:hAnsi="Arial" w:cstheme="minorBidi"/>
          <w:b/>
          <w:bCs/>
          <w:lang w:eastAsia="en-US"/>
        </w:rPr>
        <w:t xml:space="preserve"> </w:t>
      </w:r>
      <w:r w:rsidR="00996C31">
        <w:rPr>
          <w:rFonts w:ascii="Arial" w:eastAsiaTheme="minorEastAsia" w:hAnsi="Arial" w:cstheme="minorBidi"/>
          <w:lang w:eastAsia="en-US"/>
        </w:rPr>
        <w:t>E</w:t>
      </w:r>
      <w:r w:rsidR="00E64181" w:rsidRPr="00996C31">
        <w:rPr>
          <w:rFonts w:ascii="Arial" w:eastAsiaTheme="minorEastAsia" w:hAnsi="Arial" w:cstheme="minorBidi"/>
          <w:lang w:eastAsia="en-US"/>
        </w:rPr>
        <w:t xml:space="preserve">-value estimates </w:t>
      </w:r>
      <w:r w:rsidR="0005050A">
        <w:rPr>
          <w:rFonts w:ascii="Arial" w:eastAsiaTheme="minorEastAsia" w:hAnsi="Arial" w:cstheme="minorBidi"/>
          <w:lang w:eastAsia="en-US"/>
        </w:rPr>
        <w:t xml:space="preserve">for each population subgroup </w:t>
      </w:r>
      <w:r w:rsidR="00E64181" w:rsidRPr="00996C31">
        <w:rPr>
          <w:rFonts w:ascii="Arial" w:eastAsiaTheme="minorEastAsia" w:hAnsi="Arial" w:cstheme="minorBidi"/>
          <w:lang w:eastAsia="en-US"/>
        </w:rPr>
        <w:t>rang</w:t>
      </w:r>
      <w:r w:rsidR="0005050A">
        <w:rPr>
          <w:rFonts w:ascii="Arial" w:eastAsiaTheme="minorEastAsia" w:hAnsi="Arial" w:cstheme="minorBidi"/>
          <w:lang w:eastAsia="en-US"/>
        </w:rPr>
        <w:t>ed</w:t>
      </w:r>
      <w:r w:rsidR="00E64181" w:rsidRPr="00996C31">
        <w:rPr>
          <w:rFonts w:ascii="Arial" w:eastAsiaTheme="minorEastAsia" w:hAnsi="Arial" w:cstheme="minorBidi"/>
          <w:lang w:eastAsia="en-US"/>
        </w:rPr>
        <w:t xml:space="preserve"> from 1.</w:t>
      </w:r>
      <w:r w:rsidR="004D0364">
        <w:rPr>
          <w:rFonts w:ascii="Arial" w:eastAsiaTheme="minorEastAsia" w:hAnsi="Arial" w:cstheme="minorBidi"/>
          <w:lang w:eastAsia="en-US"/>
        </w:rPr>
        <w:t>83</w:t>
      </w:r>
      <w:r w:rsidR="00E64181" w:rsidRPr="00996C31">
        <w:rPr>
          <w:rFonts w:ascii="Arial" w:eastAsiaTheme="minorEastAsia" w:hAnsi="Arial" w:cstheme="minorBidi"/>
          <w:lang w:eastAsia="en-US"/>
        </w:rPr>
        <w:t>-</w:t>
      </w:r>
      <w:r w:rsidR="00880A8A">
        <w:rPr>
          <w:rFonts w:ascii="Arial" w:eastAsiaTheme="minorEastAsia" w:hAnsi="Arial" w:cstheme="minorBidi"/>
          <w:lang w:eastAsia="en-US"/>
        </w:rPr>
        <w:t>2.8</w:t>
      </w:r>
      <w:r w:rsidR="00340D97">
        <w:rPr>
          <w:rFonts w:ascii="Arial" w:eastAsiaTheme="minorEastAsia" w:hAnsi="Arial" w:cstheme="minorBidi"/>
          <w:lang w:eastAsia="en-US"/>
        </w:rPr>
        <w:t>0</w:t>
      </w:r>
      <w:r w:rsidR="0005050A">
        <w:rPr>
          <w:rFonts w:ascii="Arial" w:eastAsiaTheme="minorEastAsia" w:hAnsi="Arial" w:cstheme="minorBidi"/>
          <w:lang w:eastAsia="en-US"/>
        </w:rPr>
        <w:t>,</w:t>
      </w:r>
      <w:r w:rsidR="00E64181" w:rsidRPr="00996C31">
        <w:rPr>
          <w:rFonts w:ascii="Arial" w:eastAsiaTheme="minorEastAsia" w:hAnsi="Arial" w:cstheme="minorBidi"/>
          <w:lang w:eastAsia="en-US"/>
        </w:rPr>
        <w:t xml:space="preserve"> provid</w:t>
      </w:r>
      <w:r w:rsidR="00340D97">
        <w:rPr>
          <w:rFonts w:ascii="Arial" w:eastAsiaTheme="minorEastAsia" w:hAnsi="Arial" w:cstheme="minorBidi"/>
          <w:lang w:eastAsia="en-US"/>
        </w:rPr>
        <w:t>ing</w:t>
      </w:r>
      <w:r w:rsidR="00E64181" w:rsidRPr="00996C31">
        <w:rPr>
          <w:rFonts w:ascii="Arial" w:eastAsiaTheme="minorEastAsia" w:hAnsi="Arial" w:cstheme="minorBidi"/>
          <w:lang w:eastAsia="en-US"/>
        </w:rPr>
        <w:t xml:space="preserve"> some confidence that unmeasured confounding would have to be substantial to overturn findings</w:t>
      </w:r>
      <w:r w:rsidR="00996C31">
        <w:t>.</w:t>
      </w:r>
    </w:p>
    <w:p w14:paraId="72761966" w14:textId="77777777" w:rsidR="00D566E0" w:rsidRDefault="00D566E0" w:rsidP="004E4D13">
      <w:pPr>
        <w:pStyle w:val="paragraph"/>
        <w:spacing w:line="360" w:lineRule="auto"/>
        <w:textAlignment w:val="baseline"/>
        <w:rPr>
          <w:rFonts w:ascii="Arial" w:eastAsiaTheme="minorEastAsia" w:hAnsi="Arial" w:cstheme="minorBidi"/>
          <w:lang w:eastAsia="en-US"/>
        </w:rPr>
      </w:pPr>
    </w:p>
    <w:p w14:paraId="32CDF8BD" w14:textId="62CD7423" w:rsidR="002004C6" w:rsidRDefault="00D566E0" w:rsidP="004E4D13">
      <w:pPr>
        <w:pStyle w:val="paragraph"/>
        <w:spacing w:line="360" w:lineRule="auto"/>
        <w:textAlignment w:val="baseline"/>
        <w:rPr>
          <w:rFonts w:ascii="Arial" w:eastAsiaTheme="minorEastAsia" w:hAnsi="Arial" w:cstheme="minorBidi"/>
          <w:lang w:eastAsia="en-US"/>
        </w:rPr>
      </w:pPr>
      <w:bookmarkStart w:id="160" w:name="_Ref176981537"/>
      <w:r w:rsidRPr="006F31D9">
        <w:rPr>
          <w:rFonts w:ascii="Arial" w:eastAsiaTheme="minorEastAsia" w:hAnsi="Arial" w:cstheme="minorBidi"/>
          <w:b/>
          <w:bCs/>
          <w:lang w:eastAsia="en-US"/>
        </w:rPr>
        <w:t>F</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Pr="006F31D9">
        <w:rPr>
          <w:rFonts w:ascii="Arial" w:eastAsiaTheme="minorEastAsia" w:hAnsi="Arial" w:cstheme="minorBidi"/>
          <w:b/>
          <w:bCs/>
          <w:lang w:eastAsia="en-US"/>
        </w:rPr>
        <w:fldChar w:fldCharType="separate"/>
      </w:r>
      <w:r w:rsidR="009B092E">
        <w:rPr>
          <w:rFonts w:ascii="Arial" w:eastAsiaTheme="minorEastAsia" w:hAnsi="Arial" w:cstheme="minorBidi"/>
          <w:b/>
          <w:bCs/>
          <w:noProof/>
          <w:lang w:eastAsia="en-US"/>
        </w:rPr>
        <w:t>9</w:t>
      </w:r>
      <w:r w:rsidRPr="006F31D9">
        <w:rPr>
          <w:rFonts w:ascii="Arial" w:eastAsiaTheme="minorEastAsia" w:hAnsi="Arial" w:cstheme="minorBidi"/>
          <w:b/>
          <w:bCs/>
          <w:lang w:eastAsia="en-US"/>
        </w:rPr>
        <w:fldChar w:fldCharType="end"/>
      </w:r>
      <w:bookmarkEnd w:id="160"/>
      <w:r>
        <w:rPr>
          <w:rFonts w:ascii="Arial" w:eastAsiaTheme="minorEastAsia" w:hAnsi="Arial" w:cstheme="minorBidi"/>
          <w:lang w:eastAsia="en-US"/>
        </w:rPr>
        <w:t xml:space="preserve"> </w:t>
      </w:r>
      <w:r w:rsidR="00195AA2">
        <w:rPr>
          <w:rFonts w:ascii="Arial" w:eastAsiaTheme="minorEastAsia" w:hAnsi="Arial" w:cstheme="minorBidi"/>
          <w:lang w:eastAsia="en-US"/>
        </w:rPr>
        <w:t>T</w:t>
      </w:r>
      <w:r w:rsidR="00195AA2" w:rsidRPr="5A18ECEE">
        <w:rPr>
          <w:rFonts w:ascii="Arial" w:eastAsiaTheme="minorEastAsia" w:hAnsi="Arial" w:cstheme="minorBidi"/>
          <w:lang w:eastAsia="en-US"/>
        </w:rPr>
        <w:t xml:space="preserve">reatment </w:t>
      </w:r>
      <w:r w:rsidR="00545D7B">
        <w:rPr>
          <w:rFonts w:ascii="Arial" w:eastAsiaTheme="minorEastAsia" w:hAnsi="Arial" w:cstheme="minorBidi"/>
          <w:lang w:eastAsia="en-US"/>
        </w:rPr>
        <w:t>plus</w:t>
      </w:r>
      <w:r w:rsidR="00195AA2" w:rsidRPr="5A18ECEE">
        <w:rPr>
          <w:rFonts w:ascii="Arial" w:eastAsiaTheme="minorEastAsia" w:hAnsi="Arial" w:cstheme="minorBidi"/>
          <w:lang w:eastAsia="en-US"/>
        </w:rPr>
        <w:t xml:space="preserve"> parenting and/or family recovery support</w:t>
      </w:r>
      <w:r w:rsidR="00195AA2">
        <w:rPr>
          <w:rFonts w:ascii="Arial" w:eastAsiaTheme="minorEastAsia" w:hAnsi="Arial" w:cstheme="minorBidi"/>
          <w:lang w:eastAsia="en-US"/>
        </w:rPr>
        <w:t xml:space="preserve"> </w:t>
      </w:r>
      <w:r w:rsidR="00AE13B0" w:rsidRPr="5A18ECEE">
        <w:rPr>
          <w:rFonts w:ascii="Arial" w:eastAsiaTheme="minorEastAsia" w:hAnsi="Arial" w:cstheme="minorBidi"/>
          <w:lang w:eastAsia="en-US"/>
        </w:rPr>
        <w:t xml:space="preserve">for opiate </w:t>
      </w:r>
      <w:r w:rsidR="008D2DC9" w:rsidRPr="5A18ECEE">
        <w:rPr>
          <w:rFonts w:ascii="Arial" w:eastAsiaTheme="minorEastAsia" w:hAnsi="Arial" w:cstheme="minorBidi"/>
          <w:lang w:eastAsia="en-US"/>
        </w:rPr>
        <w:t xml:space="preserve">using parents </w:t>
      </w:r>
      <w:r w:rsidR="00B3574E">
        <w:rPr>
          <w:rFonts w:ascii="Arial" w:eastAsiaTheme="minorEastAsia" w:hAnsi="Arial" w:cstheme="minorBidi"/>
          <w:lang w:eastAsia="en-US"/>
        </w:rPr>
        <w:t>was found to be</w:t>
      </w:r>
      <w:r w:rsidR="00AE13B0" w:rsidRPr="5A18ECEE">
        <w:rPr>
          <w:rFonts w:ascii="Arial" w:eastAsiaTheme="minorEastAsia" w:hAnsi="Arial" w:cstheme="minorBidi"/>
          <w:lang w:eastAsia="en-US"/>
        </w:rPr>
        <w:t xml:space="preserve"> mostly nonsignificant or </w:t>
      </w:r>
      <w:r w:rsidR="00F4627A" w:rsidRPr="5A18ECEE">
        <w:rPr>
          <w:rFonts w:ascii="Arial" w:eastAsiaTheme="minorEastAsia" w:hAnsi="Arial" w:cstheme="minorBidi"/>
          <w:lang w:eastAsia="en-US"/>
        </w:rPr>
        <w:t xml:space="preserve">the </w:t>
      </w:r>
      <w:r w:rsidR="00AE13B0" w:rsidRPr="5A18ECEE">
        <w:rPr>
          <w:rFonts w:ascii="Arial" w:eastAsiaTheme="minorEastAsia" w:hAnsi="Arial" w:cstheme="minorBidi"/>
          <w:lang w:eastAsia="en-US"/>
        </w:rPr>
        <w:t xml:space="preserve">sensitivity analysis </w:t>
      </w:r>
      <w:r w:rsidR="00AF6F30" w:rsidRPr="5A18ECEE">
        <w:rPr>
          <w:rFonts w:ascii="Arial" w:eastAsiaTheme="minorEastAsia" w:hAnsi="Arial" w:cstheme="minorBidi"/>
          <w:lang w:eastAsia="en-US"/>
        </w:rPr>
        <w:t>suggested little unmeasured confounding would be necessary to render the result</w:t>
      </w:r>
      <w:r w:rsidR="008D2DC9" w:rsidRPr="5A18ECEE">
        <w:rPr>
          <w:rFonts w:ascii="Arial" w:eastAsiaTheme="minorEastAsia" w:hAnsi="Arial" w:cstheme="minorBidi"/>
          <w:lang w:eastAsia="en-US"/>
        </w:rPr>
        <w:t>s</w:t>
      </w:r>
      <w:r w:rsidR="00AF6F30" w:rsidRPr="5A18ECEE">
        <w:rPr>
          <w:rFonts w:ascii="Arial" w:eastAsiaTheme="minorEastAsia" w:hAnsi="Arial" w:cstheme="minorBidi"/>
          <w:lang w:eastAsia="en-US"/>
        </w:rPr>
        <w:t xml:space="preserve"> nonsignificant</w:t>
      </w:r>
      <w:r w:rsidR="000A04D4">
        <w:rPr>
          <w:rFonts w:ascii="Arial" w:eastAsiaTheme="minorEastAsia" w:hAnsi="Arial" w:cstheme="minorBidi"/>
          <w:lang w:eastAsia="en-US"/>
        </w:rPr>
        <w:t>.</w:t>
      </w:r>
    </w:p>
    <w:p w14:paraId="0477DAB5" w14:textId="090D06B8" w:rsidR="3BB065CA" w:rsidRDefault="3BB065CA" w:rsidP="3BB065CA">
      <w:pPr>
        <w:pStyle w:val="paragraph"/>
        <w:spacing w:before="0" w:after="0" w:line="360" w:lineRule="auto"/>
        <w:rPr>
          <w:rFonts w:ascii="Arial" w:eastAsiaTheme="minorEastAsia" w:hAnsi="Arial" w:cstheme="minorBidi"/>
          <w:b/>
          <w:bCs/>
          <w:lang w:eastAsia="en-US"/>
        </w:rPr>
      </w:pPr>
    </w:p>
    <w:p w14:paraId="0543192F" w14:textId="25E1A63E" w:rsidR="00611E65" w:rsidRDefault="0001501A" w:rsidP="002E3AC9">
      <w:pPr>
        <w:pStyle w:val="paragraph"/>
        <w:spacing w:before="0" w:after="0" w:line="360" w:lineRule="auto"/>
        <w:textAlignment w:val="baseline"/>
        <w:rPr>
          <w:rFonts w:ascii="Arial" w:eastAsiaTheme="minorEastAsia" w:hAnsi="Arial" w:cstheme="minorBidi"/>
          <w:lang w:eastAsia="en-US"/>
        </w:rPr>
      </w:pPr>
      <w:r>
        <w:rPr>
          <w:rFonts w:ascii="Arial" w:eastAsiaTheme="minorEastAsia" w:hAnsi="Arial" w:cstheme="minorBidi"/>
          <w:lang w:eastAsia="en-US"/>
        </w:rPr>
        <w:t>Study 3 was a</w:t>
      </w:r>
      <w:r w:rsidR="0062265D" w:rsidRPr="0062265D">
        <w:rPr>
          <w:rFonts w:ascii="Arial" w:eastAsiaTheme="minorEastAsia" w:hAnsi="Arial" w:cstheme="minorBidi"/>
          <w:lang w:eastAsia="en-US"/>
        </w:rPr>
        <w:t xml:space="preserve"> cost-effectiveness analysis </w:t>
      </w:r>
      <w:r w:rsidR="0062265D">
        <w:rPr>
          <w:rFonts w:ascii="Arial" w:eastAsiaTheme="minorEastAsia" w:hAnsi="Arial" w:cstheme="minorBidi"/>
          <w:lang w:eastAsia="en-US"/>
        </w:rPr>
        <w:t>focusing on</w:t>
      </w:r>
      <w:r w:rsidR="0004754C" w:rsidRPr="5A18ECEE">
        <w:rPr>
          <w:rFonts w:ascii="Arial" w:eastAsiaTheme="minorEastAsia" w:hAnsi="Arial" w:cstheme="minorBidi"/>
          <w:lang w:eastAsia="en-US"/>
        </w:rPr>
        <w:t xml:space="preserve"> </w:t>
      </w:r>
      <w:r w:rsidR="728A444A" w:rsidRPr="0683581E">
        <w:rPr>
          <w:rFonts w:ascii="Arial" w:eastAsiaTheme="minorEastAsia" w:hAnsi="Arial" w:cstheme="minorBidi"/>
          <w:lang w:eastAsia="en-US"/>
        </w:rPr>
        <w:t xml:space="preserve">the population group with </w:t>
      </w:r>
      <w:r w:rsidR="0004754C" w:rsidRPr="5A18ECEE">
        <w:rPr>
          <w:rFonts w:ascii="Arial" w:eastAsiaTheme="minorEastAsia" w:hAnsi="Arial" w:cstheme="minorBidi"/>
          <w:lang w:eastAsia="en-US"/>
        </w:rPr>
        <w:t>alcohol use disorder (AUD)</w:t>
      </w:r>
      <w:r w:rsidR="002E3AC9" w:rsidRPr="5A18ECEE">
        <w:rPr>
          <w:rFonts w:ascii="Arial" w:eastAsiaTheme="minorEastAsia" w:hAnsi="Arial" w:cstheme="minorBidi"/>
          <w:lang w:eastAsia="en-US"/>
        </w:rPr>
        <w:t xml:space="preserve"> </w:t>
      </w:r>
      <w:r w:rsidR="00714F26">
        <w:rPr>
          <w:rFonts w:ascii="Arial" w:eastAsiaTheme="minorEastAsia" w:hAnsi="Arial" w:cstheme="minorBidi"/>
          <w:lang w:eastAsia="en-US"/>
        </w:rPr>
        <w:t>only</w:t>
      </w:r>
      <w:r w:rsidR="2EED5748" w:rsidRPr="0683581E">
        <w:rPr>
          <w:rFonts w:ascii="Arial" w:eastAsiaTheme="minorEastAsia" w:hAnsi="Arial" w:cstheme="minorBidi"/>
          <w:lang w:eastAsia="en-US"/>
        </w:rPr>
        <w:t xml:space="preserve">. </w:t>
      </w:r>
      <w:r w:rsidR="6AA77842" w:rsidRPr="4686D404">
        <w:rPr>
          <w:rFonts w:ascii="Arial" w:eastAsiaTheme="minorEastAsia" w:hAnsi="Arial" w:cstheme="minorBidi"/>
          <w:lang w:eastAsia="en-US"/>
        </w:rPr>
        <w:t>It used data from the NDTMS and published literature to model 16 subgroups over a 1</w:t>
      </w:r>
      <w:r w:rsidR="00CA3D2C">
        <w:rPr>
          <w:rFonts w:ascii="Arial" w:eastAsiaTheme="minorEastAsia" w:hAnsi="Arial" w:cstheme="minorBidi"/>
          <w:lang w:eastAsia="en-US"/>
        </w:rPr>
        <w:t>0-</w:t>
      </w:r>
      <w:r w:rsidR="6AA77842" w:rsidRPr="4686D404">
        <w:rPr>
          <w:rFonts w:ascii="Arial" w:eastAsiaTheme="minorEastAsia" w:hAnsi="Arial" w:cstheme="minorBidi"/>
          <w:lang w:eastAsia="en-US"/>
        </w:rPr>
        <w:t xml:space="preserve">year horizon, calculating costs of treatment, integrated care, probabilities of </w:t>
      </w:r>
      <w:r w:rsidR="1C8D94D1" w:rsidRPr="4686D404">
        <w:rPr>
          <w:rFonts w:ascii="Arial" w:eastAsiaTheme="minorEastAsia" w:hAnsi="Arial" w:cstheme="minorBidi"/>
          <w:lang w:eastAsia="en-US"/>
        </w:rPr>
        <w:t>being in four health states in a Markov model (</w:t>
      </w:r>
      <w:r w:rsidR="00CA3D2C">
        <w:rPr>
          <w:rFonts w:ascii="Arial" w:eastAsiaTheme="minorEastAsia" w:hAnsi="Arial" w:cstheme="minorBidi"/>
          <w:lang w:eastAsia="en-US"/>
        </w:rPr>
        <w:t>‘I</w:t>
      </w:r>
      <w:r w:rsidR="1C8D94D1" w:rsidRPr="4686D404">
        <w:rPr>
          <w:rFonts w:ascii="Arial" w:eastAsiaTheme="minorEastAsia" w:hAnsi="Arial" w:cstheme="minorBidi"/>
          <w:lang w:eastAsia="en-US"/>
        </w:rPr>
        <w:t>n treat</w:t>
      </w:r>
      <w:r w:rsidR="00CA3D2C">
        <w:rPr>
          <w:rFonts w:ascii="Arial" w:eastAsiaTheme="minorEastAsia" w:hAnsi="Arial" w:cstheme="minorBidi"/>
          <w:lang w:eastAsia="en-US"/>
        </w:rPr>
        <w:t>m</w:t>
      </w:r>
      <w:r w:rsidR="1C8D94D1" w:rsidRPr="4686D404">
        <w:rPr>
          <w:rFonts w:ascii="Arial" w:eastAsiaTheme="minorEastAsia" w:hAnsi="Arial" w:cstheme="minorBidi"/>
          <w:lang w:eastAsia="en-US"/>
        </w:rPr>
        <w:t>ent</w:t>
      </w:r>
      <w:r w:rsidR="00CA3D2C">
        <w:rPr>
          <w:rFonts w:ascii="Arial" w:eastAsiaTheme="minorEastAsia" w:hAnsi="Arial" w:cstheme="minorBidi"/>
          <w:lang w:eastAsia="en-US"/>
        </w:rPr>
        <w:t>’</w:t>
      </w:r>
      <w:r w:rsidR="1C8D94D1" w:rsidRPr="4686D404">
        <w:rPr>
          <w:rFonts w:ascii="Arial" w:eastAsiaTheme="minorEastAsia" w:hAnsi="Arial" w:cstheme="minorBidi"/>
          <w:lang w:eastAsia="en-US"/>
        </w:rPr>
        <w:t xml:space="preserve">, </w:t>
      </w:r>
      <w:r w:rsidR="00CA3D2C">
        <w:rPr>
          <w:rFonts w:ascii="Arial" w:eastAsiaTheme="minorEastAsia" w:hAnsi="Arial" w:cstheme="minorBidi"/>
          <w:lang w:eastAsia="en-US"/>
        </w:rPr>
        <w:t xml:space="preserve">‘In </w:t>
      </w:r>
      <w:r w:rsidR="6AA77842" w:rsidRPr="4686D404">
        <w:rPr>
          <w:rFonts w:ascii="Arial" w:eastAsiaTheme="minorEastAsia" w:hAnsi="Arial" w:cstheme="minorBidi"/>
          <w:lang w:eastAsia="en-US"/>
        </w:rPr>
        <w:t>remission</w:t>
      </w:r>
      <w:r w:rsidR="00CA3D2C">
        <w:rPr>
          <w:rFonts w:ascii="Arial" w:eastAsiaTheme="minorEastAsia" w:hAnsi="Arial" w:cstheme="minorBidi"/>
          <w:lang w:eastAsia="en-US"/>
        </w:rPr>
        <w:t>’</w:t>
      </w:r>
      <w:r w:rsidR="6AA77842" w:rsidRPr="4686D404">
        <w:rPr>
          <w:rFonts w:ascii="Arial" w:eastAsiaTheme="minorEastAsia" w:hAnsi="Arial" w:cstheme="minorBidi"/>
          <w:lang w:eastAsia="en-US"/>
        </w:rPr>
        <w:t xml:space="preserve">, </w:t>
      </w:r>
      <w:r w:rsidR="00CA3D2C">
        <w:rPr>
          <w:rFonts w:ascii="Arial" w:eastAsiaTheme="minorEastAsia" w:hAnsi="Arial" w:cstheme="minorBidi"/>
          <w:lang w:eastAsia="en-US"/>
        </w:rPr>
        <w:t>‘N</w:t>
      </w:r>
      <w:r w:rsidR="6AA77842" w:rsidRPr="4686D404">
        <w:rPr>
          <w:rFonts w:ascii="Arial" w:eastAsiaTheme="minorEastAsia" w:hAnsi="Arial" w:cstheme="minorBidi"/>
          <w:lang w:eastAsia="en-US"/>
        </w:rPr>
        <w:t xml:space="preserve">ot being in treatment </w:t>
      </w:r>
      <w:r w:rsidR="00CA3D2C">
        <w:rPr>
          <w:rFonts w:ascii="Arial" w:eastAsiaTheme="minorEastAsia" w:hAnsi="Arial" w:cstheme="minorBidi"/>
          <w:lang w:eastAsia="en-US"/>
        </w:rPr>
        <w:t xml:space="preserve">and not in remission’ </w:t>
      </w:r>
      <w:r w:rsidR="6AA77842" w:rsidRPr="4686D404">
        <w:rPr>
          <w:rFonts w:ascii="Arial" w:eastAsiaTheme="minorEastAsia" w:hAnsi="Arial" w:cstheme="minorBidi"/>
          <w:lang w:eastAsia="en-US"/>
        </w:rPr>
        <w:t xml:space="preserve">and </w:t>
      </w:r>
      <w:r w:rsidR="00CA3D2C">
        <w:rPr>
          <w:rFonts w:ascii="Arial" w:eastAsiaTheme="minorEastAsia" w:hAnsi="Arial" w:cstheme="minorBidi"/>
          <w:lang w:eastAsia="en-US"/>
        </w:rPr>
        <w:t>‘Died’</w:t>
      </w:r>
      <w:r w:rsidR="17568287" w:rsidRPr="4686D404">
        <w:rPr>
          <w:rFonts w:ascii="Arial" w:eastAsiaTheme="minorEastAsia" w:hAnsi="Arial" w:cstheme="minorBidi"/>
          <w:lang w:eastAsia="en-US"/>
        </w:rPr>
        <w:t>)</w:t>
      </w:r>
      <w:r w:rsidR="4D7E606E" w:rsidRPr="4686D404">
        <w:rPr>
          <w:rFonts w:ascii="Arial" w:eastAsiaTheme="minorEastAsia" w:hAnsi="Arial" w:cstheme="minorBidi"/>
          <w:lang w:eastAsia="en-US"/>
        </w:rPr>
        <w:t xml:space="preserve">, and the resulting </w:t>
      </w:r>
      <w:r w:rsidR="00CA3D2C">
        <w:rPr>
          <w:rFonts w:ascii="Arial" w:eastAsiaTheme="minorEastAsia" w:hAnsi="Arial" w:cstheme="minorBidi"/>
          <w:lang w:eastAsia="en-US"/>
        </w:rPr>
        <w:t>Q</w:t>
      </w:r>
      <w:r w:rsidR="4D7E606E" w:rsidRPr="4686D404">
        <w:rPr>
          <w:rFonts w:ascii="Arial" w:eastAsiaTheme="minorEastAsia" w:hAnsi="Arial" w:cstheme="minorBidi"/>
          <w:lang w:eastAsia="en-US"/>
        </w:rPr>
        <w:t xml:space="preserve">uality </w:t>
      </w:r>
      <w:r w:rsidR="00CA3D2C">
        <w:rPr>
          <w:rFonts w:ascii="Arial" w:eastAsiaTheme="minorEastAsia" w:hAnsi="Arial" w:cstheme="minorBidi"/>
          <w:lang w:eastAsia="en-US"/>
        </w:rPr>
        <w:t>A</w:t>
      </w:r>
      <w:r w:rsidR="4D7E606E" w:rsidRPr="4686D404">
        <w:rPr>
          <w:rFonts w:ascii="Arial" w:eastAsiaTheme="minorEastAsia" w:hAnsi="Arial" w:cstheme="minorBidi"/>
          <w:lang w:eastAsia="en-US"/>
        </w:rPr>
        <w:t xml:space="preserve">djusted </w:t>
      </w:r>
      <w:r w:rsidR="00CA3D2C">
        <w:rPr>
          <w:rFonts w:ascii="Arial" w:eastAsiaTheme="minorEastAsia" w:hAnsi="Arial" w:cstheme="minorBidi"/>
          <w:lang w:eastAsia="en-US"/>
        </w:rPr>
        <w:t>L</w:t>
      </w:r>
      <w:r w:rsidR="4D7E606E" w:rsidRPr="4686D404">
        <w:rPr>
          <w:rFonts w:ascii="Arial" w:eastAsiaTheme="minorEastAsia" w:hAnsi="Arial" w:cstheme="minorBidi"/>
          <w:lang w:eastAsia="en-US"/>
        </w:rPr>
        <w:t xml:space="preserve">ife </w:t>
      </w:r>
      <w:r w:rsidR="00CA3D2C">
        <w:rPr>
          <w:rFonts w:ascii="Arial" w:eastAsiaTheme="minorEastAsia" w:hAnsi="Arial" w:cstheme="minorBidi"/>
          <w:lang w:eastAsia="en-US"/>
        </w:rPr>
        <w:t>Y</w:t>
      </w:r>
      <w:r w:rsidR="4D7E606E" w:rsidRPr="4686D404">
        <w:rPr>
          <w:rFonts w:ascii="Arial" w:eastAsiaTheme="minorEastAsia" w:hAnsi="Arial" w:cstheme="minorBidi"/>
          <w:lang w:eastAsia="en-US"/>
        </w:rPr>
        <w:t>ears</w:t>
      </w:r>
      <w:r w:rsidR="00CA3D2C">
        <w:rPr>
          <w:rFonts w:ascii="Arial" w:eastAsiaTheme="minorEastAsia" w:hAnsi="Arial" w:cstheme="minorBidi"/>
          <w:lang w:eastAsia="en-US"/>
        </w:rPr>
        <w:t xml:space="preserve"> (QALYs)</w:t>
      </w:r>
      <w:r w:rsidR="4CAC5933" w:rsidRPr="4686D404">
        <w:rPr>
          <w:rFonts w:ascii="Arial" w:eastAsiaTheme="minorEastAsia" w:hAnsi="Arial" w:cstheme="minorBidi"/>
          <w:lang w:eastAsia="en-US"/>
        </w:rPr>
        <w:t xml:space="preserve">. </w:t>
      </w:r>
      <w:r w:rsidR="00030B51">
        <w:rPr>
          <w:rFonts w:ascii="Arial" w:eastAsiaTheme="minorEastAsia" w:hAnsi="Arial" w:cstheme="minorBidi"/>
          <w:lang w:eastAsia="en-US"/>
        </w:rPr>
        <w:t>A comparison of difference scenarios in the deterministic model test</w:t>
      </w:r>
      <w:r w:rsidR="006A213A">
        <w:rPr>
          <w:rFonts w:ascii="Arial" w:eastAsiaTheme="minorEastAsia" w:hAnsi="Arial" w:cstheme="minorBidi"/>
          <w:lang w:eastAsia="en-US"/>
        </w:rPr>
        <w:t>ed</w:t>
      </w:r>
      <w:r w:rsidR="00030B51">
        <w:rPr>
          <w:rFonts w:ascii="Arial" w:eastAsiaTheme="minorEastAsia" w:hAnsi="Arial" w:cstheme="minorBidi"/>
          <w:lang w:eastAsia="en-US"/>
        </w:rPr>
        <w:t xml:space="preserve"> the sensitivity of key assumptions. </w:t>
      </w:r>
      <w:r w:rsidR="009C52A5">
        <w:rPr>
          <w:rFonts w:ascii="Arial" w:eastAsiaTheme="minorEastAsia" w:hAnsi="Arial" w:cstheme="minorBidi"/>
          <w:lang w:eastAsia="en-US"/>
        </w:rPr>
        <w:t xml:space="preserve">A probabilistic </w:t>
      </w:r>
      <w:r w:rsidR="00194EBD">
        <w:rPr>
          <w:rFonts w:ascii="Arial" w:eastAsiaTheme="minorEastAsia" w:hAnsi="Arial" w:cstheme="minorBidi"/>
          <w:lang w:eastAsia="en-US"/>
        </w:rPr>
        <w:t>sensitivity</w:t>
      </w:r>
      <w:r w:rsidR="009C52A5">
        <w:rPr>
          <w:rFonts w:ascii="Arial" w:eastAsiaTheme="minorEastAsia" w:hAnsi="Arial" w:cstheme="minorBidi"/>
          <w:lang w:eastAsia="en-US"/>
        </w:rPr>
        <w:t xml:space="preserve"> </w:t>
      </w:r>
      <w:r w:rsidR="00194EBD">
        <w:rPr>
          <w:rFonts w:ascii="Arial" w:eastAsiaTheme="minorEastAsia" w:hAnsi="Arial" w:cstheme="minorBidi"/>
          <w:lang w:eastAsia="en-US"/>
        </w:rPr>
        <w:t>analysis</w:t>
      </w:r>
      <w:r w:rsidR="009C52A5">
        <w:rPr>
          <w:rFonts w:ascii="Arial" w:eastAsiaTheme="minorEastAsia" w:hAnsi="Arial" w:cstheme="minorBidi"/>
          <w:lang w:eastAsia="en-US"/>
        </w:rPr>
        <w:t xml:space="preserve"> was </w:t>
      </w:r>
      <w:r w:rsidR="00194EBD">
        <w:rPr>
          <w:rFonts w:ascii="Arial" w:eastAsiaTheme="minorEastAsia" w:hAnsi="Arial" w:cstheme="minorBidi"/>
          <w:lang w:eastAsia="en-US"/>
        </w:rPr>
        <w:t xml:space="preserve">conducted to </w:t>
      </w:r>
      <w:r w:rsidR="00030B51">
        <w:rPr>
          <w:rFonts w:ascii="Arial" w:eastAsiaTheme="minorEastAsia" w:hAnsi="Arial" w:cstheme="minorBidi"/>
          <w:lang w:eastAsia="en-US"/>
        </w:rPr>
        <w:t>estimate model</w:t>
      </w:r>
      <w:r w:rsidR="00194EBD">
        <w:rPr>
          <w:rFonts w:ascii="Arial" w:eastAsiaTheme="minorEastAsia" w:hAnsi="Arial" w:cstheme="minorBidi"/>
          <w:lang w:eastAsia="en-US"/>
        </w:rPr>
        <w:t xml:space="preserve"> uncertainty</w:t>
      </w:r>
      <w:r w:rsidR="00030B51">
        <w:rPr>
          <w:rFonts w:ascii="Arial" w:eastAsiaTheme="minorEastAsia" w:hAnsi="Arial" w:cstheme="minorBidi"/>
          <w:lang w:eastAsia="en-US"/>
        </w:rPr>
        <w:t>.</w:t>
      </w:r>
      <w:r w:rsidR="00611E65">
        <w:rPr>
          <w:rFonts w:ascii="Arial" w:eastAsiaTheme="minorEastAsia" w:hAnsi="Arial" w:cstheme="minorBidi"/>
          <w:lang w:eastAsia="en-US"/>
        </w:rPr>
        <w:t xml:space="preserve"> </w:t>
      </w:r>
    </w:p>
    <w:p w14:paraId="2F7DB2BA" w14:textId="77777777" w:rsidR="00611E65" w:rsidRDefault="00611E65" w:rsidP="002E3AC9">
      <w:pPr>
        <w:pStyle w:val="paragraph"/>
        <w:spacing w:before="0" w:after="0" w:line="360" w:lineRule="auto"/>
        <w:textAlignment w:val="baseline"/>
        <w:rPr>
          <w:rFonts w:ascii="Arial" w:eastAsiaTheme="minorEastAsia" w:hAnsi="Arial" w:cstheme="minorBidi"/>
          <w:lang w:eastAsia="en-US"/>
        </w:rPr>
      </w:pPr>
    </w:p>
    <w:p w14:paraId="66FBC602" w14:textId="7A29C529" w:rsidR="00CA3D2C" w:rsidRDefault="00611E65" w:rsidP="002E3AC9">
      <w:pPr>
        <w:pStyle w:val="paragraph"/>
        <w:spacing w:before="0" w:after="0" w:line="360" w:lineRule="auto"/>
        <w:textAlignment w:val="baseline"/>
        <w:rPr>
          <w:rFonts w:ascii="Arial" w:eastAsiaTheme="minorEastAsia" w:hAnsi="Arial" w:cstheme="minorBidi"/>
          <w:lang w:eastAsia="en-US"/>
        </w:rPr>
      </w:pPr>
      <w:r>
        <w:rPr>
          <w:rFonts w:ascii="Arial" w:eastAsiaTheme="minorEastAsia" w:hAnsi="Arial" w:cstheme="minorBidi"/>
          <w:lang w:eastAsia="en-US"/>
        </w:rPr>
        <w:t>Two perspectives were presented – a health only perspective, for which an incremental cost effectiveness ratio (ICER) was calculated and a public sector perspective, for which wider societal benefits were included in the model and the result summarised as a cost-per-QALY. Wider societal benefits included, for example, cost reductions from decreases in offending behaviour and visits to A&amp;E.</w:t>
      </w:r>
    </w:p>
    <w:p w14:paraId="5E29B9A4" w14:textId="77777777" w:rsidR="00CA3D2C" w:rsidRDefault="00CA3D2C" w:rsidP="002E3AC9">
      <w:pPr>
        <w:pStyle w:val="paragraph"/>
        <w:spacing w:before="0" w:after="0" w:line="360" w:lineRule="auto"/>
        <w:textAlignment w:val="baseline"/>
        <w:rPr>
          <w:rFonts w:ascii="Arial" w:eastAsiaTheme="minorEastAsia" w:hAnsi="Arial" w:cstheme="minorBidi"/>
          <w:lang w:eastAsia="en-US"/>
        </w:rPr>
      </w:pPr>
    </w:p>
    <w:p w14:paraId="42B70746" w14:textId="7EED4ADD" w:rsidR="00634937" w:rsidRDefault="0004336E" w:rsidP="002E3AC9">
      <w:pPr>
        <w:pStyle w:val="paragraph"/>
        <w:spacing w:before="0" w:after="0" w:line="360" w:lineRule="auto"/>
        <w:textAlignment w:val="baseline"/>
        <w:rPr>
          <w:rFonts w:ascii="Arial" w:eastAsiaTheme="minorEastAsia" w:hAnsi="Arial" w:cstheme="minorBidi"/>
          <w:lang w:eastAsia="en-US"/>
        </w:rPr>
      </w:pPr>
      <w:r w:rsidRPr="006F31D9">
        <w:rPr>
          <w:rFonts w:ascii="Arial" w:eastAsiaTheme="minorEastAsia" w:hAnsi="Arial" w:cstheme="minorBidi"/>
          <w:b/>
          <w:bCs/>
          <w:lang w:eastAsia="en-US"/>
        </w:rPr>
        <w:t>F</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Pr="006F31D9">
        <w:rPr>
          <w:rFonts w:ascii="Arial" w:eastAsiaTheme="minorEastAsia" w:hAnsi="Arial" w:cstheme="minorBidi"/>
          <w:b/>
          <w:bCs/>
          <w:lang w:eastAsia="en-US"/>
        </w:rPr>
        <w:fldChar w:fldCharType="separate"/>
      </w:r>
      <w:r w:rsidR="009B092E">
        <w:rPr>
          <w:rFonts w:ascii="Arial" w:eastAsiaTheme="minorEastAsia" w:hAnsi="Arial" w:cstheme="minorBidi"/>
          <w:b/>
          <w:bCs/>
          <w:noProof/>
          <w:lang w:eastAsia="en-US"/>
        </w:rPr>
        <w:t>10</w:t>
      </w:r>
      <w:r w:rsidRPr="006F31D9">
        <w:rPr>
          <w:rFonts w:ascii="Arial" w:eastAsiaTheme="minorEastAsia" w:hAnsi="Arial" w:cstheme="minorBidi"/>
          <w:b/>
          <w:bCs/>
          <w:lang w:eastAsia="en-US"/>
        </w:rPr>
        <w:fldChar w:fldCharType="end"/>
      </w:r>
      <w:r>
        <w:rPr>
          <w:rFonts w:ascii="Arial" w:eastAsiaTheme="minorEastAsia" w:hAnsi="Arial" w:cstheme="minorBidi"/>
          <w:lang w:eastAsia="en-US"/>
        </w:rPr>
        <w:t xml:space="preserve"> T</w:t>
      </w:r>
      <w:r w:rsidR="002E3AC9" w:rsidRPr="5A18ECEE">
        <w:rPr>
          <w:rFonts w:ascii="Arial" w:eastAsiaTheme="minorEastAsia" w:hAnsi="Arial" w:cstheme="minorBidi"/>
          <w:lang w:eastAsia="en-US"/>
        </w:rPr>
        <w:t xml:space="preserve">reatment </w:t>
      </w:r>
      <w:r w:rsidR="00545D7B">
        <w:rPr>
          <w:rFonts w:ascii="Arial" w:eastAsiaTheme="minorEastAsia" w:hAnsi="Arial" w:cstheme="minorBidi"/>
          <w:lang w:eastAsia="en-US"/>
        </w:rPr>
        <w:t>plus</w:t>
      </w:r>
      <w:r w:rsidR="002E3AC9" w:rsidRPr="5A18ECEE">
        <w:rPr>
          <w:rFonts w:ascii="Arial" w:eastAsiaTheme="minorEastAsia" w:hAnsi="Arial" w:cstheme="minorBidi"/>
          <w:lang w:eastAsia="en-US"/>
        </w:rPr>
        <w:t xml:space="preserve"> </w:t>
      </w:r>
      <w:r w:rsidR="00AB7760" w:rsidRPr="5A18ECEE">
        <w:rPr>
          <w:rFonts w:ascii="Arial" w:eastAsiaTheme="minorEastAsia" w:hAnsi="Arial" w:cstheme="minorBidi"/>
          <w:lang w:eastAsia="en-US"/>
        </w:rPr>
        <w:t>parenting and/or family</w:t>
      </w:r>
      <w:r w:rsidR="002E3AC9" w:rsidRPr="5A18ECEE">
        <w:rPr>
          <w:rFonts w:ascii="Arial" w:eastAsiaTheme="minorEastAsia" w:hAnsi="Arial" w:cstheme="minorBidi"/>
          <w:lang w:eastAsia="en-US"/>
        </w:rPr>
        <w:t xml:space="preserve"> recovery support could be a more cost-effective option </w:t>
      </w:r>
      <w:r w:rsidR="00552858" w:rsidRPr="5A18ECEE">
        <w:rPr>
          <w:rFonts w:ascii="Arial" w:eastAsiaTheme="minorEastAsia" w:hAnsi="Arial" w:cstheme="minorBidi"/>
          <w:lang w:eastAsia="en-US"/>
        </w:rPr>
        <w:t xml:space="preserve">than </w:t>
      </w:r>
      <w:r w:rsidR="00552858" w:rsidRPr="000648B5">
        <w:rPr>
          <w:rFonts w:ascii="Arial" w:eastAsiaTheme="minorEastAsia" w:hAnsi="Arial" w:cstheme="minorBidi"/>
          <w:lang w:eastAsia="en-US"/>
        </w:rPr>
        <w:t xml:space="preserve">treatment </w:t>
      </w:r>
      <w:r w:rsidR="005F29DE" w:rsidRPr="000648B5">
        <w:rPr>
          <w:rFonts w:ascii="Arial" w:eastAsiaTheme="minorEastAsia" w:hAnsi="Arial" w:cstheme="minorBidi"/>
          <w:lang w:eastAsia="en-US"/>
        </w:rPr>
        <w:t>only</w:t>
      </w:r>
      <w:r w:rsidR="00552858" w:rsidRPr="000648B5">
        <w:rPr>
          <w:rFonts w:ascii="Arial" w:eastAsiaTheme="minorEastAsia" w:hAnsi="Arial" w:cstheme="minorBidi"/>
          <w:lang w:eastAsia="en-US"/>
        </w:rPr>
        <w:t xml:space="preserve"> </w:t>
      </w:r>
      <w:r w:rsidR="002E3AC9" w:rsidRPr="000648B5">
        <w:rPr>
          <w:rFonts w:ascii="Arial" w:eastAsiaTheme="minorEastAsia" w:hAnsi="Arial" w:cstheme="minorBidi"/>
          <w:lang w:eastAsia="en-US"/>
        </w:rPr>
        <w:t xml:space="preserve">for </w:t>
      </w:r>
      <w:r w:rsidR="00552858" w:rsidRPr="000648B5">
        <w:rPr>
          <w:rFonts w:ascii="Arial" w:eastAsiaTheme="minorEastAsia" w:hAnsi="Arial" w:cstheme="minorBidi"/>
          <w:lang w:eastAsia="en-US"/>
        </w:rPr>
        <w:t xml:space="preserve">both </w:t>
      </w:r>
      <w:r w:rsidR="005F1705" w:rsidRPr="000648B5">
        <w:rPr>
          <w:rFonts w:ascii="Arial" w:eastAsiaTheme="minorEastAsia" w:hAnsi="Arial" w:cstheme="minorBidi"/>
          <w:lang w:eastAsia="en-US"/>
        </w:rPr>
        <w:t>parents living</w:t>
      </w:r>
      <w:r w:rsidR="002E3AC9" w:rsidRPr="000648B5">
        <w:rPr>
          <w:rFonts w:ascii="Arial" w:eastAsiaTheme="minorEastAsia" w:hAnsi="Arial" w:cstheme="minorBidi"/>
          <w:lang w:eastAsia="en-US"/>
        </w:rPr>
        <w:t xml:space="preserve"> with children and parents not living with their children.</w:t>
      </w:r>
      <w:r w:rsidR="0004754C" w:rsidRPr="000648B5">
        <w:rPr>
          <w:rFonts w:ascii="Arial" w:eastAsiaTheme="minorEastAsia" w:hAnsi="Arial" w:cstheme="minorBidi"/>
          <w:lang w:eastAsia="en-US"/>
        </w:rPr>
        <w:t xml:space="preserve"> </w:t>
      </w:r>
    </w:p>
    <w:p w14:paraId="3018410E" w14:textId="7B96E025" w:rsidR="00C22028" w:rsidRDefault="00C22028" w:rsidP="002E3AC9">
      <w:pPr>
        <w:pStyle w:val="paragraph"/>
        <w:spacing w:before="0" w:after="0" w:line="360" w:lineRule="auto"/>
        <w:textAlignment w:val="baseline"/>
        <w:rPr>
          <w:rFonts w:ascii="Arial" w:eastAsiaTheme="minorEastAsia" w:hAnsi="Arial" w:cstheme="minorBidi"/>
          <w:lang w:eastAsia="en-US"/>
        </w:rPr>
      </w:pPr>
    </w:p>
    <w:p w14:paraId="52206976" w14:textId="49E4756E" w:rsidR="00634937" w:rsidRDefault="00C22028" w:rsidP="002E3AC9">
      <w:pPr>
        <w:pStyle w:val="paragraph"/>
        <w:spacing w:before="0" w:after="0" w:line="360" w:lineRule="auto"/>
        <w:textAlignment w:val="baseline"/>
        <w:rPr>
          <w:rFonts w:ascii="Arial" w:eastAsiaTheme="minorEastAsia" w:hAnsi="Arial" w:cstheme="minorBidi"/>
          <w:lang w:eastAsia="en-US"/>
        </w:rPr>
      </w:pPr>
      <w:r w:rsidRPr="006F31D9">
        <w:rPr>
          <w:rFonts w:ascii="Arial" w:eastAsiaTheme="minorEastAsia" w:hAnsi="Arial" w:cstheme="minorBidi"/>
          <w:b/>
          <w:bCs/>
          <w:lang w:eastAsia="en-US"/>
        </w:rPr>
        <w:t>F</w:t>
      </w:r>
      <w:r w:rsidR="00150FE0">
        <w:rPr>
          <w:rFonts w:ascii="Arial" w:eastAsiaTheme="minorEastAsia" w:hAnsi="Arial" w:cstheme="minorBidi"/>
          <w:b/>
          <w:bCs/>
          <w:lang w:eastAsia="en-US"/>
        </w:rPr>
        <w:t>11</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00000000">
        <w:rPr>
          <w:rFonts w:ascii="Arial" w:eastAsiaTheme="minorEastAsia" w:hAnsi="Arial" w:cstheme="minorBidi"/>
          <w:b/>
          <w:bCs/>
          <w:lang w:eastAsia="en-US"/>
        </w:rPr>
        <w:fldChar w:fldCharType="separate"/>
      </w:r>
      <w:r w:rsidRPr="006F31D9">
        <w:rPr>
          <w:rFonts w:ascii="Arial" w:eastAsiaTheme="minorEastAsia" w:hAnsi="Arial" w:cstheme="minorBidi"/>
          <w:b/>
          <w:bCs/>
          <w:lang w:eastAsia="en-US"/>
        </w:rPr>
        <w:fldChar w:fldCharType="end"/>
      </w:r>
      <w:r>
        <w:rPr>
          <w:rFonts w:ascii="Arial" w:eastAsiaTheme="minorEastAsia" w:hAnsi="Arial" w:cstheme="minorBidi"/>
          <w:lang w:eastAsia="en-US"/>
        </w:rPr>
        <w:t xml:space="preserve"> The modelled QALY difference </w:t>
      </w:r>
      <w:r w:rsidR="005446D0">
        <w:rPr>
          <w:rFonts w:ascii="Arial" w:eastAsiaTheme="minorEastAsia" w:hAnsi="Arial" w:cstheme="minorBidi"/>
          <w:lang w:eastAsia="en-US"/>
        </w:rPr>
        <w:t xml:space="preserve">per person </w:t>
      </w:r>
      <w:r>
        <w:rPr>
          <w:rFonts w:ascii="Arial" w:eastAsiaTheme="minorEastAsia" w:hAnsi="Arial" w:cstheme="minorBidi"/>
          <w:lang w:eastAsia="en-US"/>
        </w:rPr>
        <w:t xml:space="preserve">in the deterministic model was </w:t>
      </w:r>
      <w:r w:rsidR="005808E4" w:rsidRPr="005808E4">
        <w:rPr>
          <w:rFonts w:ascii="Arial" w:eastAsiaTheme="minorEastAsia" w:hAnsi="Arial" w:cstheme="minorBidi"/>
          <w:lang w:eastAsia="en-US"/>
        </w:rPr>
        <w:t>0.0456</w:t>
      </w:r>
      <w:r>
        <w:rPr>
          <w:rFonts w:ascii="Arial" w:eastAsiaTheme="minorEastAsia" w:hAnsi="Arial" w:cstheme="minorBidi"/>
          <w:lang w:eastAsia="en-US"/>
        </w:rPr>
        <w:t xml:space="preserve"> </w:t>
      </w:r>
      <w:r w:rsidR="00617888">
        <w:rPr>
          <w:rFonts w:ascii="Arial" w:eastAsiaTheme="minorEastAsia" w:hAnsi="Arial" w:cstheme="minorBidi"/>
          <w:lang w:eastAsia="en-US"/>
        </w:rPr>
        <w:t xml:space="preserve">and </w:t>
      </w:r>
      <w:r w:rsidR="005808E4" w:rsidRPr="005808E4">
        <w:rPr>
          <w:rFonts w:ascii="Arial" w:eastAsiaTheme="minorEastAsia" w:hAnsi="Arial" w:cstheme="minorBidi"/>
          <w:lang w:eastAsia="en-US"/>
        </w:rPr>
        <w:t>0.0457 in the probabilistic model.</w:t>
      </w:r>
      <w:r w:rsidR="00021792">
        <w:rPr>
          <w:rFonts w:ascii="Arial" w:eastAsiaTheme="minorEastAsia" w:hAnsi="Arial" w:cstheme="minorBidi"/>
          <w:lang w:eastAsia="en-US"/>
        </w:rPr>
        <w:t xml:space="preserve"> The modelled cost difference in the deterministic model was £1,</w:t>
      </w:r>
      <w:r w:rsidR="005446D0">
        <w:rPr>
          <w:rFonts w:ascii="Arial" w:eastAsiaTheme="minorEastAsia" w:hAnsi="Arial" w:cstheme="minorBidi"/>
          <w:lang w:eastAsia="en-US"/>
        </w:rPr>
        <w:t xml:space="preserve">197 </w:t>
      </w:r>
      <w:r w:rsidR="00021792">
        <w:rPr>
          <w:rFonts w:ascii="Arial" w:eastAsiaTheme="minorEastAsia" w:hAnsi="Arial" w:cstheme="minorBidi"/>
          <w:lang w:eastAsia="en-US"/>
        </w:rPr>
        <w:t xml:space="preserve">in the deterministic model and £1,193 </w:t>
      </w:r>
      <w:r w:rsidR="004704B6">
        <w:rPr>
          <w:rFonts w:ascii="Arial" w:eastAsiaTheme="minorEastAsia" w:hAnsi="Arial" w:cstheme="minorBidi"/>
          <w:lang w:eastAsia="en-US"/>
        </w:rPr>
        <w:t>in the probabilistic</w:t>
      </w:r>
      <w:r w:rsidR="00030B51">
        <w:rPr>
          <w:rFonts w:ascii="Arial" w:eastAsiaTheme="minorEastAsia" w:hAnsi="Arial" w:cstheme="minorBidi"/>
          <w:lang w:eastAsia="en-US"/>
        </w:rPr>
        <w:t xml:space="preserve"> model</w:t>
      </w:r>
      <w:r w:rsidR="004704B6">
        <w:rPr>
          <w:rFonts w:ascii="Arial" w:eastAsiaTheme="minorEastAsia" w:hAnsi="Arial" w:cstheme="minorBidi"/>
          <w:lang w:eastAsia="en-US"/>
        </w:rPr>
        <w:t>.</w:t>
      </w:r>
    </w:p>
    <w:p w14:paraId="13973CC5" w14:textId="77777777" w:rsidR="00030B51" w:rsidRDefault="00030B51" w:rsidP="002E3AC9">
      <w:pPr>
        <w:pStyle w:val="paragraph"/>
        <w:spacing w:before="0" w:after="0" w:line="360" w:lineRule="auto"/>
        <w:textAlignment w:val="baseline"/>
        <w:rPr>
          <w:rFonts w:ascii="Arial" w:eastAsiaTheme="minorEastAsia" w:hAnsi="Arial" w:cstheme="minorBidi"/>
          <w:lang w:eastAsia="en-US"/>
        </w:rPr>
      </w:pPr>
    </w:p>
    <w:p w14:paraId="44AB53DE" w14:textId="21A1644C" w:rsidR="00030B51" w:rsidRDefault="00030B51" w:rsidP="002E3AC9">
      <w:pPr>
        <w:pStyle w:val="paragraph"/>
        <w:spacing w:before="0" w:after="0" w:line="360" w:lineRule="auto"/>
        <w:textAlignment w:val="baseline"/>
        <w:rPr>
          <w:rFonts w:ascii="Arial" w:eastAsiaTheme="minorEastAsia" w:hAnsi="Arial" w:cstheme="minorBidi"/>
          <w:lang w:eastAsia="en-US"/>
        </w:rPr>
      </w:pPr>
      <w:r w:rsidRPr="006F31D9">
        <w:rPr>
          <w:rFonts w:ascii="Arial" w:eastAsiaTheme="minorEastAsia" w:hAnsi="Arial" w:cstheme="minorBidi"/>
          <w:b/>
          <w:bCs/>
          <w:lang w:eastAsia="en-US"/>
        </w:rPr>
        <w:lastRenderedPageBreak/>
        <w:t>F</w:t>
      </w:r>
      <w:r w:rsidR="00150FE0">
        <w:rPr>
          <w:rFonts w:ascii="Arial" w:eastAsiaTheme="minorEastAsia" w:hAnsi="Arial" w:cstheme="minorBidi"/>
          <w:b/>
          <w:bCs/>
          <w:lang w:eastAsia="en-US"/>
        </w:rPr>
        <w:t>12</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00000000">
        <w:rPr>
          <w:rFonts w:ascii="Arial" w:eastAsiaTheme="minorEastAsia" w:hAnsi="Arial" w:cstheme="minorBidi"/>
          <w:b/>
          <w:bCs/>
          <w:lang w:eastAsia="en-US"/>
        </w:rPr>
        <w:fldChar w:fldCharType="separate"/>
      </w:r>
      <w:r w:rsidRPr="006F31D9">
        <w:rPr>
          <w:rFonts w:ascii="Arial" w:eastAsiaTheme="minorEastAsia" w:hAnsi="Arial" w:cstheme="minorBidi"/>
          <w:b/>
          <w:bCs/>
          <w:lang w:eastAsia="en-US"/>
        </w:rPr>
        <w:fldChar w:fldCharType="end"/>
      </w:r>
      <w:r>
        <w:rPr>
          <w:rFonts w:ascii="Arial" w:eastAsiaTheme="minorEastAsia" w:hAnsi="Arial" w:cstheme="minorBidi"/>
          <w:lang w:eastAsia="en-US"/>
        </w:rPr>
        <w:t xml:space="preserve"> </w:t>
      </w:r>
      <w:r w:rsidR="00611E65">
        <w:rPr>
          <w:rFonts w:ascii="Arial" w:eastAsiaTheme="minorEastAsia" w:hAnsi="Arial" w:cstheme="minorBidi"/>
          <w:lang w:eastAsia="en-US"/>
        </w:rPr>
        <w:t>The</w:t>
      </w:r>
      <w:r w:rsidR="002E7D3F">
        <w:rPr>
          <w:rFonts w:ascii="Arial" w:eastAsiaTheme="minorEastAsia" w:hAnsi="Arial" w:cstheme="minorBidi"/>
          <w:lang w:eastAsia="en-US"/>
        </w:rPr>
        <w:t xml:space="preserve"> intervention was associated with an ICER of £26,</w:t>
      </w:r>
      <w:r w:rsidR="00480F0C">
        <w:rPr>
          <w:rFonts w:ascii="Arial" w:eastAsiaTheme="minorEastAsia" w:hAnsi="Arial" w:cstheme="minorBidi"/>
          <w:lang w:eastAsia="en-US"/>
        </w:rPr>
        <w:t xml:space="preserve">264 </w:t>
      </w:r>
      <w:r w:rsidR="00F25BF3">
        <w:rPr>
          <w:rFonts w:ascii="Arial" w:eastAsiaTheme="minorEastAsia" w:hAnsi="Arial" w:cstheme="minorBidi"/>
          <w:lang w:eastAsia="en-US"/>
        </w:rPr>
        <w:t>in the</w:t>
      </w:r>
      <w:r w:rsidR="00E717B3">
        <w:rPr>
          <w:rFonts w:ascii="Arial" w:eastAsiaTheme="minorEastAsia" w:hAnsi="Arial" w:cstheme="minorBidi"/>
          <w:lang w:eastAsia="en-US"/>
        </w:rPr>
        <w:t xml:space="preserve"> deterministic model</w:t>
      </w:r>
      <w:r w:rsidR="00F25BF3">
        <w:rPr>
          <w:rFonts w:ascii="Arial" w:eastAsiaTheme="minorEastAsia" w:hAnsi="Arial" w:cstheme="minorBidi"/>
          <w:lang w:eastAsia="en-US"/>
        </w:rPr>
        <w:t>, and</w:t>
      </w:r>
      <w:r w:rsidR="00A56617">
        <w:rPr>
          <w:rFonts w:ascii="Arial" w:eastAsiaTheme="minorEastAsia" w:hAnsi="Arial" w:cstheme="minorBidi"/>
          <w:lang w:eastAsia="en-US"/>
        </w:rPr>
        <w:t xml:space="preserve"> an ICER of £26,108 </w:t>
      </w:r>
      <w:r w:rsidR="00F25BF3">
        <w:rPr>
          <w:rFonts w:ascii="Arial" w:eastAsiaTheme="minorEastAsia" w:hAnsi="Arial" w:cstheme="minorBidi"/>
          <w:lang w:eastAsia="en-US"/>
        </w:rPr>
        <w:t>in the probabilistic model.</w:t>
      </w:r>
      <w:r w:rsidR="00270B16">
        <w:rPr>
          <w:rFonts w:ascii="Arial" w:eastAsiaTheme="minorEastAsia" w:hAnsi="Arial" w:cstheme="minorBidi"/>
          <w:lang w:eastAsia="en-US"/>
        </w:rPr>
        <w:t xml:space="preserve"> Assuming a NICE willingness to pay threshold of £20-30,000, the intervention would be considered cost-effective.</w:t>
      </w:r>
      <w:r w:rsidR="00886BEB">
        <w:rPr>
          <w:rFonts w:ascii="Arial" w:eastAsiaTheme="minorEastAsia" w:hAnsi="Arial" w:cstheme="minorBidi"/>
          <w:lang w:eastAsia="en-US"/>
        </w:rPr>
        <w:t xml:space="preserve"> </w:t>
      </w:r>
    </w:p>
    <w:p w14:paraId="65F66885" w14:textId="4D013A2D" w:rsidR="00E318B0" w:rsidRDefault="00E318B0" w:rsidP="002E3AC9">
      <w:pPr>
        <w:pStyle w:val="paragraph"/>
        <w:spacing w:before="0" w:after="0" w:line="360" w:lineRule="auto"/>
        <w:textAlignment w:val="baseline"/>
        <w:rPr>
          <w:rFonts w:ascii="Arial" w:eastAsiaTheme="minorEastAsia" w:hAnsi="Arial" w:cstheme="minorBidi"/>
          <w:lang w:eastAsia="en-US"/>
        </w:rPr>
      </w:pPr>
    </w:p>
    <w:p w14:paraId="58B3FB2D" w14:textId="6428E1B7" w:rsidR="00E318B0" w:rsidRDefault="00F25BF3" w:rsidP="002E3AC9">
      <w:pPr>
        <w:pStyle w:val="paragraph"/>
        <w:spacing w:before="0" w:after="0" w:line="360" w:lineRule="auto"/>
        <w:textAlignment w:val="baseline"/>
        <w:rPr>
          <w:rFonts w:ascii="Arial" w:eastAsiaTheme="minorEastAsia" w:hAnsi="Arial" w:cstheme="minorBidi"/>
          <w:lang w:eastAsia="en-US"/>
        </w:rPr>
      </w:pPr>
      <w:r w:rsidRPr="006F31D9">
        <w:rPr>
          <w:rFonts w:ascii="Arial" w:eastAsiaTheme="minorEastAsia" w:hAnsi="Arial" w:cstheme="minorBidi"/>
          <w:b/>
          <w:bCs/>
          <w:lang w:eastAsia="en-US"/>
        </w:rPr>
        <w:t>F</w:t>
      </w:r>
      <w:r w:rsidRPr="006F31D9">
        <w:rPr>
          <w:rFonts w:ascii="Arial" w:eastAsiaTheme="minorEastAsia" w:hAnsi="Arial" w:cstheme="minorBidi"/>
          <w:b/>
          <w:bCs/>
          <w:lang w:eastAsia="en-US"/>
        </w:rPr>
        <w:fldChar w:fldCharType="begin"/>
      </w:r>
      <w:r w:rsidRPr="006F31D9">
        <w:rPr>
          <w:rFonts w:ascii="Arial" w:eastAsiaTheme="minorEastAsia" w:hAnsi="Arial" w:cstheme="minorBidi"/>
          <w:b/>
          <w:bCs/>
          <w:lang w:eastAsia="en-US"/>
        </w:rPr>
        <w:instrText xml:space="preserve"> SEQ F \* ARABIC </w:instrText>
      </w:r>
      <w:r w:rsidRPr="006F31D9">
        <w:rPr>
          <w:rFonts w:ascii="Arial" w:eastAsiaTheme="minorEastAsia" w:hAnsi="Arial" w:cstheme="minorBidi"/>
          <w:b/>
          <w:bCs/>
          <w:lang w:eastAsia="en-US"/>
        </w:rPr>
        <w:fldChar w:fldCharType="separate"/>
      </w:r>
      <w:r w:rsidR="009B092E">
        <w:rPr>
          <w:rFonts w:ascii="Arial" w:eastAsiaTheme="minorEastAsia" w:hAnsi="Arial" w:cstheme="minorBidi"/>
          <w:b/>
          <w:bCs/>
          <w:noProof/>
          <w:lang w:eastAsia="en-US"/>
        </w:rPr>
        <w:t>13</w:t>
      </w:r>
      <w:r w:rsidRPr="006F31D9">
        <w:rPr>
          <w:rFonts w:ascii="Arial" w:eastAsiaTheme="minorEastAsia" w:hAnsi="Arial" w:cstheme="minorBidi"/>
          <w:b/>
          <w:bCs/>
          <w:lang w:eastAsia="en-US"/>
        </w:rPr>
        <w:fldChar w:fldCharType="end"/>
      </w:r>
      <w:r>
        <w:rPr>
          <w:rFonts w:ascii="Arial" w:eastAsiaTheme="minorEastAsia" w:hAnsi="Arial" w:cstheme="minorBidi"/>
          <w:lang w:eastAsia="en-US"/>
        </w:rPr>
        <w:t xml:space="preserve"> </w:t>
      </w:r>
      <w:r w:rsidR="007A1585">
        <w:rPr>
          <w:rFonts w:ascii="Arial" w:eastAsiaTheme="minorEastAsia" w:hAnsi="Arial" w:cstheme="minorBidi"/>
          <w:lang w:eastAsia="en-US"/>
        </w:rPr>
        <w:t>In the deterministic mode</w:t>
      </w:r>
      <w:r w:rsidR="00377DBE">
        <w:rPr>
          <w:rFonts w:ascii="Arial" w:eastAsiaTheme="minorEastAsia" w:hAnsi="Arial" w:cstheme="minorBidi"/>
          <w:lang w:eastAsia="en-US"/>
        </w:rPr>
        <w:t>l</w:t>
      </w:r>
      <w:r w:rsidR="007A1585">
        <w:rPr>
          <w:rFonts w:ascii="Arial" w:eastAsiaTheme="minorEastAsia" w:hAnsi="Arial" w:cstheme="minorBidi"/>
          <w:lang w:eastAsia="en-US"/>
        </w:rPr>
        <w:t xml:space="preserve">, the </w:t>
      </w:r>
      <w:r>
        <w:rPr>
          <w:rFonts w:ascii="Arial" w:eastAsiaTheme="minorEastAsia" w:hAnsi="Arial" w:cstheme="minorBidi"/>
          <w:lang w:eastAsia="en-US"/>
        </w:rPr>
        <w:t xml:space="preserve">intervention was associated with </w:t>
      </w:r>
      <w:r w:rsidR="00EB435E">
        <w:rPr>
          <w:rFonts w:ascii="Arial" w:eastAsiaTheme="minorEastAsia" w:hAnsi="Arial" w:cstheme="minorBidi"/>
          <w:lang w:eastAsia="en-US"/>
        </w:rPr>
        <w:t xml:space="preserve">cost per QALY of £6,437 (public sector) </w:t>
      </w:r>
      <w:r w:rsidR="00CD5025" w:rsidRPr="00821739">
        <w:rPr>
          <w:rFonts w:ascii="Arial" w:eastAsiaTheme="minorEastAsia" w:hAnsi="Arial" w:cstheme="minorBidi"/>
          <w:lang w:eastAsia="en-US"/>
        </w:rPr>
        <w:t>– four times more cost-effective than the health perspective</w:t>
      </w:r>
      <w:r w:rsidR="00CD5025">
        <w:rPr>
          <w:rFonts w:ascii="Arial" w:eastAsiaTheme="minorEastAsia" w:hAnsi="Arial" w:cstheme="minorBidi"/>
          <w:lang w:eastAsia="en-US"/>
        </w:rPr>
        <w:t xml:space="preserve"> </w:t>
      </w:r>
      <w:r>
        <w:rPr>
          <w:rFonts w:ascii="Arial" w:eastAsiaTheme="minorEastAsia" w:hAnsi="Arial" w:cstheme="minorBidi"/>
          <w:lang w:eastAsia="en-US"/>
        </w:rPr>
        <w:t>in the deterministic model</w:t>
      </w:r>
      <w:r w:rsidR="007A1585">
        <w:rPr>
          <w:rFonts w:ascii="Arial" w:eastAsiaTheme="minorEastAsia" w:hAnsi="Arial" w:cstheme="minorBidi"/>
          <w:lang w:eastAsia="en-US"/>
        </w:rPr>
        <w:t>. Similar results were found in the probabilistic model (</w:t>
      </w:r>
      <w:r w:rsidR="00EB435E">
        <w:rPr>
          <w:rFonts w:ascii="Arial" w:eastAsiaTheme="minorEastAsia" w:hAnsi="Arial" w:cstheme="minorBidi"/>
          <w:lang w:eastAsia="en-US"/>
        </w:rPr>
        <w:t>£6,023</w:t>
      </w:r>
      <w:r w:rsidR="007A1585">
        <w:rPr>
          <w:rFonts w:ascii="Arial" w:eastAsiaTheme="minorEastAsia" w:hAnsi="Arial" w:cstheme="minorBidi"/>
          <w:lang w:eastAsia="en-US"/>
        </w:rPr>
        <w:t>).</w:t>
      </w:r>
      <w:r w:rsidR="00124958">
        <w:rPr>
          <w:rFonts w:ascii="Arial" w:eastAsiaTheme="minorEastAsia" w:hAnsi="Arial" w:cstheme="minorBidi"/>
          <w:lang w:eastAsia="en-US"/>
        </w:rPr>
        <w:t xml:space="preserve"> </w:t>
      </w:r>
      <w:r w:rsidR="00124958" w:rsidRPr="00A973BB">
        <w:rPr>
          <w:rFonts w:ascii="Arial" w:eastAsiaTheme="minorEastAsia" w:hAnsi="Arial" w:cstheme="minorBidi"/>
          <w:lang w:eastAsia="en-US"/>
        </w:rPr>
        <w:t>The scenario results suggest that the model is highly sensitive to changes in the transition probabilities, utility gains and costs, but less so in changes to discount rates.</w:t>
      </w:r>
    </w:p>
    <w:p w14:paraId="5B8E5962" w14:textId="77777777" w:rsidR="002D346D" w:rsidRDefault="002D346D" w:rsidP="002E3AC9">
      <w:pPr>
        <w:pStyle w:val="paragraph"/>
        <w:spacing w:before="0" w:after="0" w:line="360" w:lineRule="auto"/>
        <w:textAlignment w:val="baseline"/>
        <w:rPr>
          <w:rFonts w:ascii="Arial" w:eastAsiaTheme="minorEastAsia" w:hAnsi="Arial" w:cstheme="minorBidi"/>
          <w:lang w:eastAsia="en-US"/>
        </w:rPr>
      </w:pPr>
    </w:p>
    <w:p w14:paraId="4AFB5FB7" w14:textId="799083CF" w:rsidR="00124958" w:rsidRDefault="007A1585" w:rsidP="00124958">
      <w:pPr>
        <w:pStyle w:val="paragraph"/>
        <w:spacing w:before="0" w:after="0" w:line="360" w:lineRule="auto"/>
        <w:textAlignment w:val="baseline"/>
        <w:rPr>
          <w:rFonts w:ascii="Arial" w:eastAsiaTheme="minorEastAsia" w:hAnsi="Arial" w:cstheme="minorBidi"/>
          <w:lang w:eastAsia="en-US"/>
        </w:rPr>
      </w:pPr>
      <w:r w:rsidRPr="00821739">
        <w:rPr>
          <w:rFonts w:ascii="Arial" w:eastAsiaTheme="minorEastAsia" w:hAnsi="Arial" w:cs="Arial"/>
          <w:b/>
          <w:bCs/>
        </w:rPr>
        <w:t>F</w:t>
      </w:r>
      <w:r w:rsidRPr="00821739">
        <w:rPr>
          <w:rFonts w:ascii="Arial" w:eastAsiaTheme="minorEastAsia" w:hAnsi="Arial" w:cs="Arial"/>
          <w:b/>
          <w:bCs/>
        </w:rPr>
        <w:fldChar w:fldCharType="begin"/>
      </w:r>
      <w:r w:rsidRPr="00821739">
        <w:rPr>
          <w:rFonts w:ascii="Arial" w:eastAsiaTheme="minorEastAsia" w:hAnsi="Arial" w:cs="Arial"/>
          <w:b/>
          <w:bCs/>
        </w:rPr>
        <w:instrText xml:space="preserve"> SEQ F \* ARABIC </w:instrText>
      </w:r>
      <w:r w:rsidRPr="00821739">
        <w:rPr>
          <w:rFonts w:ascii="Arial" w:eastAsiaTheme="minorEastAsia" w:hAnsi="Arial" w:cs="Arial"/>
          <w:b/>
          <w:bCs/>
        </w:rPr>
        <w:fldChar w:fldCharType="separate"/>
      </w:r>
      <w:r w:rsidR="009B092E" w:rsidRPr="00821739">
        <w:rPr>
          <w:rFonts w:ascii="Arial" w:eastAsiaTheme="minorEastAsia" w:hAnsi="Arial" w:cs="Arial"/>
          <w:b/>
          <w:bCs/>
          <w:noProof/>
        </w:rPr>
        <w:t>14</w:t>
      </w:r>
      <w:r w:rsidRPr="00821739">
        <w:rPr>
          <w:rFonts w:ascii="Arial" w:eastAsiaTheme="minorEastAsia" w:hAnsi="Arial" w:cs="Arial"/>
          <w:b/>
          <w:bCs/>
        </w:rPr>
        <w:fldChar w:fldCharType="end"/>
      </w:r>
      <w:r w:rsidRPr="00821739">
        <w:rPr>
          <w:rFonts w:ascii="Arial" w:eastAsiaTheme="minorEastAsia" w:hAnsi="Arial" w:cs="Arial"/>
        </w:rPr>
        <w:t xml:space="preserve"> </w:t>
      </w:r>
      <w:r w:rsidR="00886BEB">
        <w:rPr>
          <w:rFonts w:ascii="Arial" w:eastAsiaTheme="minorEastAsia" w:hAnsi="Arial" w:cstheme="minorBidi"/>
          <w:lang w:eastAsia="en-US"/>
        </w:rPr>
        <w:t xml:space="preserve"> </w:t>
      </w:r>
      <w:r w:rsidR="00124958" w:rsidRPr="00821739">
        <w:rPr>
          <w:rFonts w:ascii="Arial" w:eastAsiaTheme="minorEastAsia" w:hAnsi="Arial" w:cs="Arial"/>
          <w:lang w:eastAsia="en-US"/>
        </w:rPr>
        <w:t>The probability</w:t>
      </w:r>
      <w:r w:rsidR="00124958" w:rsidRPr="00821739">
        <w:rPr>
          <w:rFonts w:ascii="Arial" w:eastAsiaTheme="minorEastAsia" w:hAnsi="Arial" w:cstheme="minorBidi"/>
          <w:lang w:eastAsia="en-US"/>
        </w:rPr>
        <w:t xml:space="preserve"> that the intervention is cost-effective at </w:t>
      </w:r>
      <w:r w:rsidR="00124958">
        <w:rPr>
          <w:rFonts w:ascii="Arial" w:eastAsiaTheme="minorEastAsia" w:hAnsi="Arial" w:cstheme="minorBidi"/>
          <w:lang w:eastAsia="en-US"/>
        </w:rPr>
        <w:t>a</w:t>
      </w:r>
      <w:r w:rsidR="00124958" w:rsidRPr="00821739">
        <w:rPr>
          <w:rFonts w:ascii="Arial" w:eastAsiaTheme="minorEastAsia" w:hAnsi="Arial" w:cstheme="minorBidi"/>
          <w:lang w:eastAsia="en-US"/>
        </w:rPr>
        <w:t xml:space="preserve"> willingness to pay threshold of £20,000 is 42%, using a health perspective and 72% for a public sector perspective, highlighting some uncertainty in the economic modelling.</w:t>
      </w:r>
    </w:p>
    <w:p w14:paraId="1810FFD3" w14:textId="2893D11D" w:rsidR="00124958" w:rsidRDefault="00124958" w:rsidP="00644FE8">
      <w:pPr>
        <w:pStyle w:val="paragraph"/>
        <w:spacing w:before="0" w:after="0" w:line="360" w:lineRule="auto"/>
        <w:textAlignment w:val="baseline"/>
        <w:rPr>
          <w:rFonts w:ascii="Arial" w:eastAsiaTheme="minorEastAsia" w:hAnsi="Arial" w:cstheme="minorBidi"/>
          <w:lang w:eastAsia="en-US"/>
        </w:rPr>
      </w:pPr>
    </w:p>
    <w:p w14:paraId="1CBD380E" w14:textId="1F3315D9" w:rsidR="004A7449" w:rsidRDefault="00002CA2" w:rsidP="00821739">
      <w:pPr>
        <w:pStyle w:val="Heading2"/>
        <w:numPr>
          <w:ilvl w:val="1"/>
          <w:numId w:val="19"/>
        </w:numPr>
        <w:spacing w:after="240" w:line="360" w:lineRule="auto"/>
      </w:pPr>
      <w:bookmarkStart w:id="161" w:name="_Toc189229719"/>
      <w:r>
        <w:t xml:space="preserve">Interpretation </w:t>
      </w:r>
      <w:r w:rsidR="642661BF">
        <w:t xml:space="preserve">of findings </w:t>
      </w:r>
      <w:r w:rsidR="00CD3776">
        <w:t xml:space="preserve">and </w:t>
      </w:r>
      <w:r w:rsidR="7763B28B">
        <w:t xml:space="preserve">their </w:t>
      </w:r>
      <w:r w:rsidR="00CD3776">
        <w:t>implications</w:t>
      </w:r>
      <w:bookmarkEnd w:id="161"/>
    </w:p>
    <w:p w14:paraId="5C7619B0" w14:textId="37FCAAA3" w:rsidR="009B0BBF" w:rsidRDefault="00856973" w:rsidP="003F5417">
      <w:pPr>
        <w:pStyle w:val="NoSpacing"/>
        <w:spacing w:line="360" w:lineRule="auto"/>
      </w:pPr>
      <w:r>
        <w:rPr>
          <w:rFonts w:cstheme="minorBidi"/>
          <w:szCs w:val="22"/>
        </w:rPr>
        <w:t xml:space="preserve">I hypothesised that the sex of the parent, whether or not they lived with their children, and the type of substances used would affect the type of intervention </w:t>
      </w:r>
      <w:r w:rsidR="006F22F9">
        <w:rPr>
          <w:rFonts w:cstheme="minorBidi"/>
          <w:szCs w:val="22"/>
        </w:rPr>
        <w:t>a parent</w:t>
      </w:r>
      <w:r>
        <w:rPr>
          <w:rFonts w:cstheme="minorBidi"/>
          <w:szCs w:val="22"/>
        </w:rPr>
        <w:t xml:space="preserve"> would be assigned and their subsequent outcomes.</w:t>
      </w:r>
      <w:r w:rsidR="00C42E22">
        <w:rPr>
          <w:rFonts w:cstheme="minorBidi"/>
          <w:szCs w:val="22"/>
        </w:rPr>
        <w:t xml:space="preserve"> </w:t>
      </w:r>
      <w:r w:rsidR="00F57216" w:rsidRPr="4686D404">
        <w:rPr>
          <w:rFonts w:cstheme="minorBidi"/>
        </w:rPr>
        <w:t xml:space="preserve">In line with the hypotheses, </w:t>
      </w:r>
      <w:r w:rsidR="00A97D06" w:rsidRPr="4686D404">
        <w:rPr>
          <w:rFonts w:cstheme="minorBidi"/>
        </w:rPr>
        <w:fldChar w:fldCharType="begin"/>
      </w:r>
      <w:r w:rsidR="00A97D06" w:rsidRPr="4686D404">
        <w:rPr>
          <w:rFonts w:cstheme="minorBidi"/>
        </w:rPr>
        <w:instrText xml:space="preserve"> REF _Ref176981304 \h </w:instrText>
      </w:r>
      <w:r w:rsidR="00A97D06" w:rsidRPr="4686D404">
        <w:rPr>
          <w:rFonts w:cstheme="minorBidi"/>
        </w:rPr>
      </w:r>
      <w:r w:rsidR="00A97D06" w:rsidRPr="4686D404">
        <w:rPr>
          <w:rFonts w:cstheme="minorBidi"/>
        </w:rPr>
        <w:fldChar w:fldCharType="separate"/>
      </w:r>
      <w:r w:rsidR="00A97D06" w:rsidRPr="00457B8F">
        <w:rPr>
          <w:b/>
          <w:bCs/>
        </w:rPr>
        <w:t>F</w:t>
      </w:r>
      <w:r w:rsidR="00A97D06" w:rsidRPr="00457B8F">
        <w:rPr>
          <w:b/>
          <w:bCs/>
          <w:noProof/>
        </w:rPr>
        <w:t>1</w:t>
      </w:r>
      <w:r w:rsidR="00A97D06" w:rsidRPr="4686D404">
        <w:rPr>
          <w:rFonts w:cstheme="minorBidi"/>
        </w:rPr>
        <w:fldChar w:fldCharType="end"/>
      </w:r>
      <w:r w:rsidR="00A97D06" w:rsidRPr="4686D404">
        <w:rPr>
          <w:rFonts w:cstheme="minorBidi"/>
        </w:rPr>
        <w:t>,</w:t>
      </w:r>
      <w:r w:rsidR="00095B18" w:rsidRPr="4686D404">
        <w:rPr>
          <w:rFonts w:cstheme="minorBidi"/>
        </w:rPr>
        <w:t xml:space="preserve"> </w:t>
      </w:r>
      <w:r w:rsidR="00A97D06" w:rsidRPr="4686D404">
        <w:rPr>
          <w:rFonts w:cstheme="minorBidi"/>
        </w:rPr>
        <w:fldChar w:fldCharType="begin"/>
      </w:r>
      <w:r w:rsidR="00A97D06" w:rsidRPr="4686D404">
        <w:rPr>
          <w:rFonts w:cstheme="minorBidi"/>
        </w:rPr>
        <w:instrText xml:space="preserve"> REF _Ref176981308 \h </w:instrText>
      </w:r>
      <w:r w:rsidR="00A97D06" w:rsidRPr="4686D404">
        <w:rPr>
          <w:rFonts w:cstheme="minorBidi"/>
        </w:rPr>
      </w:r>
      <w:r w:rsidR="00A97D06" w:rsidRPr="4686D404">
        <w:rPr>
          <w:rFonts w:cstheme="minorBidi"/>
        </w:rPr>
        <w:fldChar w:fldCharType="separate"/>
      </w:r>
      <w:r w:rsidR="00A97D06" w:rsidRPr="00457B8F">
        <w:rPr>
          <w:b/>
          <w:bCs/>
        </w:rPr>
        <w:t>F</w:t>
      </w:r>
      <w:r w:rsidR="00A97D06">
        <w:rPr>
          <w:b/>
          <w:bCs/>
          <w:noProof/>
        </w:rPr>
        <w:t>2</w:t>
      </w:r>
      <w:r w:rsidR="00A97D06" w:rsidRPr="4686D404">
        <w:rPr>
          <w:rFonts w:cstheme="minorBidi"/>
        </w:rPr>
        <w:fldChar w:fldCharType="end"/>
      </w:r>
      <w:r w:rsidR="00A97D06" w:rsidRPr="4686D404">
        <w:rPr>
          <w:rFonts w:cstheme="minorBidi"/>
        </w:rPr>
        <w:t xml:space="preserve"> and </w:t>
      </w:r>
      <w:r w:rsidR="00A97D06" w:rsidRPr="4686D404">
        <w:rPr>
          <w:rFonts w:cstheme="minorBidi"/>
        </w:rPr>
        <w:fldChar w:fldCharType="begin"/>
      </w:r>
      <w:r w:rsidR="00A97D06" w:rsidRPr="4686D404">
        <w:rPr>
          <w:rFonts w:cstheme="minorBidi"/>
        </w:rPr>
        <w:instrText xml:space="preserve"> REF _Ref176981311 \h </w:instrText>
      </w:r>
      <w:r w:rsidR="00A97D06" w:rsidRPr="4686D404">
        <w:rPr>
          <w:rFonts w:cstheme="minorBidi"/>
        </w:rPr>
      </w:r>
      <w:r w:rsidR="00A97D06" w:rsidRPr="4686D404">
        <w:rPr>
          <w:rFonts w:cstheme="minorBidi"/>
        </w:rPr>
        <w:fldChar w:fldCharType="separate"/>
      </w:r>
      <w:r w:rsidR="00A97D06" w:rsidRPr="006F31D9">
        <w:rPr>
          <w:rFonts w:eastAsiaTheme="minorEastAsia" w:cstheme="minorBidi"/>
          <w:b/>
          <w:bCs/>
        </w:rPr>
        <w:t>F</w:t>
      </w:r>
      <w:r w:rsidR="00A97D06">
        <w:rPr>
          <w:rFonts w:eastAsiaTheme="minorEastAsia" w:cstheme="minorBidi"/>
          <w:b/>
          <w:bCs/>
          <w:noProof/>
        </w:rPr>
        <w:t>3</w:t>
      </w:r>
      <w:r w:rsidR="00A97D06" w:rsidRPr="4686D404">
        <w:rPr>
          <w:rFonts w:cstheme="minorBidi"/>
        </w:rPr>
        <w:fldChar w:fldCharType="end"/>
      </w:r>
      <w:r w:rsidR="00A97D06" w:rsidRPr="4686D404">
        <w:rPr>
          <w:rFonts w:cstheme="minorBidi"/>
        </w:rPr>
        <w:t xml:space="preserve"> </w:t>
      </w:r>
      <w:r w:rsidR="002B6E3D">
        <w:rPr>
          <w:rFonts w:cstheme="minorBidi"/>
        </w:rPr>
        <w:t xml:space="preserve">from study 1 </w:t>
      </w:r>
      <w:r w:rsidR="00A97D06" w:rsidRPr="4686D404">
        <w:rPr>
          <w:rFonts w:cstheme="minorBidi"/>
        </w:rPr>
        <w:t>indicate that there</w:t>
      </w:r>
      <w:r w:rsidR="00ED0817" w:rsidRPr="4686D404">
        <w:rPr>
          <w:rFonts w:cstheme="minorBidi"/>
        </w:rPr>
        <w:t xml:space="preserve"> were significant differences </w:t>
      </w:r>
      <w:r w:rsidR="008B690C" w:rsidRPr="4686D404">
        <w:rPr>
          <w:rFonts w:cstheme="minorBidi"/>
        </w:rPr>
        <w:t>in relation to patient characteristics and treatment assignment</w:t>
      </w:r>
      <w:r w:rsidR="00647F8C" w:rsidRPr="4686D404">
        <w:rPr>
          <w:rFonts w:cstheme="minorBidi"/>
        </w:rPr>
        <w:t xml:space="preserve"> with </w:t>
      </w:r>
      <w:r w:rsidR="00F55E88" w:rsidRPr="4686D404">
        <w:rPr>
          <w:rFonts w:cstheme="minorBidi"/>
        </w:rPr>
        <w:t xml:space="preserve">proportionately </w:t>
      </w:r>
      <w:r w:rsidR="00647F8C" w:rsidRPr="4686D404">
        <w:rPr>
          <w:rFonts w:cstheme="minorBidi"/>
        </w:rPr>
        <w:t xml:space="preserve">more </w:t>
      </w:r>
      <w:r w:rsidR="00AB7760" w:rsidRPr="4686D404">
        <w:rPr>
          <w:rFonts w:cstheme="minorBidi"/>
        </w:rPr>
        <w:t>mothers than fathers</w:t>
      </w:r>
      <w:r w:rsidR="00647F8C" w:rsidRPr="4686D404">
        <w:rPr>
          <w:rFonts w:cstheme="minorBidi"/>
        </w:rPr>
        <w:t xml:space="preserve"> </w:t>
      </w:r>
      <w:r w:rsidR="00304F9E" w:rsidRPr="4686D404">
        <w:rPr>
          <w:rFonts w:cstheme="minorBidi"/>
        </w:rPr>
        <w:t xml:space="preserve">receiving </w:t>
      </w:r>
      <w:r w:rsidR="00F55E88" w:rsidRPr="4686D404">
        <w:rPr>
          <w:rFonts w:cstheme="minorBidi"/>
        </w:rPr>
        <w:t xml:space="preserve">some kind of </w:t>
      </w:r>
      <w:r w:rsidR="00F06DD6">
        <w:rPr>
          <w:rFonts w:cstheme="minorBidi"/>
        </w:rPr>
        <w:t>integrated</w:t>
      </w:r>
      <w:r w:rsidR="00F55E88" w:rsidRPr="4686D404">
        <w:rPr>
          <w:rFonts w:cstheme="minorBidi"/>
        </w:rPr>
        <w:t xml:space="preserve"> support</w:t>
      </w:r>
      <w:r w:rsidR="00E36EEB" w:rsidRPr="4686D404">
        <w:rPr>
          <w:rFonts w:cstheme="minorBidi"/>
        </w:rPr>
        <w:t xml:space="preserve">. </w:t>
      </w:r>
      <w:r w:rsidR="00DD5646">
        <w:t>The</w:t>
      </w:r>
      <w:r w:rsidR="00CA6485">
        <w:t xml:space="preserve"> </w:t>
      </w:r>
      <w:r w:rsidR="00CA6485" w:rsidRPr="00866C80">
        <w:t>likelihood increas</w:t>
      </w:r>
      <w:r w:rsidR="00DD5646">
        <w:t>ed</w:t>
      </w:r>
      <w:r w:rsidR="00CA6485" w:rsidRPr="00866C80">
        <w:t xml:space="preserve"> for those </w:t>
      </w:r>
      <w:r w:rsidR="00CA6485">
        <w:t>who</w:t>
      </w:r>
      <w:r w:rsidR="00CA6485" w:rsidRPr="00866C80">
        <w:t xml:space="preserve"> lived with chi</w:t>
      </w:r>
      <w:r w:rsidR="00CA6485" w:rsidRPr="00406910">
        <w:t>ldren</w:t>
      </w:r>
      <w:r w:rsidR="00CA6485">
        <w:t xml:space="preserve">. </w:t>
      </w:r>
    </w:p>
    <w:p w14:paraId="383D944D" w14:textId="77777777" w:rsidR="00C42E22" w:rsidRDefault="00C42E22" w:rsidP="003F5417">
      <w:pPr>
        <w:pStyle w:val="NoSpacing"/>
        <w:spacing w:line="360" w:lineRule="auto"/>
      </w:pPr>
    </w:p>
    <w:p w14:paraId="34DFC2D5" w14:textId="08650C87" w:rsidR="00EA7387" w:rsidRPr="00EF236F" w:rsidRDefault="00C42E22" w:rsidP="00EA7387">
      <w:pPr>
        <w:pStyle w:val="NoSpacing"/>
        <w:spacing w:line="360" w:lineRule="auto"/>
        <w:rPr>
          <w:rFonts w:cstheme="minorBidi"/>
        </w:rPr>
      </w:pPr>
      <w:r>
        <w:t xml:space="preserve">Studies in this area have suggested that mothers who are young, pregnant, have had children removed previously, homeless or in unstable housing, have comorbid mental health problems, unemployed, have had involvement with the criminal justice system, and/or living with more than one child are predictive characteristics of coming to the attention of services </w:t>
      </w:r>
      <w:r>
        <w:fldChar w:fldCharType="begin"/>
      </w:r>
      <w:r w:rsidR="00B9334F">
        <w:instrText xml:space="preserve"> ADDIN EN.CITE &lt;EndNote&gt;&lt;Cite&gt;&lt;Author&gt;Canfield&lt;/Author&gt;&lt;Year&gt;2017&lt;/Year&gt;&lt;RecNum&gt;280&lt;/RecNum&gt;&lt;DisplayText&gt;(Canfield et al., 2017)&lt;/DisplayText&gt;&lt;record&gt;&lt;rec-number&gt;280&lt;/rec-number&gt;&lt;foreign-keys&gt;&lt;key app="EN" db-id="ffzvr5fstavwxoe9v04xf0wmp5t50as52da0" timestamp="1731671654" guid="06a8d64e-9f85-48f7-baf5-7135169ba396"&gt;280&lt;/key&gt;&lt;/foreign-keys&gt;&lt;ref-type name="Journal Article"&gt;17&lt;/ref-type&gt;&lt;contributors&gt;&lt;authors&gt;&lt;author&gt;Canfield, Martha&lt;/author&gt;&lt;author&gt;Radcliffe, Polly&lt;/author&gt;&lt;author&gt;Marlow, Sally&lt;/author&gt;&lt;author&gt;Boreham, Marggie&lt;/author&gt;&lt;author&gt;Gilchrist, Gail&lt;/author&gt;&lt;/authors&gt;&lt;/contributors&gt;&lt;titles&gt;&lt;title&gt;Maternal substance use and child protection: A rapid evidence assessment of factors associated with loss of child care&lt;/title&gt;&lt;secondary-title&gt;Child Abuse &amp;amp; Neglect&lt;/secondary-title&gt;&lt;/titles&gt;&lt;periodical&gt;&lt;full-title&gt;Child Abuse &amp;amp; Neglect&lt;/full-title&gt;&lt;/periodical&gt;&lt;pages&gt;11-27&lt;/pages&gt;&lt;volume&gt;70&lt;/volume&gt;&lt;keywords&gt;&lt;keyword&gt;Maternal substance users&lt;/keyword&gt;&lt;keyword&gt;Child protection&lt;/keyword&gt;&lt;keyword&gt;Child care&lt;/keyword&gt;&lt;keyword&gt;Rapid evidence assessment&lt;/keyword&gt;&lt;/keywords&gt;&lt;dates&gt;&lt;year&gt;2017&lt;/year&gt;&lt;pub-dates&gt;&lt;date&gt;2017/08/01&lt;/date&gt;&lt;/pub-dates&gt;&lt;/dates&gt;&lt;urls&gt;&lt;related-urls&gt;&lt;url&gt;http://www.sciencedirect.com/science/article/pii/S0145213417302016&lt;/url&gt;&lt;/related-urls&gt;&lt;/urls&gt;&lt;electronic-resource-num&gt;https://doi.org/10.1016/j.chiabu.2017.05.005&lt;/electronic-resource-num&gt;&lt;/record&gt;&lt;/Cite&gt;&lt;/EndNote&gt;</w:instrText>
      </w:r>
      <w:r>
        <w:fldChar w:fldCharType="separate"/>
      </w:r>
      <w:r>
        <w:rPr>
          <w:noProof/>
        </w:rPr>
        <w:t>(Canfield et al., 2017)</w:t>
      </w:r>
      <w:r>
        <w:fldChar w:fldCharType="end"/>
      </w:r>
      <w:r>
        <w:t>.</w:t>
      </w:r>
      <w:r>
        <w:rPr>
          <w:rFonts w:cstheme="minorBidi"/>
        </w:rPr>
        <w:t xml:space="preserve"> </w:t>
      </w:r>
      <w:r w:rsidR="00EA7387" w:rsidRPr="00EF236F">
        <w:rPr>
          <w:rFonts w:cstheme="minorBidi"/>
        </w:rPr>
        <w:t xml:space="preserve">The findings from study 1 corroborated these results. </w:t>
      </w:r>
    </w:p>
    <w:p w14:paraId="256896C9" w14:textId="77777777" w:rsidR="00EA7387" w:rsidRDefault="00EA7387" w:rsidP="00C42E22">
      <w:pPr>
        <w:pStyle w:val="NoSpacing"/>
        <w:spacing w:line="360" w:lineRule="auto"/>
        <w:rPr>
          <w:rFonts w:cstheme="minorBidi"/>
        </w:rPr>
      </w:pPr>
    </w:p>
    <w:p w14:paraId="0444ACEC" w14:textId="59CD4682" w:rsidR="00717BF0" w:rsidRDefault="005957B9" w:rsidP="00C42E22">
      <w:pPr>
        <w:pStyle w:val="NoSpacing"/>
        <w:spacing w:line="360" w:lineRule="auto"/>
        <w:rPr>
          <w:rFonts w:cstheme="minorBidi"/>
        </w:rPr>
      </w:pPr>
      <w:r>
        <w:rPr>
          <w:rFonts w:cstheme="minorBidi"/>
        </w:rPr>
        <w:lastRenderedPageBreak/>
        <w:t>Research</w:t>
      </w:r>
      <w:r w:rsidR="00C42E22" w:rsidRPr="4686D404">
        <w:rPr>
          <w:rFonts w:cstheme="minorBidi"/>
        </w:rPr>
        <w:t xml:space="preserve"> using NDTMS data suggested that parents who did not live with their children were both more socioeconomically disadvantaged and less likely to successfully complete treatment than parent who did live with their children </w:t>
      </w:r>
      <w:r w:rsidR="00C42E22" w:rsidRPr="4686D404">
        <w:rPr>
          <w:rFonts w:cstheme="minorBidi"/>
        </w:rPr>
        <w:fldChar w:fldCharType="begin">
          <w:fldData xml:space="preserve">PEVuZE5vdGU+PENpdGU+PEF1dGhvcj5OVEE8L0F1dGhvcj48WWVhcj4yMDEyPC9ZZWFyPjxSZWNO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</w:fldData>
        </w:fldChar>
      </w:r>
      <w:r w:rsidR="00B9334F">
        <w:rPr>
          <w:rFonts w:cstheme="minorBidi"/>
        </w:rPr>
        <w:instrText xml:space="preserve"> ADDIN EN.CITE </w:instrText>
      </w:r>
      <w:r w:rsidR="00B9334F">
        <w:rPr>
          <w:rFonts w:cstheme="minorBidi"/>
        </w:rPr>
        <w:fldChar w:fldCharType="begin">
          <w:fldData xml:space="preserve">PEVuZE5vdGU+PENpdGU+PEF1dGhvcj5OVEE8L0F1dGhvcj48WWVhcj4yMDEyPC9ZZWFyPjxSZWNO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</w:fldData>
        </w:fldChar>
      </w:r>
      <w:r w:rsidR="00B9334F">
        <w:rPr>
          <w:rFonts w:cstheme="minorBidi"/>
        </w:rPr>
        <w:instrText xml:space="preserve"> ADDIN EN.CITE.DATA </w:instrText>
      </w:r>
      <w:r w:rsidR="00B9334F">
        <w:rPr>
          <w:rFonts w:cstheme="minorBidi"/>
        </w:rPr>
      </w:r>
      <w:r w:rsidR="00B9334F">
        <w:rPr>
          <w:rFonts w:cstheme="minorBidi"/>
        </w:rPr>
        <w:fldChar w:fldCharType="end"/>
      </w:r>
      <w:r w:rsidR="00C42E22" w:rsidRPr="4686D404">
        <w:rPr>
          <w:rFonts w:cstheme="minorBidi"/>
        </w:rPr>
      </w:r>
      <w:r w:rsidR="00C42E22" w:rsidRPr="4686D404">
        <w:rPr>
          <w:rFonts w:cstheme="minorBidi"/>
        </w:rPr>
        <w:fldChar w:fldCharType="separate"/>
      </w:r>
      <w:r w:rsidR="00C42E22" w:rsidRPr="4686D404">
        <w:rPr>
          <w:rFonts w:cstheme="minorBidi"/>
          <w:noProof/>
        </w:rPr>
        <w:t>(Meier et al., 2004; NTA, 2012)</w:t>
      </w:r>
      <w:r w:rsidR="00C42E22" w:rsidRPr="4686D404">
        <w:rPr>
          <w:rFonts w:cstheme="minorBidi"/>
        </w:rPr>
        <w:fldChar w:fldCharType="end"/>
      </w:r>
      <w:r w:rsidR="00C42E22" w:rsidRPr="4686D404">
        <w:rPr>
          <w:rFonts w:cstheme="minorBidi"/>
        </w:rPr>
        <w:t>.</w:t>
      </w:r>
      <w:r w:rsidR="00C42E22" w:rsidRPr="00AF2A37">
        <w:rPr>
          <w:rFonts w:cstheme="minorBidi"/>
        </w:rPr>
        <w:t xml:space="preserve"> </w:t>
      </w:r>
      <w:r w:rsidR="00EA7387">
        <w:rPr>
          <w:rFonts w:cstheme="minorBidi"/>
        </w:rPr>
        <w:t xml:space="preserve">This thesis </w:t>
      </w:r>
      <w:r w:rsidR="0078719D">
        <w:rPr>
          <w:rFonts w:cstheme="minorBidi"/>
        </w:rPr>
        <w:t xml:space="preserve">supports this finding and has expanded </w:t>
      </w:r>
      <w:r w:rsidR="001F29B9">
        <w:rPr>
          <w:rFonts w:cstheme="minorBidi"/>
        </w:rPr>
        <w:t xml:space="preserve">understanding </w:t>
      </w:r>
      <w:r w:rsidR="00282355">
        <w:rPr>
          <w:rFonts w:cstheme="minorBidi"/>
        </w:rPr>
        <w:t xml:space="preserve">by comparing parents not living with children not just with </w:t>
      </w:r>
      <w:r w:rsidR="00F97168">
        <w:rPr>
          <w:rFonts w:cstheme="minorBidi"/>
        </w:rPr>
        <w:t xml:space="preserve">parents living with </w:t>
      </w:r>
      <w:r w:rsidR="00AB69A4">
        <w:rPr>
          <w:rFonts w:cstheme="minorBidi"/>
        </w:rPr>
        <w:t xml:space="preserve">children, but also non-parents in the treatment system, to highlight that </w:t>
      </w:r>
      <w:r w:rsidR="005B10CA">
        <w:rPr>
          <w:rFonts w:cstheme="minorBidi"/>
        </w:rPr>
        <w:t xml:space="preserve">parents not living with children </w:t>
      </w:r>
      <w:r w:rsidR="0069677E">
        <w:rPr>
          <w:rFonts w:cstheme="minorBidi"/>
        </w:rPr>
        <w:t>appear to have more multiple and complex support needs than others in the entire treatment system.</w:t>
      </w:r>
    </w:p>
    <w:p w14:paraId="1AB65AFD" w14:textId="77777777" w:rsidR="00C42E22" w:rsidRDefault="00C42E22" w:rsidP="003F5417">
      <w:pPr>
        <w:pStyle w:val="NoSpacing"/>
        <w:spacing w:line="360" w:lineRule="auto"/>
      </w:pPr>
    </w:p>
    <w:p w14:paraId="73C8E803" w14:textId="6C7860F1" w:rsidR="00E011F3" w:rsidRDefault="00C42E22" w:rsidP="003F5417">
      <w:pPr>
        <w:pStyle w:val="NoSpacing"/>
        <w:spacing w:line="360" w:lineRule="auto"/>
      </w:pPr>
      <w:r>
        <w:rPr>
          <w:rFonts w:cstheme="minorBidi"/>
          <w:szCs w:val="22"/>
        </w:rPr>
        <w:t xml:space="preserve">Previous research </w:t>
      </w:r>
      <w:r w:rsidR="005957B9">
        <w:rPr>
          <w:rFonts w:cstheme="minorBidi"/>
          <w:szCs w:val="22"/>
        </w:rPr>
        <w:t>has</w:t>
      </w:r>
      <w:r>
        <w:rPr>
          <w:rFonts w:cstheme="minorBidi"/>
          <w:szCs w:val="22"/>
        </w:rPr>
        <w:t xml:space="preserve"> typically focused on mothers living with children, or with children in, or at risk of being placed in, care. </w:t>
      </w:r>
      <w:r w:rsidRPr="4686D404">
        <w:rPr>
          <w:rFonts w:cstheme="minorBidi"/>
        </w:rPr>
        <w:fldChar w:fldCharType="begin">
          <w:fldData xml:space="preserve">PEVuZE5vdGU+PENpdGU+PEF1dGhvcj5NY0dvdmVybjwvQXV0aG9yPjxZZWFyPjIwMjI8L1llYXI+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=
</w:fldData>
        </w:fldChar>
      </w:r>
      <w:r w:rsidR="00B9334F">
        <w:rPr>
          <w:rFonts w:cstheme="minorBidi"/>
        </w:rPr>
        <w:instrText xml:space="preserve"> ADDIN EN.CITE </w:instrText>
      </w:r>
      <w:r w:rsidR="00B9334F">
        <w:rPr>
          <w:rFonts w:cstheme="minorBidi"/>
        </w:rPr>
        <w:fldChar w:fldCharType="begin">
          <w:fldData xml:space="preserve">PEVuZE5vdGU+PENpdGU+PEF1dGhvcj5NY0dvdmVybjwvQXV0aG9yPjxZZWFyPjIwMjI8L1llYXI+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=
</w:fldData>
        </w:fldChar>
      </w:r>
      <w:r w:rsidR="00B9334F">
        <w:rPr>
          <w:rFonts w:cstheme="minorBidi"/>
        </w:rPr>
        <w:instrText xml:space="preserve"> ADDIN EN.CITE.DATA </w:instrText>
      </w:r>
      <w:r w:rsidR="00B9334F">
        <w:rPr>
          <w:rFonts w:cstheme="minorBidi"/>
        </w:rPr>
      </w:r>
      <w:r w:rsidR="00B9334F">
        <w:rPr>
          <w:rFonts w:cstheme="minorBidi"/>
        </w:rPr>
        <w:fldChar w:fldCharType="end"/>
      </w:r>
      <w:r w:rsidRPr="4686D404">
        <w:rPr>
          <w:rFonts w:cstheme="minorBidi"/>
        </w:rPr>
      </w:r>
      <w:r w:rsidRPr="4686D404">
        <w:rPr>
          <w:rFonts w:cstheme="minorBidi"/>
        </w:rPr>
        <w:fldChar w:fldCharType="separate"/>
      </w:r>
      <w:r w:rsidRPr="4686D404">
        <w:rPr>
          <w:rFonts w:cstheme="minorBidi"/>
          <w:noProof/>
        </w:rPr>
        <w:t>(McGovern et al., 2022; Moreland &amp; McRae-Clark, 2018; Murphy et al., 2017; Neo et al., 2021)</w:t>
      </w:r>
      <w:r w:rsidRPr="4686D404">
        <w:rPr>
          <w:rFonts w:cstheme="minorBidi"/>
        </w:rPr>
        <w:fldChar w:fldCharType="end"/>
      </w:r>
      <w:r w:rsidRPr="4686D404">
        <w:rPr>
          <w:rFonts w:cstheme="minorBidi"/>
        </w:rPr>
        <w:t xml:space="preserve">. </w:t>
      </w:r>
      <w:r w:rsidR="00CD3776">
        <w:t>The fact that fewer men were assigned to any kind of additional support</w:t>
      </w:r>
      <w:r w:rsidR="00175294">
        <w:t xml:space="preserve"> potentially</w:t>
      </w:r>
      <w:r w:rsidR="00CD3776" w:rsidRPr="00406910">
        <w:t xml:space="preserve"> reflect</w:t>
      </w:r>
      <w:r w:rsidR="00CD3776">
        <w:t>s</w:t>
      </w:r>
      <w:r w:rsidR="00CD3776" w:rsidRPr="00406910">
        <w:t xml:space="preserve"> a </w:t>
      </w:r>
      <w:r w:rsidR="00CD3776">
        <w:t xml:space="preserve">possible </w:t>
      </w:r>
      <w:r w:rsidR="00CD3776" w:rsidRPr="00406910">
        <w:t xml:space="preserve">failure of universal, targeted and specialist services to identify male carers with SUD and to support them as much as they do female carers to develop better parenting strategies </w:t>
      </w:r>
      <w:r w:rsidR="00CD3776" w:rsidRPr="00406910">
        <w:fldChar w:fldCharType="begin"/>
      </w:r>
      <w:r w:rsidR="00B9334F">
        <w:instrText xml:space="preserve"> ADDIN EN.CITE &lt;EndNote&gt;&lt;Cite&gt;&lt;Author&gt;The Child Safeguarding Practice Review Panel&lt;/Author&gt;&lt;Year&gt;2021&lt;/Year&gt;&lt;RecNum&gt;55&lt;/RecNum&gt;&lt;DisplayText&gt;(The Child Safeguarding Practice Review Panel, 2021)&lt;/DisplayText&gt;&lt;record&gt;&lt;rec-number&gt;55&lt;/rec-number&gt;&lt;foreign-keys&gt;&lt;key app="EN" db-id="ffzvr5fstavwxoe9v04xf0wmp5t50as52da0" timestamp="1731671639" guid="86846faa-f689-4605-b842-4269e9ce5724"&gt;55&lt;/key&gt;&lt;/foreign-keys&gt;&lt;ref-type name="Report"&gt;27&lt;/ref-type&gt;&lt;contributors&gt;&lt;authors&gt;&lt;author&gt;The Child Safeguarding Practice Review Panel,&lt;/author&gt;&lt;/authors&gt;&lt;tertiary-authors&gt;&lt;author&gt;Department for Education&lt;/author&gt;&lt;/tertiary-authors&gt;&lt;/contributors&gt;&lt;titles&gt;&lt;title&gt;“The Myth of Invisible Men” Safeguarding children under 1 from non-accidental injury caused by male carers&lt;/title&gt;&lt;/titles&gt;&lt;dates&gt;&lt;year&gt;2021&lt;/year&gt;&lt;/dates&gt;&lt;urls&gt;&lt;related-urls&gt;&lt;url&gt;https://assets.publishing.service.gov.uk/government/uploads/system/uploads/attachment_data/file/1017944/The_myth_of_invisible_men_safeguarding_children_under_1_from_non-accidental_injury_caused_by_male_carers.pdf&lt;/url&gt;&lt;/related-urls&gt;&lt;/urls&gt;&lt;/record&gt;&lt;/Cite&gt;&lt;/EndNote&gt;</w:instrText>
      </w:r>
      <w:r w:rsidR="00CD3776" w:rsidRPr="00406910">
        <w:fldChar w:fldCharType="separate"/>
      </w:r>
      <w:r w:rsidR="00A77498">
        <w:rPr>
          <w:noProof/>
        </w:rPr>
        <w:t>(The Child Safeguarding Practice Review Panel, 2021)</w:t>
      </w:r>
      <w:r w:rsidR="00CD3776" w:rsidRPr="00406910">
        <w:fldChar w:fldCharType="end"/>
      </w:r>
      <w:r w:rsidR="00CD3776">
        <w:t xml:space="preserve">. </w:t>
      </w:r>
    </w:p>
    <w:p w14:paraId="64D39C00" w14:textId="77777777" w:rsidR="00E011F3" w:rsidRDefault="00E011F3" w:rsidP="003F5417">
      <w:pPr>
        <w:pStyle w:val="NoSpacing"/>
        <w:spacing w:line="360" w:lineRule="auto"/>
      </w:pPr>
    </w:p>
    <w:p w14:paraId="0CBF3372" w14:textId="3405E748" w:rsidR="003F5417" w:rsidRDefault="003F5417" w:rsidP="00CD3776">
      <w:pPr>
        <w:pStyle w:val="NoSpacing"/>
        <w:spacing w:line="360" w:lineRule="auto"/>
      </w:pPr>
      <w:r>
        <w:t xml:space="preserve">The literature shows that fathers tend to be excluded from interventions </w:t>
      </w:r>
      <w:r>
        <w:fldChar w:fldCharType="begin">
          <w:fldData xml:space="preserve">PEVuZE5vdGU+PENpdGU+PEF1dGhvcj5XaGl0dGFrZXI8L0F1dGhvcj48WWVhcj4yMDIyPC9ZZWFy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</w:fldData>
        </w:fldChar>
      </w:r>
      <w:r w:rsidR="00B9334F">
        <w:instrText xml:space="preserve"> ADDIN EN.CITE </w:instrText>
      </w:r>
      <w:r w:rsidR="00B9334F">
        <w:fldChar w:fldCharType="begin">
          <w:fldData xml:space="preserve">PEVuZE5vdGU+PENpdGU+PEF1dGhvcj5XaGl0dGFrZXI8L0F1dGhvcj48WWVhcj4yMDIyPC9ZZWFy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</w:fldData>
        </w:fldChar>
      </w:r>
      <w:r w:rsidR="00B9334F">
        <w:instrText xml:space="preserve"> ADDIN EN.CITE.DATA </w:instrText>
      </w:r>
      <w:r w:rsidR="00B9334F">
        <w:fldChar w:fldCharType="end"/>
      </w:r>
      <w:r>
        <w:fldChar w:fldCharType="separate"/>
      </w:r>
      <w:r w:rsidR="003C6F70">
        <w:rPr>
          <w:noProof/>
        </w:rPr>
        <w:t>(Maxwell et al., 2012; McGovern et al., 2023; Perez-Vaisvidovsky et al., 2023; Stover et al., 2018; Whittaker et al., 2022)</w:t>
      </w:r>
      <w:r>
        <w:fldChar w:fldCharType="end"/>
      </w:r>
      <w:r>
        <w:t xml:space="preserve">, despite most people receiving treatment for SUD being male, and paternal SUD being associated with poor child outcomes </w:t>
      </w:r>
      <w:r>
        <w:fldChar w:fldCharType="begin">
          <w:fldData xml:space="preserve">PEVuZE5vdGU+PENpdGU+PEF1dGhvcj5NY0dvdmVybjwvQXV0aG9yPjxZZWFyPjIwMjM8L1llYXI+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</w:fldData>
        </w:fldChar>
      </w:r>
      <w:r w:rsidR="00B9334F">
        <w:instrText xml:space="preserve"> ADDIN EN.CITE </w:instrText>
      </w:r>
      <w:r w:rsidR="00B9334F">
        <w:fldChar w:fldCharType="begin">
          <w:fldData xml:space="preserve">PEVuZE5vdGU+PENpdGU+PEF1dGhvcj5NY0dvdmVybjwvQXV0aG9yPjxZZWFyPjIwMjM8L1llYXI+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</w:fldData>
        </w:fldChar>
      </w:r>
      <w:r w:rsidR="00B9334F">
        <w:instrText xml:space="preserve"> ADDIN EN.CITE.DATA </w:instrText>
      </w:r>
      <w:r w:rsidR="00B9334F">
        <w:fldChar w:fldCharType="end"/>
      </w:r>
      <w:r>
        <w:fldChar w:fldCharType="separate"/>
      </w:r>
      <w:r w:rsidR="003C6F70">
        <w:rPr>
          <w:noProof/>
        </w:rPr>
        <w:t>(Maxwell et al., 2012; McGovern et al., 2023)</w:t>
      </w:r>
      <w:r>
        <w:fldChar w:fldCharType="end"/>
      </w:r>
      <w:r>
        <w:t xml:space="preserve">. </w:t>
      </w:r>
      <w:r w:rsidR="003024FE">
        <w:t>Studies have shown</w:t>
      </w:r>
      <w:r>
        <w:t xml:space="preserve"> that some fathers may welcome and benefit from intervention, even though engagement with services can be challenging </w:t>
      </w:r>
      <w:r>
        <w:fldChar w:fldCharType="begin">
          <w:fldData xml:space="preserve">PEVuZE5vdGU+PENpdGU+PEF1dGhvcj5NYXh3ZWxsPC9BdXRob3I+PFllYXI+MjAxMjwvWWVhcj48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</w:fldData>
        </w:fldChar>
      </w:r>
      <w:r w:rsidR="0042328C">
        <w:instrText xml:space="preserve"> ADDIN EN.CITE </w:instrText>
      </w:r>
      <w:r w:rsidR="0042328C">
        <w:fldChar w:fldCharType="begin">
          <w:fldData xml:space="preserve">PEVuZE5vdGU+PENpdGU+PEF1dGhvcj5NYXh3ZWxsPC9BdXRob3I+PFllYXI+MjAxMjwvWWVhcj48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</w:fldData>
        </w:fldChar>
      </w:r>
      <w:r w:rsidR="0042328C">
        <w:instrText xml:space="preserve"> ADDIN EN.CITE.DATA </w:instrText>
      </w:r>
      <w:r w:rsidR="0042328C">
        <w:fldChar w:fldCharType="end"/>
      </w:r>
      <w:r>
        <w:fldChar w:fldCharType="separate"/>
      </w:r>
      <w:r w:rsidR="0042328C">
        <w:rPr>
          <w:noProof/>
        </w:rPr>
        <w:t>(Maxwell et al., 2012; Rubenstein &amp; Stover, 2016; Stover, 2015; Stover et al., 2019a)</w:t>
      </w:r>
      <w:r>
        <w:fldChar w:fldCharType="end"/>
      </w:r>
      <w:r>
        <w:t xml:space="preserve">. A UK feasibility study for the Parents Under Pressure parenting programme for opioid using fathers (PUP4Dads) has also reported promising outcomes in terms of SUD reduction and father-child relationships </w:t>
      </w:r>
      <w:r>
        <w:fldChar w:fldCharType="begin"/>
      </w:r>
      <w:r w:rsidR="00B9334F">
        <w:instrText xml:space="preserve"> ADDIN EN.CITE &lt;EndNote&gt;&lt;Cite&gt;&lt;Author&gt;Whittaker&lt;/Author&gt;&lt;Year&gt;2022&lt;/Year&gt;&lt;RecNum&gt;199&lt;/RecNum&gt;&lt;DisplayText&gt;(Whittaker et al., 2022)&lt;/DisplayText&gt;&lt;record&gt;&lt;rec-number&gt;199&lt;/rec-number&gt;&lt;foreign-keys&gt;&lt;key app="EN" db-id="ffzvr5fstavwxoe9v04xf0wmp5t50as52da0" timestamp="1731671648" guid="99de965e-4f33-4e36-be9a-a2b9a2307c41"&gt;199&lt;/key&gt;&lt;/foreign-keys&gt;&lt;ref-type name="Journal Article"&gt;17&lt;/ref-type&gt;&lt;contributors&gt;&lt;authors&gt;&lt;author&gt;Whittaker, Anne&lt;/author&gt;&lt;author&gt;Elliott, Lawrie&lt;/author&gt;&lt;author&gt;Taylor, Julie&lt;/author&gt;&lt;author&gt;Dawe, Sharon&lt;/author&gt;&lt;author&gt;Harnett, Paul&lt;/author&gt;&lt;author&gt;Stoddart, Andrew&lt;/author&gt;&lt;author&gt;Littlewood, Peter&lt;/author&gt;&lt;author&gt;Robertson, Roy&lt;/author&gt;&lt;author&gt;Farquharson, Barbara&lt;/author&gt;&lt;author&gt;Strachan, Heather&lt;/author&gt;&lt;/authors&gt;&lt;/contributors&gt;&lt;titles&gt;&lt;title&gt;The Parents under Pressure parenting programme for families with fathers receiving treatment for opioid dependence: the PuP4Dads feasibility study&lt;/title&gt;&lt;alt-title&gt;Public Health Res&lt;/alt-title&gt;&lt;/titles&gt;&lt;alt-periodical&gt;&lt;abbr-1&gt;Public Health Res&lt;/abbr-1&gt;&lt;/alt-periodical&gt;&lt;pages&gt;3&lt;/pages&gt;&lt;volume&gt;10&lt;/volume&gt;&lt;dates&gt;&lt;year&gt;2022&lt;/year&gt;&lt;/dates&gt;&lt;label&gt;1.&lt;/label&gt;&lt;urls&gt;&lt;related-urls&gt;&lt;url&gt;https://doi.org/10.3310/YOWK7214&lt;/url&gt;&lt;/related-urls&gt;&lt;/urls&gt;&lt;electronic-resource-num&gt;10.3310/YOWK7214&lt;/electronic-resource-num&gt;&lt;/record&gt;&lt;/Cite&gt;&lt;/EndNote&gt;</w:instrText>
      </w:r>
      <w:r>
        <w:fldChar w:fldCharType="separate"/>
      </w:r>
      <w:r w:rsidR="00A77498">
        <w:rPr>
          <w:noProof/>
        </w:rPr>
        <w:t>(Whittaker et al., 2022)</w:t>
      </w:r>
      <w:r>
        <w:fldChar w:fldCharType="end"/>
      </w:r>
      <w:r>
        <w:t xml:space="preserve">. </w:t>
      </w:r>
    </w:p>
    <w:p w14:paraId="32743A18" w14:textId="77777777" w:rsidR="00E80A23" w:rsidRDefault="00E80A23" w:rsidP="00CD3776">
      <w:pPr>
        <w:pStyle w:val="NoSpacing"/>
        <w:spacing w:line="360" w:lineRule="auto"/>
      </w:pPr>
    </w:p>
    <w:p w14:paraId="23DB840A" w14:textId="2EC1998D" w:rsidR="00A264A4" w:rsidRPr="003D0F9A" w:rsidRDefault="00BD6E08" w:rsidP="00A264A4">
      <w:pPr>
        <w:pStyle w:val="paragraph"/>
        <w:spacing w:before="0" w:beforeAutospacing="0" w:after="0" w:afterAutospacing="0" w:line="360" w:lineRule="auto"/>
        <w:textAlignment w:val="baseline"/>
        <w:rPr>
          <w:rFonts w:ascii="Arial" w:eastAsiaTheme="minorEastAsia" w:hAnsi="Arial" w:cs="Arial"/>
          <w:lang w:eastAsia="en-US"/>
        </w:rPr>
      </w:pPr>
      <w:r>
        <w:rPr>
          <w:rFonts w:ascii="Arial" w:eastAsiaTheme="minorEastAsia" w:hAnsi="Arial" w:cs="Arial"/>
          <w:lang w:eastAsia="en-US"/>
        </w:rPr>
        <w:t xml:space="preserve">The finding that treatment in a residential </w:t>
      </w:r>
      <w:r w:rsidR="00A1556E">
        <w:rPr>
          <w:rFonts w:ascii="Arial" w:eastAsiaTheme="minorEastAsia" w:hAnsi="Arial" w:cs="Arial"/>
          <w:lang w:eastAsia="en-US"/>
        </w:rPr>
        <w:t xml:space="preserve">rehabilitation </w:t>
      </w:r>
      <w:r w:rsidR="009B4F93">
        <w:rPr>
          <w:rFonts w:ascii="Arial" w:eastAsiaTheme="minorEastAsia" w:hAnsi="Arial" w:cs="Arial"/>
          <w:lang w:eastAsia="en-US"/>
        </w:rPr>
        <w:t xml:space="preserve">‘rehab’ </w:t>
      </w:r>
      <w:r w:rsidR="00732ED9">
        <w:rPr>
          <w:rFonts w:ascii="Arial" w:eastAsiaTheme="minorEastAsia" w:hAnsi="Arial" w:cs="Arial"/>
          <w:lang w:eastAsia="en-US"/>
        </w:rPr>
        <w:t xml:space="preserve">unit </w:t>
      </w:r>
      <w:r w:rsidR="00B75FFF">
        <w:rPr>
          <w:rFonts w:ascii="Arial" w:eastAsiaTheme="minorEastAsia" w:hAnsi="Arial" w:cs="Arial"/>
          <w:lang w:eastAsia="en-US"/>
        </w:rPr>
        <w:t xml:space="preserve">may </w:t>
      </w:r>
      <w:r w:rsidR="00732ED9">
        <w:rPr>
          <w:rFonts w:ascii="Arial" w:eastAsiaTheme="minorEastAsia" w:hAnsi="Arial" w:cs="Arial"/>
          <w:lang w:eastAsia="en-US"/>
        </w:rPr>
        <w:t xml:space="preserve">provide parents with a better treatment outcome </w:t>
      </w:r>
      <w:r w:rsidR="002D07ED">
        <w:rPr>
          <w:rFonts w:ascii="Arial" w:eastAsiaTheme="minorEastAsia" w:hAnsi="Arial" w:cs="Arial"/>
          <w:lang w:eastAsia="en-US"/>
        </w:rPr>
        <w:t>is of note</w:t>
      </w:r>
      <w:r w:rsidR="007A5BB4">
        <w:rPr>
          <w:rFonts w:ascii="Arial" w:eastAsiaTheme="minorEastAsia" w:hAnsi="Arial" w:cs="Arial"/>
          <w:lang w:eastAsia="en-US"/>
        </w:rPr>
        <w:t xml:space="preserve"> (</w:t>
      </w:r>
      <w:r w:rsidR="007A5BB4" w:rsidRPr="005D1135">
        <w:rPr>
          <w:rFonts w:ascii="Arial" w:eastAsiaTheme="minorEastAsia" w:hAnsi="Arial" w:cs="Arial"/>
          <w:b/>
          <w:bCs/>
          <w:lang w:eastAsia="en-US"/>
        </w:rPr>
        <w:t>F4</w:t>
      </w:r>
      <w:r w:rsidR="007A5BB4">
        <w:rPr>
          <w:rFonts w:ascii="Arial" w:eastAsiaTheme="minorEastAsia" w:hAnsi="Arial" w:cs="Arial"/>
          <w:lang w:eastAsia="en-US"/>
        </w:rPr>
        <w:t>)</w:t>
      </w:r>
      <w:r w:rsidR="00097D59">
        <w:rPr>
          <w:rFonts w:ascii="Arial" w:eastAsiaTheme="minorEastAsia" w:hAnsi="Arial" w:cs="Arial"/>
          <w:lang w:eastAsia="en-US"/>
        </w:rPr>
        <w:t xml:space="preserve">. </w:t>
      </w:r>
      <w:r w:rsidR="00251B8D">
        <w:rPr>
          <w:rFonts w:ascii="Arial" w:eastAsiaTheme="minorEastAsia" w:hAnsi="Arial" w:cs="Arial"/>
          <w:lang w:eastAsia="en-US"/>
        </w:rPr>
        <w:t>Previous research</w:t>
      </w:r>
      <w:r w:rsidR="00251B8D" w:rsidRPr="00CC2CF5">
        <w:rPr>
          <w:rFonts w:ascii="Arial" w:eastAsiaTheme="minorEastAsia" w:hAnsi="Arial" w:cs="Arial"/>
          <w:lang w:eastAsia="en-US"/>
        </w:rPr>
        <w:t xml:space="preserve"> </w:t>
      </w:r>
      <w:r w:rsidR="00251B8D">
        <w:rPr>
          <w:rFonts w:ascii="Arial" w:eastAsiaTheme="minorEastAsia" w:hAnsi="Arial" w:cs="Arial"/>
          <w:lang w:eastAsia="en-US"/>
        </w:rPr>
        <w:t>on t</w:t>
      </w:r>
      <w:r w:rsidR="00251B8D" w:rsidRPr="5A18ECEE">
        <w:rPr>
          <w:rFonts w:ascii="Arial" w:eastAsiaTheme="minorEastAsia" w:hAnsi="Arial" w:cs="Arial"/>
          <w:lang w:eastAsia="en-US"/>
        </w:rPr>
        <w:t xml:space="preserve">he effectiveness of residential and non-residential based interventions specifically for mothers of substance-exposed infants in care found that the most significant factor in family reunification was not the treatment type or setting but rather treatment </w:t>
      </w:r>
      <w:r w:rsidR="00251B8D" w:rsidRPr="5A18ECEE">
        <w:rPr>
          <w:rFonts w:ascii="Arial" w:eastAsiaTheme="minorEastAsia" w:hAnsi="Arial" w:cs="Arial"/>
          <w:lang w:eastAsia="en-US"/>
        </w:rPr>
        <w:lastRenderedPageBreak/>
        <w:t>retention, and that combined outpatient and residential treatments was the only variable significantly correlated with retention</w:t>
      </w:r>
      <w:r w:rsidR="00251B8D">
        <w:rPr>
          <w:rFonts w:ascii="Arial" w:eastAsiaTheme="minorEastAsia" w:hAnsi="Arial" w:cs="Arial"/>
          <w:lang w:eastAsia="en-US"/>
        </w:rPr>
        <w:t xml:space="preserve"> </w:t>
      </w:r>
      <w:r w:rsidR="00251B8D" w:rsidRPr="5A18ECEE">
        <w:rPr>
          <w:rFonts w:ascii="Arial" w:eastAsiaTheme="minorEastAsia" w:hAnsi="Arial" w:cs="Arial"/>
          <w:lang w:eastAsia="en-US"/>
        </w:rPr>
        <w:fldChar w:fldCharType="begin"/>
      </w:r>
      <w:r w:rsidR="00B9334F">
        <w:rPr>
          <w:rFonts w:ascii="Arial" w:eastAsiaTheme="minorEastAsia" w:hAnsi="Arial" w:cs="Arial"/>
          <w:lang w:eastAsia="en-US"/>
        </w:rPr>
        <w:instrText xml:space="preserve"> ADDIN EN.CITE &lt;EndNote&gt;&lt;Cite&gt;&lt;Author&gt;Huang&lt;/Author&gt;&lt;Year&gt;2011&lt;/Year&gt;&lt;RecNum&gt;13&lt;/RecNum&gt;&lt;DisplayText&gt;(Huang &amp;amp; Ryan, 2011)&lt;/DisplayText&gt;&lt;record&gt;&lt;rec-number&gt;13&lt;/rec-number&gt;&lt;foreign-keys&gt;&lt;key app="EN" db-id="ffzvr5fstavwxoe9v04xf0wmp5t50as52da0" timestamp="1731671636" guid="c3d5441f-a743-47e6-bcb4-496ca2ca4068"&gt;13&lt;/key&gt;&lt;/foreign-keys&gt;&lt;ref-type name="Journal Article"&gt;17&lt;/ref-type&gt;&lt;contributors&gt;&lt;authors&gt;&lt;author&gt;Huang, Hui&lt;/author&gt;&lt;author&gt;Ryan, Joseph P.&lt;/author&gt;&lt;/authors&gt;&lt;/contributors&gt;&lt;titles&gt;&lt;title&gt;Trying to come home: Substance exposed infants, mothers, and family reunification&lt;/title&gt;&lt;secondary-title&gt;Children and Youth Services Review&lt;/secondary-title&gt;&lt;/titles&gt;&lt;periodical&gt;&lt;full-title&gt;Children and Youth Services Review&lt;/full-title&gt;&lt;/periodical&gt;&lt;pages&gt;322-329&lt;/pages&gt;&lt;volume&gt;33&lt;/volume&gt;&lt;number&gt;2&lt;/number&gt;&lt;keywords&gt;&lt;keyword&gt;Substance exposed infant Treatment component Treatment progress Reunification&lt;/keyword&gt;&lt;/keywords&gt;&lt;dates&gt;&lt;year&gt;2011&lt;/year&gt;&lt;/dates&gt;&lt;urls&gt;&lt;related-urls&gt;&lt;url&gt;https://EconPapers.repec.org/RePEc:eee:cysrev:v:33:y:2011:i:2:p:322-329&lt;/url&gt;&lt;/related-urls&gt;&lt;/urls&gt;&lt;/record&gt;&lt;/Cite&gt;&lt;/EndNote&gt;</w:instrText>
      </w:r>
      <w:r w:rsidR="00251B8D" w:rsidRPr="5A18ECEE">
        <w:rPr>
          <w:rFonts w:ascii="Arial" w:eastAsiaTheme="minorEastAsia" w:hAnsi="Arial" w:cs="Arial"/>
          <w:lang w:eastAsia="en-US"/>
        </w:rPr>
        <w:fldChar w:fldCharType="separate"/>
      </w:r>
      <w:r w:rsidR="00251B8D">
        <w:rPr>
          <w:rFonts w:ascii="Arial" w:eastAsiaTheme="minorEastAsia" w:hAnsi="Arial" w:cs="Arial"/>
          <w:noProof/>
          <w:lang w:eastAsia="en-US"/>
        </w:rPr>
        <w:t>(Huang &amp; Ryan, 2011)</w:t>
      </w:r>
      <w:r w:rsidR="00251B8D" w:rsidRPr="5A18ECEE">
        <w:rPr>
          <w:rFonts w:ascii="Arial" w:eastAsiaTheme="minorEastAsia" w:hAnsi="Arial" w:cs="Arial"/>
          <w:lang w:eastAsia="en-US"/>
        </w:rPr>
        <w:fldChar w:fldCharType="end"/>
      </w:r>
      <w:r w:rsidR="0083184B">
        <w:rPr>
          <w:rFonts w:ascii="Arial" w:eastAsiaTheme="minorEastAsia" w:hAnsi="Arial" w:cs="Arial"/>
          <w:lang w:eastAsia="en-US"/>
        </w:rPr>
        <w:t xml:space="preserve">. </w:t>
      </w:r>
      <w:r w:rsidR="00251B8D" w:rsidRPr="5A18ECEE">
        <w:rPr>
          <w:rFonts w:ascii="Arial" w:eastAsiaTheme="minorEastAsia" w:hAnsi="Arial" w:cs="Arial"/>
          <w:lang w:eastAsia="en-US"/>
        </w:rPr>
        <w:t xml:space="preserve">It is possible that our </w:t>
      </w:r>
      <w:r w:rsidR="00706A5A">
        <w:rPr>
          <w:rFonts w:ascii="Arial" w:eastAsiaTheme="minorEastAsia" w:hAnsi="Arial" w:cs="Arial"/>
          <w:lang w:eastAsia="en-US"/>
        </w:rPr>
        <w:t>results</w:t>
      </w:r>
      <w:r w:rsidR="00251B8D" w:rsidRPr="5A18ECEE">
        <w:rPr>
          <w:rFonts w:ascii="Arial" w:eastAsiaTheme="minorEastAsia" w:hAnsi="Arial" w:cs="Arial"/>
          <w:lang w:eastAsia="en-US"/>
        </w:rPr>
        <w:t xml:space="preserve"> </w:t>
      </w:r>
      <w:r w:rsidR="0083184B">
        <w:rPr>
          <w:rFonts w:ascii="Arial" w:eastAsiaTheme="minorEastAsia" w:hAnsi="Arial" w:cs="Arial"/>
          <w:lang w:eastAsia="en-US"/>
        </w:rPr>
        <w:t>support this</w:t>
      </w:r>
      <w:r w:rsidR="00706A5A">
        <w:rPr>
          <w:rFonts w:ascii="Arial" w:eastAsiaTheme="minorEastAsia" w:hAnsi="Arial" w:cs="Arial"/>
          <w:lang w:eastAsia="en-US"/>
        </w:rPr>
        <w:t>,</w:t>
      </w:r>
      <w:r w:rsidR="0083184B">
        <w:rPr>
          <w:rFonts w:ascii="Arial" w:eastAsiaTheme="minorEastAsia" w:hAnsi="Arial" w:cs="Arial"/>
          <w:lang w:eastAsia="en-US"/>
        </w:rPr>
        <w:t xml:space="preserve"> </w:t>
      </w:r>
      <w:r w:rsidR="00706A5A">
        <w:rPr>
          <w:rFonts w:ascii="Arial" w:eastAsiaTheme="minorEastAsia" w:hAnsi="Arial" w:cs="Arial"/>
          <w:lang w:eastAsia="en-US"/>
        </w:rPr>
        <w:t>as treatment interventions were not mutually exclusive groups</w:t>
      </w:r>
      <w:r w:rsidR="009305FF">
        <w:rPr>
          <w:rFonts w:ascii="Arial" w:eastAsiaTheme="minorEastAsia" w:hAnsi="Arial" w:cs="Arial"/>
          <w:lang w:eastAsia="en-US"/>
        </w:rPr>
        <w:t xml:space="preserve"> in the model</w:t>
      </w:r>
      <w:r w:rsidR="00D164D5">
        <w:rPr>
          <w:rFonts w:ascii="Arial" w:eastAsiaTheme="minorEastAsia" w:hAnsi="Arial" w:cs="Arial"/>
          <w:lang w:eastAsia="en-US"/>
        </w:rPr>
        <w:t xml:space="preserve">. </w:t>
      </w:r>
      <w:r w:rsidR="00FB4B94">
        <w:rPr>
          <w:rFonts w:ascii="Arial" w:eastAsiaTheme="minorEastAsia" w:hAnsi="Arial" w:cs="Arial"/>
          <w:lang w:eastAsia="en-US"/>
        </w:rPr>
        <w:t>As r</w:t>
      </w:r>
      <w:r w:rsidR="00D164D5">
        <w:rPr>
          <w:rFonts w:ascii="Arial" w:eastAsiaTheme="minorEastAsia" w:hAnsi="Arial" w:cs="Arial"/>
          <w:lang w:eastAsia="en-US"/>
        </w:rPr>
        <w:t xml:space="preserve">ehabs require their patients to abstain </w:t>
      </w:r>
      <w:r w:rsidR="009305FF">
        <w:rPr>
          <w:rFonts w:ascii="Arial" w:eastAsiaTheme="minorEastAsia" w:hAnsi="Arial" w:cs="Arial"/>
          <w:lang w:eastAsia="en-US"/>
        </w:rPr>
        <w:t xml:space="preserve">from alcohol use and illicit substance use </w:t>
      </w:r>
      <w:r w:rsidR="00D164D5">
        <w:rPr>
          <w:rFonts w:ascii="Arial" w:eastAsiaTheme="minorEastAsia" w:hAnsi="Arial" w:cs="Arial"/>
          <w:lang w:eastAsia="en-US"/>
        </w:rPr>
        <w:t>during their stay</w:t>
      </w:r>
      <w:r w:rsidR="00FB4B94">
        <w:rPr>
          <w:rFonts w:ascii="Arial" w:eastAsiaTheme="minorEastAsia" w:hAnsi="Arial" w:cs="Arial"/>
          <w:lang w:eastAsia="en-US"/>
        </w:rPr>
        <w:t>,</w:t>
      </w:r>
      <w:r w:rsidR="00706A5A">
        <w:rPr>
          <w:rFonts w:ascii="Arial" w:eastAsiaTheme="minorEastAsia" w:hAnsi="Arial" w:cs="Arial"/>
          <w:lang w:eastAsia="en-US"/>
        </w:rPr>
        <w:t xml:space="preserve"> </w:t>
      </w:r>
      <w:r w:rsidR="00FB4B94">
        <w:rPr>
          <w:rFonts w:ascii="Arial" w:eastAsiaTheme="minorEastAsia" w:hAnsi="Arial" w:cs="Arial"/>
          <w:lang w:eastAsia="en-US"/>
        </w:rPr>
        <w:t>i</w:t>
      </w:r>
      <w:r w:rsidR="00706A5A">
        <w:rPr>
          <w:rFonts w:ascii="Arial" w:eastAsiaTheme="minorEastAsia" w:hAnsi="Arial" w:cs="Arial"/>
          <w:lang w:eastAsia="en-US"/>
        </w:rPr>
        <w:t xml:space="preserve">t is typical for people on a residential treatment pathway </w:t>
      </w:r>
      <w:r w:rsidR="004E2583">
        <w:rPr>
          <w:rFonts w:ascii="Arial" w:eastAsiaTheme="minorEastAsia" w:hAnsi="Arial" w:cs="Arial"/>
          <w:lang w:eastAsia="en-US"/>
        </w:rPr>
        <w:t xml:space="preserve">in England </w:t>
      </w:r>
      <w:r w:rsidR="00706A5A">
        <w:rPr>
          <w:rFonts w:ascii="Arial" w:eastAsiaTheme="minorEastAsia" w:hAnsi="Arial" w:cs="Arial"/>
          <w:lang w:eastAsia="en-US"/>
        </w:rPr>
        <w:t xml:space="preserve">to have received treatment in an outpatient setting before a stay in rehab to </w:t>
      </w:r>
      <w:r w:rsidR="009B4F93">
        <w:rPr>
          <w:rFonts w:ascii="Arial" w:eastAsiaTheme="minorEastAsia" w:hAnsi="Arial" w:cs="Arial"/>
          <w:lang w:eastAsia="en-US"/>
        </w:rPr>
        <w:t>support their abstinence prior to entry</w:t>
      </w:r>
      <w:r w:rsidR="00D164D5">
        <w:rPr>
          <w:rFonts w:ascii="Arial" w:eastAsiaTheme="minorEastAsia" w:hAnsi="Arial" w:cs="Arial"/>
          <w:lang w:eastAsia="en-US"/>
        </w:rPr>
        <w:t>,</w:t>
      </w:r>
      <w:r w:rsidR="009B4F93">
        <w:rPr>
          <w:rFonts w:ascii="Arial" w:eastAsiaTheme="minorEastAsia" w:hAnsi="Arial" w:cs="Arial"/>
          <w:lang w:eastAsia="en-US"/>
        </w:rPr>
        <w:t xml:space="preserve"> and/or after to sustain their abstinence. </w:t>
      </w:r>
      <w:r w:rsidR="00B33ADB" w:rsidRPr="5A18ECEE">
        <w:rPr>
          <w:rFonts w:ascii="Arial" w:eastAsiaTheme="minorEastAsia" w:hAnsi="Arial" w:cs="Arial"/>
          <w:lang w:eastAsia="en-US"/>
        </w:rPr>
        <w:t xml:space="preserve">The </w:t>
      </w:r>
      <w:r w:rsidR="00B33ADB">
        <w:rPr>
          <w:rFonts w:ascii="Arial" w:eastAsiaTheme="minorEastAsia" w:hAnsi="Arial" w:cs="Arial"/>
          <w:lang w:eastAsia="en-US"/>
        </w:rPr>
        <w:t xml:space="preserve">fact that a </w:t>
      </w:r>
      <w:r w:rsidR="003F33B8">
        <w:rPr>
          <w:rFonts w:ascii="Arial" w:eastAsiaTheme="minorEastAsia" w:hAnsi="Arial" w:cs="Arial"/>
          <w:lang w:eastAsia="en-US"/>
        </w:rPr>
        <w:t>minority</w:t>
      </w:r>
      <w:r w:rsidR="00B33ADB">
        <w:rPr>
          <w:rFonts w:ascii="Arial" w:eastAsiaTheme="minorEastAsia" w:hAnsi="Arial" w:cs="Arial"/>
          <w:lang w:eastAsia="en-US"/>
        </w:rPr>
        <w:t xml:space="preserve"> of parents received </w:t>
      </w:r>
      <w:r w:rsidR="00B33ADB" w:rsidRPr="5A18ECEE">
        <w:rPr>
          <w:rFonts w:ascii="Arial" w:eastAsiaTheme="minorEastAsia" w:hAnsi="Arial" w:cs="Arial"/>
          <w:lang w:eastAsia="en-US"/>
        </w:rPr>
        <w:t xml:space="preserve">treatment in a </w:t>
      </w:r>
      <w:r w:rsidR="00B33ADB">
        <w:rPr>
          <w:rFonts w:ascii="Arial" w:eastAsiaTheme="minorEastAsia" w:hAnsi="Arial" w:cs="Arial"/>
          <w:lang w:eastAsia="en-US"/>
        </w:rPr>
        <w:t>rehab</w:t>
      </w:r>
      <w:r w:rsidR="00B33ADB" w:rsidRPr="5A18ECEE">
        <w:rPr>
          <w:rFonts w:ascii="Arial" w:eastAsiaTheme="minorEastAsia" w:hAnsi="Arial" w:cs="Arial"/>
          <w:lang w:eastAsia="en-US"/>
        </w:rPr>
        <w:t xml:space="preserve"> may be explained by the lack of residential programmes for parents that can also accommodate their children or child visitations in England</w:t>
      </w:r>
      <w:r w:rsidR="00C11C5C">
        <w:rPr>
          <w:rFonts w:ascii="Arial" w:eastAsiaTheme="minorEastAsia" w:hAnsi="Arial" w:cs="Arial"/>
          <w:lang w:eastAsia="en-US"/>
        </w:rPr>
        <w:t xml:space="preserve">, as well as </w:t>
      </w:r>
      <w:r w:rsidR="00B13FDD">
        <w:rPr>
          <w:rFonts w:ascii="Arial" w:eastAsiaTheme="minorEastAsia" w:hAnsi="Arial" w:cs="Arial"/>
          <w:lang w:eastAsia="en-US"/>
        </w:rPr>
        <w:t xml:space="preserve">residential programmes being a more costly </w:t>
      </w:r>
      <w:r w:rsidR="00111F26">
        <w:rPr>
          <w:rFonts w:ascii="Arial" w:eastAsiaTheme="minorEastAsia" w:hAnsi="Arial" w:cs="Arial"/>
          <w:lang w:eastAsia="en-US"/>
        </w:rPr>
        <w:t xml:space="preserve">option than </w:t>
      </w:r>
      <w:r w:rsidR="00EB6630">
        <w:rPr>
          <w:rFonts w:ascii="Arial" w:eastAsiaTheme="minorEastAsia" w:hAnsi="Arial" w:cs="Arial"/>
          <w:lang w:eastAsia="en-US"/>
        </w:rPr>
        <w:t>treatment in an outpatient setting</w:t>
      </w:r>
      <w:r w:rsidR="00B33ADB" w:rsidRPr="5A18ECEE">
        <w:rPr>
          <w:rFonts w:ascii="Arial" w:eastAsiaTheme="minorEastAsia" w:hAnsi="Arial" w:cs="Arial"/>
          <w:lang w:eastAsia="en-US"/>
        </w:rPr>
        <w:t>.</w:t>
      </w:r>
    </w:p>
    <w:p w14:paraId="47F7768B" w14:textId="58EBB22D" w:rsidR="000F006A" w:rsidRDefault="000F006A" w:rsidP="00C1450F">
      <w:pPr>
        <w:pStyle w:val="paragraph"/>
        <w:spacing w:before="0" w:beforeAutospacing="0" w:after="0" w:afterAutospacing="0" w:line="360" w:lineRule="auto"/>
        <w:textAlignment w:val="baseline"/>
        <w:rPr>
          <w:rFonts w:ascii="Arial" w:eastAsiaTheme="minorEastAsia" w:hAnsi="Arial" w:cs="Arial"/>
          <w:lang w:eastAsia="en-US"/>
        </w:rPr>
      </w:pPr>
    </w:p>
    <w:p w14:paraId="5F24A8B8" w14:textId="6E3E13BF" w:rsidR="00690946" w:rsidRPr="002B6E3D" w:rsidRDefault="00335220" w:rsidP="002B6E3D">
      <w:pPr>
        <w:pStyle w:val="paragraph"/>
        <w:spacing w:line="360" w:lineRule="auto"/>
        <w:textAlignment w:val="baseline"/>
        <w:rPr>
          <w:rStyle w:val="ui-provider"/>
          <w:rFonts w:ascii="Arial" w:eastAsiaTheme="minorHAnsi" w:hAnsi="Arial" w:cs="Arial"/>
          <w:lang w:eastAsia="en-US"/>
        </w:rPr>
      </w:pPr>
      <w:r w:rsidRPr="00701F5C">
        <w:rPr>
          <w:rStyle w:val="ui-provider"/>
          <w:rFonts w:ascii="Arial" w:eastAsiaTheme="minorHAnsi" w:hAnsi="Arial" w:cs="Arial"/>
        </w:rPr>
        <w:t xml:space="preserve">It was </w:t>
      </w:r>
      <w:r>
        <w:rPr>
          <w:rStyle w:val="ui-provider"/>
          <w:rFonts w:ascii="Arial" w:eastAsiaTheme="minorHAnsi" w:hAnsi="Arial" w:cs="Arial"/>
        </w:rPr>
        <w:t xml:space="preserve">perhaps </w:t>
      </w:r>
      <w:r w:rsidRPr="00701F5C">
        <w:rPr>
          <w:rStyle w:val="ui-provider"/>
          <w:rFonts w:ascii="Arial" w:eastAsiaTheme="minorHAnsi" w:hAnsi="Arial" w:cs="Arial"/>
        </w:rPr>
        <w:t xml:space="preserve">not surprising that having a child in care was associated with a </w:t>
      </w:r>
      <w:r>
        <w:rPr>
          <w:rStyle w:val="ui-provider"/>
          <w:rFonts w:ascii="Arial" w:eastAsiaTheme="minorHAnsi" w:hAnsi="Arial" w:cs="Arial"/>
        </w:rPr>
        <w:t>lower likelihood of successfully completing tre</w:t>
      </w:r>
      <w:r w:rsidRPr="00335220">
        <w:rPr>
          <w:rStyle w:val="ui-provider"/>
          <w:rFonts w:ascii="Arial" w:eastAsiaTheme="minorHAnsi" w:hAnsi="Arial" w:cs="Arial"/>
        </w:rPr>
        <w:t>atment (</w:t>
      </w:r>
      <w:r w:rsidRPr="00AF2A37">
        <w:rPr>
          <w:rFonts w:ascii="Arial" w:eastAsiaTheme="minorEastAsia" w:hAnsi="Arial" w:cs="Arial"/>
          <w:b/>
          <w:bCs/>
        </w:rPr>
        <w:fldChar w:fldCharType="begin"/>
      </w:r>
      <w:r w:rsidRPr="00AF2A37">
        <w:rPr>
          <w:rFonts w:ascii="Arial" w:hAnsi="Arial" w:cs="Arial"/>
        </w:rPr>
        <w:instrText xml:space="preserve"> REF _Ref176981473 \h </w:instrText>
      </w:r>
      <w:r>
        <w:rPr>
          <w:rFonts w:ascii="Arial" w:eastAsiaTheme="minorEastAsia" w:hAnsi="Arial" w:cs="Arial"/>
          <w:b/>
          <w:bCs/>
        </w:rPr>
        <w:instrText xml:space="preserve"> \* MERGEFORMAT </w:instrText>
      </w:r>
      <w:r w:rsidRPr="00AF2A37">
        <w:rPr>
          <w:rFonts w:ascii="Arial" w:eastAsiaTheme="minorEastAsia" w:hAnsi="Arial" w:cs="Arial"/>
          <w:b/>
          <w:bCs/>
        </w:rPr>
      </w:r>
      <w:r w:rsidRPr="00AF2A37">
        <w:rPr>
          <w:rFonts w:ascii="Arial" w:eastAsiaTheme="minorEastAsia" w:hAnsi="Arial" w:cs="Arial"/>
          <w:b/>
          <w:bCs/>
        </w:rPr>
        <w:fldChar w:fldCharType="separate"/>
      </w:r>
      <w:r w:rsidRPr="00AF2A37">
        <w:rPr>
          <w:rFonts w:ascii="Arial" w:eastAsiaTheme="minorEastAsia" w:hAnsi="Arial" w:cs="Arial"/>
          <w:b/>
          <w:bCs/>
        </w:rPr>
        <w:t>F</w:t>
      </w:r>
      <w:r w:rsidRPr="00AF2A37">
        <w:rPr>
          <w:rFonts w:ascii="Arial" w:eastAsiaTheme="minorEastAsia" w:hAnsi="Arial" w:cs="Arial"/>
          <w:b/>
          <w:bCs/>
          <w:noProof/>
        </w:rPr>
        <w:t>5</w:t>
      </w:r>
      <w:r w:rsidRPr="00AF2A37">
        <w:rPr>
          <w:rFonts w:ascii="Arial" w:eastAsiaTheme="minorEastAsia" w:hAnsi="Arial" w:cs="Arial"/>
          <w:b/>
          <w:bCs/>
        </w:rPr>
        <w:fldChar w:fldCharType="end"/>
      </w:r>
      <w:r w:rsidRPr="00335220">
        <w:rPr>
          <w:rStyle w:val="ui-provider"/>
          <w:rFonts w:ascii="Arial" w:eastAsiaTheme="minorHAnsi" w:hAnsi="Arial" w:cs="Arial"/>
        </w:rPr>
        <w:t>). Having</w:t>
      </w:r>
      <w:r w:rsidRPr="00701F5C">
        <w:rPr>
          <w:rStyle w:val="ui-provider"/>
          <w:rFonts w:ascii="Arial" w:eastAsiaTheme="minorHAnsi" w:hAnsi="Arial" w:cs="Arial"/>
        </w:rPr>
        <w:t xml:space="preserve"> a child placed into care </w:t>
      </w:r>
      <w:r w:rsidRPr="00701F5C">
        <w:rPr>
          <w:rStyle w:val="ui-provider"/>
          <w:rFonts w:ascii="Arial" w:eastAsiaTheme="minorHAnsi" w:hAnsi="Arial" w:cs="Arial"/>
          <w:lang w:eastAsia="en-US"/>
        </w:rPr>
        <w:t xml:space="preserve">increases trauma and the risk of substance use, depression and suicidal ideation </w:t>
      </w:r>
      <w:r w:rsidRPr="002B6E3D">
        <w:rPr>
          <w:rStyle w:val="ui-provider"/>
          <w:rFonts w:ascii="Arial" w:eastAsiaTheme="minorHAnsi" w:hAnsi="Arial" w:cs="Arial"/>
          <w:lang w:eastAsia="en-US"/>
        </w:rPr>
        <w:fldChar w:fldCharType="begin">
          <w:fldData xml:space="preserve">PEVuZE5vdGU+PENpdGU+PEF1dGhvcj5BbHJvdWg8L0F1dGhvcj48WWVhcj4yMDIyPC9ZZWFyPjxS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=
</w:fldData>
        </w:fldChar>
      </w:r>
      <w:r w:rsidR="00B9334F">
        <w:rPr>
          <w:rStyle w:val="ui-provider"/>
          <w:rFonts w:ascii="Arial" w:eastAsiaTheme="minorHAnsi" w:hAnsi="Arial" w:cs="Arial"/>
          <w:lang w:eastAsia="en-US"/>
        </w:rPr>
        <w:instrText xml:space="preserve"> ADDIN EN.CITE </w:instrText>
      </w:r>
      <w:r w:rsidR="00B9334F">
        <w:rPr>
          <w:rStyle w:val="ui-provider"/>
          <w:rFonts w:ascii="Arial" w:eastAsiaTheme="minorHAnsi" w:hAnsi="Arial" w:cs="Arial"/>
          <w:lang w:eastAsia="en-US"/>
        </w:rPr>
        <w:fldChar w:fldCharType="begin">
          <w:fldData xml:space="preserve">PEVuZE5vdGU+PENpdGU+PEF1dGhvcj5BbHJvdWg8L0F1dGhvcj48WWVhcj4yMDIyPC9ZZWFyPjxS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=
</w:fldData>
        </w:fldChar>
      </w:r>
      <w:r w:rsidR="00B9334F">
        <w:rPr>
          <w:rStyle w:val="ui-provider"/>
          <w:rFonts w:ascii="Arial" w:eastAsiaTheme="minorHAnsi" w:hAnsi="Arial" w:cs="Arial"/>
          <w:lang w:eastAsia="en-US"/>
        </w:rPr>
        <w:instrText xml:space="preserve"> ADDIN EN.CITE.DATA </w:instrText>
      </w:r>
      <w:r w:rsidR="00B9334F">
        <w:rPr>
          <w:rStyle w:val="ui-provider"/>
          <w:rFonts w:ascii="Arial" w:eastAsiaTheme="minorHAnsi" w:hAnsi="Arial" w:cs="Arial"/>
          <w:lang w:eastAsia="en-US"/>
        </w:rPr>
      </w:r>
      <w:r w:rsidR="00B9334F">
        <w:rPr>
          <w:rStyle w:val="ui-provider"/>
          <w:rFonts w:ascii="Arial" w:eastAsiaTheme="minorHAnsi" w:hAnsi="Arial" w:cs="Arial"/>
          <w:lang w:eastAsia="en-US"/>
        </w:rPr>
        <w:fldChar w:fldCharType="end"/>
      </w:r>
      <w:r w:rsidRPr="002B6E3D">
        <w:rPr>
          <w:rStyle w:val="ui-provider"/>
          <w:rFonts w:ascii="Arial" w:eastAsiaTheme="minorHAnsi" w:hAnsi="Arial" w:cs="Arial"/>
          <w:lang w:eastAsia="en-US"/>
        </w:rPr>
      </w:r>
      <w:r w:rsidRPr="002B6E3D">
        <w:rPr>
          <w:rStyle w:val="ui-provider"/>
          <w:rFonts w:ascii="Arial" w:eastAsiaTheme="minorHAnsi" w:hAnsi="Arial" w:cs="Arial"/>
          <w:lang w:eastAsia="en-US"/>
        </w:rPr>
        <w:fldChar w:fldCharType="separate"/>
      </w:r>
      <w:r w:rsidRPr="002B6E3D">
        <w:rPr>
          <w:rStyle w:val="ui-provider"/>
          <w:rFonts w:ascii="Arial" w:eastAsiaTheme="minorHAnsi" w:hAnsi="Arial" w:cs="Arial"/>
          <w:noProof/>
          <w:lang w:eastAsia="en-US"/>
        </w:rPr>
        <w:t>(Alrouh et al., 2022; Broadhurst &amp; Mason, 2020; Crawford et al., 2009; Darlington et al., 2023)</w:t>
      </w:r>
      <w:r w:rsidRPr="002B6E3D">
        <w:rPr>
          <w:rStyle w:val="ui-provider"/>
          <w:rFonts w:ascii="Arial" w:eastAsiaTheme="minorHAnsi" w:hAnsi="Arial" w:cs="Arial"/>
          <w:lang w:eastAsia="en-US"/>
        </w:rPr>
        <w:fldChar w:fldCharType="end"/>
      </w:r>
      <w:r w:rsidRPr="002B6E3D">
        <w:rPr>
          <w:rStyle w:val="ui-provider"/>
          <w:rFonts w:ascii="Arial" w:eastAsiaTheme="minorHAnsi" w:hAnsi="Arial" w:cs="Arial"/>
          <w:lang w:eastAsia="en-US"/>
        </w:rPr>
        <w:t>, thereby reducing a parent’s recovery capital substantially.</w:t>
      </w:r>
    </w:p>
    <w:p w14:paraId="178033EE" w14:textId="77777777" w:rsidR="00690946" w:rsidRPr="002B6E3D" w:rsidRDefault="00690946" w:rsidP="002B6E3D">
      <w:pPr>
        <w:pStyle w:val="paragraph"/>
        <w:spacing w:line="360" w:lineRule="auto"/>
        <w:textAlignment w:val="baseline"/>
        <w:rPr>
          <w:rStyle w:val="ui-provider"/>
          <w:rFonts w:ascii="Arial" w:eastAsiaTheme="minorHAnsi" w:hAnsi="Arial" w:cs="Arial"/>
          <w:lang w:eastAsia="en-US"/>
        </w:rPr>
      </w:pPr>
    </w:p>
    <w:p w14:paraId="79D294D5" w14:textId="69FA5D90" w:rsidR="001A58A5" w:rsidRDefault="00690946" w:rsidP="002B6E3D">
      <w:pPr>
        <w:pStyle w:val="paragraph"/>
        <w:spacing w:line="360" w:lineRule="auto"/>
        <w:rPr>
          <w:rFonts w:ascii="Arial" w:eastAsiaTheme="minorEastAsia" w:hAnsi="Arial" w:cs="Arial"/>
          <w:lang w:eastAsia="en-US"/>
        </w:rPr>
      </w:pPr>
      <w:r w:rsidRPr="00AF2A37">
        <w:rPr>
          <w:rFonts w:ascii="Arial" w:eastAsiaTheme="minorEastAsia" w:hAnsi="Arial" w:cs="Arial"/>
          <w:lang w:eastAsia="en-US"/>
        </w:rPr>
        <w:t>The above findings should be interpreted with caution</w:t>
      </w:r>
      <w:r w:rsidR="004F5C01" w:rsidRPr="00AF2A37">
        <w:rPr>
          <w:rFonts w:ascii="Arial" w:eastAsiaTheme="minorEastAsia" w:hAnsi="Arial" w:cs="Arial"/>
          <w:lang w:eastAsia="en-US"/>
        </w:rPr>
        <w:t xml:space="preserve">, as they are taken from </w:t>
      </w:r>
      <w:r w:rsidR="00CF4FE7">
        <w:rPr>
          <w:rFonts w:ascii="Arial" w:eastAsiaTheme="minorEastAsia" w:hAnsi="Arial" w:cs="Arial"/>
          <w:lang w:eastAsia="en-US"/>
        </w:rPr>
        <w:t xml:space="preserve">a </w:t>
      </w:r>
      <w:r w:rsidR="004F5C01" w:rsidRPr="00AF2A37">
        <w:rPr>
          <w:rFonts w:ascii="Arial" w:eastAsiaTheme="minorEastAsia" w:hAnsi="Arial" w:cs="Arial"/>
          <w:lang w:eastAsia="en-US"/>
        </w:rPr>
        <w:t xml:space="preserve">study designed to be descriptive of characteristics, interventions and outcomes and </w:t>
      </w:r>
      <w:r w:rsidR="00E56C81">
        <w:rPr>
          <w:rFonts w:ascii="Arial" w:eastAsiaTheme="minorEastAsia" w:hAnsi="Arial" w:cs="Arial"/>
          <w:lang w:eastAsia="en-US"/>
        </w:rPr>
        <w:t xml:space="preserve">as </w:t>
      </w:r>
      <w:r w:rsidR="004F5C01" w:rsidRPr="00AF2A37">
        <w:rPr>
          <w:rFonts w:ascii="Arial" w:eastAsiaTheme="minorEastAsia" w:hAnsi="Arial" w:cs="Arial"/>
          <w:lang w:eastAsia="en-US"/>
        </w:rPr>
        <w:t>such are subject to confounding.</w:t>
      </w:r>
      <w:r w:rsidR="00CF4FE7">
        <w:rPr>
          <w:rFonts w:ascii="Arial" w:eastAsiaTheme="minorEastAsia" w:hAnsi="Arial" w:cs="Arial"/>
          <w:lang w:eastAsia="en-US"/>
        </w:rPr>
        <w:t xml:space="preserve"> </w:t>
      </w:r>
    </w:p>
    <w:p w14:paraId="442B6971" w14:textId="77777777" w:rsidR="001A58A5" w:rsidRPr="00AF2A37" w:rsidRDefault="001A58A5" w:rsidP="002B6E3D">
      <w:pPr>
        <w:pStyle w:val="paragraph"/>
        <w:spacing w:line="360" w:lineRule="auto"/>
        <w:rPr>
          <w:rFonts w:ascii="Arial" w:eastAsiaTheme="minorEastAsia" w:hAnsi="Arial" w:cs="Arial"/>
        </w:rPr>
      </w:pPr>
    </w:p>
    <w:p w14:paraId="1B2ACFAA" w14:textId="705DEC8E" w:rsidR="00A14F2B" w:rsidRDefault="606DF1CF" w:rsidP="00A369F7">
      <w:pPr>
        <w:pStyle w:val="paragraph"/>
        <w:spacing w:line="360" w:lineRule="auto"/>
        <w:rPr>
          <w:rFonts w:ascii="Arial" w:hAnsi="Arial" w:cs="Arial"/>
        </w:rPr>
      </w:pPr>
      <w:r w:rsidRPr="00AF2A37">
        <w:rPr>
          <w:rFonts w:ascii="Arial" w:hAnsi="Arial" w:cs="Arial"/>
        </w:rPr>
        <w:t xml:space="preserve">My </w:t>
      </w:r>
      <w:r w:rsidR="001A58A5">
        <w:rPr>
          <w:rFonts w:ascii="Arial" w:hAnsi="Arial" w:cs="Arial"/>
        </w:rPr>
        <w:t>quasi-experimental</w:t>
      </w:r>
      <w:r w:rsidR="001A58A5" w:rsidRPr="00AF2A37">
        <w:rPr>
          <w:rFonts w:ascii="Arial" w:hAnsi="Arial" w:cs="Arial"/>
        </w:rPr>
        <w:t xml:space="preserve"> </w:t>
      </w:r>
      <w:r w:rsidRPr="00AF2A37">
        <w:rPr>
          <w:rFonts w:ascii="Arial" w:hAnsi="Arial" w:cs="Arial"/>
        </w:rPr>
        <w:t>findings on the effectiveness of</w:t>
      </w:r>
      <w:r w:rsidR="00304B2B" w:rsidRPr="00AF2A37">
        <w:rPr>
          <w:rFonts w:ascii="Arial" w:hAnsi="Arial" w:cs="Arial"/>
        </w:rPr>
        <w:t xml:space="preserve"> </w:t>
      </w:r>
      <w:r w:rsidR="00714262">
        <w:rPr>
          <w:rFonts w:ascii="Arial" w:hAnsi="Arial" w:cs="Arial"/>
        </w:rPr>
        <w:t xml:space="preserve">targeted prevention </w:t>
      </w:r>
      <w:r w:rsidR="00202516">
        <w:rPr>
          <w:rFonts w:ascii="Arial" w:hAnsi="Arial" w:cs="Arial"/>
        </w:rPr>
        <w:t xml:space="preserve">provided some novel insights. </w:t>
      </w:r>
      <w:r w:rsidR="002F5BEA" w:rsidRPr="00AF2A37">
        <w:rPr>
          <w:rFonts w:ascii="Arial" w:hAnsi="Arial" w:cs="Arial"/>
        </w:rPr>
        <w:t xml:space="preserve">In recent years there have been several reviews on SUD, parenting interventions and parental and child outcomes </w:t>
      </w:r>
      <w:r w:rsidR="002F5BEA" w:rsidRPr="00AF2A37">
        <w:rPr>
          <w:rFonts w:ascii="Arial" w:hAnsi="Arial" w:cs="Arial"/>
        </w:rPr>
        <w:fldChar w:fldCharType="begin">
          <w:fldData xml:space="preserve">PEVuZE5vdGU+PENpdGU+PEF1dGhvcj5QZWlzY2g8L0F1dGhvcj48WWVhcj4yMDE4PC9ZZWFyPjxS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</w:fldData>
        </w:fldChar>
      </w:r>
      <w:r w:rsidR="00B9334F">
        <w:rPr>
          <w:rFonts w:ascii="Arial" w:hAnsi="Arial" w:cs="Arial"/>
        </w:rPr>
        <w:instrText xml:space="preserve"> ADDIN EN.CITE </w:instrText>
      </w:r>
      <w:r w:rsidR="00B9334F">
        <w:rPr>
          <w:rFonts w:ascii="Arial" w:hAnsi="Arial" w:cs="Arial"/>
        </w:rPr>
        <w:fldChar w:fldCharType="begin">
          <w:fldData xml:space="preserve">PEVuZE5vdGU+PENpdGU+PEF1dGhvcj5QZWlzY2g8L0F1dGhvcj48WWVhcj4yMDE4PC9ZZWFyPjxS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</w:fldData>
        </w:fldChar>
      </w:r>
      <w:r w:rsidR="00B9334F">
        <w:rPr>
          <w:rFonts w:ascii="Arial" w:hAnsi="Arial" w:cs="Arial"/>
        </w:rPr>
        <w:instrText xml:space="preserve"> ADDIN EN.CITE.DATA </w:instrText>
      </w:r>
      <w:r w:rsidR="00B9334F">
        <w:rPr>
          <w:rFonts w:ascii="Arial" w:hAnsi="Arial" w:cs="Arial"/>
        </w:rPr>
      </w:r>
      <w:r w:rsidR="00B9334F">
        <w:rPr>
          <w:rFonts w:ascii="Arial" w:hAnsi="Arial" w:cs="Arial"/>
        </w:rPr>
        <w:fldChar w:fldCharType="end"/>
      </w:r>
      <w:r w:rsidR="002F5BEA" w:rsidRPr="00AF2A37">
        <w:rPr>
          <w:rFonts w:ascii="Arial" w:hAnsi="Arial" w:cs="Arial"/>
        </w:rPr>
      </w:r>
      <w:r w:rsidR="002F5BEA" w:rsidRPr="00AF2A37">
        <w:rPr>
          <w:rFonts w:ascii="Arial" w:hAnsi="Arial" w:cs="Arial"/>
        </w:rPr>
        <w:fldChar w:fldCharType="separate"/>
      </w:r>
      <w:r w:rsidR="003C6F70" w:rsidRPr="00AF2A37">
        <w:rPr>
          <w:rFonts w:ascii="Arial" w:hAnsi="Arial" w:cs="Arial"/>
          <w:noProof/>
        </w:rPr>
        <w:t>(e.g. McGovern et al., 2023; Moreland &amp; McRae-Clark, 2018; Peisch et al., 2018)</w:t>
      </w:r>
      <w:r w:rsidR="002F5BEA" w:rsidRPr="00AF2A37">
        <w:rPr>
          <w:rFonts w:ascii="Arial" w:hAnsi="Arial" w:cs="Arial"/>
        </w:rPr>
        <w:fldChar w:fldCharType="end"/>
      </w:r>
      <w:r w:rsidR="002F5BEA" w:rsidRPr="00AF2A37">
        <w:rPr>
          <w:rFonts w:ascii="Arial" w:hAnsi="Arial" w:cs="Arial"/>
        </w:rPr>
        <w:t xml:space="preserve"> </w:t>
      </w:r>
      <w:r w:rsidR="00CC2547" w:rsidRPr="00AF2A37">
        <w:rPr>
          <w:rFonts w:ascii="Arial" w:hAnsi="Arial" w:cs="Arial"/>
        </w:rPr>
        <w:t>which have suggested</w:t>
      </w:r>
      <w:r w:rsidR="002F5BEA" w:rsidRPr="00AF2A37">
        <w:rPr>
          <w:rFonts w:ascii="Arial" w:hAnsi="Arial" w:cs="Arial"/>
        </w:rPr>
        <w:t xml:space="preserve"> that treatment </w:t>
      </w:r>
      <w:r w:rsidR="00545D7B">
        <w:rPr>
          <w:rFonts w:ascii="Arial" w:hAnsi="Arial" w:cs="Arial"/>
        </w:rPr>
        <w:t>plus</w:t>
      </w:r>
      <w:r w:rsidR="002F5BEA" w:rsidRPr="00AF2A37">
        <w:rPr>
          <w:rFonts w:ascii="Arial" w:hAnsi="Arial" w:cs="Arial"/>
        </w:rPr>
        <w:t xml:space="preserve"> parenting interventions </w:t>
      </w:r>
      <w:r w:rsidR="00CC2547" w:rsidRPr="00AF2A37">
        <w:rPr>
          <w:rFonts w:ascii="Arial" w:hAnsi="Arial" w:cs="Arial"/>
        </w:rPr>
        <w:t>could</w:t>
      </w:r>
      <w:r w:rsidR="002F5BEA" w:rsidRPr="00AF2A37">
        <w:rPr>
          <w:rFonts w:ascii="Arial" w:hAnsi="Arial" w:cs="Arial"/>
        </w:rPr>
        <w:t xml:space="preserve"> be more effective than treatment </w:t>
      </w:r>
      <w:r w:rsidR="00A97D06" w:rsidRPr="00AF2A37">
        <w:rPr>
          <w:rFonts w:ascii="Arial" w:hAnsi="Arial" w:cs="Arial"/>
        </w:rPr>
        <w:t>only</w:t>
      </w:r>
      <w:r w:rsidR="002F5BEA" w:rsidRPr="00AF2A37">
        <w:rPr>
          <w:rFonts w:ascii="Arial" w:hAnsi="Arial" w:cs="Arial"/>
        </w:rPr>
        <w:t xml:space="preserve">. </w:t>
      </w:r>
      <w:r w:rsidR="00C31220" w:rsidRPr="00AF2A37">
        <w:rPr>
          <w:rFonts w:ascii="Arial" w:hAnsi="Arial" w:cs="Arial"/>
        </w:rPr>
        <w:t>Using</w:t>
      </w:r>
      <w:r w:rsidR="00FE63EF" w:rsidRPr="00AF2A37">
        <w:rPr>
          <w:rFonts w:ascii="Arial" w:hAnsi="Arial" w:cs="Arial"/>
        </w:rPr>
        <w:t xml:space="preserve"> the NDTMS, I was able to test whether </w:t>
      </w:r>
      <w:r w:rsidR="018653E9" w:rsidRPr="00AF2A37">
        <w:rPr>
          <w:rFonts w:ascii="Arial" w:hAnsi="Arial" w:cs="Arial"/>
        </w:rPr>
        <w:t xml:space="preserve">these previous </w:t>
      </w:r>
      <w:r w:rsidR="00FE63EF" w:rsidRPr="00AF2A37">
        <w:rPr>
          <w:rFonts w:ascii="Arial" w:hAnsi="Arial" w:cs="Arial"/>
        </w:rPr>
        <w:t xml:space="preserve">findings would be </w:t>
      </w:r>
      <w:r w:rsidR="367452DF" w:rsidRPr="00AF2A37">
        <w:rPr>
          <w:rFonts w:ascii="Arial" w:hAnsi="Arial" w:cs="Arial"/>
        </w:rPr>
        <w:t xml:space="preserve">replicated </w:t>
      </w:r>
      <w:r w:rsidR="00FE63EF" w:rsidRPr="00AF2A37">
        <w:rPr>
          <w:rFonts w:ascii="Arial" w:hAnsi="Arial" w:cs="Arial"/>
        </w:rPr>
        <w:t>among a much broader category of ‘parent’</w:t>
      </w:r>
      <w:r w:rsidR="00112492">
        <w:rPr>
          <w:rFonts w:ascii="Arial" w:hAnsi="Arial" w:cs="Arial"/>
        </w:rPr>
        <w:t xml:space="preserve"> (</w:t>
      </w:r>
      <w:r w:rsidR="00FE63EF" w:rsidRPr="00AF2A37">
        <w:rPr>
          <w:rFonts w:ascii="Arial" w:hAnsi="Arial" w:cs="Arial"/>
        </w:rPr>
        <w:t>mothers</w:t>
      </w:r>
      <w:r w:rsidR="00C31220" w:rsidRPr="00AF2A37">
        <w:rPr>
          <w:rFonts w:ascii="Arial" w:hAnsi="Arial" w:cs="Arial"/>
        </w:rPr>
        <w:t xml:space="preserve"> </w:t>
      </w:r>
      <w:r w:rsidR="00FE63EF" w:rsidRPr="00AF2A37">
        <w:rPr>
          <w:rFonts w:ascii="Arial" w:hAnsi="Arial" w:cs="Arial"/>
        </w:rPr>
        <w:t>and fathers both living and not living with their children</w:t>
      </w:r>
      <w:r w:rsidR="00112492">
        <w:rPr>
          <w:rFonts w:ascii="Arial" w:hAnsi="Arial" w:cs="Arial"/>
        </w:rPr>
        <w:t>)</w:t>
      </w:r>
      <w:r w:rsidR="00A14F2B">
        <w:rPr>
          <w:rFonts w:ascii="Arial" w:hAnsi="Arial" w:cs="Arial"/>
        </w:rPr>
        <w:t>.</w:t>
      </w:r>
    </w:p>
    <w:p w14:paraId="79F86C1D" w14:textId="77777777" w:rsidR="00A14F2B" w:rsidRDefault="00A14F2B" w:rsidP="00A369F7">
      <w:pPr>
        <w:pStyle w:val="paragraph"/>
        <w:spacing w:line="360" w:lineRule="auto"/>
        <w:rPr>
          <w:rFonts w:ascii="Arial" w:hAnsi="Arial" w:cs="Arial"/>
        </w:rPr>
      </w:pPr>
    </w:p>
    <w:p w14:paraId="691934DD" w14:textId="54611C9B" w:rsidR="00E27EF6" w:rsidRDefault="00A14F2B" w:rsidP="00A369F7">
      <w:pPr>
        <w:pStyle w:val="paragraph"/>
        <w:spacing w:line="360" w:lineRule="auto"/>
        <w:rPr>
          <w:rFonts w:ascii="Arial" w:hAnsi="Arial" w:cs="Arial"/>
        </w:rPr>
      </w:pPr>
      <w:r>
        <w:rPr>
          <w:rFonts w:ascii="Arial" w:hAnsi="Arial" w:cs="Arial"/>
        </w:rPr>
        <w:t xml:space="preserve">A minority of people </w:t>
      </w:r>
      <w:r w:rsidR="00733DCF">
        <w:rPr>
          <w:rFonts w:ascii="Arial" w:hAnsi="Arial" w:cs="Arial"/>
        </w:rPr>
        <w:t>in the treatment system received the intervention (</w:t>
      </w:r>
      <w:r w:rsidR="00733DCF" w:rsidRPr="00AF2A37">
        <w:rPr>
          <w:rFonts w:ascii="Arial" w:hAnsi="Arial" w:cs="Arial"/>
          <w:b/>
          <w:bCs/>
        </w:rPr>
        <w:t>F6</w:t>
      </w:r>
      <w:r w:rsidR="00733DCF">
        <w:rPr>
          <w:rFonts w:ascii="Arial" w:hAnsi="Arial" w:cs="Arial"/>
        </w:rPr>
        <w:t>)</w:t>
      </w:r>
      <w:r w:rsidR="00FE63EF" w:rsidRPr="00AF2A37">
        <w:rPr>
          <w:rFonts w:ascii="Arial" w:hAnsi="Arial" w:cs="Arial"/>
        </w:rPr>
        <w:t>.</w:t>
      </w:r>
      <w:r w:rsidR="005129BE" w:rsidRPr="00AF2A37">
        <w:rPr>
          <w:rFonts w:ascii="Arial" w:hAnsi="Arial" w:cs="Arial"/>
        </w:rPr>
        <w:t xml:space="preserve"> </w:t>
      </w:r>
      <w:r w:rsidRPr="00AF2A37">
        <w:rPr>
          <w:rFonts w:ascii="Arial" w:hAnsi="Arial" w:cs="Arial"/>
        </w:rPr>
        <w:t>It is not unusual for alcohol and drug service key workers to have casework numbers of 60 to 80 clients, making the individualised support that parents</w:t>
      </w:r>
      <w:r w:rsidR="00AF2015">
        <w:rPr>
          <w:rFonts w:ascii="Arial" w:hAnsi="Arial" w:cs="Arial"/>
        </w:rPr>
        <w:t>,</w:t>
      </w:r>
      <w:r w:rsidRPr="00AF2A37">
        <w:rPr>
          <w:rFonts w:ascii="Arial" w:hAnsi="Arial" w:cs="Arial"/>
        </w:rPr>
        <w:t xml:space="preserve"> </w:t>
      </w:r>
      <w:r w:rsidR="0018186F">
        <w:rPr>
          <w:rFonts w:ascii="Arial" w:hAnsi="Arial" w:cs="Arial"/>
        </w:rPr>
        <w:t xml:space="preserve">often </w:t>
      </w:r>
      <w:r w:rsidRPr="00AF2A37">
        <w:rPr>
          <w:rFonts w:ascii="Arial" w:hAnsi="Arial" w:cs="Arial"/>
        </w:rPr>
        <w:t xml:space="preserve">with </w:t>
      </w:r>
      <w:r w:rsidR="00AF2015">
        <w:rPr>
          <w:rFonts w:ascii="Arial" w:hAnsi="Arial" w:cs="Arial"/>
        </w:rPr>
        <w:t xml:space="preserve">multiple and </w:t>
      </w:r>
      <w:r w:rsidRPr="00AF2A37">
        <w:rPr>
          <w:rFonts w:ascii="Arial" w:hAnsi="Arial" w:cs="Arial"/>
        </w:rPr>
        <w:lastRenderedPageBreak/>
        <w:t xml:space="preserve">complex </w:t>
      </w:r>
      <w:r w:rsidR="00AF2015">
        <w:rPr>
          <w:rFonts w:ascii="Arial" w:hAnsi="Arial" w:cs="Arial"/>
        </w:rPr>
        <w:t xml:space="preserve">support </w:t>
      </w:r>
      <w:r w:rsidRPr="00AF2A37">
        <w:rPr>
          <w:rFonts w:ascii="Arial" w:hAnsi="Arial" w:cs="Arial"/>
        </w:rPr>
        <w:t>needs</w:t>
      </w:r>
      <w:r w:rsidR="0018186F">
        <w:rPr>
          <w:rFonts w:ascii="Arial" w:hAnsi="Arial" w:cs="Arial"/>
        </w:rPr>
        <w:t>, i</w:t>
      </w:r>
      <w:r w:rsidRPr="00AF2A37">
        <w:rPr>
          <w:rFonts w:ascii="Arial" w:hAnsi="Arial" w:cs="Arial"/>
        </w:rPr>
        <w:t>mpossible to deliver</w:t>
      </w:r>
      <w:r w:rsidR="0018186F">
        <w:rPr>
          <w:rFonts w:ascii="Arial" w:hAnsi="Arial" w:cs="Arial"/>
        </w:rPr>
        <w:t>.</w:t>
      </w:r>
      <w:r w:rsidRPr="00AF2A37">
        <w:rPr>
          <w:rFonts w:ascii="Arial" w:hAnsi="Arial" w:cs="Arial"/>
        </w:rPr>
        <w:t xml:space="preserve"> </w:t>
      </w:r>
      <w:r w:rsidR="00E4675A">
        <w:rPr>
          <w:rFonts w:ascii="Arial" w:hAnsi="Arial" w:cs="Arial"/>
        </w:rPr>
        <w:t>Matters are further complicated by the fact that k</w:t>
      </w:r>
      <w:r w:rsidR="007F4C07" w:rsidRPr="00AF2A37">
        <w:rPr>
          <w:rFonts w:ascii="Arial" w:hAnsi="Arial" w:cs="Arial"/>
        </w:rPr>
        <w:t>ey</w:t>
      </w:r>
      <w:r w:rsidRPr="00AF2A37">
        <w:rPr>
          <w:rFonts w:ascii="Arial" w:hAnsi="Arial" w:cs="Arial"/>
        </w:rPr>
        <w:t xml:space="preserve"> workers</w:t>
      </w:r>
      <w:r w:rsidR="007F4C07" w:rsidRPr="00AF2A37">
        <w:rPr>
          <w:rFonts w:ascii="Arial" w:hAnsi="Arial" w:cs="Arial"/>
        </w:rPr>
        <w:t xml:space="preserve"> in the current treatment system</w:t>
      </w:r>
      <w:r w:rsidRPr="00AF2A37">
        <w:rPr>
          <w:rFonts w:ascii="Arial" w:hAnsi="Arial" w:cs="Arial"/>
        </w:rPr>
        <w:t xml:space="preserve">, as Dame Carol Black’s </w:t>
      </w:r>
      <w:r w:rsidRPr="00AF2A37">
        <w:rPr>
          <w:rFonts w:ascii="Arial" w:hAnsi="Arial" w:cs="Arial"/>
          <w:i/>
          <w:iCs/>
        </w:rPr>
        <w:t>Independent review of drugs</w:t>
      </w:r>
      <w:r w:rsidRPr="00AF2A37">
        <w:rPr>
          <w:rFonts w:ascii="Arial" w:hAnsi="Arial" w:cs="Arial"/>
        </w:rPr>
        <w:t xml:space="preserve"> </w:t>
      </w:r>
      <w:r w:rsidRPr="00AF2A37">
        <w:rPr>
          <w:rFonts w:ascii="Arial" w:hAnsi="Arial" w:cs="Arial"/>
        </w:rPr>
        <w:fldChar w:fldCharType="begin"/>
      </w:r>
      <w:r w:rsidR="00B9334F">
        <w:rPr>
          <w:rFonts w:ascii="Arial" w:hAnsi="Arial" w:cs="Arial"/>
        </w:rPr>
        <w:instrText xml:space="preserve"> ADDIN EN.CITE &lt;EndNote&gt;&lt;Cite&gt;&lt;Author&gt;Black&lt;/Author&gt;&lt;Year&gt;2021&lt;/Year&gt;&lt;RecNum&gt;353&lt;/RecNum&gt;&lt;DisplayText&gt;(Black, 2021)&lt;/DisplayText&gt;&lt;record&gt;&lt;rec-number&gt;353&lt;/rec-number&gt;&lt;foreign-keys&gt;&lt;key app="EN" db-id="ffzvr5fstavwxoe9v04xf0wmp5t50as52da0" timestamp="1731671662" guid="a47f939a-b603-4d74-9173-ed7cd25d7cc4"&gt;353&lt;/key&gt;&lt;/foreign-keys&gt;&lt;ref-type name="Government Document"&gt;46&lt;/ref-type&gt;&lt;contributors&gt;&lt;authors&gt;&lt;author&gt;Carol Black&lt;/author&gt;&lt;/authors&gt;&lt;/contributors&gt;&lt;titles&gt;&lt;title&gt;Review of drugs part two: prevention, treatment, and recovery&lt;/title&gt;&lt;/titles&gt;&lt;dates&gt;&lt;year&gt;2021&lt;/year&gt;&lt;/dates&gt;&lt;publisher&gt;Department of Health and Social Care&lt;/publisher&gt;&lt;urls&gt;&lt;related-urls&gt;&lt;url&gt;https://www.gov.uk/government/publications/review-of-drugs-phase-two-report&lt;/url&gt;&lt;/related-urls&gt;&lt;/urls&gt;&lt;access-date&gt;02/09/2024&lt;/access-date&gt;&lt;/record&gt;&lt;/Cite&gt;&lt;/EndNote&gt;</w:instrText>
      </w:r>
      <w:r w:rsidRPr="00AF2A37">
        <w:rPr>
          <w:rFonts w:ascii="Arial" w:hAnsi="Arial" w:cs="Arial"/>
        </w:rPr>
        <w:fldChar w:fldCharType="separate"/>
      </w:r>
      <w:r w:rsidRPr="00AF2A37">
        <w:rPr>
          <w:rFonts w:ascii="Arial" w:hAnsi="Arial" w:cs="Arial"/>
          <w:noProof/>
        </w:rPr>
        <w:t>(Black, 2021)</w:t>
      </w:r>
      <w:r w:rsidRPr="00AF2A37">
        <w:rPr>
          <w:rFonts w:ascii="Arial" w:hAnsi="Arial" w:cs="Arial"/>
        </w:rPr>
        <w:fldChar w:fldCharType="end"/>
      </w:r>
      <w:r w:rsidRPr="00AF2A37">
        <w:rPr>
          <w:rFonts w:ascii="Arial" w:hAnsi="Arial" w:cs="Arial"/>
        </w:rPr>
        <w:t xml:space="preserve"> demonstrates, have low levels of training and will lack the therapeutic expertise to work effectively with these families.</w:t>
      </w:r>
    </w:p>
    <w:p w14:paraId="557C8D2F" w14:textId="77777777" w:rsidR="00E27EF6" w:rsidRDefault="00E27EF6" w:rsidP="00A369F7">
      <w:pPr>
        <w:pStyle w:val="paragraph"/>
        <w:spacing w:line="360" w:lineRule="auto"/>
        <w:rPr>
          <w:rFonts w:ascii="Arial" w:hAnsi="Arial" w:cs="Arial"/>
        </w:rPr>
      </w:pPr>
    </w:p>
    <w:p w14:paraId="1F7DFBC5" w14:textId="5E48EF8E" w:rsidR="00F64C3E" w:rsidRDefault="00993422" w:rsidP="00A369F7">
      <w:pPr>
        <w:pStyle w:val="paragraph"/>
        <w:spacing w:line="360" w:lineRule="auto"/>
        <w:rPr>
          <w:rFonts w:ascii="Arial" w:eastAsiaTheme="minorEastAsia" w:hAnsi="Arial" w:cstheme="minorBidi"/>
          <w:lang w:eastAsia="en-US"/>
        </w:rPr>
      </w:pPr>
      <w:r>
        <w:rPr>
          <w:rFonts w:ascii="Arial" w:hAnsi="Arial" w:cs="Arial"/>
        </w:rPr>
        <w:t>However, as</w:t>
      </w:r>
      <w:r w:rsidRPr="00AF2A37">
        <w:rPr>
          <w:rFonts w:ascii="Arial" w:hAnsi="Arial" w:cs="Arial"/>
        </w:rPr>
        <w:t xml:space="preserve"> </w:t>
      </w:r>
      <w:r w:rsidR="006B0D45" w:rsidRPr="00AF2A37">
        <w:rPr>
          <w:rFonts w:ascii="Arial" w:eastAsiaTheme="minorEastAsia" w:hAnsi="Arial" w:cs="Arial"/>
        </w:rPr>
        <w:fldChar w:fldCharType="begin"/>
      </w:r>
      <w:r w:rsidR="006B0D45" w:rsidRPr="00AF2A37">
        <w:rPr>
          <w:rFonts w:ascii="Arial" w:eastAsiaTheme="minorEastAsia" w:hAnsi="Arial" w:cs="Arial"/>
        </w:rPr>
        <w:instrText xml:space="preserve"> REF _Ref176981537 \h  \* MERGEFORMAT </w:instrText>
      </w:r>
      <w:r w:rsidR="006B0D45" w:rsidRPr="00AF2A37">
        <w:rPr>
          <w:rFonts w:ascii="Arial" w:eastAsiaTheme="minorEastAsia" w:hAnsi="Arial" w:cs="Arial"/>
        </w:rPr>
      </w:r>
      <w:r w:rsidR="006B0D45" w:rsidRPr="00AF2A37">
        <w:rPr>
          <w:rFonts w:ascii="Arial" w:eastAsiaTheme="minorEastAsia" w:hAnsi="Arial" w:cs="Arial"/>
        </w:rPr>
        <w:fldChar w:fldCharType="separate"/>
      </w:r>
      <w:r w:rsidR="006B0D45" w:rsidRPr="00AF2A37">
        <w:rPr>
          <w:rFonts w:ascii="Arial" w:eastAsiaTheme="minorEastAsia" w:hAnsi="Arial" w:cs="Arial"/>
          <w:b/>
          <w:bCs/>
        </w:rPr>
        <w:t>F</w:t>
      </w:r>
      <w:r w:rsidR="00D41354">
        <w:rPr>
          <w:rFonts w:ascii="Arial" w:eastAsiaTheme="minorEastAsia" w:hAnsi="Arial" w:cs="Arial"/>
          <w:b/>
          <w:bCs/>
          <w:noProof/>
        </w:rPr>
        <w:t>7</w:t>
      </w:r>
      <w:r w:rsidR="006B0D45" w:rsidRPr="00AF2A37">
        <w:rPr>
          <w:rFonts w:ascii="Arial" w:eastAsiaTheme="minorEastAsia" w:hAnsi="Arial" w:cs="Arial"/>
        </w:rPr>
        <w:fldChar w:fldCharType="end"/>
      </w:r>
      <w:r w:rsidR="008D5F29" w:rsidRPr="00AF2A37">
        <w:rPr>
          <w:rFonts w:ascii="Arial" w:eastAsiaTheme="minorEastAsia" w:hAnsi="Arial" w:cs="Arial"/>
          <w:b/>
          <w:bCs/>
        </w:rPr>
        <w:t xml:space="preserve"> </w:t>
      </w:r>
      <w:r w:rsidR="008D5F29" w:rsidRPr="00AF2A37">
        <w:rPr>
          <w:rFonts w:ascii="Arial" w:eastAsiaTheme="minorEastAsia" w:hAnsi="Arial" w:cs="Arial"/>
        </w:rPr>
        <w:t xml:space="preserve">suggests, </w:t>
      </w:r>
      <w:r w:rsidR="000F7770" w:rsidRPr="00AF2A37">
        <w:rPr>
          <w:rFonts w:ascii="Arial" w:hAnsi="Arial" w:cs="Arial"/>
        </w:rPr>
        <w:t xml:space="preserve">treatment </w:t>
      </w:r>
      <w:r w:rsidR="00545D7B">
        <w:rPr>
          <w:rFonts w:ascii="Arial" w:hAnsi="Arial" w:cs="Arial"/>
        </w:rPr>
        <w:t>plus</w:t>
      </w:r>
      <w:r w:rsidR="000F7770" w:rsidRPr="00AF2A37">
        <w:rPr>
          <w:rFonts w:ascii="Arial" w:hAnsi="Arial" w:cs="Arial"/>
        </w:rPr>
        <w:t xml:space="preserve"> parenting and/or family recovery support was </w:t>
      </w:r>
      <w:r w:rsidR="00A369F7" w:rsidRPr="00D46E28">
        <w:rPr>
          <w:rFonts w:ascii="Arial" w:hAnsi="Arial" w:cs="Arial"/>
        </w:rPr>
        <w:t>associated with higher ATEs</w:t>
      </w:r>
      <w:r w:rsidR="000F7770" w:rsidRPr="00AF2A37">
        <w:rPr>
          <w:rFonts w:ascii="Arial" w:hAnsi="Arial" w:cs="Arial"/>
        </w:rPr>
        <w:t xml:space="preserve"> than treatment only</w:t>
      </w:r>
      <w:r w:rsidR="00D22011" w:rsidRPr="00D46E28">
        <w:rPr>
          <w:rFonts w:ascii="Arial" w:hAnsi="Arial" w:cs="Arial"/>
        </w:rPr>
        <w:t>. However,</w:t>
      </w:r>
      <w:r w:rsidR="00A369F7" w:rsidRPr="00D46E28">
        <w:rPr>
          <w:rFonts w:ascii="Arial" w:hAnsi="Arial" w:cs="Arial"/>
        </w:rPr>
        <w:t xml:space="preserve"> this was only consistently the case for </w:t>
      </w:r>
      <w:r w:rsidR="002A3C00" w:rsidRPr="00AF2A37">
        <w:rPr>
          <w:rFonts w:ascii="Arial" w:hAnsi="Arial" w:cs="Arial"/>
        </w:rPr>
        <w:t xml:space="preserve">non-opiate </w:t>
      </w:r>
      <w:r w:rsidR="00A369F7" w:rsidRPr="00AF2A37">
        <w:rPr>
          <w:rFonts w:ascii="Arial" w:hAnsi="Arial" w:cs="Arial"/>
        </w:rPr>
        <w:t xml:space="preserve">using parents </w:t>
      </w:r>
      <w:r w:rsidR="002A3C00" w:rsidRPr="00AF2A37">
        <w:rPr>
          <w:rFonts w:ascii="Arial" w:hAnsi="Arial" w:cs="Arial"/>
        </w:rPr>
        <w:t>and alcohol using parents</w:t>
      </w:r>
      <w:r w:rsidR="00580154" w:rsidRPr="00AF2A37">
        <w:rPr>
          <w:rFonts w:ascii="Arial" w:hAnsi="Arial" w:cs="Arial"/>
        </w:rPr>
        <w:t>.</w:t>
      </w:r>
      <w:r w:rsidR="000C7B46" w:rsidRPr="00AF2A37">
        <w:rPr>
          <w:rFonts w:ascii="Arial" w:hAnsi="Arial" w:cs="Arial"/>
        </w:rPr>
        <w:t xml:space="preserve"> </w:t>
      </w:r>
      <w:r w:rsidR="009B3163" w:rsidRPr="00AF2A37">
        <w:rPr>
          <w:rFonts w:ascii="Arial" w:hAnsi="Arial" w:cs="Arial"/>
        </w:rPr>
        <w:t>Therefore, the evidence would support treatment services assigning non-opiate and alcohol using parents to parenting and/or family recovery support interventions</w:t>
      </w:r>
      <w:r w:rsidR="00D46E28">
        <w:rPr>
          <w:rFonts w:ascii="Arial" w:hAnsi="Arial" w:cs="Arial"/>
        </w:rPr>
        <w:t xml:space="preserve">, particularly as the sensitivity analysis </w:t>
      </w:r>
      <w:r w:rsidR="001D0ED8" w:rsidRPr="00996C31">
        <w:rPr>
          <w:rFonts w:ascii="Arial" w:eastAsiaTheme="minorEastAsia" w:hAnsi="Arial" w:cstheme="minorBidi"/>
          <w:lang w:eastAsia="en-US"/>
        </w:rPr>
        <w:t>provid</w:t>
      </w:r>
      <w:r w:rsidR="001D0ED8">
        <w:rPr>
          <w:rFonts w:ascii="Arial" w:eastAsiaTheme="minorEastAsia" w:hAnsi="Arial" w:cstheme="minorBidi"/>
          <w:lang w:eastAsia="en-US"/>
        </w:rPr>
        <w:t>ed</w:t>
      </w:r>
      <w:r w:rsidR="001D0ED8" w:rsidRPr="00996C31">
        <w:rPr>
          <w:rFonts w:ascii="Arial" w:eastAsiaTheme="minorEastAsia" w:hAnsi="Arial" w:cstheme="minorBidi"/>
          <w:lang w:eastAsia="en-US"/>
        </w:rPr>
        <w:t xml:space="preserve"> some confidence that unmeasured confounding would have to be substantial to overturn findings</w:t>
      </w:r>
      <w:r w:rsidR="001D0ED8">
        <w:rPr>
          <w:rFonts w:ascii="Arial" w:eastAsiaTheme="minorEastAsia" w:hAnsi="Arial" w:cstheme="minorBidi"/>
          <w:lang w:eastAsia="en-US"/>
        </w:rPr>
        <w:t xml:space="preserve"> (</w:t>
      </w:r>
      <w:r w:rsidR="001D0ED8" w:rsidRPr="00AF2A37">
        <w:rPr>
          <w:rFonts w:ascii="Arial" w:eastAsiaTheme="minorEastAsia" w:hAnsi="Arial" w:cstheme="minorBidi"/>
          <w:b/>
          <w:bCs/>
          <w:lang w:eastAsia="en-US"/>
        </w:rPr>
        <w:t>F8</w:t>
      </w:r>
      <w:r w:rsidR="001D0ED8">
        <w:rPr>
          <w:rFonts w:ascii="Arial" w:eastAsiaTheme="minorEastAsia" w:hAnsi="Arial" w:cstheme="minorBidi"/>
          <w:lang w:eastAsia="en-US"/>
        </w:rPr>
        <w:t xml:space="preserve">). </w:t>
      </w:r>
    </w:p>
    <w:p w14:paraId="3830FFC2" w14:textId="2DA531E5" w:rsidR="0062672A" w:rsidRDefault="00F64C3E" w:rsidP="00F14BEF">
      <w:pPr>
        <w:pStyle w:val="NoSpacing"/>
        <w:spacing w:line="360" w:lineRule="auto"/>
        <w:rPr>
          <w:i/>
          <w:iCs/>
        </w:rPr>
      </w:pPr>
      <w:r w:rsidRPr="00A973BB">
        <w:t xml:space="preserve">The positive treatment effect </w:t>
      </w:r>
      <w:r>
        <w:t xml:space="preserve">associated with treatment </w:t>
      </w:r>
      <w:r w:rsidR="00545D7B">
        <w:t>plus</w:t>
      </w:r>
      <w:r>
        <w:t xml:space="preserve"> </w:t>
      </w:r>
      <w:r w:rsidR="00D06B0B">
        <w:t xml:space="preserve">parenting and/or family recovery support </w:t>
      </w:r>
      <w:r w:rsidRPr="00A973BB">
        <w:t>could in part be explained by the fact that engagement with treatment services and</w:t>
      </w:r>
      <w:r w:rsidR="005A6D16">
        <w:t>/or</w:t>
      </w:r>
      <w:r w:rsidRPr="00A973BB">
        <w:t xml:space="preserve"> recovery from SUD alone does not guarantee that families will become stronger and happier together. Many parents in the treatment system did not experience healthy, safe and loving relationships in their own childhood and so parenting is a skill they may have to learn. Moreover, after a period of substance use, family bonds and parent-child attachments may have broken down and so parents may require support in improving their relationships. </w:t>
      </w:r>
    </w:p>
    <w:p w14:paraId="2173A824" w14:textId="65304AE0" w:rsidR="00F64C3E" w:rsidRDefault="00F14BEF" w:rsidP="00AF2A37">
      <w:pPr>
        <w:pStyle w:val="NoSpacing"/>
        <w:spacing w:line="360" w:lineRule="auto"/>
      </w:pPr>
      <w:r w:rsidRPr="00AF2A37">
        <w:t xml:space="preserve">While it is unclear precisely which parents not living with children would be more likely to successfully complete having received this strategy, it is unlikely to be an appropriate strategy in cases where a child is in care unless, for example, there is the possibility that the family will be reunited following comprehensive and intensive support. It could however be advantageous for a father with regular child visiting arrangements whose child is living with a former partner or spouse, or with grandparents, for example. </w:t>
      </w:r>
    </w:p>
    <w:p w14:paraId="4E625D11" w14:textId="77777777" w:rsidR="00655BF2" w:rsidRDefault="00655BF2" w:rsidP="00794D7D">
      <w:pPr>
        <w:pStyle w:val="NoSpacing"/>
        <w:spacing w:line="360" w:lineRule="auto"/>
      </w:pPr>
    </w:p>
    <w:p w14:paraId="7D8934BF" w14:textId="3577E5F9" w:rsidR="00A24CEE" w:rsidRPr="007E725C" w:rsidRDefault="00DF1B97" w:rsidP="007E725C">
      <w:pPr>
        <w:pStyle w:val="NoSpacing"/>
        <w:spacing w:line="360" w:lineRule="auto"/>
      </w:pPr>
      <w:r>
        <w:t xml:space="preserve">It is possible that our findings </w:t>
      </w:r>
      <w:r w:rsidR="00B41D38">
        <w:t xml:space="preserve">were </w:t>
      </w:r>
      <w:r w:rsidR="00431589">
        <w:t>inconclusive for</w:t>
      </w:r>
      <w:r w:rsidR="00B41D38">
        <w:t xml:space="preserve"> </w:t>
      </w:r>
      <w:r>
        <w:t>opiate using parents</w:t>
      </w:r>
      <w:r w:rsidR="00431589">
        <w:t xml:space="preserve"> assigned to </w:t>
      </w:r>
      <w:r w:rsidR="009E6D49">
        <w:t xml:space="preserve">treatment </w:t>
      </w:r>
      <w:r w:rsidR="00545D7B">
        <w:t>plus</w:t>
      </w:r>
      <w:r w:rsidR="009E6D49">
        <w:t xml:space="preserve"> </w:t>
      </w:r>
      <w:r w:rsidR="00E54E06">
        <w:t>parenting and/or family recovery support</w:t>
      </w:r>
      <w:r>
        <w:t xml:space="preserve"> </w:t>
      </w:r>
      <w:r w:rsidR="00B41D38">
        <w:t>(</w:t>
      </w:r>
      <w:r w:rsidR="00B41D38" w:rsidRPr="00AF2A37">
        <w:rPr>
          <w:b/>
          <w:bCs/>
        </w:rPr>
        <w:t>F9</w:t>
      </w:r>
      <w:r w:rsidR="00B41D38">
        <w:t xml:space="preserve">) </w:t>
      </w:r>
      <w:r>
        <w:t xml:space="preserve">because </w:t>
      </w:r>
      <w:r w:rsidR="00655BF2" w:rsidRPr="00AF2A37">
        <w:t>we did not stratify results by whether treatment was pharmacological, psychosocial or both</w:t>
      </w:r>
      <w:r w:rsidR="0077391A">
        <w:t>.</w:t>
      </w:r>
      <w:r w:rsidR="00655BF2" w:rsidRPr="00AF2A37">
        <w:t xml:space="preserve"> </w:t>
      </w:r>
      <w:r w:rsidR="0077391A">
        <w:t>P</w:t>
      </w:r>
      <w:r w:rsidR="00655BF2" w:rsidRPr="00AF2A37">
        <w:t xml:space="preserve">otential differences in the </w:t>
      </w:r>
      <w:r w:rsidR="00C45F96" w:rsidRPr="00C45F96">
        <w:t>balance</w:t>
      </w:r>
      <w:r w:rsidR="00655BF2" w:rsidRPr="00AF2A37">
        <w:t xml:space="preserve"> o</w:t>
      </w:r>
      <w:r w:rsidR="00C45F96">
        <w:t>f</w:t>
      </w:r>
      <w:r w:rsidR="00655BF2" w:rsidRPr="00AF2A37">
        <w:t xml:space="preserve"> </w:t>
      </w:r>
      <w:r w:rsidR="00C45F96">
        <w:t xml:space="preserve">interventions could be affecting </w:t>
      </w:r>
      <w:r w:rsidR="0077391A">
        <w:t xml:space="preserve">results for this subgroup. </w:t>
      </w:r>
      <w:r>
        <w:t xml:space="preserve">Another possible reason is an unmeasured confounder affecting results. </w:t>
      </w:r>
      <w:r w:rsidRPr="00F84F55">
        <w:lastRenderedPageBreak/>
        <w:t xml:space="preserve">For example, an indicator of a parent’s motivation to stop using </w:t>
      </w:r>
      <w:r>
        <w:t>heroin</w:t>
      </w:r>
      <w:r w:rsidRPr="00F84F55">
        <w:t xml:space="preserve"> is not captured in NDTMS, however it’s a characteristic which could reasonably affect our </w:t>
      </w:r>
      <w:r>
        <w:t>findings</w:t>
      </w:r>
      <w:r w:rsidRPr="00F84F55">
        <w:t>.</w:t>
      </w:r>
    </w:p>
    <w:p w14:paraId="370D3693" w14:textId="77777777" w:rsidR="00495AE6" w:rsidRDefault="00495AE6" w:rsidP="002006F6">
      <w:pPr>
        <w:pStyle w:val="NoSpacing"/>
        <w:spacing w:line="360" w:lineRule="auto"/>
        <w:rPr>
          <w:rFonts w:eastAsiaTheme="minorEastAsia" w:cstheme="minorBidi"/>
        </w:rPr>
      </w:pPr>
    </w:p>
    <w:p w14:paraId="184C9E1F" w14:textId="5AD505D1" w:rsidR="00065F85" w:rsidRDefault="00A24CEE" w:rsidP="002006F6">
      <w:pPr>
        <w:pStyle w:val="NoSpacing"/>
        <w:spacing w:line="360" w:lineRule="auto"/>
        <w:rPr>
          <w:rFonts w:eastAsiaTheme="minorEastAsia" w:cstheme="minorBidi"/>
        </w:rPr>
      </w:pPr>
      <w:r>
        <w:rPr>
          <w:rFonts w:eastAsiaTheme="minorEastAsia" w:cstheme="minorBidi"/>
        </w:rPr>
        <w:t xml:space="preserve">Previous </w:t>
      </w:r>
      <w:r w:rsidRPr="22B638A3">
        <w:rPr>
          <w:rFonts w:eastAsiaTheme="minorEastAsia" w:cstheme="minorBidi"/>
        </w:rPr>
        <w:t xml:space="preserve">economic evaluations of parenting programmes aiming to improve child health, particularly in the context of internalising and externalising behaviours, mental health and child abuse </w:t>
      </w:r>
      <w:r>
        <w:rPr>
          <w:rFonts w:eastAsiaTheme="minorEastAsia" w:cstheme="minorBidi"/>
        </w:rPr>
        <w:t xml:space="preserve">have suggested that parenting programmes were cost-effective </w:t>
      </w:r>
      <w:r w:rsidRPr="22B638A3">
        <w:rPr>
          <w:rFonts w:eastAsiaTheme="minorEastAsia" w:cstheme="minorBidi"/>
        </w:rPr>
        <w:fldChar w:fldCharType="begin">
          <w:fldData xml:space="preserve">PEVuZE5vdGU+PENpdGU+PEF1dGhvcj5TYW1wYWlvPC9BdXRob3I+PFllYXI+MjAyNDwvWWVhcj48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</w:fldData>
        </w:fldChar>
      </w:r>
      <w:r w:rsidR="00B9334F">
        <w:rPr>
          <w:rFonts w:eastAsiaTheme="minorEastAsia" w:cstheme="minorBidi"/>
        </w:rPr>
        <w:instrText xml:space="preserve"> ADDIN EN.CITE </w:instrText>
      </w:r>
      <w:r w:rsidR="00B9334F">
        <w:rPr>
          <w:rFonts w:eastAsiaTheme="minorEastAsia" w:cstheme="minorBidi"/>
        </w:rPr>
        <w:fldChar w:fldCharType="begin">
          <w:fldData xml:space="preserve">PEVuZE5vdGU+PENpdGU+PEF1dGhvcj5TYW1wYWlvPC9BdXRob3I+PFllYXI+MjAyNDwvWWVhcj48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</w:fldData>
        </w:fldChar>
      </w:r>
      <w:r w:rsidR="00B9334F">
        <w:rPr>
          <w:rFonts w:eastAsiaTheme="minorEastAsia" w:cstheme="minorBidi"/>
        </w:rPr>
        <w:instrText xml:space="preserve"> ADDIN EN.CITE.DATA </w:instrText>
      </w:r>
      <w:r w:rsidR="00B9334F">
        <w:rPr>
          <w:rFonts w:eastAsiaTheme="minorEastAsia" w:cstheme="minorBidi"/>
        </w:rPr>
      </w:r>
      <w:r w:rsidR="00B9334F">
        <w:rPr>
          <w:rFonts w:eastAsiaTheme="minorEastAsia" w:cstheme="minorBidi"/>
        </w:rPr>
        <w:fldChar w:fldCharType="end"/>
      </w:r>
      <w:r w:rsidRPr="22B638A3">
        <w:rPr>
          <w:rFonts w:eastAsiaTheme="minorEastAsia" w:cstheme="minorBidi"/>
        </w:rPr>
      </w:r>
      <w:r w:rsidRPr="22B638A3">
        <w:rPr>
          <w:rFonts w:eastAsiaTheme="minorEastAsia" w:cstheme="minorBidi"/>
        </w:rPr>
        <w:fldChar w:fldCharType="separate"/>
      </w:r>
      <w:r>
        <w:rPr>
          <w:rFonts w:eastAsiaTheme="minorEastAsia" w:cstheme="minorBidi"/>
          <w:noProof/>
        </w:rPr>
        <w:t>(Barlow et al., 2019; Bonin et al., 2011; Day et al., 2020; Edwards et al., 2016; Forrester et al., 2014; Sampaio et al., 2024)</w:t>
      </w:r>
      <w:r w:rsidRPr="22B638A3">
        <w:rPr>
          <w:rFonts w:eastAsiaTheme="minorEastAsia" w:cstheme="minorBidi"/>
        </w:rPr>
        <w:fldChar w:fldCharType="end"/>
      </w:r>
      <w:r w:rsidRPr="22B638A3">
        <w:rPr>
          <w:rFonts w:eastAsiaTheme="minorEastAsia" w:cstheme="minorBidi"/>
        </w:rPr>
        <w:t>.</w:t>
      </w:r>
      <w:r>
        <w:rPr>
          <w:rFonts w:eastAsiaTheme="minorEastAsia" w:cstheme="minorBidi"/>
        </w:rPr>
        <w:t xml:space="preserve"> As </w:t>
      </w:r>
      <w:r>
        <w:rPr>
          <w:rFonts w:eastAsiaTheme="minorEastAsia" w:cstheme="minorBidi"/>
        </w:rPr>
        <w:fldChar w:fldCharType="begin"/>
      </w:r>
      <w:r>
        <w:rPr>
          <w:rFonts w:eastAsiaTheme="minorEastAsia" w:cstheme="minorBidi"/>
        </w:rPr>
        <w:instrText xml:space="preserve"> REF _Ref176983368 \h </w:instrText>
      </w:r>
      <w:r>
        <w:rPr>
          <w:rFonts w:eastAsiaTheme="minorEastAsia" w:cstheme="minorBidi"/>
        </w:rPr>
      </w:r>
      <w:r>
        <w:rPr>
          <w:rFonts w:eastAsiaTheme="minorEastAsia" w:cstheme="minorBidi"/>
        </w:rPr>
        <w:fldChar w:fldCharType="separate"/>
      </w:r>
      <w:r w:rsidRPr="006F31D9">
        <w:rPr>
          <w:rFonts w:eastAsiaTheme="minorEastAsia" w:cstheme="minorBidi"/>
          <w:b/>
          <w:bCs/>
        </w:rPr>
        <w:t>F</w:t>
      </w:r>
      <w:r>
        <w:rPr>
          <w:rFonts w:eastAsiaTheme="minorEastAsia" w:cstheme="minorBidi"/>
          <w:b/>
          <w:bCs/>
          <w:noProof/>
        </w:rPr>
        <w:t>10</w:t>
      </w:r>
      <w:r>
        <w:rPr>
          <w:rFonts w:eastAsiaTheme="minorEastAsia" w:cstheme="minorBidi"/>
        </w:rPr>
        <w:fldChar w:fldCharType="end"/>
      </w:r>
      <w:r w:rsidR="00495AE6" w:rsidRPr="00AF2A37">
        <w:rPr>
          <w:rFonts w:eastAsiaTheme="minorEastAsia" w:cstheme="minorBidi"/>
          <w:b/>
          <w:bCs/>
        </w:rPr>
        <w:t>-13</w:t>
      </w:r>
      <w:r>
        <w:rPr>
          <w:rFonts w:eastAsiaTheme="minorEastAsia" w:cstheme="minorBidi"/>
        </w:rPr>
        <w:t xml:space="preserve"> highlight, this thesis has been able to corroborate this in the context of parents with AUD receiving parenting and/or family recovery support intervention</w:t>
      </w:r>
      <w:r w:rsidR="00F578D3">
        <w:rPr>
          <w:rFonts w:eastAsiaTheme="minorEastAsia" w:cstheme="minorBidi"/>
        </w:rPr>
        <w:t>s compared with treatment only</w:t>
      </w:r>
      <w:r w:rsidR="00927EA7">
        <w:rPr>
          <w:rFonts w:eastAsiaTheme="minorEastAsia" w:cstheme="minorBidi"/>
        </w:rPr>
        <w:t xml:space="preserve">, with cost-effectiveness </w:t>
      </w:r>
      <w:r w:rsidR="00495AE6">
        <w:rPr>
          <w:rFonts w:eastAsiaTheme="minorEastAsia" w:cstheme="minorBidi"/>
        </w:rPr>
        <w:t xml:space="preserve">and </w:t>
      </w:r>
      <w:r w:rsidR="00316DC4">
        <w:rPr>
          <w:rFonts w:eastAsiaTheme="minorEastAsia" w:cstheme="minorBidi"/>
        </w:rPr>
        <w:t xml:space="preserve">model uncertainty </w:t>
      </w:r>
      <w:r w:rsidR="00927EA7">
        <w:rPr>
          <w:rFonts w:eastAsiaTheme="minorEastAsia" w:cstheme="minorBidi"/>
        </w:rPr>
        <w:t xml:space="preserve">vastly improving </w:t>
      </w:r>
      <w:r w:rsidR="00316DC4">
        <w:rPr>
          <w:rFonts w:eastAsiaTheme="minorEastAsia" w:cstheme="minorBidi"/>
        </w:rPr>
        <w:t>(</w:t>
      </w:r>
      <w:r w:rsidR="00316DC4" w:rsidRPr="00AF2A37">
        <w:rPr>
          <w:rFonts w:eastAsiaTheme="minorEastAsia" w:cstheme="minorBidi"/>
          <w:b/>
          <w:bCs/>
        </w:rPr>
        <w:t>F14</w:t>
      </w:r>
      <w:r w:rsidR="00316DC4">
        <w:rPr>
          <w:rFonts w:eastAsiaTheme="minorEastAsia" w:cstheme="minorBidi"/>
        </w:rPr>
        <w:t xml:space="preserve">) </w:t>
      </w:r>
      <w:r w:rsidR="00927EA7">
        <w:rPr>
          <w:rFonts w:eastAsiaTheme="minorEastAsia" w:cstheme="minorBidi"/>
        </w:rPr>
        <w:t xml:space="preserve">if a wider perspective than health is incorporated.  </w:t>
      </w:r>
    </w:p>
    <w:p w14:paraId="795AC6A6" w14:textId="77777777" w:rsidR="00316DC4" w:rsidRDefault="00316DC4" w:rsidP="00065F85">
      <w:pPr>
        <w:pStyle w:val="NoSpacing"/>
        <w:spacing w:line="360" w:lineRule="auto"/>
      </w:pPr>
    </w:p>
    <w:p w14:paraId="6CD28CD0" w14:textId="77777777" w:rsidR="00843698" w:rsidRPr="003A197E" w:rsidRDefault="00843698" w:rsidP="009C3BBC">
      <w:pPr>
        <w:pStyle w:val="Heading3"/>
        <w:numPr>
          <w:ilvl w:val="2"/>
          <w:numId w:val="19"/>
        </w:numPr>
        <w:spacing w:line="240" w:lineRule="auto"/>
      </w:pPr>
      <w:bookmarkStart w:id="162" w:name="_Toc189229720"/>
      <w:r w:rsidRPr="003A197E">
        <w:t>Recommendations to policy and decision-makers based on the findings and implications of this thesis</w:t>
      </w:r>
      <w:bookmarkEnd w:id="162"/>
      <w:r w:rsidRPr="003A197E">
        <w:t xml:space="preserve"> </w:t>
      </w:r>
    </w:p>
    <w:p w14:paraId="400A5B66" w14:textId="77777777" w:rsidR="003A197E" w:rsidRDefault="003A197E" w:rsidP="003A197E">
      <w:pPr>
        <w:spacing w:line="360" w:lineRule="auto"/>
        <w:ind w:left="720"/>
        <w:textAlignment w:val="baseline"/>
        <w:rPr>
          <w:rFonts w:eastAsiaTheme="minorEastAsia" w:cs="Arial"/>
          <w:highlight w:val="yellow"/>
        </w:rPr>
      </w:pPr>
    </w:p>
    <w:p w14:paraId="49713DE3" w14:textId="0328E9DF" w:rsidR="006366EE" w:rsidRPr="00AF2A37" w:rsidRDefault="0F05EE5D" w:rsidP="00AF2A37">
      <w:pPr>
        <w:pStyle w:val="NoSpacing"/>
        <w:spacing w:line="360" w:lineRule="auto"/>
      </w:pPr>
      <w:r w:rsidRPr="4A2509E5">
        <w:rPr>
          <w:rFonts w:eastAsiaTheme="minorEastAsia"/>
        </w:rPr>
        <w:t>In this section, I consider what my responses would be if decision makers were to a</w:t>
      </w:r>
      <w:r w:rsidR="0D08AA27" w:rsidRPr="4A2509E5">
        <w:rPr>
          <w:rFonts w:eastAsiaTheme="minorEastAsia"/>
        </w:rPr>
        <w:t xml:space="preserve">sk me for </w:t>
      </w:r>
      <w:r w:rsidRPr="4A2509E5">
        <w:rPr>
          <w:rFonts w:eastAsiaTheme="minorEastAsia"/>
        </w:rPr>
        <w:t xml:space="preserve">some of </w:t>
      </w:r>
      <w:r w:rsidR="00460FA3">
        <w:rPr>
          <w:rFonts w:eastAsiaTheme="minorEastAsia"/>
        </w:rPr>
        <w:t xml:space="preserve">the </w:t>
      </w:r>
      <w:r w:rsidRPr="4A2509E5">
        <w:rPr>
          <w:rFonts w:eastAsiaTheme="minorEastAsia"/>
        </w:rPr>
        <w:t>key recommendation that I would make on the basis</w:t>
      </w:r>
      <w:r w:rsidR="70DC3D04" w:rsidRPr="4A2509E5">
        <w:rPr>
          <w:rFonts w:eastAsiaTheme="minorEastAsia"/>
        </w:rPr>
        <w:t xml:space="preserve"> of the PhD work I have done.</w:t>
      </w:r>
      <w:r w:rsidR="008203BC">
        <w:rPr>
          <w:rFonts w:eastAsiaTheme="minorEastAsia"/>
        </w:rPr>
        <w:t xml:space="preserve"> </w:t>
      </w:r>
      <w:r w:rsidR="70DC3D04" w:rsidRPr="4A2509E5">
        <w:rPr>
          <w:rFonts w:eastAsiaTheme="minorEastAsia"/>
        </w:rPr>
        <w:t>The following are recommendations that I could argue follow from the thesis work.</w:t>
      </w:r>
      <w:r w:rsidRPr="4A2509E5">
        <w:rPr>
          <w:rFonts w:eastAsiaTheme="minorEastAsia"/>
        </w:rPr>
        <w:t xml:space="preserve"> </w:t>
      </w:r>
    </w:p>
    <w:p w14:paraId="23822925" w14:textId="77777777" w:rsidR="00FB0115" w:rsidRDefault="00FB0115" w:rsidP="00AF2A37">
      <w:pPr>
        <w:pStyle w:val="NoSpacing"/>
        <w:spacing w:line="360" w:lineRule="auto"/>
        <w:rPr>
          <w:rFonts w:eastAsiaTheme="minorEastAsia"/>
        </w:rPr>
      </w:pPr>
    </w:p>
    <w:p w14:paraId="25994FC0" w14:textId="22011583" w:rsidR="00FB0115" w:rsidRDefault="003A197E" w:rsidP="00AF2A37">
      <w:pPr>
        <w:pStyle w:val="NoSpacing"/>
        <w:spacing w:line="360" w:lineRule="auto"/>
      </w:pPr>
      <w:r w:rsidRPr="006C7A1D">
        <w:rPr>
          <w:rFonts w:eastAsiaTheme="minorEastAsia"/>
        </w:rPr>
        <w:t>Treatment services should recognise that parents not living with their children may have support needs which may be more complex than appears at first sight</w:t>
      </w:r>
      <w:r w:rsidR="006C7A1D" w:rsidRPr="006C7A1D">
        <w:rPr>
          <w:rFonts w:eastAsiaTheme="minorEastAsia"/>
        </w:rPr>
        <w:t xml:space="preserve"> and tailor their interventions accordingly</w:t>
      </w:r>
      <w:r w:rsidRPr="006C7A1D">
        <w:rPr>
          <w:rFonts w:eastAsiaTheme="minorEastAsia"/>
        </w:rPr>
        <w:t xml:space="preserve"> </w:t>
      </w:r>
      <w:r w:rsidR="007C42C4" w:rsidRPr="006C7A1D">
        <w:rPr>
          <w:rFonts w:eastAsiaTheme="minorEastAsia"/>
        </w:rPr>
        <w:t>(</w:t>
      </w:r>
      <w:r w:rsidR="007C42C4" w:rsidRPr="006C7A1D">
        <w:rPr>
          <w:rFonts w:eastAsiaTheme="minorEastAsia"/>
        </w:rPr>
        <w:fldChar w:fldCharType="begin"/>
      </w:r>
      <w:r w:rsidR="007C42C4" w:rsidRPr="006C7A1D">
        <w:rPr>
          <w:rFonts w:eastAsiaTheme="minorEastAsia"/>
        </w:rPr>
        <w:instrText xml:space="preserve"> REF _Ref176981304 \h  \* MERGEFORMAT </w:instrText>
      </w:r>
      <w:r w:rsidR="007C42C4" w:rsidRPr="006C7A1D">
        <w:rPr>
          <w:rFonts w:eastAsiaTheme="minorEastAsia"/>
        </w:rPr>
      </w:r>
      <w:r w:rsidR="007C42C4" w:rsidRPr="006C7A1D">
        <w:rPr>
          <w:rFonts w:eastAsiaTheme="minorEastAsia"/>
        </w:rPr>
        <w:fldChar w:fldCharType="separate"/>
      </w:r>
      <w:r w:rsidR="007C42C4" w:rsidRPr="006C7A1D">
        <w:rPr>
          <w:b/>
          <w:bCs/>
        </w:rPr>
        <w:t>F</w:t>
      </w:r>
      <w:r w:rsidR="007C42C4" w:rsidRPr="006C7A1D">
        <w:rPr>
          <w:b/>
          <w:bCs/>
          <w:noProof/>
        </w:rPr>
        <w:t>1</w:t>
      </w:r>
      <w:r w:rsidR="007C42C4" w:rsidRPr="006C7A1D">
        <w:rPr>
          <w:rFonts w:eastAsiaTheme="minorEastAsia"/>
        </w:rPr>
        <w:fldChar w:fldCharType="end"/>
      </w:r>
      <w:r w:rsidR="0078770A">
        <w:rPr>
          <w:rFonts w:eastAsiaTheme="minorEastAsia"/>
        </w:rPr>
        <w:t>,</w:t>
      </w:r>
      <w:r w:rsidR="00095C81" w:rsidRPr="00AF2A37">
        <w:rPr>
          <w:rFonts w:eastAsiaTheme="minorEastAsia"/>
          <w:b/>
          <w:bCs/>
        </w:rPr>
        <w:t>F</w:t>
      </w:r>
      <w:r w:rsidR="0078770A" w:rsidRPr="00AF2A37">
        <w:rPr>
          <w:rFonts w:eastAsiaTheme="minorEastAsia"/>
          <w:b/>
          <w:bCs/>
        </w:rPr>
        <w:t>2</w:t>
      </w:r>
      <w:r w:rsidR="007C42C4" w:rsidRPr="006C7A1D">
        <w:rPr>
          <w:rFonts w:eastAsiaTheme="minorEastAsia"/>
        </w:rPr>
        <w:t>)</w:t>
      </w:r>
      <w:r w:rsidR="006C7A1D" w:rsidRPr="006C7A1D">
        <w:rPr>
          <w:rFonts w:eastAsiaTheme="minorEastAsia"/>
        </w:rPr>
        <w:t>.</w:t>
      </w:r>
    </w:p>
    <w:p w14:paraId="09F33D8F" w14:textId="77777777" w:rsidR="00FB0115" w:rsidRPr="00AF2A37" w:rsidRDefault="00FB0115" w:rsidP="00AF2A37">
      <w:pPr>
        <w:pStyle w:val="NoSpacing"/>
        <w:spacing w:line="360" w:lineRule="auto"/>
      </w:pPr>
    </w:p>
    <w:p w14:paraId="2BFFE78E" w14:textId="36FE6E87" w:rsidR="00DD24C9" w:rsidRDefault="00226296" w:rsidP="00D41C2B">
      <w:pPr>
        <w:spacing w:line="360" w:lineRule="auto"/>
        <w:textAlignment w:val="baseline"/>
        <w:rPr>
          <w:rFonts w:cs="Arial"/>
        </w:rPr>
      </w:pPr>
      <w:r w:rsidRPr="00B87A71">
        <w:rPr>
          <w:rFonts w:cs="Arial"/>
        </w:rPr>
        <w:t xml:space="preserve">Treatment and children and family services should ensure they offer </w:t>
      </w:r>
      <w:r w:rsidR="00B87A71" w:rsidRPr="00B87A71">
        <w:rPr>
          <w:rFonts w:cs="Arial"/>
        </w:rPr>
        <w:t>fathers</w:t>
      </w:r>
      <w:r w:rsidRPr="00B87A71">
        <w:rPr>
          <w:rFonts w:cs="Arial"/>
        </w:rPr>
        <w:t xml:space="preserve"> the same interventions they would offer </w:t>
      </w:r>
      <w:r w:rsidR="00B87A71" w:rsidRPr="00B87A71">
        <w:rPr>
          <w:rFonts w:cs="Arial"/>
        </w:rPr>
        <w:t>mothers</w:t>
      </w:r>
      <w:r w:rsidRPr="00B87A71">
        <w:rPr>
          <w:rFonts w:cs="Arial"/>
        </w:rPr>
        <w:t>, where relevant</w:t>
      </w:r>
      <w:r w:rsidR="00B87A71" w:rsidRPr="00B87A71">
        <w:rPr>
          <w:rFonts w:cs="Arial"/>
        </w:rPr>
        <w:t xml:space="preserve"> </w:t>
      </w:r>
      <w:r w:rsidR="00B87A71">
        <w:rPr>
          <w:rFonts w:cs="Arial"/>
        </w:rPr>
        <w:t>(</w:t>
      </w:r>
      <w:r w:rsidR="00B87A71">
        <w:rPr>
          <w:rFonts w:cs="Arial"/>
        </w:rPr>
        <w:fldChar w:fldCharType="begin"/>
      </w:r>
      <w:r w:rsidR="00B87A71">
        <w:rPr>
          <w:rFonts w:cs="Arial"/>
        </w:rPr>
        <w:instrText xml:space="preserve"> REF _Ref176981311 \h </w:instrText>
      </w:r>
      <w:r w:rsidR="00344F7B">
        <w:rPr>
          <w:rFonts w:cs="Arial"/>
        </w:rPr>
        <w:instrText xml:space="preserve"> \* MERGEFORMAT </w:instrText>
      </w:r>
      <w:r w:rsidR="00B87A71">
        <w:rPr>
          <w:rFonts w:cs="Arial"/>
        </w:rPr>
      </w:r>
      <w:r w:rsidR="00B87A71">
        <w:rPr>
          <w:rFonts w:cs="Arial"/>
        </w:rPr>
        <w:fldChar w:fldCharType="separate"/>
      </w:r>
      <w:r w:rsidR="00B87A71" w:rsidRPr="006F31D9">
        <w:rPr>
          <w:rFonts w:eastAsiaTheme="minorEastAsia"/>
          <w:b/>
          <w:bCs/>
        </w:rPr>
        <w:t>F</w:t>
      </w:r>
      <w:r w:rsidR="00B87A71">
        <w:rPr>
          <w:rFonts w:eastAsiaTheme="minorEastAsia"/>
          <w:b/>
          <w:bCs/>
          <w:noProof/>
        </w:rPr>
        <w:t>3</w:t>
      </w:r>
      <w:r w:rsidR="00B87A71">
        <w:rPr>
          <w:rFonts w:cs="Arial"/>
        </w:rPr>
        <w:fldChar w:fldCharType="end"/>
      </w:r>
      <w:r w:rsidR="00790D11">
        <w:rPr>
          <w:rFonts w:cs="Arial"/>
        </w:rPr>
        <w:t>,</w:t>
      </w:r>
      <w:r w:rsidR="00790D11" w:rsidRPr="00AF2A37">
        <w:rPr>
          <w:rFonts w:cs="Arial"/>
          <w:b/>
          <w:bCs/>
        </w:rPr>
        <w:t>F6</w:t>
      </w:r>
      <w:r w:rsidR="00B87A71">
        <w:rPr>
          <w:rFonts w:cs="Arial"/>
        </w:rPr>
        <w:t>)</w:t>
      </w:r>
      <w:r w:rsidRPr="00B87A71">
        <w:rPr>
          <w:rFonts w:cs="Arial"/>
        </w:rPr>
        <w:t>.</w:t>
      </w:r>
    </w:p>
    <w:p w14:paraId="64D42E83" w14:textId="77777777" w:rsidR="00121A1D" w:rsidRPr="00121A1D" w:rsidRDefault="00121A1D" w:rsidP="00AF2A37">
      <w:pPr>
        <w:pStyle w:val="NoSpacing"/>
        <w:spacing w:line="360" w:lineRule="auto"/>
      </w:pPr>
    </w:p>
    <w:p w14:paraId="13D7DE17" w14:textId="558A334D" w:rsidR="00EF0A78" w:rsidRPr="00AF2A37" w:rsidRDefault="00DD24C9" w:rsidP="00AF2A37">
      <w:pPr>
        <w:pStyle w:val="NoSpacing"/>
        <w:spacing w:line="360" w:lineRule="auto"/>
      </w:pPr>
      <w:r w:rsidRPr="00272DD4">
        <w:rPr>
          <w:rFonts w:eastAsiaTheme="minorEastAsia"/>
        </w:rPr>
        <w:t>National government should prioritise funding to support the future commissioning of evidence-based interventions for vulnerable children and families</w:t>
      </w:r>
      <w:r>
        <w:rPr>
          <w:rFonts w:eastAsiaTheme="minorEastAsia"/>
        </w:rPr>
        <w:t xml:space="preserve"> in England</w:t>
      </w:r>
      <w:r w:rsidRPr="00272DD4">
        <w:rPr>
          <w:rFonts w:eastAsiaTheme="minorEastAsia"/>
        </w:rPr>
        <w:t>, such as those affected by parental SUD. This includes parenting and/or family recovery support and treatment in a residential setting which can accommodate children or child visitations</w:t>
      </w:r>
      <w:r>
        <w:rPr>
          <w:rFonts w:eastAsiaTheme="minorEastAsia"/>
        </w:rPr>
        <w:t xml:space="preserve"> (</w:t>
      </w:r>
      <w:r w:rsidRPr="00AF2A37">
        <w:rPr>
          <w:rFonts w:eastAsiaTheme="minorEastAsia"/>
          <w:b/>
          <w:bCs/>
        </w:rPr>
        <w:fldChar w:fldCharType="begin"/>
      </w:r>
      <w:r w:rsidRPr="00AF2A37">
        <w:rPr>
          <w:rFonts w:eastAsiaTheme="minorEastAsia"/>
          <w:b/>
          <w:bCs/>
        </w:rPr>
        <w:instrText xml:space="preserve"> REF _Ref176981708 \h  \* MERGEFORMAT </w:instrText>
      </w:r>
      <w:r w:rsidRPr="00AF2A37">
        <w:rPr>
          <w:rFonts w:eastAsiaTheme="minorEastAsia"/>
          <w:b/>
          <w:bCs/>
        </w:rPr>
      </w:r>
      <w:r w:rsidRPr="00AF2A37">
        <w:rPr>
          <w:rFonts w:eastAsiaTheme="minorEastAsia"/>
          <w:b/>
          <w:bCs/>
        </w:rPr>
        <w:fldChar w:fldCharType="separate"/>
      </w:r>
      <w:r w:rsidRPr="00EA25AF">
        <w:rPr>
          <w:rFonts w:eastAsiaTheme="minorEastAsia"/>
          <w:b/>
          <w:bCs/>
        </w:rPr>
        <w:t>F</w:t>
      </w:r>
      <w:r w:rsidRPr="00EA25AF">
        <w:rPr>
          <w:rFonts w:eastAsiaTheme="minorEastAsia"/>
          <w:b/>
          <w:bCs/>
          <w:noProof/>
        </w:rPr>
        <w:t>4</w:t>
      </w:r>
      <w:r w:rsidRPr="00AF2A37">
        <w:rPr>
          <w:rFonts w:eastAsiaTheme="minorEastAsia"/>
          <w:b/>
          <w:bCs/>
        </w:rPr>
        <w:fldChar w:fldCharType="end"/>
      </w:r>
      <w:r w:rsidRPr="00AF2A37">
        <w:rPr>
          <w:rFonts w:eastAsiaTheme="minorEastAsia"/>
          <w:b/>
          <w:bCs/>
        </w:rPr>
        <w:t xml:space="preserve">, </w:t>
      </w:r>
      <w:r w:rsidR="00790D11" w:rsidRPr="00AF2A37">
        <w:rPr>
          <w:rFonts w:eastAsiaTheme="minorEastAsia"/>
          <w:b/>
          <w:bCs/>
        </w:rPr>
        <w:t xml:space="preserve">F7, </w:t>
      </w:r>
      <w:r w:rsidRPr="00AF2A37">
        <w:rPr>
          <w:rFonts w:eastAsiaTheme="minorEastAsia"/>
          <w:b/>
          <w:bCs/>
        </w:rPr>
        <w:fldChar w:fldCharType="begin"/>
      </w:r>
      <w:r w:rsidRPr="00AF2A37">
        <w:rPr>
          <w:rFonts w:eastAsiaTheme="minorEastAsia"/>
          <w:b/>
          <w:bCs/>
        </w:rPr>
        <w:instrText xml:space="preserve"> REF _Ref176983368 \h  \* MERGEFORMAT </w:instrText>
      </w:r>
      <w:r w:rsidRPr="00AF2A37">
        <w:rPr>
          <w:rFonts w:eastAsiaTheme="minorEastAsia"/>
          <w:b/>
          <w:bCs/>
        </w:rPr>
      </w:r>
      <w:r w:rsidRPr="00AF2A37">
        <w:rPr>
          <w:rFonts w:eastAsiaTheme="minorEastAsia"/>
          <w:b/>
          <w:bCs/>
        </w:rPr>
        <w:fldChar w:fldCharType="separate"/>
      </w:r>
      <w:r w:rsidRPr="00EA25AF">
        <w:rPr>
          <w:rFonts w:eastAsiaTheme="minorEastAsia"/>
          <w:b/>
          <w:bCs/>
        </w:rPr>
        <w:t>F</w:t>
      </w:r>
      <w:r w:rsidRPr="00EA25AF">
        <w:rPr>
          <w:rFonts w:eastAsiaTheme="minorEastAsia"/>
          <w:b/>
          <w:bCs/>
          <w:noProof/>
        </w:rPr>
        <w:t>10</w:t>
      </w:r>
      <w:r w:rsidRPr="00AF2A37">
        <w:rPr>
          <w:rFonts w:eastAsiaTheme="minorEastAsia"/>
          <w:b/>
          <w:bCs/>
        </w:rPr>
        <w:fldChar w:fldCharType="end"/>
      </w:r>
      <w:r w:rsidR="00790D11" w:rsidRPr="00AF2A37">
        <w:rPr>
          <w:rFonts w:eastAsiaTheme="minorEastAsia"/>
          <w:b/>
          <w:bCs/>
        </w:rPr>
        <w:t>-</w:t>
      </w:r>
      <w:r w:rsidR="00EA25AF" w:rsidRPr="00AF2A37">
        <w:rPr>
          <w:rFonts w:eastAsiaTheme="minorEastAsia"/>
          <w:b/>
          <w:bCs/>
        </w:rPr>
        <w:t>14</w:t>
      </w:r>
      <w:r>
        <w:rPr>
          <w:rFonts w:eastAsiaTheme="minorEastAsia"/>
        </w:rPr>
        <w:t>)</w:t>
      </w:r>
      <w:r w:rsidRPr="00272DD4">
        <w:rPr>
          <w:rFonts w:eastAsiaTheme="minorEastAsia"/>
        </w:rPr>
        <w:t>.</w:t>
      </w:r>
    </w:p>
    <w:p w14:paraId="159B2909" w14:textId="77777777" w:rsidR="008C5B26" w:rsidRPr="00AF2A37" w:rsidRDefault="008C5B26" w:rsidP="00AF2A37">
      <w:pPr>
        <w:spacing w:line="360" w:lineRule="auto"/>
        <w:textAlignment w:val="baseline"/>
      </w:pPr>
    </w:p>
    <w:p w14:paraId="7EC615B2" w14:textId="18935B52" w:rsidR="00EF0A78" w:rsidRPr="00E300FB" w:rsidRDefault="00EF0A78" w:rsidP="00EF0A78">
      <w:pPr>
        <w:spacing w:line="360" w:lineRule="auto"/>
        <w:textAlignment w:val="baseline"/>
        <w:rPr>
          <w:rFonts w:eastAsiaTheme="minorEastAsia" w:cs="Arial"/>
        </w:rPr>
      </w:pPr>
      <w:r w:rsidRPr="00552C97">
        <w:rPr>
          <w:rFonts w:eastAsiaTheme="minorEastAsia" w:cs="Arial"/>
        </w:rPr>
        <w:t>Treatment services should recognise that opiate-using parents and/ or those with a child in care may require more support to complete treatment, especially those not living with their children</w:t>
      </w:r>
      <w:r w:rsidR="00097F55">
        <w:rPr>
          <w:rFonts w:eastAsiaTheme="minorEastAsia" w:cs="Arial"/>
        </w:rPr>
        <w:t>, even if they are offered a parenting and/or family recovery support intervention</w:t>
      </w:r>
      <w:r w:rsidRPr="00552C97">
        <w:rPr>
          <w:rFonts w:eastAsiaTheme="minorEastAsia" w:cs="Arial"/>
        </w:rPr>
        <w:t>. T</w:t>
      </w:r>
      <w:r w:rsidR="00097F55">
        <w:rPr>
          <w:rFonts w:eastAsiaTheme="minorEastAsia" w:cs="Arial"/>
        </w:rPr>
        <w:t>reatment services</w:t>
      </w:r>
      <w:r w:rsidRPr="00552C97">
        <w:rPr>
          <w:rFonts w:eastAsiaTheme="minorEastAsia" w:cs="Arial"/>
        </w:rPr>
        <w:t xml:space="preserve"> should consider whether their service is able to provide comprehensive support, ensuring they have the necessary links with local children and family services, and other local partners to do so (</w:t>
      </w:r>
      <w:r w:rsidR="009574AE" w:rsidRPr="00AF2A37">
        <w:rPr>
          <w:rFonts w:eastAsiaTheme="minorEastAsia" w:cs="Arial"/>
          <w:b/>
          <w:bCs/>
        </w:rPr>
        <w:t>F5</w:t>
      </w:r>
      <w:r w:rsidRPr="00552C97">
        <w:rPr>
          <w:rFonts w:eastAsiaTheme="minorEastAsia" w:cs="Arial"/>
        </w:rPr>
        <w:t xml:space="preserve">, </w:t>
      </w:r>
      <w:r w:rsidRPr="00552C97">
        <w:rPr>
          <w:rFonts w:eastAsiaTheme="minorEastAsia" w:cs="Arial"/>
        </w:rPr>
        <w:fldChar w:fldCharType="begin"/>
      </w:r>
      <w:r w:rsidRPr="00552C97">
        <w:rPr>
          <w:rFonts w:eastAsiaTheme="minorEastAsia" w:cs="Arial"/>
        </w:rPr>
        <w:instrText xml:space="preserve"> REF _Ref176982978 \h </w:instrText>
      </w:r>
      <w:r>
        <w:rPr>
          <w:rFonts w:eastAsiaTheme="minorEastAsia" w:cs="Arial"/>
        </w:rPr>
        <w:instrText xml:space="preserve"> \* MERGEFORMAT </w:instrText>
      </w:r>
      <w:r w:rsidRPr="00552C97">
        <w:rPr>
          <w:rFonts w:eastAsiaTheme="minorEastAsia" w:cs="Arial"/>
        </w:rPr>
      </w:r>
      <w:r w:rsidRPr="00552C97">
        <w:rPr>
          <w:rFonts w:eastAsiaTheme="minorEastAsia" w:cs="Arial"/>
        </w:rPr>
        <w:fldChar w:fldCharType="separate"/>
      </w:r>
      <w:r w:rsidRPr="00552C97">
        <w:rPr>
          <w:rFonts w:eastAsiaTheme="minorEastAsia"/>
          <w:b/>
          <w:bCs/>
        </w:rPr>
        <w:t>F</w:t>
      </w:r>
      <w:r w:rsidRPr="00552C97">
        <w:rPr>
          <w:rFonts w:eastAsiaTheme="minorEastAsia"/>
          <w:b/>
          <w:bCs/>
          <w:noProof/>
        </w:rPr>
        <w:t>9</w:t>
      </w:r>
      <w:r w:rsidRPr="00552C97">
        <w:rPr>
          <w:rFonts w:eastAsiaTheme="minorEastAsia" w:cs="Arial"/>
        </w:rPr>
        <w:fldChar w:fldCharType="end"/>
      </w:r>
      <w:r w:rsidRPr="00552C97">
        <w:rPr>
          <w:rFonts w:eastAsiaTheme="minorEastAsia" w:cs="Arial"/>
        </w:rPr>
        <w:t xml:space="preserve">). </w:t>
      </w:r>
    </w:p>
    <w:p w14:paraId="5AD3D313" w14:textId="77777777" w:rsidR="00E300FB" w:rsidRPr="00C86D05" w:rsidRDefault="00E300FB" w:rsidP="00C172FF">
      <w:pPr>
        <w:pStyle w:val="paragraph"/>
        <w:spacing w:after="0" w:afterAutospacing="0"/>
        <w:textAlignment w:val="baseline"/>
        <w:rPr>
          <w:rFonts w:ascii="Arial" w:eastAsiaTheme="minorHAnsi" w:hAnsi="Arial" w:cs="Arial"/>
          <w:lang w:eastAsia="en-US"/>
        </w:rPr>
      </w:pPr>
    </w:p>
    <w:p w14:paraId="44D631D0" w14:textId="4E196289" w:rsidR="00855B4E" w:rsidRPr="00673785" w:rsidRDefault="00855B4E" w:rsidP="00065F85">
      <w:pPr>
        <w:pStyle w:val="Heading2"/>
        <w:numPr>
          <w:ilvl w:val="1"/>
          <w:numId w:val="19"/>
        </w:numPr>
        <w:spacing w:after="240"/>
      </w:pPr>
      <w:bookmarkStart w:id="163" w:name="_Toc189229721"/>
      <w:r w:rsidRPr="00673785">
        <w:t xml:space="preserve">Strengths </w:t>
      </w:r>
      <w:r w:rsidR="006A1ABD" w:rsidRPr="00673785">
        <w:t xml:space="preserve">of this </w:t>
      </w:r>
      <w:r w:rsidR="00DD328F">
        <w:t>thesis</w:t>
      </w:r>
      <w:bookmarkEnd w:id="163"/>
      <w:r w:rsidR="00DD328F" w:rsidRPr="00673785">
        <w:t xml:space="preserve"> </w:t>
      </w:r>
    </w:p>
    <w:p w14:paraId="5587EF84" w14:textId="2215E275" w:rsidR="00A53249" w:rsidRDefault="001F1AC4" w:rsidP="008C38C6">
      <w:pPr>
        <w:pStyle w:val="NoSpacing"/>
        <w:spacing w:line="360" w:lineRule="auto"/>
      </w:pPr>
      <w:r>
        <w:t xml:space="preserve">The main strength of this </w:t>
      </w:r>
      <w:r w:rsidR="00DD328F">
        <w:t xml:space="preserve">thesis </w:t>
      </w:r>
      <w:r w:rsidR="0001344C">
        <w:t>i</w:t>
      </w:r>
      <w:r>
        <w:t xml:space="preserve">s the use of </w:t>
      </w:r>
      <w:r w:rsidR="008C38C6">
        <w:t xml:space="preserve">a national database which </w:t>
      </w:r>
      <w:r w:rsidR="009E05D2">
        <w:t>provided</w:t>
      </w:r>
      <w:r w:rsidR="0001344C">
        <w:t xml:space="preserve"> </w:t>
      </w:r>
      <w:r w:rsidR="008C38C6">
        <w:t xml:space="preserve">large </w:t>
      </w:r>
      <w:r w:rsidR="00412B05">
        <w:t>sample sizes and</w:t>
      </w:r>
      <w:r w:rsidR="0001344C">
        <w:t xml:space="preserve"> </w:t>
      </w:r>
      <w:r w:rsidR="008C38C6">
        <w:t xml:space="preserve">long-term follow up of parents in the treatment system. </w:t>
      </w:r>
      <w:r w:rsidR="000D466D">
        <w:t xml:space="preserve">In addition, </w:t>
      </w:r>
      <w:r w:rsidR="003C3B34">
        <w:t xml:space="preserve">the database </w:t>
      </w:r>
      <w:r w:rsidR="00961C15">
        <w:t>has</w:t>
      </w:r>
      <w:r w:rsidR="003C3B34">
        <w:t xml:space="preserve"> comprehensive coverage across the country.</w:t>
      </w:r>
      <w:r w:rsidR="00465446">
        <w:t xml:space="preserve"> </w:t>
      </w:r>
      <w:r w:rsidR="000718B2">
        <w:t xml:space="preserve">The vast data included in the database </w:t>
      </w:r>
      <w:r w:rsidR="00D25DC3">
        <w:t xml:space="preserve">enabled the results to be adjusted for </w:t>
      </w:r>
      <w:r w:rsidR="007F61F5">
        <w:t xml:space="preserve">pertinent baseline characteristics </w:t>
      </w:r>
      <w:r w:rsidR="0074676B">
        <w:t xml:space="preserve">and facilitated quasi-experimental and cost-effectiveness analyses. </w:t>
      </w:r>
      <w:r w:rsidR="009E05D2">
        <w:t xml:space="preserve">The use of the National Drug [and alcohol] Treatment Monitoring System (NDTMS) </w:t>
      </w:r>
      <w:r w:rsidR="003F4B6C">
        <w:t>allowed me to analyse differences that were hitherto largely unexplored</w:t>
      </w:r>
      <w:r w:rsidR="005D27BC">
        <w:t xml:space="preserve">, such as differences between mothers and fathers and parents living with, and not living with, children. </w:t>
      </w:r>
    </w:p>
    <w:p w14:paraId="75024369" w14:textId="24B71BA1" w:rsidR="00A53249" w:rsidRDefault="00A53249" w:rsidP="008C38C6">
      <w:pPr>
        <w:pStyle w:val="NoSpacing"/>
        <w:spacing w:line="360" w:lineRule="auto"/>
      </w:pPr>
    </w:p>
    <w:p w14:paraId="54024B77" w14:textId="1728DEE8" w:rsidR="00427DB0" w:rsidRDefault="00427DB0" w:rsidP="00427DB0">
      <w:pPr>
        <w:pStyle w:val="NoSpacing"/>
        <w:spacing w:line="360" w:lineRule="auto"/>
      </w:pPr>
      <w:r>
        <w:t xml:space="preserve">Most studies in this area are from the US, </w:t>
      </w:r>
      <w:r w:rsidRPr="00925EA9">
        <w:t xml:space="preserve">thereby </w:t>
      </w:r>
      <w:r>
        <w:t>limiting</w:t>
      </w:r>
      <w:r w:rsidRPr="00925EA9">
        <w:t xml:space="preserve"> generalisability of effectiveness and cost-effectiveness results in the wider English context. In particular, the American and English legal, </w:t>
      </w:r>
      <w:r>
        <w:t>child welfare</w:t>
      </w:r>
      <w:r w:rsidRPr="00925EA9">
        <w:t xml:space="preserve"> and treatment systems are substantially different, with further notable differences in the types of drugs used by parents also apparent. In England</w:t>
      </w:r>
      <w:r w:rsidRPr="00925EA9">
        <w:rPr>
          <w:i/>
        </w:rPr>
        <w:t xml:space="preserve">, </w:t>
      </w:r>
      <w:r w:rsidRPr="00925EA9">
        <w:t xml:space="preserve">cases typically enter court at a later stage, residential treatment facilities are less frequently used, and the use of lower threshold services such </w:t>
      </w:r>
      <w:r w:rsidR="00C11139">
        <w:t>as</w:t>
      </w:r>
      <w:r w:rsidRPr="00925EA9">
        <w:t xml:space="preserve"> Alcoholics Anonymous and Narcotics Anonymous are not essential parts of a treatment care plan </w:t>
      </w:r>
      <w:r w:rsidRPr="00925EA9">
        <w:fldChar w:fldCharType="begin"/>
      </w:r>
      <w:r w:rsidR="00B9334F">
        <w:instrText xml:space="preserve"> ADDIN EN.CITE &lt;EndNote&gt;&lt;Cite&gt;&lt;Author&gt;Gifford&lt;/Author&gt;&lt;Year&gt;2014&lt;/Year&gt;&lt;RecNum&gt;18&lt;/RecNum&gt;&lt;DisplayText&gt;(Gifford et al., 2014)&lt;/DisplayText&gt;&lt;record&gt;&lt;rec-number&gt;18&lt;/rec-number&gt;&lt;foreign-keys&gt;&lt;key app="EN" db-id="ffzvr5fstavwxoe9v04xf0wmp5t50as52da0" timestamp="1731671637" guid="e2f56576-b24c-4a3f-8f35-bd595abbe488"&gt;18&lt;/key&gt;&lt;/foreign-keys&gt;&lt;ref-type name="Journal Article"&gt;17&lt;/ref-type&gt;&lt;contributors&gt;&lt;authors&gt;&lt;author&gt;Gifford, Elizabeth Joanne&lt;/author&gt;&lt;author&gt;Eldred, Lindsey Morgan&lt;/author&gt;&lt;author&gt;Vernerey, Allison&lt;/author&gt;&lt;author&gt;Sloan, Frank Allen&lt;/author&gt;&lt;/authors&gt;&lt;/contributors&gt;&lt;titles&gt;&lt;title&gt;How does family drug treatment court participation affect child welfare outcomes?&lt;/title&gt;&lt;secondary-title&gt;Child Abuse &amp;amp; Neglect&lt;/secondary-title&gt;&lt;/titles&gt;&lt;periodical&gt;&lt;full-title&gt;Child Abuse &amp;amp; Neglect&lt;/full-title&gt;&lt;/periodical&gt;&lt;pages&gt;1659-1670&lt;/pages&gt;&lt;volume&gt;38&lt;/volume&gt;&lt;number&gt;10&lt;/number&gt;&lt;keywords&gt;&lt;keyword&gt;Parental substance use&lt;/keyword&gt;&lt;keyword&gt;Foster care&lt;/keyword&gt;&lt;keyword&gt;Child welfare&lt;/keyword&gt;&lt;keyword&gt;Family drug treatment court&lt;/keyword&gt;&lt;/keywords&gt;&lt;dates&gt;&lt;year&gt;2014&lt;/year&gt;&lt;pub-dates&gt;&lt;date&gt;2014/10/01/&lt;/date&gt;&lt;/pub-dates&gt;&lt;/dates&gt;&lt;isbn&gt;0145-2134&lt;/isbn&gt;&lt;urls&gt;&lt;related-urls&gt;&lt;url&gt;http://www.sciencedirect.com/science/article/pii/S0145213414001033&lt;/url&gt;&lt;/related-urls&gt;&lt;/urls&gt;&lt;electronic-resource-num&gt;https://doi.org/10.1016/j.chiabu.2014.03.010&lt;/electronic-resource-num&gt;&lt;/record&gt;&lt;/Cite&gt;&lt;/EndNote&gt;</w:instrText>
      </w:r>
      <w:r w:rsidRPr="00925EA9">
        <w:fldChar w:fldCharType="separate"/>
      </w:r>
      <w:r>
        <w:rPr>
          <w:noProof/>
        </w:rPr>
        <w:t>(Gifford et al., 2014)</w:t>
      </w:r>
      <w:r w:rsidRPr="00925EA9">
        <w:fldChar w:fldCharType="end"/>
      </w:r>
      <w:r>
        <w:t xml:space="preserve">. </w:t>
      </w:r>
      <w:r w:rsidR="00B173D9">
        <w:t xml:space="preserve">Thus, this study enables the research community and policy- and decision-makers to better understand the </w:t>
      </w:r>
      <w:r w:rsidR="0053555A">
        <w:t xml:space="preserve">characteristics of parents with SUD in the </w:t>
      </w:r>
      <w:r w:rsidR="00B17154">
        <w:t xml:space="preserve">English </w:t>
      </w:r>
      <w:r w:rsidR="0053555A">
        <w:t xml:space="preserve">treatment system and the </w:t>
      </w:r>
      <w:r w:rsidR="00B173D9">
        <w:t xml:space="preserve">effectiveness and cost-effectiveness of interventions </w:t>
      </w:r>
      <w:r w:rsidR="00983D82">
        <w:t>th</w:t>
      </w:r>
      <w:r w:rsidR="0053555A">
        <w:t>ey receive</w:t>
      </w:r>
      <w:r w:rsidR="00983D82">
        <w:t xml:space="preserve"> in this country.</w:t>
      </w:r>
      <w:r w:rsidR="00056079">
        <w:t xml:space="preserve"> Also, the methods used in this study are replicable </w:t>
      </w:r>
      <w:r w:rsidR="00F14FB0">
        <w:t xml:space="preserve">for use with another administrative dataset from any jurisdiction. </w:t>
      </w:r>
    </w:p>
    <w:p w14:paraId="44052389" w14:textId="77777777" w:rsidR="00A404B9" w:rsidRDefault="00A404B9" w:rsidP="00427DB0">
      <w:pPr>
        <w:pStyle w:val="NoSpacing"/>
        <w:spacing w:line="360" w:lineRule="auto"/>
      </w:pPr>
    </w:p>
    <w:p w14:paraId="7F8AEB30" w14:textId="494F6DD3" w:rsidR="00954012" w:rsidRDefault="00A404B9" w:rsidP="00427DB0">
      <w:pPr>
        <w:pStyle w:val="NoSpacing"/>
        <w:spacing w:line="360" w:lineRule="auto"/>
      </w:pPr>
      <w:r>
        <w:lastRenderedPageBreak/>
        <w:t xml:space="preserve">Our subgroup analyses enabled </w:t>
      </w:r>
      <w:r w:rsidR="009B275C">
        <w:t xml:space="preserve">for </w:t>
      </w:r>
      <w:r>
        <w:t xml:space="preserve">the first time in the literature, a comprehensive </w:t>
      </w:r>
      <w:r w:rsidR="00161E00">
        <w:t>exploration</w:t>
      </w:r>
      <w:r>
        <w:t xml:space="preserve"> and analysis of outcomes for </w:t>
      </w:r>
      <w:r w:rsidR="003F27D1">
        <w:t xml:space="preserve">mothers compared with fathers, </w:t>
      </w:r>
      <w:r w:rsidR="00161E00">
        <w:t>living with and not living with children, using different substances.</w:t>
      </w:r>
      <w:r>
        <w:t xml:space="preserve"> </w:t>
      </w:r>
      <w:r w:rsidR="00161E00">
        <w:t>This is particularly significant given tha</w:t>
      </w:r>
      <w:r w:rsidR="00820815">
        <w:t>t proportiona</w:t>
      </w:r>
      <w:r w:rsidR="006B72D2">
        <w:t xml:space="preserve">tely </w:t>
      </w:r>
      <w:r w:rsidR="005F6565">
        <w:t xml:space="preserve">far </w:t>
      </w:r>
      <w:r w:rsidR="006B72D2">
        <w:t xml:space="preserve">more </w:t>
      </w:r>
      <w:r w:rsidR="0007027E">
        <w:t xml:space="preserve">fathers </w:t>
      </w:r>
      <w:r w:rsidR="006B72D2">
        <w:t xml:space="preserve">than </w:t>
      </w:r>
      <w:r w:rsidR="0007027E">
        <w:t>mothers</w:t>
      </w:r>
      <w:r w:rsidR="006B72D2">
        <w:t xml:space="preserve"> </w:t>
      </w:r>
      <w:r w:rsidR="007277F3">
        <w:t>are in the treatment system</w:t>
      </w:r>
      <w:r w:rsidR="005F6565">
        <w:t xml:space="preserve"> and the paucity of evidence on interventions for fathers. </w:t>
      </w:r>
    </w:p>
    <w:p w14:paraId="3F604C4E" w14:textId="77777777" w:rsidR="00FB78E2" w:rsidRDefault="00FB78E2" w:rsidP="00FB78E2">
      <w:pPr>
        <w:pStyle w:val="NoSpacing"/>
        <w:spacing w:line="360" w:lineRule="auto"/>
      </w:pPr>
    </w:p>
    <w:p w14:paraId="2B2709C9" w14:textId="39FAA2E4" w:rsidR="00CF46E7" w:rsidRDefault="00A161F2" w:rsidP="008C38C6">
      <w:pPr>
        <w:pStyle w:val="NoSpacing"/>
        <w:spacing w:line="360" w:lineRule="auto"/>
      </w:pPr>
      <w:r w:rsidRPr="00925EA9">
        <w:t xml:space="preserve">UK guidance </w:t>
      </w:r>
      <w:r>
        <w:t>for government analysts is to use</w:t>
      </w:r>
      <w:r w:rsidRPr="00925EA9">
        <w:t xml:space="preserve"> the Maryland Scale of Scientific Methods </w:t>
      </w:r>
      <w:r w:rsidRPr="00925EA9">
        <w:fldChar w:fldCharType="begin"/>
      </w:r>
      <w:r w:rsidR="00B9334F">
        <w:instrText xml:space="preserve"> ADDIN EN.CITE &lt;EndNote&gt;&lt;Cite&gt;&lt;Author&gt;Sherman&lt;/Author&gt;&lt;Year&gt;1998&lt;/Year&gt;&lt;RecNum&gt;111&lt;/RecNum&gt;&lt;DisplayText&gt;(Sherman et al., 1998)&lt;/DisplayText&gt;&lt;record&gt;&lt;rec-number&gt;111&lt;/rec-number&gt;&lt;foreign-keys&gt;&lt;key app="EN" db-id="ffzvr5fstavwxoe9v04xf0wmp5t50as52da0" timestamp="1731671643" guid="020d715a-eb8c-44e9-bdeb-96ea39bd2ce5"&gt;111&lt;/key&gt;&lt;/foreign-keys&gt;&lt;ref-type name="Electronic Article"&gt;43&lt;/ref-type&gt;&lt;contributors&gt;&lt;authors&gt;&lt;author&gt;Lawrence W. Sherman&lt;/author&gt;&lt;author&gt;Denise C. Gottfredson&lt;/author&gt;&lt;author&gt;Doris L. MacKenzie&lt;/author&gt;&lt;author&gt;John Eck&lt;/author&gt;&lt;author&gt;Peter Reuter&lt;/author&gt;&lt;author&gt;Shawn D. Bushway&lt;/author&gt;&lt;/authors&gt;&lt;/contributors&gt;&lt;titles&gt;&lt;title&gt;Preventing Crime: What Works, What Doesn’t, What’s Promising&lt;/title&gt;&lt;/titles&gt;&lt;dates&gt;&lt;year&gt;1998&lt;/year&gt;&lt;pub-dates&gt;&lt;date&gt;15/04/2018&lt;/date&gt;&lt;/pub-dates&gt;&lt;/dates&gt;&lt;publisher&gt;US Department of Justice,&lt;/publisher&gt;&lt;urls&gt;&lt;related-urls&gt;&lt;url&gt;&lt;style face="underline" font="default" size="100%"&gt;https://www.ncjrs.gov/pdffiles/171676.pdf&lt;/style&gt;&lt;/url&gt;&lt;/related-urls&gt;&lt;/urls&gt;&lt;/record&gt;&lt;/Cite&gt;&lt;/EndNote&gt;</w:instrText>
      </w:r>
      <w:r w:rsidRPr="00925EA9">
        <w:fldChar w:fldCharType="separate"/>
      </w:r>
      <w:r>
        <w:rPr>
          <w:noProof/>
        </w:rPr>
        <w:t>(Sherman et al., 1998)</w:t>
      </w:r>
      <w:r w:rsidRPr="00925EA9">
        <w:fldChar w:fldCharType="end"/>
      </w:r>
      <w:r w:rsidRPr="00925EA9">
        <w:t xml:space="preserve"> </w:t>
      </w:r>
      <w:r>
        <w:t xml:space="preserve">when assessing the robustness of evaluation design </w:t>
      </w:r>
      <w:r>
        <w:fldChar w:fldCharType="begin"/>
      </w:r>
      <w:r w:rsidR="00B9334F">
        <w:instrText xml:space="preserve"> ADDIN EN.CITE &lt;EndNote&gt;&lt;Cite&gt;&lt;Author&gt;HM Treasury and Evaluation Task Force&lt;/Author&gt;&lt;Year&gt;2011&lt;/Year&gt;&lt;RecNum&gt;272&lt;/RecNum&gt;&lt;DisplayText&gt;(HM Treasury and Evaluation Task Force, 2011)&lt;/DisplayText&gt;&lt;record&gt;&lt;rec-number&gt;272&lt;/rec-number&gt;&lt;foreign-keys&gt;&lt;key app="EN" db-id="ffzvr5fstavwxoe9v04xf0wmp5t50as52da0" timestamp="1731671653" guid="6a59fc79-ec41-4014-8d22-130364617d6a"&gt;272&lt;/key&gt;&lt;/foreign-keys&gt;&lt;ref-type name="Electronic Article"&gt;43&lt;/ref-type&gt;&lt;contributors&gt;&lt;authors&gt;&lt;author&gt;HM Treasury and Evaluation Task Force,&lt;/author&gt;&lt;/authors&gt;&lt;/contributors&gt;&lt;titles&gt;&lt;title&gt;Government analytical evaluation capabilities framework&lt;/title&gt;&lt;/titles&gt;&lt;dates&gt;&lt;year&gt;2011&lt;/year&gt;&lt;pub-dates&gt;&lt;date&gt;28/05/2024&lt;/date&gt;&lt;/pub-dates&gt;&lt;/dates&gt;&lt;urls&gt;&lt;related-urls&gt;&lt;url&gt;https://assets.publishing.service.gov.uk/media/5e96c443e90e071a13b0892e/Magenta_Book_supplementary_guide._Government_Analytical_Evaluation_Capabilities_Framework.pdf&lt;/url&gt;&lt;/related-urls&gt;&lt;/urls&gt;&lt;/record&gt;&lt;/Cite&gt;&lt;/EndNote&gt;</w:instrText>
      </w:r>
      <w:r>
        <w:fldChar w:fldCharType="separate"/>
      </w:r>
      <w:r>
        <w:rPr>
          <w:noProof/>
        </w:rPr>
        <w:t>(HM Treasury and Evaluation Task Force, 2011)</w:t>
      </w:r>
      <w:r>
        <w:fldChar w:fldCharType="end"/>
      </w:r>
      <w:r>
        <w:t xml:space="preserve">. </w:t>
      </w:r>
      <w:r w:rsidR="00B65025">
        <w:t xml:space="preserve">The scale is from 1 (very low) </w:t>
      </w:r>
      <w:r w:rsidR="00FB78E2">
        <w:t xml:space="preserve">to 5 (very high). The use of a quasi-experimental study to analyse effectiveness and cost-effectiveness </w:t>
      </w:r>
      <w:r w:rsidR="003B301D">
        <w:t xml:space="preserve">would be 4 on the Maryland Scale (with 5 reserved for randomised control trials). </w:t>
      </w:r>
      <w:r w:rsidR="00D80297">
        <w:t xml:space="preserve">Robustness was further enhanced by </w:t>
      </w:r>
      <w:r w:rsidR="00124A7F">
        <w:t xml:space="preserve">reporting not </w:t>
      </w:r>
      <w:r w:rsidR="000A6229">
        <w:t>significance</w:t>
      </w:r>
      <w:r w:rsidR="00124A7F">
        <w:t xml:space="preserve"> but also </w:t>
      </w:r>
      <w:r w:rsidR="00CF46E7">
        <w:t>e</w:t>
      </w:r>
      <w:r w:rsidR="00124A7F">
        <w:t>-values larger than 1</w:t>
      </w:r>
      <w:r w:rsidR="00CF46E7">
        <w:t xml:space="preserve"> to </w:t>
      </w:r>
      <w:r w:rsidR="00706897">
        <w:t>highlight</w:t>
      </w:r>
      <w:r w:rsidR="00CF46E7">
        <w:t xml:space="preserve"> the strength of association</w:t>
      </w:r>
      <w:r w:rsidR="00706897">
        <w:t>s</w:t>
      </w:r>
      <w:r w:rsidR="00CF46E7">
        <w:t xml:space="preserve"> between an unmeasured confounder, with our observed characteristics and our significant association</w:t>
      </w:r>
      <w:r w:rsidR="00706897">
        <w:t>s</w:t>
      </w:r>
      <w:r w:rsidR="00CF46E7">
        <w:t xml:space="preserve">. </w:t>
      </w:r>
    </w:p>
    <w:p w14:paraId="4D564AB7" w14:textId="77777777" w:rsidR="00CF46E7" w:rsidRDefault="00CF46E7" w:rsidP="008C38C6">
      <w:pPr>
        <w:pStyle w:val="NoSpacing"/>
        <w:spacing w:line="360" w:lineRule="auto"/>
      </w:pPr>
    </w:p>
    <w:p w14:paraId="3D619BA6" w14:textId="53BE5BBF" w:rsidR="00253E11" w:rsidRDefault="00253E11" w:rsidP="00253E11">
      <w:pPr>
        <w:pStyle w:val="NoSpacing"/>
        <w:spacing w:line="360" w:lineRule="auto"/>
      </w:pPr>
      <w:r>
        <w:t xml:space="preserve">In England, the National Institute for Health and Care Excellence (NICE) use QALY gains and differences in costs to help decide whether new treatments should be provided by the National Health Service (NHS). Government departments compare costs with gains in QALYs and other potential benefits associated with an intervention, such as reductions in public sector costs, to assess whether health and social care policy options represent value for money to the public purse </w:t>
      </w:r>
      <w:r>
        <w:fldChar w:fldCharType="begin"/>
      </w:r>
      <w:r w:rsidR="00B9334F">
        <w:instrText xml:space="preserve"> ADDIN EN.CITE &lt;EndNote&gt;&lt;Cite&gt;&lt;Author&gt;HM Treasury&lt;/Author&gt;&lt;Year&gt;2022&lt;/Year&gt;&lt;RecNum&gt;300&lt;/RecNum&gt;&lt;DisplayText&gt;(HM Treasury, 2022)&lt;/DisplayText&gt;&lt;record&gt;&lt;rec-number&gt;300&lt;/rec-number&gt;&lt;foreign-keys&gt;&lt;key app="EN" db-id="ffzvr5fstavwxoe9v04xf0wmp5t50as52da0" timestamp="1731671657" guid="ff60ec08-57ca-4944-82af-1cb17a3049ad"&gt;300&lt;/key&gt;&lt;/foreign-keys&gt;&lt;ref-type name="Government Document"&gt;46&lt;/ref-type&gt;&lt;contributors&gt;&lt;authors&gt;&lt;author&gt;HM Treasury,&lt;/author&gt;&lt;/authors&gt;&lt;secondary-authors&gt;&lt;author&gt;HM Treasury,&lt;/author&gt;&lt;/secondary-authors&gt;&lt;/contributors&gt;&lt;titles&gt;&lt;title&gt;The Green Book: Central Government guidance on appraisal and evaluation&lt;/title&gt;&lt;/titles&gt;&lt;dates&gt;&lt;year&gt;2022&lt;/year&gt;&lt;/dates&gt;&lt;pub-location&gt;London&lt;/pub-location&gt;&lt;publisher&gt;HM Treasury,&lt;/publisher&gt;&lt;urls&gt;&lt;/urls&gt;&lt;/record&gt;&lt;/Cite&gt;&lt;/EndNote&gt;</w:instrText>
      </w:r>
      <w:r>
        <w:fldChar w:fldCharType="separate"/>
      </w:r>
      <w:r>
        <w:rPr>
          <w:noProof/>
        </w:rPr>
        <w:t>(HM Treasury, 2022)</w:t>
      </w:r>
      <w:r>
        <w:fldChar w:fldCharType="end"/>
      </w:r>
      <w:r>
        <w:t xml:space="preserve">. According to NICE, because public health can be much wider than health alone, analyses of public health interventions, of which treatment and treatment </w:t>
      </w:r>
      <w:r w:rsidR="00545D7B">
        <w:t>plus</w:t>
      </w:r>
      <w:r>
        <w:t xml:space="preserve"> parenting and/or recovery support would be examples, require a more comprehensive approach and a subsequent change from the standard health perspective to a public sector one </w:t>
      </w:r>
      <w:r>
        <w:fldChar w:fldCharType="begin"/>
      </w:r>
      <w:r w:rsidR="00B9334F">
        <w:instrText xml:space="preserve"> ADDIN EN.CITE &lt;EndNote&gt;&lt;Cite&gt;&lt;Author&gt;NICE&lt;/Author&gt;&lt;Year&gt;2012&lt;/Year&gt;&lt;RecNum&gt;330&lt;/RecNum&gt;&lt;DisplayText&gt;(NICE, 2012b)&lt;/DisplayText&gt;&lt;record&gt;&lt;rec-number&gt;330&lt;/rec-number&gt;&lt;foreign-keys&gt;&lt;key app="EN" db-id="ffzvr5fstavwxoe9v04xf0wmp5t50as52da0" timestamp="1731671659" guid="4569e038-58f8-4116-b986-4e28b2c687a0"&gt;330&lt;/key&gt;&lt;/foreign-keys&gt;&lt;ref-type name="Electronic Article"&gt;43&lt;/ref-type&gt;&lt;contributors&gt;&lt;authors&gt;&lt;author&gt;NICE&lt;/author&gt;&lt;/authors&gt;&lt;/contributors&gt;&lt;titles&gt;&lt;title&gt;Methods for the development of NICE public health guidance (third edition). NICE process and methods [PMG4]&lt;/title&gt;&lt;/titles&gt;&lt;dates&gt;&lt;year&gt;2012&lt;/year&gt;&lt;pub-dates&gt;&lt;date&gt;01/09/2024&lt;/date&gt;&lt;/pub-dates&gt;&lt;/dates&gt;&lt;urls&gt;&lt;related-urls&gt;&lt;url&gt;https://www.nice.org.uk/process/pmg4/chapter/incorporating-health-economics&lt;/url&gt;&lt;/related-urls&gt;&lt;/urls&gt;&lt;/record&gt;&lt;/Cite&gt;&lt;/EndNote&gt;</w:instrText>
      </w:r>
      <w:r>
        <w:fldChar w:fldCharType="separate"/>
      </w:r>
      <w:r>
        <w:rPr>
          <w:noProof/>
        </w:rPr>
        <w:t>(NICE, 2012b)</w:t>
      </w:r>
      <w:r>
        <w:fldChar w:fldCharType="end"/>
      </w:r>
      <w:r>
        <w:t xml:space="preserve">. </w:t>
      </w:r>
      <w:r w:rsidR="004B24F0">
        <w:t>Thus</w:t>
      </w:r>
      <w:r w:rsidR="00A90B1B">
        <w:t>,</w:t>
      </w:r>
      <w:r w:rsidR="004B24F0">
        <w:t xml:space="preserve"> </w:t>
      </w:r>
      <w:r w:rsidR="00A90B1B">
        <w:t xml:space="preserve">the </w:t>
      </w:r>
      <w:r w:rsidR="004B24F0">
        <w:t xml:space="preserve">presentation of </w:t>
      </w:r>
      <w:r w:rsidR="006579F8">
        <w:t>not just</w:t>
      </w:r>
      <w:r w:rsidR="004B24F0">
        <w:t xml:space="preserve"> ICERs (health perspective) </w:t>
      </w:r>
      <w:r w:rsidR="006579F8">
        <w:t>as is standard in the cost-effectiveness literature, but also</w:t>
      </w:r>
      <w:r w:rsidR="004B24F0">
        <w:t xml:space="preserve"> cost per QALYs </w:t>
      </w:r>
      <w:r w:rsidR="00D94708">
        <w:t>(public sector perspective)</w:t>
      </w:r>
      <w:r w:rsidR="00080C80">
        <w:t xml:space="preserve"> </w:t>
      </w:r>
      <w:r w:rsidR="00026FED">
        <w:t xml:space="preserve">reflect how </w:t>
      </w:r>
      <w:r w:rsidR="00050368">
        <w:t xml:space="preserve">commissioning </w:t>
      </w:r>
      <w:r w:rsidR="00026FED">
        <w:t xml:space="preserve">decisions </w:t>
      </w:r>
      <w:r w:rsidR="00050368">
        <w:t xml:space="preserve">are made in England. </w:t>
      </w:r>
      <w:r w:rsidR="00AA45D1">
        <w:t>The cost-effectiveness study</w:t>
      </w:r>
      <w:r w:rsidR="00050368">
        <w:t xml:space="preserve"> w</w:t>
      </w:r>
      <w:r w:rsidR="00AA45D1">
        <w:t>as</w:t>
      </w:r>
      <w:r w:rsidR="00050368">
        <w:t xml:space="preserve"> </w:t>
      </w:r>
      <w:r w:rsidR="00AA45D1">
        <w:t xml:space="preserve">further </w:t>
      </w:r>
      <w:r w:rsidR="00050368">
        <w:t xml:space="preserve">strengthened through the use of analyses </w:t>
      </w:r>
      <w:r w:rsidR="00AA45D1">
        <w:t xml:space="preserve">to estimate </w:t>
      </w:r>
      <w:r w:rsidR="00EF4C26">
        <w:t xml:space="preserve">model uncertainty and </w:t>
      </w:r>
      <w:r w:rsidR="00300936">
        <w:t xml:space="preserve">the sensitivity of key assumption so that decision-makers have enough information to make informed </w:t>
      </w:r>
      <w:r w:rsidR="00CF50B5">
        <w:t>commissioning decision</w:t>
      </w:r>
      <w:r w:rsidR="00DD328F">
        <w:t>s</w:t>
      </w:r>
      <w:r w:rsidR="00CF50B5">
        <w:t>.</w:t>
      </w:r>
    </w:p>
    <w:p w14:paraId="29765E07" w14:textId="77777777" w:rsidR="00386A7C" w:rsidRDefault="00386A7C" w:rsidP="008C38C6">
      <w:pPr>
        <w:pStyle w:val="NoSpacing"/>
        <w:spacing w:line="360" w:lineRule="auto"/>
      </w:pPr>
    </w:p>
    <w:p w14:paraId="18BF1ACD" w14:textId="6F0D551F" w:rsidR="002D4101" w:rsidRDefault="0034140A" w:rsidP="0034140A">
      <w:pPr>
        <w:pStyle w:val="NoSpacing"/>
        <w:spacing w:line="360" w:lineRule="auto"/>
      </w:pPr>
      <w:r>
        <w:lastRenderedPageBreak/>
        <w:t xml:space="preserve">For someone who has spent most of their career in the public sector specialising in SUD, an important strength is also that the findings of this research </w:t>
      </w:r>
      <w:r w:rsidR="002D4101">
        <w:t xml:space="preserve">have </w:t>
      </w:r>
      <w:r>
        <w:t>real world implications and I am able to provide policymakers and practitioners with recommendations on how best to support families in increasingly financially constrained times and most importantly of all make an actual difference to the lives of children and families affected by parental SUD.</w:t>
      </w:r>
    </w:p>
    <w:p w14:paraId="08A54BC7" w14:textId="77777777" w:rsidR="002103C9" w:rsidRPr="00673785" w:rsidRDefault="002103C9" w:rsidP="008434CC">
      <w:pPr>
        <w:pStyle w:val="NoSpacing"/>
        <w:spacing w:line="360" w:lineRule="auto"/>
        <w:rPr>
          <w:highlight w:val="yellow"/>
        </w:rPr>
      </w:pPr>
    </w:p>
    <w:p w14:paraId="1B2B864F" w14:textId="1E6EA858" w:rsidR="4A2509E5" w:rsidRDefault="00843698" w:rsidP="00065F85">
      <w:pPr>
        <w:pStyle w:val="Heading2"/>
        <w:numPr>
          <w:ilvl w:val="1"/>
          <w:numId w:val="19"/>
        </w:numPr>
        <w:spacing w:after="240"/>
      </w:pPr>
      <w:bookmarkStart w:id="164" w:name="_Toc189229722"/>
      <w:r w:rsidRPr="00843698">
        <w:t>Limitations and r</w:t>
      </w:r>
      <w:r w:rsidR="006A1ABD" w:rsidRPr="00843698">
        <w:t xml:space="preserve">ecommendations for </w:t>
      </w:r>
      <w:r w:rsidR="008E488F" w:rsidRPr="00843698">
        <w:t>future research</w:t>
      </w:r>
      <w:bookmarkEnd w:id="164"/>
    </w:p>
    <w:p w14:paraId="582D7FCD" w14:textId="77149F09" w:rsidR="00A66DA5" w:rsidRDefault="00867ACB" w:rsidP="00AF7085">
      <w:pPr>
        <w:pStyle w:val="NoSpacing"/>
        <w:spacing w:line="360" w:lineRule="auto"/>
      </w:pPr>
      <w:r>
        <w:t>‘</w:t>
      </w:r>
      <w:r w:rsidR="006459BF">
        <w:t xml:space="preserve">Patients’ </w:t>
      </w:r>
      <w:r>
        <w:t xml:space="preserve">are identified in the NDTMS using attributable information, viz, </w:t>
      </w:r>
      <w:r w:rsidR="00C851B0">
        <w:t xml:space="preserve">first name initial, surname initial, </w:t>
      </w:r>
      <w:r>
        <w:t>sex</w:t>
      </w:r>
      <w:r w:rsidR="00C851B0">
        <w:t>, date of birth</w:t>
      </w:r>
      <w:r w:rsidR="00F80573">
        <w:t xml:space="preserve">. Local authority of </w:t>
      </w:r>
      <w:r w:rsidR="00C851B0">
        <w:t>residence</w:t>
      </w:r>
      <w:r w:rsidR="00F80573">
        <w:t xml:space="preserve"> is also used to identify a unique pat</w:t>
      </w:r>
      <w:r w:rsidR="00EA63C6">
        <w:t>ient</w:t>
      </w:r>
      <w:r w:rsidR="00C851B0">
        <w:t xml:space="preserve">. </w:t>
      </w:r>
      <w:r w:rsidR="00EA63C6">
        <w:t xml:space="preserve">This means that any change </w:t>
      </w:r>
      <w:r w:rsidR="00AA120A">
        <w:t xml:space="preserve">in any of the identifiers </w:t>
      </w:r>
      <w:r w:rsidR="00BD64C0">
        <w:t xml:space="preserve">for a person </w:t>
      </w:r>
      <w:r w:rsidR="00AA120A">
        <w:t>would create a new patient record</w:t>
      </w:r>
      <w:r w:rsidR="00BD64C0">
        <w:t xml:space="preserve"> and as such would be treated as if belonging to a different person. While such a method </w:t>
      </w:r>
      <w:r w:rsidR="009E328B">
        <w:t>helps to protect people’s identity</w:t>
      </w:r>
      <w:r w:rsidR="000108C5">
        <w:t xml:space="preserve"> on a database which records extremely sensitive information, </w:t>
      </w:r>
      <w:r w:rsidR="006B25F3">
        <w:t>it could be problematic</w:t>
      </w:r>
      <w:r w:rsidR="009D6B90">
        <w:t xml:space="preserve"> when analysis </w:t>
      </w:r>
      <w:r w:rsidR="000C30C0">
        <w:t xml:space="preserve">is done </w:t>
      </w:r>
      <w:r w:rsidR="009D6B90">
        <w:t xml:space="preserve">on, for example, </w:t>
      </w:r>
      <w:r w:rsidR="00042BA2">
        <w:t xml:space="preserve">people who </w:t>
      </w:r>
      <w:r w:rsidR="00664ACA">
        <w:t xml:space="preserve">are rough sleeping or have </w:t>
      </w:r>
      <w:r w:rsidR="007A51B6">
        <w:t>unstable housing and so may move around a lot</w:t>
      </w:r>
      <w:r w:rsidR="009D6B90">
        <w:t xml:space="preserve"> or </w:t>
      </w:r>
      <w:r w:rsidR="00AB7760">
        <w:t>mothers</w:t>
      </w:r>
      <w:r w:rsidR="009D6B90">
        <w:t xml:space="preserve"> who</w:t>
      </w:r>
      <w:r w:rsidR="00F92D13">
        <w:t xml:space="preserve"> get married and change their surname</w:t>
      </w:r>
      <w:r w:rsidR="007A51B6">
        <w:t xml:space="preserve">. </w:t>
      </w:r>
      <w:r w:rsidR="00F92D13">
        <w:t xml:space="preserve">Issues also arise when a person is recorded by their official name in one </w:t>
      </w:r>
      <w:r w:rsidR="009D74EE">
        <w:t xml:space="preserve">treatment service </w:t>
      </w:r>
      <w:r w:rsidR="00F92D13">
        <w:t xml:space="preserve">and </w:t>
      </w:r>
      <w:r w:rsidR="009D74EE">
        <w:t xml:space="preserve">by </w:t>
      </w:r>
      <w:r w:rsidR="00F92D13">
        <w:t xml:space="preserve">their nickname </w:t>
      </w:r>
      <w:r w:rsidR="009D74EE">
        <w:t>in</w:t>
      </w:r>
      <w:r w:rsidR="00F92D13">
        <w:t xml:space="preserve"> another. </w:t>
      </w:r>
      <w:r w:rsidR="007F5732">
        <w:t xml:space="preserve">A solution to this problem would be to use </w:t>
      </w:r>
      <w:r w:rsidR="009F7E51">
        <w:t xml:space="preserve">a widely used </w:t>
      </w:r>
      <w:r w:rsidR="00E97657">
        <w:t>administrative</w:t>
      </w:r>
      <w:r w:rsidR="009F7E51">
        <w:t xml:space="preserve"> identifier such as </w:t>
      </w:r>
      <w:r w:rsidR="000C2DB9">
        <w:t>NHS</w:t>
      </w:r>
      <w:r w:rsidR="009F7E51">
        <w:t xml:space="preserve"> number</w:t>
      </w:r>
      <w:r w:rsidR="003117C9">
        <w:t xml:space="preserve"> </w:t>
      </w:r>
      <w:r w:rsidR="003117C9">
        <w:fldChar w:fldCharType="begin"/>
      </w:r>
      <w:r w:rsidR="00B9334F">
        <w:instrText xml:space="preserve"> ADDIN EN.CITE &lt;EndNote&gt;&lt;Cite&gt;&lt;Author&gt;Eastwood&lt;/Author&gt;&lt;Year&gt;2019&lt;/Year&gt;&lt;RecNum&gt;310&lt;/RecNum&gt;&lt;DisplayText&gt;(Eastwood, 2019)&lt;/DisplayText&gt;&lt;record&gt;&lt;rec-number&gt;310&lt;/rec-number&gt;&lt;foreign-keys&gt;&lt;key app="EN" db-id="ffzvr5fstavwxoe9v04xf0wmp5t50as52da0" timestamp="1731671657" guid="29497dd2-56c7-4da8-bd19-a789ac88094c"&gt;310&lt;/key&gt;&lt;/foreign-keys&gt;&lt;ref-type name="Electronic Article"&gt;43&lt;/ref-type&gt;&lt;contributors&gt;&lt;authors&gt;&lt;author&gt;Eastwood, B.&lt;/author&gt;&lt;/authors&gt;&lt;/contributors&gt;&lt;titles&gt;&lt;title&gt;The long-term impact of treatment for individuals presenting to specialist services in England with opioid addiction problems&lt;/title&gt;&lt;/titles&gt;&lt;dates&gt;&lt;year&gt;2019&lt;/year&gt;&lt;/dates&gt;&lt;urls&gt;&lt;related-urls&gt;&lt;url&gt;https://kclpure.kcl.ac.uk/portal/en/studentTheses/the-long-term-impact-of-treatment-for-individuals-presenting-to-s&lt;/url&gt;&lt;/related-urls&gt;&lt;/urls&gt;&lt;/record&gt;&lt;/Cite&gt;&lt;/EndNote&gt;</w:instrText>
      </w:r>
      <w:r w:rsidR="003117C9">
        <w:fldChar w:fldCharType="separate"/>
      </w:r>
      <w:r w:rsidR="00A77498">
        <w:rPr>
          <w:noProof/>
        </w:rPr>
        <w:t>(Eastwood, 2019)</w:t>
      </w:r>
      <w:r w:rsidR="003117C9">
        <w:fldChar w:fldCharType="end"/>
      </w:r>
      <w:r w:rsidR="007A73BD">
        <w:t>.</w:t>
      </w:r>
      <w:r w:rsidR="429B13FD">
        <w:t xml:space="preserve"> </w:t>
      </w:r>
      <w:r w:rsidR="001C136A">
        <w:t xml:space="preserve">However, this limitation is </w:t>
      </w:r>
      <w:r w:rsidR="00333779">
        <w:t xml:space="preserve">greater for </w:t>
      </w:r>
      <w:r w:rsidR="00404009">
        <w:t>studies that require matching NDTMS with other datasets</w:t>
      </w:r>
      <w:r w:rsidR="0032477B">
        <w:t xml:space="preserve">. </w:t>
      </w:r>
      <w:r w:rsidR="002D6974">
        <w:t>For</w:t>
      </w:r>
      <w:r w:rsidR="002D6974" w:rsidRPr="002D6974">
        <w:t xml:space="preserve"> the studies included in this thesis, this limitation predominantly amounts to </w:t>
      </w:r>
      <w:r w:rsidR="00E8051B">
        <w:t>a</w:t>
      </w:r>
      <w:r w:rsidR="002D6974" w:rsidRPr="002D6974">
        <w:t xml:space="preserve"> </w:t>
      </w:r>
      <w:r w:rsidR="00E8051B">
        <w:t>risk</w:t>
      </w:r>
      <w:r w:rsidR="002D6974" w:rsidRPr="002D6974">
        <w:t xml:space="preserve"> of there being a small degree of double</w:t>
      </w:r>
      <w:r w:rsidR="00E8051B">
        <w:t>-</w:t>
      </w:r>
      <w:r w:rsidR="002D6974" w:rsidRPr="002D6974">
        <w:t xml:space="preserve">counting </w:t>
      </w:r>
      <w:r w:rsidR="00E0497D">
        <w:t>which</w:t>
      </w:r>
      <w:r w:rsidR="002D6974" w:rsidRPr="002D6974">
        <w:t xml:space="preserve"> is unlikely to have materially affected the results</w:t>
      </w:r>
      <w:r w:rsidR="00E0497D">
        <w:t>.</w:t>
      </w:r>
      <w:r w:rsidR="002D6974" w:rsidRPr="002D6974">
        <w:t xml:space="preserve"> </w:t>
      </w:r>
    </w:p>
    <w:p w14:paraId="7B4719D1" w14:textId="77777777" w:rsidR="00C851B0" w:rsidRDefault="00C851B0" w:rsidP="00AF7085">
      <w:pPr>
        <w:pStyle w:val="NoSpacing"/>
        <w:spacing w:line="360" w:lineRule="auto"/>
        <w:rPr>
          <w:lang w:eastAsia="en-GB"/>
        </w:rPr>
      </w:pPr>
    </w:p>
    <w:p w14:paraId="0AD66D99" w14:textId="5BC40E2B" w:rsidR="00F16116" w:rsidRDefault="00AF7085" w:rsidP="4A2509E5">
      <w:pPr>
        <w:pStyle w:val="NoSpacing"/>
        <w:spacing w:line="360" w:lineRule="auto"/>
        <w:rPr>
          <w:lang w:eastAsia="en-GB"/>
        </w:rPr>
      </w:pPr>
      <w:r w:rsidRPr="00E91B1E">
        <w:rPr>
          <w:lang w:eastAsia="en-GB"/>
        </w:rPr>
        <w:t xml:space="preserve">While parental status should be asked and recorded on the NDTMS, it is not mandatory. </w:t>
      </w:r>
      <w:r w:rsidR="007A53B3">
        <w:rPr>
          <w:lang w:eastAsia="en-GB"/>
        </w:rPr>
        <w:t>M</w:t>
      </w:r>
      <w:r w:rsidR="007A53B3" w:rsidRPr="00E91B1E">
        <w:rPr>
          <w:lang w:eastAsia="en-GB"/>
        </w:rPr>
        <w:t>ost of the sample had parental status recorded suggesting that almost every service user is now asked the question – much higher than was the case in older NDTMS research</w:t>
      </w:r>
      <w:r w:rsidR="007A53B3">
        <w:rPr>
          <w:rStyle w:val="normaltextrun"/>
          <w:color w:val="000000"/>
          <w:shd w:val="clear" w:color="auto" w:fill="FFFFFF"/>
        </w:rPr>
        <w:t xml:space="preserve"> </w:t>
      </w:r>
      <w:r w:rsidR="007A53B3">
        <w:rPr>
          <w:rStyle w:val="normaltextrun"/>
          <w:color w:val="000000"/>
          <w:shd w:val="clear" w:color="auto" w:fill="FFFFFF"/>
        </w:rPr>
        <w:fldChar w:fldCharType="begin"/>
      </w:r>
      <w:r w:rsidR="00B9334F">
        <w:rPr>
          <w:rStyle w:val="normaltextrun"/>
          <w:color w:val="000000"/>
          <w:shd w:val="clear" w:color="auto" w:fill="FFFFFF"/>
        </w:rPr>
        <w:instrText xml:space="preserve"> ADDIN EN.CITE &lt;EndNote&gt;&lt;Cite&gt;&lt;Author&gt;Meier&lt;/Author&gt;&lt;Year&gt;2004&lt;/Year&gt;&lt;RecNum&gt;39&lt;/RecNum&gt;&lt;DisplayText&gt;(Meier et al., 2004)&lt;/DisplayText&gt;&lt;record&gt;&lt;rec-number&gt;39&lt;/rec-number&gt;&lt;foreign-keys&gt;&lt;key app="EN" db-id="ffzvr5fstavwxoe9v04xf0wmp5t50as52da0" timestamp="1731671638" guid="be88e944-fa4d-41a7-bde6-f2d4f33ef6f4"&gt;39&lt;/key&gt;&lt;/foreign-keys&gt;&lt;ref-type name="Journal Article"&gt;17&lt;/ref-type&gt;&lt;contributors&gt;&lt;authors&gt;&lt;author&gt;Meier, P. S.&lt;/author&gt;&lt;author&gt;Donmall, M. C.&lt;/author&gt;&lt;author&gt;McElduff, P.&lt;/author&gt;&lt;/authors&gt;&lt;/contributors&gt;&lt;auth-address&gt;National Drug Evidence Centre, School of Epidemiology and Health Scineces, University of Manchester, UK. petra.meier@man.ac.uk&lt;/auth-address&gt;&lt;titles&gt;&lt;title&gt;Characteristics of drug users who do or do not have care of their children&lt;/title&gt;&lt;secondary-title&gt;Addiction&lt;/secondary-title&gt;&lt;/titles&gt;&lt;periodical&gt;&lt;full-title&gt;Addiction&lt;/full-title&gt;&lt;/periodical&gt;&lt;pages&gt;955-61&lt;/pages&gt;&lt;volume&gt;99&lt;/volume&gt;&lt;number&gt;8&lt;/number&gt;&lt;edition&gt;2004/07/22&lt;/edition&gt;&lt;keywords&gt;&lt;keyword&gt;Adult&lt;/keyword&gt;&lt;keyword&gt;Child&lt;/keyword&gt;&lt;keyword&gt;Child of Impaired Parents/*statistics &amp;amp; numerical data&lt;/keyword&gt;&lt;keyword&gt;England/epidemiology&lt;/keyword&gt;&lt;keyword&gt;Female&lt;/keyword&gt;&lt;keyword&gt;Humans&lt;/keyword&gt;&lt;keyword&gt;Male&lt;/keyword&gt;&lt;keyword&gt;Odds Ratio&lt;/keyword&gt;&lt;keyword&gt;*Parenting&lt;/keyword&gt;&lt;keyword&gt;Substance-Related Disorders/*epidemiology/psychology&lt;/keyword&gt;&lt;keyword&gt;Wales/epidemiology&lt;/keyword&gt;&lt;/keywords&gt;&lt;dates&gt;&lt;year&gt;2004&lt;/year&gt;&lt;pub-dates&gt;&lt;date&gt;Aug&lt;/date&gt;&lt;/pub-dates&gt;&lt;/dates&gt;&lt;isbn&gt;0965-2140 (Print)&amp;#xD;0965-2140&lt;/isbn&gt;&lt;accession-num&gt;15265092&lt;/accession-num&gt;&lt;urls&gt;&lt;/urls&gt;&lt;electronic-resource-num&gt;10.1111/j.1360-0443.2004.00786.x&lt;/electronic-resource-num&gt;&lt;remote-database-provider&gt;NLM&lt;/remote-database-provider&gt;&lt;language&gt;eng&lt;/language&gt;&lt;/record&gt;&lt;/Cite&gt;&lt;/EndNote&gt;</w:instrText>
      </w:r>
      <w:r w:rsidR="007A53B3">
        <w:rPr>
          <w:rStyle w:val="normaltextrun"/>
          <w:color w:val="000000"/>
          <w:shd w:val="clear" w:color="auto" w:fill="FFFFFF"/>
        </w:rPr>
        <w:fldChar w:fldCharType="separate"/>
      </w:r>
      <w:r w:rsidR="00A77498">
        <w:rPr>
          <w:rStyle w:val="normaltextrun"/>
          <w:noProof/>
          <w:color w:val="000000"/>
          <w:shd w:val="clear" w:color="auto" w:fill="FFFFFF"/>
        </w:rPr>
        <w:t>(Meier et al., 2004)</w:t>
      </w:r>
      <w:r w:rsidR="007A53B3">
        <w:rPr>
          <w:rStyle w:val="normaltextrun"/>
          <w:color w:val="000000"/>
          <w:shd w:val="clear" w:color="auto" w:fill="FFFFFF"/>
        </w:rPr>
        <w:fldChar w:fldCharType="end"/>
      </w:r>
      <w:r w:rsidR="007A53B3" w:rsidRPr="00E91B1E">
        <w:rPr>
          <w:rStyle w:val="normaltextrun"/>
          <w:color w:val="000000"/>
          <w:shd w:val="clear" w:color="auto" w:fill="FFFFFF"/>
        </w:rPr>
        <w:t>. </w:t>
      </w:r>
      <w:r w:rsidR="007A53B3">
        <w:rPr>
          <w:lang w:eastAsia="en-GB"/>
        </w:rPr>
        <w:t>However</w:t>
      </w:r>
      <w:r w:rsidRPr="00E91B1E">
        <w:rPr>
          <w:lang w:eastAsia="en-GB"/>
        </w:rPr>
        <w:t xml:space="preserve"> parents can be fearful of </w:t>
      </w:r>
      <w:r w:rsidR="000D4DFF">
        <w:rPr>
          <w:lang w:eastAsia="en-GB"/>
        </w:rPr>
        <w:t xml:space="preserve">stigma, judgement and </w:t>
      </w:r>
      <w:r w:rsidRPr="00E91B1E">
        <w:rPr>
          <w:lang w:eastAsia="en-GB"/>
        </w:rPr>
        <w:t>social care involvement</w:t>
      </w:r>
      <w:r w:rsidR="000D4DFF">
        <w:rPr>
          <w:lang w:eastAsia="en-GB"/>
        </w:rPr>
        <w:t xml:space="preserve"> if they disclose they are a parent</w:t>
      </w:r>
      <w:r w:rsidRPr="00E91B1E">
        <w:rPr>
          <w:lang w:eastAsia="en-GB"/>
        </w:rPr>
        <w:t> </w:t>
      </w:r>
      <w:r>
        <w:rPr>
          <w:lang w:eastAsia="en-GB"/>
        </w:rPr>
        <w:fldChar w:fldCharType="begin">
          <w:fldData xml:space="preserve">PEVuZE5vdGU+PENpdGU+PEF1dGhvcj5Lcm9sbDwvQXV0aG9yPjxZZWFyPjIwMDQ8L1llYXI+PFJl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=
</w:fldData>
        </w:fldChar>
      </w:r>
      <w:r w:rsidR="00B9334F">
        <w:rPr>
          <w:lang w:eastAsia="en-GB"/>
        </w:rPr>
        <w:instrText xml:space="preserve"> ADDIN EN.CITE </w:instrText>
      </w:r>
      <w:r w:rsidR="00B9334F">
        <w:rPr>
          <w:lang w:eastAsia="en-GB"/>
        </w:rPr>
        <w:fldChar w:fldCharType="begin">
          <w:fldData xml:space="preserve">PEVuZE5vdGU+PENpdGU+PEF1dGhvcj5Lcm9sbDwvQXV0aG9yPjxZZWFyPjIwMDQ8L1llYXI+PFJl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=
</w:fldData>
        </w:fldChar>
      </w:r>
      <w:r w:rsidR="00B9334F">
        <w:rPr>
          <w:lang w:eastAsia="en-GB"/>
        </w:rPr>
        <w:instrText xml:space="preserve"> ADDIN EN.CITE.DATA </w:instrText>
      </w:r>
      <w:r w:rsidR="00B9334F">
        <w:rPr>
          <w:lang w:eastAsia="en-GB"/>
        </w:rPr>
      </w:r>
      <w:r w:rsidR="00B9334F">
        <w:rPr>
          <w:lang w:eastAsia="en-GB"/>
        </w:rPr>
        <w:fldChar w:fldCharType="end"/>
      </w:r>
      <w:r>
        <w:rPr>
          <w:lang w:eastAsia="en-GB"/>
        </w:rPr>
      </w:r>
      <w:r>
        <w:rPr>
          <w:lang w:eastAsia="en-GB"/>
        </w:rPr>
        <w:fldChar w:fldCharType="separate"/>
      </w:r>
      <w:r w:rsidR="003C6F70">
        <w:rPr>
          <w:noProof/>
          <w:lang w:eastAsia="en-GB"/>
        </w:rPr>
        <w:t>(Canfield et al., 2021; Kroll, 2004; Kroll &amp; Taylor, 2003)</w:t>
      </w:r>
      <w:r>
        <w:rPr>
          <w:lang w:eastAsia="en-GB"/>
        </w:rPr>
        <w:fldChar w:fldCharType="end"/>
      </w:r>
      <w:r w:rsidRPr="00E91B1E">
        <w:rPr>
          <w:lang w:eastAsia="en-GB"/>
        </w:rPr>
        <w:t> and so may be less likely to report they have children, particularly at their initial assessment with a worker they do not yet know.</w:t>
      </w:r>
      <w:r w:rsidR="00AB62F8">
        <w:rPr>
          <w:lang w:eastAsia="en-GB"/>
        </w:rPr>
        <w:t xml:space="preserve"> </w:t>
      </w:r>
      <w:r w:rsidR="00071BAF">
        <w:rPr>
          <w:lang w:eastAsia="en-GB"/>
        </w:rPr>
        <w:t>It is therefore possible, that the research is biased towa</w:t>
      </w:r>
      <w:r w:rsidR="00152CA6">
        <w:rPr>
          <w:lang w:eastAsia="en-GB"/>
        </w:rPr>
        <w:t xml:space="preserve">rds </w:t>
      </w:r>
      <w:r w:rsidR="00660973">
        <w:rPr>
          <w:lang w:eastAsia="en-GB"/>
        </w:rPr>
        <w:t xml:space="preserve">only </w:t>
      </w:r>
      <w:r w:rsidR="00152CA6">
        <w:rPr>
          <w:lang w:eastAsia="en-GB"/>
        </w:rPr>
        <w:t xml:space="preserve">parents who disclosed </w:t>
      </w:r>
      <w:r w:rsidR="00A974AC">
        <w:rPr>
          <w:lang w:eastAsia="en-GB"/>
        </w:rPr>
        <w:t xml:space="preserve">both </w:t>
      </w:r>
      <w:r w:rsidR="00152CA6">
        <w:rPr>
          <w:lang w:eastAsia="en-GB"/>
        </w:rPr>
        <w:t xml:space="preserve">their parental status </w:t>
      </w:r>
      <w:r w:rsidR="00660973">
        <w:rPr>
          <w:lang w:eastAsia="en-GB"/>
        </w:rPr>
        <w:t xml:space="preserve">and child living </w:t>
      </w:r>
      <w:r w:rsidR="00660973">
        <w:rPr>
          <w:lang w:eastAsia="en-GB"/>
        </w:rPr>
        <w:lastRenderedPageBreak/>
        <w:t xml:space="preserve">arrangements </w:t>
      </w:r>
      <w:r w:rsidR="00152CA6">
        <w:rPr>
          <w:lang w:eastAsia="en-GB"/>
        </w:rPr>
        <w:t>and so may not be generalisable to all parents</w:t>
      </w:r>
      <w:r w:rsidR="00DE2B9C">
        <w:rPr>
          <w:lang w:eastAsia="en-GB"/>
        </w:rPr>
        <w:t xml:space="preserve"> in the treatment system</w:t>
      </w:r>
      <w:r w:rsidR="00152CA6">
        <w:rPr>
          <w:lang w:eastAsia="en-GB"/>
        </w:rPr>
        <w:t xml:space="preserve">. </w:t>
      </w:r>
      <w:r w:rsidR="00AB62F8">
        <w:rPr>
          <w:lang w:eastAsia="en-GB"/>
        </w:rPr>
        <w:t xml:space="preserve">In a recent study of parental status </w:t>
      </w:r>
      <w:r w:rsidR="00425DCF">
        <w:rPr>
          <w:lang w:eastAsia="en-GB"/>
        </w:rPr>
        <w:t xml:space="preserve">and characteristics of mothers receiving treatment for SUD </w:t>
      </w:r>
      <w:r w:rsidR="00105129">
        <w:rPr>
          <w:lang w:eastAsia="en-GB"/>
        </w:rPr>
        <w:t xml:space="preserve">in </w:t>
      </w:r>
      <w:r w:rsidR="000B3990">
        <w:rPr>
          <w:lang w:eastAsia="en-GB"/>
        </w:rPr>
        <w:t>a South London service</w:t>
      </w:r>
      <w:r w:rsidR="00A13818">
        <w:rPr>
          <w:lang w:eastAsia="en-GB"/>
        </w:rPr>
        <w:t xml:space="preserve">, </w:t>
      </w:r>
      <w:r w:rsidR="00A13818">
        <w:rPr>
          <w:lang w:eastAsia="en-GB"/>
        </w:rPr>
        <w:fldChar w:fldCharType="begin"/>
      </w:r>
      <w:r w:rsidR="00B9334F">
        <w:rPr>
          <w:lang w:eastAsia="en-GB"/>
        </w:rPr>
        <w:instrText xml:space="preserve"> ADDIN EN.CITE &lt;EndNote&gt;&lt;Cite AuthorYear="1"&gt;&lt;Author&gt;Canfield&lt;/Author&gt;&lt;Year&gt;2021&lt;/Year&gt;&lt;RecNum&gt;331&lt;/RecNum&gt;&lt;DisplayText&gt;Canfield et al. (2021)&lt;/DisplayText&gt;&lt;record&gt;&lt;rec-number&gt;331&lt;/rec-number&gt;&lt;foreign-keys&gt;&lt;key app="EN" db-id="ffzvr5fstavwxoe9v04xf0wmp5t50as52da0" timestamp="1731671659" guid="06045df0-4f52-4cdf-b5fb-f74ce216f7ab"&gt;331&lt;/key&gt;&lt;/foreign-keys&gt;&lt;ref-type name="Journal Article"&gt;17&lt;/ref-type&gt;&lt;contributors&gt;&lt;authors&gt;&lt;author&gt;Canfield, Martha&lt;/author&gt;&lt;author&gt;Norton, Sam&lt;/author&gt;&lt;author&gt;Downs, Johnny&lt;/author&gt;&lt;author&gt;Gilchrist, Gail&lt;/author&gt;&lt;/authors&gt;&lt;/contributors&gt;&lt;titles&gt;&lt;title&gt;Parental status and characteristics of women in substance use treatment services: Analysis of electronic patient records&lt;/title&gt;&lt;secondary-title&gt;Journal of Substance Abuse Treatment&lt;/secondary-title&gt;&lt;/titles&gt;&lt;periodical&gt;&lt;full-title&gt;Journal of Substance Abuse Treatment&lt;/full-title&gt;&lt;/periodical&gt;&lt;pages&gt;108365&lt;/pages&gt;&lt;volume&gt;127&lt;/volume&gt;&lt;keywords&gt;&lt;keyword&gt;Mothers&lt;/keyword&gt;&lt;keyword&gt;Substance use&lt;/keyword&gt;&lt;keyword&gt;Treatment services&lt;/keyword&gt;&lt;keyword&gt;Childcare&lt;/keyword&gt;&lt;keyword&gt;Electronic patient records&lt;/keyword&gt;&lt;keyword&gt;Women&lt;/keyword&gt;&lt;/keywords&gt;&lt;dates&gt;&lt;year&gt;2021&lt;/year&gt;&lt;pub-dates&gt;&lt;date&gt;2021/08/01/&lt;/date&gt;&lt;/pub-dates&gt;&lt;/dates&gt;&lt;isbn&gt;0740-5472&lt;/isbn&gt;&lt;urls&gt;&lt;related-urls&gt;&lt;url&gt;https://www.sciencedirect.com/science/article/pii/S074054722100091X&lt;/url&gt;&lt;/related-urls&gt;&lt;/urls&gt;&lt;electronic-resource-num&gt;https://doi.org/10.1016/j.jsat.2021.108365&lt;/electronic-resource-num&gt;&lt;/record&gt;&lt;/Cite&gt;&lt;/EndNote&gt;</w:instrText>
      </w:r>
      <w:r w:rsidR="00A13818">
        <w:rPr>
          <w:lang w:eastAsia="en-GB"/>
        </w:rPr>
        <w:fldChar w:fldCharType="separate"/>
      </w:r>
      <w:r w:rsidR="00A77498">
        <w:rPr>
          <w:noProof/>
          <w:lang w:eastAsia="en-GB"/>
        </w:rPr>
        <w:t>Canfield et al. (2021)</w:t>
      </w:r>
      <w:r w:rsidR="00A13818">
        <w:rPr>
          <w:lang w:eastAsia="en-GB"/>
        </w:rPr>
        <w:fldChar w:fldCharType="end"/>
      </w:r>
      <w:r w:rsidR="00A13818">
        <w:rPr>
          <w:lang w:eastAsia="en-GB"/>
        </w:rPr>
        <w:t xml:space="preserve"> found </w:t>
      </w:r>
      <w:r w:rsidR="005220A8">
        <w:rPr>
          <w:lang w:eastAsia="en-GB"/>
        </w:rPr>
        <w:t xml:space="preserve">that over half (54.3%) of mothers did not disclose whether </w:t>
      </w:r>
      <w:r w:rsidR="009714F0">
        <w:rPr>
          <w:lang w:eastAsia="en-GB"/>
        </w:rPr>
        <w:t>their</w:t>
      </w:r>
      <w:r w:rsidR="005220A8">
        <w:rPr>
          <w:lang w:eastAsia="en-GB"/>
        </w:rPr>
        <w:t xml:space="preserve"> children were </w:t>
      </w:r>
      <w:r w:rsidR="009714F0">
        <w:rPr>
          <w:lang w:eastAsia="en-GB"/>
        </w:rPr>
        <w:t>in their care.</w:t>
      </w:r>
      <w:r w:rsidR="000B3990">
        <w:rPr>
          <w:lang w:eastAsia="en-GB"/>
        </w:rPr>
        <w:t xml:space="preserve"> It is not clear how generalisable to </w:t>
      </w:r>
      <w:r w:rsidR="00B66BCB">
        <w:rPr>
          <w:lang w:eastAsia="en-GB"/>
        </w:rPr>
        <w:t>other En</w:t>
      </w:r>
      <w:r w:rsidR="00E53FA8">
        <w:rPr>
          <w:lang w:eastAsia="en-GB"/>
        </w:rPr>
        <w:t>g</w:t>
      </w:r>
      <w:r w:rsidR="00B66BCB">
        <w:rPr>
          <w:lang w:eastAsia="en-GB"/>
        </w:rPr>
        <w:t xml:space="preserve">lish </w:t>
      </w:r>
      <w:r w:rsidR="00C57F15">
        <w:rPr>
          <w:lang w:eastAsia="en-GB"/>
        </w:rPr>
        <w:t xml:space="preserve">treatment services/ </w:t>
      </w:r>
      <w:r w:rsidR="00B66BCB">
        <w:rPr>
          <w:lang w:eastAsia="en-GB"/>
        </w:rPr>
        <w:t xml:space="preserve">local authorities </w:t>
      </w:r>
      <w:r w:rsidR="00E53FA8">
        <w:rPr>
          <w:lang w:eastAsia="en-GB"/>
        </w:rPr>
        <w:t xml:space="preserve">this finding </w:t>
      </w:r>
      <w:r w:rsidR="00AA678C">
        <w:rPr>
          <w:lang w:eastAsia="en-GB"/>
        </w:rPr>
        <w:t xml:space="preserve">is, but it does suggest that research </w:t>
      </w:r>
      <w:r w:rsidR="009D4706">
        <w:rPr>
          <w:lang w:eastAsia="en-GB"/>
        </w:rPr>
        <w:t>on how</w:t>
      </w:r>
      <w:r w:rsidR="007A622B">
        <w:rPr>
          <w:lang w:eastAsia="en-GB"/>
        </w:rPr>
        <w:t xml:space="preserve"> practitioners should </w:t>
      </w:r>
      <w:r w:rsidR="00185400">
        <w:rPr>
          <w:lang w:eastAsia="en-GB"/>
        </w:rPr>
        <w:t xml:space="preserve">best </w:t>
      </w:r>
      <w:r w:rsidR="007A622B">
        <w:rPr>
          <w:lang w:eastAsia="en-GB"/>
        </w:rPr>
        <w:t xml:space="preserve">engage with parents to facilitate </w:t>
      </w:r>
      <w:r w:rsidR="00185400">
        <w:rPr>
          <w:lang w:eastAsia="en-GB"/>
        </w:rPr>
        <w:t xml:space="preserve">parental status </w:t>
      </w:r>
      <w:r w:rsidR="007A622B">
        <w:rPr>
          <w:lang w:eastAsia="en-GB"/>
        </w:rPr>
        <w:t>discl</w:t>
      </w:r>
      <w:r w:rsidR="00185400">
        <w:rPr>
          <w:lang w:eastAsia="en-GB"/>
        </w:rPr>
        <w:t>o</w:t>
      </w:r>
      <w:r w:rsidR="007A622B">
        <w:rPr>
          <w:lang w:eastAsia="en-GB"/>
        </w:rPr>
        <w:t xml:space="preserve">sure would be beneficial. </w:t>
      </w:r>
      <w:r w:rsidR="00D662A9">
        <w:rPr>
          <w:lang w:eastAsia="en-GB"/>
        </w:rPr>
        <w:t xml:space="preserve">However, </w:t>
      </w:r>
      <w:r w:rsidR="00780874">
        <w:rPr>
          <w:lang w:eastAsia="en-GB"/>
        </w:rPr>
        <w:t>since parental status is predominantly</w:t>
      </w:r>
      <w:r w:rsidR="00D662A9">
        <w:rPr>
          <w:lang w:eastAsia="en-GB"/>
        </w:rPr>
        <w:t xml:space="preserve"> </w:t>
      </w:r>
      <w:r w:rsidR="00C9219D">
        <w:rPr>
          <w:lang w:eastAsia="en-GB"/>
        </w:rPr>
        <w:t xml:space="preserve">only known to </w:t>
      </w:r>
      <w:r w:rsidR="002662C7">
        <w:rPr>
          <w:lang w:eastAsia="en-GB"/>
        </w:rPr>
        <w:t>services</w:t>
      </w:r>
      <w:r w:rsidR="00C9219D">
        <w:rPr>
          <w:lang w:eastAsia="en-GB"/>
        </w:rPr>
        <w:t xml:space="preserve"> </w:t>
      </w:r>
      <w:r w:rsidR="00726045">
        <w:rPr>
          <w:lang w:eastAsia="en-GB"/>
        </w:rPr>
        <w:t xml:space="preserve">deciding </w:t>
      </w:r>
      <w:r w:rsidR="00D952E4">
        <w:rPr>
          <w:lang w:eastAsia="en-GB"/>
        </w:rPr>
        <w:t>an individual’s</w:t>
      </w:r>
      <w:r w:rsidR="00726045">
        <w:rPr>
          <w:lang w:eastAsia="en-GB"/>
        </w:rPr>
        <w:t xml:space="preserve"> treatment </w:t>
      </w:r>
      <w:r w:rsidR="00CB5B2A">
        <w:rPr>
          <w:lang w:eastAsia="en-GB"/>
        </w:rPr>
        <w:t xml:space="preserve">strategy </w:t>
      </w:r>
      <w:r w:rsidR="009377EF">
        <w:rPr>
          <w:lang w:eastAsia="en-GB"/>
        </w:rPr>
        <w:t>if it</w:t>
      </w:r>
      <w:r w:rsidR="00CB5B2A">
        <w:rPr>
          <w:lang w:eastAsia="en-GB"/>
        </w:rPr>
        <w:t xml:space="preserve"> has </w:t>
      </w:r>
      <w:r w:rsidR="00F15E27">
        <w:rPr>
          <w:lang w:eastAsia="en-GB"/>
        </w:rPr>
        <w:t>been</w:t>
      </w:r>
      <w:r w:rsidR="00303033">
        <w:rPr>
          <w:lang w:eastAsia="en-GB"/>
        </w:rPr>
        <w:t xml:space="preserve"> disclosed, </w:t>
      </w:r>
      <w:r w:rsidR="00AC7106">
        <w:rPr>
          <w:lang w:eastAsia="en-GB"/>
        </w:rPr>
        <w:t>that</w:t>
      </w:r>
      <w:r w:rsidR="00CF4EC2">
        <w:rPr>
          <w:lang w:eastAsia="en-GB"/>
        </w:rPr>
        <w:t xml:space="preserve"> </w:t>
      </w:r>
      <w:r w:rsidR="00B500DA">
        <w:rPr>
          <w:lang w:eastAsia="en-GB"/>
        </w:rPr>
        <w:t xml:space="preserve">fact that </w:t>
      </w:r>
      <w:r w:rsidR="00CF4EC2">
        <w:rPr>
          <w:lang w:eastAsia="en-GB"/>
        </w:rPr>
        <w:t xml:space="preserve">parental status </w:t>
      </w:r>
      <w:r w:rsidR="00FD19CF">
        <w:rPr>
          <w:lang w:eastAsia="en-GB"/>
        </w:rPr>
        <w:t xml:space="preserve">may not have </w:t>
      </w:r>
      <w:r w:rsidR="00EA4CEE">
        <w:rPr>
          <w:lang w:eastAsia="en-GB"/>
        </w:rPr>
        <w:t xml:space="preserve">always </w:t>
      </w:r>
      <w:r w:rsidR="00C42B04">
        <w:rPr>
          <w:lang w:eastAsia="en-GB"/>
        </w:rPr>
        <w:t xml:space="preserve">been disclosed by individuals </w:t>
      </w:r>
      <w:r w:rsidR="005201FF">
        <w:rPr>
          <w:lang w:eastAsia="en-GB"/>
        </w:rPr>
        <w:t xml:space="preserve">in these studies </w:t>
      </w:r>
      <w:r w:rsidR="002141AC">
        <w:rPr>
          <w:lang w:eastAsia="en-GB"/>
        </w:rPr>
        <w:t>does</w:t>
      </w:r>
      <w:r w:rsidR="00FB4900">
        <w:rPr>
          <w:lang w:eastAsia="en-GB"/>
        </w:rPr>
        <w:t xml:space="preserve"> not </w:t>
      </w:r>
      <w:r w:rsidR="004C763E">
        <w:rPr>
          <w:lang w:eastAsia="en-GB"/>
        </w:rPr>
        <w:t xml:space="preserve">materially </w:t>
      </w:r>
      <w:r w:rsidR="002141AC">
        <w:rPr>
          <w:lang w:eastAsia="en-GB"/>
        </w:rPr>
        <w:t>detract from</w:t>
      </w:r>
      <w:r w:rsidR="004C763E">
        <w:rPr>
          <w:lang w:eastAsia="en-GB"/>
        </w:rPr>
        <w:t xml:space="preserve"> the applicability of the</w:t>
      </w:r>
      <w:r w:rsidR="00971299">
        <w:rPr>
          <w:lang w:eastAsia="en-GB"/>
        </w:rPr>
        <w:t xml:space="preserve"> </w:t>
      </w:r>
      <w:r w:rsidR="004F10E6">
        <w:rPr>
          <w:lang w:eastAsia="en-GB"/>
        </w:rPr>
        <w:t xml:space="preserve">findings </w:t>
      </w:r>
      <w:r w:rsidR="00C50831">
        <w:rPr>
          <w:lang w:eastAsia="en-GB"/>
        </w:rPr>
        <w:t>to practic</w:t>
      </w:r>
      <w:r w:rsidR="00C013F5">
        <w:rPr>
          <w:lang w:eastAsia="en-GB"/>
        </w:rPr>
        <w:t>e</w:t>
      </w:r>
      <w:r w:rsidR="00784A35">
        <w:rPr>
          <w:lang w:eastAsia="en-GB"/>
        </w:rPr>
        <w:t>.</w:t>
      </w:r>
      <w:r w:rsidR="00D66177">
        <w:rPr>
          <w:lang w:eastAsia="en-GB"/>
        </w:rPr>
        <w:t xml:space="preserve"> Furthermore, </w:t>
      </w:r>
      <w:r w:rsidR="00F91E48">
        <w:rPr>
          <w:lang w:eastAsia="en-GB"/>
        </w:rPr>
        <w:t>in</w:t>
      </w:r>
      <w:r w:rsidR="004E5A3E">
        <w:rPr>
          <w:lang w:eastAsia="en-GB"/>
        </w:rPr>
        <w:t xml:space="preserve"> </w:t>
      </w:r>
      <w:r w:rsidR="00815847">
        <w:rPr>
          <w:lang w:eastAsia="en-GB"/>
        </w:rPr>
        <w:t xml:space="preserve">relation to </w:t>
      </w:r>
      <w:r w:rsidR="00F91E48">
        <w:rPr>
          <w:lang w:eastAsia="en-GB"/>
        </w:rPr>
        <w:t xml:space="preserve">child living arrangements </w:t>
      </w:r>
      <w:r w:rsidR="00815847">
        <w:rPr>
          <w:lang w:eastAsia="en-GB"/>
        </w:rPr>
        <w:t xml:space="preserve">being potentially undisclosed, </w:t>
      </w:r>
      <w:r w:rsidR="00992292">
        <w:rPr>
          <w:lang w:eastAsia="en-GB"/>
        </w:rPr>
        <w:t>th</w:t>
      </w:r>
      <w:r w:rsidR="00815847">
        <w:rPr>
          <w:lang w:eastAsia="en-GB"/>
        </w:rPr>
        <w:t>e findings of th</w:t>
      </w:r>
      <w:r w:rsidR="00992292">
        <w:rPr>
          <w:lang w:eastAsia="en-GB"/>
        </w:rPr>
        <w:t xml:space="preserve">is thesis support </w:t>
      </w:r>
      <w:r w:rsidR="00AF019D">
        <w:rPr>
          <w:lang w:eastAsia="en-GB"/>
        </w:rPr>
        <w:t xml:space="preserve">strategies </w:t>
      </w:r>
      <w:r w:rsidR="00613757">
        <w:rPr>
          <w:lang w:eastAsia="en-GB"/>
        </w:rPr>
        <w:t xml:space="preserve">for </w:t>
      </w:r>
      <w:r w:rsidR="0043327C">
        <w:rPr>
          <w:lang w:eastAsia="en-GB"/>
        </w:rPr>
        <w:t>delivering parent</w:t>
      </w:r>
      <w:r w:rsidR="00EC3D76">
        <w:rPr>
          <w:lang w:eastAsia="en-GB"/>
        </w:rPr>
        <w:t>ing and/or family recovery</w:t>
      </w:r>
      <w:r w:rsidR="0043327C">
        <w:rPr>
          <w:lang w:eastAsia="en-GB"/>
        </w:rPr>
        <w:t xml:space="preserve"> support </w:t>
      </w:r>
      <w:r w:rsidR="004E5A3E">
        <w:rPr>
          <w:lang w:eastAsia="en-GB"/>
        </w:rPr>
        <w:t>to known parents ir</w:t>
      </w:r>
      <w:r w:rsidR="00815847">
        <w:rPr>
          <w:lang w:eastAsia="en-GB"/>
        </w:rPr>
        <w:t>respective of this</w:t>
      </w:r>
      <w:r w:rsidR="00B500DA">
        <w:rPr>
          <w:lang w:eastAsia="en-GB"/>
        </w:rPr>
        <w:t>.</w:t>
      </w:r>
      <w:r w:rsidR="003705F6">
        <w:rPr>
          <w:lang w:eastAsia="en-GB"/>
        </w:rPr>
        <w:t xml:space="preserve"> </w:t>
      </w:r>
    </w:p>
    <w:p w14:paraId="7DCDE4BA" w14:textId="77777777" w:rsidR="00565FD7" w:rsidRDefault="00565FD7" w:rsidP="00AF7085">
      <w:pPr>
        <w:pStyle w:val="NoSpacing"/>
        <w:spacing w:line="360" w:lineRule="auto"/>
        <w:rPr>
          <w:lang w:eastAsia="en-GB"/>
        </w:rPr>
      </w:pPr>
    </w:p>
    <w:p w14:paraId="2D28A525" w14:textId="1D97BA94" w:rsidR="00523434" w:rsidRDefault="0063672A" w:rsidP="00AF7085">
      <w:pPr>
        <w:pStyle w:val="NoSpacing"/>
        <w:spacing w:line="360" w:lineRule="auto"/>
      </w:pPr>
      <w:r>
        <w:rPr>
          <w:lang w:eastAsia="en-GB"/>
        </w:rPr>
        <w:t>A limitation in the thesis relates to the categor</w:t>
      </w:r>
      <w:r w:rsidR="008A122E">
        <w:rPr>
          <w:lang w:eastAsia="en-GB"/>
        </w:rPr>
        <w:t xml:space="preserve">isation of </w:t>
      </w:r>
      <w:r w:rsidR="00164A90">
        <w:rPr>
          <w:lang w:eastAsia="en-GB"/>
        </w:rPr>
        <w:t>‘</w:t>
      </w:r>
      <w:r w:rsidR="00C71A7E">
        <w:rPr>
          <w:lang w:eastAsia="en-GB"/>
        </w:rPr>
        <w:t>parent not living with children</w:t>
      </w:r>
      <w:r w:rsidR="00164A90">
        <w:rPr>
          <w:lang w:eastAsia="en-GB"/>
        </w:rPr>
        <w:t>’</w:t>
      </w:r>
      <w:r w:rsidR="00C71A7E">
        <w:rPr>
          <w:lang w:eastAsia="en-GB"/>
        </w:rPr>
        <w:t>.</w:t>
      </w:r>
      <w:r w:rsidR="000736B0">
        <w:rPr>
          <w:lang w:eastAsia="en-GB"/>
        </w:rPr>
        <w:t xml:space="preserve"> It is not </w:t>
      </w:r>
      <w:r w:rsidR="00164A90">
        <w:rPr>
          <w:lang w:eastAsia="en-GB"/>
        </w:rPr>
        <w:t xml:space="preserve">possible to determine </w:t>
      </w:r>
      <w:r w:rsidR="000736B0">
        <w:rPr>
          <w:lang w:eastAsia="en-GB"/>
        </w:rPr>
        <w:t>from the data</w:t>
      </w:r>
      <w:r w:rsidR="00164A90">
        <w:rPr>
          <w:lang w:eastAsia="en-GB"/>
        </w:rPr>
        <w:t xml:space="preserve"> </w:t>
      </w:r>
      <w:r w:rsidR="00315965">
        <w:rPr>
          <w:lang w:eastAsia="en-GB"/>
        </w:rPr>
        <w:t xml:space="preserve">the level of contact </w:t>
      </w:r>
      <w:r w:rsidR="00710054">
        <w:rPr>
          <w:lang w:eastAsia="en-GB"/>
        </w:rPr>
        <w:t xml:space="preserve">a parent </w:t>
      </w:r>
      <w:r w:rsidR="00EB3AB7">
        <w:rPr>
          <w:lang w:eastAsia="en-GB"/>
        </w:rPr>
        <w:t xml:space="preserve">not living with their children </w:t>
      </w:r>
      <w:r w:rsidR="00710054">
        <w:rPr>
          <w:lang w:eastAsia="en-GB"/>
        </w:rPr>
        <w:t xml:space="preserve">has </w:t>
      </w:r>
      <w:r w:rsidR="00315965">
        <w:rPr>
          <w:lang w:eastAsia="en-GB"/>
        </w:rPr>
        <w:t xml:space="preserve">with </w:t>
      </w:r>
      <w:r w:rsidR="00EB3AB7">
        <w:rPr>
          <w:lang w:eastAsia="en-GB"/>
        </w:rPr>
        <w:t>them</w:t>
      </w:r>
      <w:r w:rsidR="00315965">
        <w:rPr>
          <w:lang w:eastAsia="en-GB"/>
        </w:rPr>
        <w:t xml:space="preserve">. </w:t>
      </w:r>
      <w:r w:rsidR="00B23201">
        <w:t>It</w:t>
      </w:r>
      <w:r w:rsidR="00FB6527">
        <w:t xml:space="preserve"> is </w:t>
      </w:r>
      <w:r w:rsidR="003060E0">
        <w:t>possible</w:t>
      </w:r>
      <w:r w:rsidR="00FB6527">
        <w:t xml:space="preserve"> that </w:t>
      </w:r>
      <w:r w:rsidR="006B1333">
        <w:t>some children may be</w:t>
      </w:r>
      <w:r w:rsidR="00523EE6">
        <w:t xml:space="preserve"> adversely affected by alcohol or drug using parent</w:t>
      </w:r>
      <w:r w:rsidR="001F7181">
        <w:t>s</w:t>
      </w:r>
      <w:r w:rsidR="009A2ECF">
        <w:t xml:space="preserve"> </w:t>
      </w:r>
      <w:r w:rsidR="001F7181">
        <w:t>whom</w:t>
      </w:r>
      <w:r w:rsidR="009A2ECF">
        <w:t xml:space="preserve"> they do not live with</w:t>
      </w:r>
      <w:r w:rsidR="00523EE6">
        <w:t>, who</w:t>
      </w:r>
      <w:r w:rsidR="005D0D12">
        <w:t>, as our findings suggest,</w:t>
      </w:r>
      <w:r w:rsidR="00523EE6">
        <w:t xml:space="preserve"> </w:t>
      </w:r>
      <w:r w:rsidR="009A2ECF">
        <w:t>are</w:t>
      </w:r>
      <w:r w:rsidR="00523EE6">
        <w:t xml:space="preserve"> more </w:t>
      </w:r>
      <w:r w:rsidR="009A2ECF">
        <w:t xml:space="preserve">likely to have </w:t>
      </w:r>
      <w:r w:rsidR="00523EE6">
        <w:t>complex support needs</w:t>
      </w:r>
      <w:r w:rsidR="008700B1">
        <w:t xml:space="preserve">. </w:t>
      </w:r>
      <w:r w:rsidR="003060E0">
        <w:t xml:space="preserve">It is also possible that </w:t>
      </w:r>
      <w:r w:rsidR="0019695D">
        <w:t xml:space="preserve">both child and parent outcomes may differ according to </w:t>
      </w:r>
      <w:r w:rsidR="000A42C0">
        <w:t xml:space="preserve">the reason </w:t>
      </w:r>
      <w:r w:rsidR="00D31829">
        <w:t>the</w:t>
      </w:r>
      <w:r w:rsidR="000A42C0">
        <w:t xml:space="preserve"> parent is not living with their child (e.g. if the child is in foster care) and/or </w:t>
      </w:r>
      <w:r w:rsidR="0019695D">
        <w:t>whether contact is</w:t>
      </w:r>
      <w:r w:rsidR="00B23201">
        <w:t xml:space="preserve"> </w:t>
      </w:r>
      <w:r w:rsidR="00523EE6">
        <w:t>irregular, infrequent or non-existent.</w:t>
      </w:r>
      <w:r w:rsidR="00C86355">
        <w:t xml:space="preserve"> </w:t>
      </w:r>
      <w:r w:rsidR="00B6191F">
        <w:t xml:space="preserve">Exploring this further through interviews with families </w:t>
      </w:r>
      <w:r w:rsidR="00CA7DFB">
        <w:t>in the treatment system could shed light on this</w:t>
      </w:r>
      <w:r w:rsidR="00CF6956">
        <w:t xml:space="preserve"> </w:t>
      </w:r>
      <w:r w:rsidR="00CA7DFB">
        <w:t xml:space="preserve">and </w:t>
      </w:r>
      <w:r w:rsidR="00CB269E">
        <w:t xml:space="preserve">how treatment responses </w:t>
      </w:r>
      <w:r w:rsidR="00A1786A">
        <w:t>could</w:t>
      </w:r>
      <w:r w:rsidR="00707C06">
        <w:t xml:space="preserve"> differ </w:t>
      </w:r>
      <w:r w:rsidR="00A1786A">
        <w:t>and be more effective and cost-effective for this cohort.</w:t>
      </w:r>
    </w:p>
    <w:p w14:paraId="54BEDE8C" w14:textId="77777777" w:rsidR="00DA329E" w:rsidRDefault="00DA329E" w:rsidP="00AF7085">
      <w:pPr>
        <w:pStyle w:val="NoSpacing"/>
        <w:spacing w:line="360" w:lineRule="auto"/>
      </w:pPr>
    </w:p>
    <w:p w14:paraId="13414478" w14:textId="39C8135A" w:rsidR="00DA329E" w:rsidRDefault="00DA329E" w:rsidP="00AF7085">
      <w:pPr>
        <w:pStyle w:val="NoSpacing"/>
        <w:spacing w:line="360" w:lineRule="auto"/>
        <w:rPr>
          <w:lang w:eastAsia="en-GB"/>
        </w:rPr>
      </w:pPr>
      <w:r>
        <w:t>The substance grouping</w:t>
      </w:r>
      <w:r w:rsidR="007A2F54">
        <w:t>s</w:t>
      </w:r>
      <w:r>
        <w:t xml:space="preserve"> used </w:t>
      </w:r>
      <w:r w:rsidR="007A2F54">
        <w:t xml:space="preserve">in this thesis could present another limitation in </w:t>
      </w:r>
      <w:r w:rsidR="00E30D9A">
        <w:t xml:space="preserve">enhancing our understanding of the effectiveness and cost-effectiveness of interventions for parents with SUD. </w:t>
      </w:r>
      <w:r w:rsidR="00C57F4B">
        <w:t xml:space="preserve">As discussed in </w:t>
      </w:r>
      <w:r w:rsidR="00F645E1">
        <w:t xml:space="preserve">the </w:t>
      </w:r>
      <w:r w:rsidR="00536F69">
        <w:t xml:space="preserve">methods chapter (chapter 2), these groupings are standard in the English treatment system </w:t>
      </w:r>
      <w:r w:rsidR="00860018">
        <w:t>and NDTMS reporting, however,</w:t>
      </w:r>
      <w:r w:rsidR="00EB4664">
        <w:t xml:space="preserve"> using aggregated groups </w:t>
      </w:r>
      <w:r w:rsidR="00A662BB">
        <w:t xml:space="preserve">may hide some pertinent </w:t>
      </w:r>
      <w:r w:rsidR="00E30EEF">
        <w:t>data in relation to our research questions. For example, within the non-opiate</w:t>
      </w:r>
      <w:r w:rsidR="005F2C0D">
        <w:t xml:space="preserve"> living with children</w:t>
      </w:r>
      <w:r w:rsidR="00E30EEF">
        <w:t xml:space="preserve"> </w:t>
      </w:r>
      <w:r w:rsidR="005F2C0D">
        <w:t xml:space="preserve">group, </w:t>
      </w:r>
      <w:r w:rsidR="00F9410F">
        <w:t xml:space="preserve">are </w:t>
      </w:r>
      <w:r w:rsidR="005F2C0D">
        <w:t xml:space="preserve">mothers </w:t>
      </w:r>
      <w:r w:rsidR="00F9410F">
        <w:t xml:space="preserve">in treatment for cocaine more likely to have complex support needs than </w:t>
      </w:r>
      <w:r w:rsidR="00F9410F">
        <w:lastRenderedPageBreak/>
        <w:t xml:space="preserve">those in treatment for </w:t>
      </w:r>
      <w:r w:rsidR="006C7BBF">
        <w:t xml:space="preserve">cannabis? </w:t>
      </w:r>
      <w:r w:rsidR="008A0D32">
        <w:t>Such questions could</w:t>
      </w:r>
      <w:r w:rsidR="00423269">
        <w:t xml:space="preserve"> be explored using </w:t>
      </w:r>
      <w:r w:rsidR="008A0D32">
        <w:t xml:space="preserve">the </w:t>
      </w:r>
      <w:r w:rsidR="00423269">
        <w:t xml:space="preserve">NDTMS data in a future research </w:t>
      </w:r>
      <w:r w:rsidR="746CBE93">
        <w:t xml:space="preserve">study. </w:t>
      </w:r>
      <w:r w:rsidR="00D26306">
        <w:t xml:space="preserve">However, </w:t>
      </w:r>
      <w:r w:rsidR="001855D0">
        <w:t xml:space="preserve">while </w:t>
      </w:r>
      <w:r w:rsidR="0044626E">
        <w:t xml:space="preserve">it is possible that there would have been </w:t>
      </w:r>
      <w:r w:rsidR="0024626F">
        <w:t xml:space="preserve">differential findings </w:t>
      </w:r>
      <w:r w:rsidR="008F1BCA">
        <w:t xml:space="preserve">in studies </w:t>
      </w:r>
      <w:r w:rsidR="00DA49EE">
        <w:t xml:space="preserve">2 and 3 </w:t>
      </w:r>
      <w:r w:rsidR="00B77D84">
        <w:t xml:space="preserve">for </w:t>
      </w:r>
      <w:r w:rsidR="008F1BCA">
        <w:t>non-opiate user</w:t>
      </w:r>
      <w:r w:rsidR="00DA49EE">
        <w:t>s</w:t>
      </w:r>
      <w:r w:rsidR="008F1BCA">
        <w:t xml:space="preserve"> </w:t>
      </w:r>
      <w:r w:rsidR="00DA49EE">
        <w:t xml:space="preserve">if there had been </w:t>
      </w:r>
      <w:r w:rsidR="008F1BCA">
        <w:t>stratifi</w:t>
      </w:r>
      <w:r w:rsidR="00DA49EE">
        <w:t xml:space="preserve">cation </w:t>
      </w:r>
      <w:r w:rsidR="008F1BCA">
        <w:t>by specific non-opiate substance</w:t>
      </w:r>
      <w:r w:rsidR="00DA49EE">
        <w:t xml:space="preserve">s, </w:t>
      </w:r>
      <w:r w:rsidR="004963B0">
        <w:t xml:space="preserve">the </w:t>
      </w:r>
      <w:r w:rsidR="006462E6">
        <w:t xml:space="preserve">findings </w:t>
      </w:r>
      <w:r w:rsidR="006D4B84">
        <w:t xml:space="preserve">for the </w:t>
      </w:r>
      <w:r w:rsidR="00C91D53">
        <w:t xml:space="preserve">non-opiate </w:t>
      </w:r>
      <w:r w:rsidR="00A04620">
        <w:t>sub</w:t>
      </w:r>
      <w:r w:rsidR="006D4B84">
        <w:t>group</w:t>
      </w:r>
      <w:r w:rsidR="00C91D53">
        <w:t xml:space="preserve"> as a whole</w:t>
      </w:r>
      <w:r w:rsidR="00910C26">
        <w:t xml:space="preserve">, </w:t>
      </w:r>
      <w:r w:rsidR="0098679F">
        <w:t>co</w:t>
      </w:r>
      <w:r w:rsidR="00910C26">
        <w:t>nsidered alongside</w:t>
      </w:r>
      <w:r w:rsidR="0098679F">
        <w:t xml:space="preserve"> </w:t>
      </w:r>
      <w:r w:rsidR="00E06FCE">
        <w:t>findings</w:t>
      </w:r>
      <w:r w:rsidR="00A04620">
        <w:t xml:space="preserve"> for the alcohol</w:t>
      </w:r>
      <w:r w:rsidR="00910C26">
        <w:t xml:space="preserve"> only subgroup, are suggestive of a generalisable </w:t>
      </w:r>
      <w:r w:rsidR="00B0251D">
        <w:t xml:space="preserve">benefit of adopting </w:t>
      </w:r>
      <w:r w:rsidR="0012478E">
        <w:t xml:space="preserve">strategies </w:t>
      </w:r>
      <w:r w:rsidR="004516EE">
        <w:t xml:space="preserve">of providing </w:t>
      </w:r>
      <w:r w:rsidR="00B0251D">
        <w:t xml:space="preserve">treatment </w:t>
      </w:r>
      <w:r w:rsidR="004516EE">
        <w:t xml:space="preserve">alongside </w:t>
      </w:r>
      <w:r w:rsidR="00F82F89">
        <w:t>parenting</w:t>
      </w:r>
      <w:r w:rsidR="00E47CE9">
        <w:t xml:space="preserve"> and/or </w:t>
      </w:r>
      <w:r w:rsidR="00C175A9">
        <w:t xml:space="preserve">family </w:t>
      </w:r>
      <w:r w:rsidR="00E47CE9">
        <w:t xml:space="preserve">recovery </w:t>
      </w:r>
      <w:r w:rsidR="00C175A9">
        <w:t>support.</w:t>
      </w:r>
      <w:r w:rsidR="0044626E">
        <w:t xml:space="preserve"> </w:t>
      </w:r>
    </w:p>
    <w:p w14:paraId="5C0BF353" w14:textId="77777777" w:rsidR="0063672A" w:rsidRDefault="0063672A" w:rsidP="00AF7085">
      <w:pPr>
        <w:pStyle w:val="NoSpacing"/>
        <w:spacing w:line="360" w:lineRule="auto"/>
        <w:rPr>
          <w:lang w:eastAsia="en-GB"/>
        </w:rPr>
      </w:pPr>
    </w:p>
    <w:p w14:paraId="2B0677DE" w14:textId="05E24B52" w:rsidR="00B2500F" w:rsidRDefault="00A43764" w:rsidP="00B2500F">
      <w:pPr>
        <w:spacing w:line="360" w:lineRule="auto"/>
      </w:pPr>
      <w:r w:rsidRPr="004117B1">
        <w:t xml:space="preserve">The use of </w:t>
      </w:r>
      <w:r>
        <w:t>‘successful completion’</w:t>
      </w:r>
      <w:r w:rsidR="00FA6744">
        <w:t xml:space="preserve"> </w:t>
      </w:r>
      <w:r w:rsidRPr="004117B1">
        <w:t xml:space="preserve">as the </w:t>
      </w:r>
      <w:r w:rsidR="00FF379B">
        <w:t xml:space="preserve">primary </w:t>
      </w:r>
      <w:r w:rsidRPr="004117B1">
        <w:t xml:space="preserve">outcome measure </w:t>
      </w:r>
      <w:r>
        <w:t>is</w:t>
      </w:r>
      <w:r w:rsidRPr="004117B1">
        <w:t xml:space="preserve"> a limitation</w:t>
      </w:r>
      <w:r w:rsidR="0AECF618">
        <w:t xml:space="preserve">, </w:t>
      </w:r>
      <w:r w:rsidRPr="004117B1">
        <w:t xml:space="preserve">as SUD is a chronic health condition which can involve multiple episodes of treatment, abstinence and relapse, which in turn may affect parenting capability over time. </w:t>
      </w:r>
      <w:r w:rsidR="00FA6744">
        <w:t xml:space="preserve">Moreover, being in recovery does not necessarily make </w:t>
      </w:r>
      <w:r w:rsidR="00565FD7">
        <w:t xml:space="preserve">a </w:t>
      </w:r>
      <w:r w:rsidR="009839D6">
        <w:t>‘</w:t>
      </w:r>
      <w:r w:rsidR="00FA6744">
        <w:t>good</w:t>
      </w:r>
      <w:r w:rsidR="009839D6">
        <w:t>’</w:t>
      </w:r>
      <w:r w:rsidR="00FA6744">
        <w:t xml:space="preserve"> parent</w:t>
      </w:r>
      <w:r w:rsidR="005A6D16">
        <w:t xml:space="preserve">, just as not being in recovery </w:t>
      </w:r>
      <w:r w:rsidR="009839D6">
        <w:t>does not necessarily make a ‘bad’ parent</w:t>
      </w:r>
      <w:r w:rsidR="00565FD7">
        <w:t xml:space="preserve">. </w:t>
      </w:r>
      <w:r w:rsidR="00FA6744">
        <w:t>However,</w:t>
      </w:r>
      <w:r w:rsidRPr="005C4818">
        <w:t xml:space="preserve"> the </w:t>
      </w:r>
      <w:r>
        <w:t xml:space="preserve">main outcome measure in the </w:t>
      </w:r>
      <w:r w:rsidRPr="005C4818">
        <w:t xml:space="preserve">English system </w:t>
      </w:r>
      <w:r>
        <w:t>is</w:t>
      </w:r>
      <w:r w:rsidRPr="005C4818">
        <w:t xml:space="preserve"> treatment completion. Therefore, by using </w:t>
      </w:r>
      <w:r>
        <w:t xml:space="preserve">successful </w:t>
      </w:r>
      <w:r w:rsidRPr="005C4818">
        <w:t xml:space="preserve">completion of treatment, we are using measures understood by English decision and policymakers. </w:t>
      </w:r>
      <w:r w:rsidR="00F5220A">
        <w:t xml:space="preserve"> </w:t>
      </w:r>
    </w:p>
    <w:p w14:paraId="62192D04" w14:textId="5A4A9335" w:rsidR="00D60D5B" w:rsidRDefault="00D60D5B" w:rsidP="00B2500F">
      <w:pPr>
        <w:spacing w:line="360" w:lineRule="auto"/>
      </w:pPr>
    </w:p>
    <w:p w14:paraId="7B5D5830" w14:textId="79FE3982" w:rsidR="00B2500F" w:rsidRDefault="0571A546" w:rsidP="00B2500F">
      <w:pPr>
        <w:spacing w:line="360" w:lineRule="auto"/>
      </w:pPr>
      <w:r>
        <w:t>Ideally, changes in child welfare int</w:t>
      </w:r>
      <w:r w:rsidR="081A7AF6">
        <w:t xml:space="preserve">ervention status would be </w:t>
      </w:r>
      <w:r w:rsidR="00FF379B">
        <w:t xml:space="preserve">included as </w:t>
      </w:r>
      <w:r w:rsidR="7CBADBC2">
        <w:t xml:space="preserve">a secondary outcome measure </w:t>
      </w:r>
      <w:r w:rsidR="67BFC672">
        <w:t>e.</w:t>
      </w:r>
      <w:r>
        <w:t>g.</w:t>
      </w:r>
      <w:r w:rsidR="009E2CB1">
        <w:t xml:space="preserve"> the step down from one child welfare intervention, such as child protection to </w:t>
      </w:r>
      <w:r w:rsidR="00FA6744">
        <w:t xml:space="preserve">another, such as </w:t>
      </w:r>
      <w:r w:rsidR="009E2CB1">
        <w:t>early help.</w:t>
      </w:r>
      <w:r w:rsidR="00021F23">
        <w:t xml:space="preserve"> This was not possible using the NDTMS data, but future research could explore this </w:t>
      </w:r>
      <w:r w:rsidR="005D6711">
        <w:t xml:space="preserve">by adopting my original plan </w:t>
      </w:r>
      <w:r w:rsidR="00FB17F5">
        <w:t xml:space="preserve">for this thesis (see chapter 2). </w:t>
      </w:r>
      <w:r w:rsidR="00615985">
        <w:t xml:space="preserve">Local </w:t>
      </w:r>
      <w:r w:rsidR="006E423B">
        <w:t xml:space="preserve">treatment and social care datasets </w:t>
      </w:r>
      <w:r w:rsidR="00FA6744">
        <w:t xml:space="preserve">could be matched </w:t>
      </w:r>
      <w:r w:rsidR="006E423B">
        <w:t>using</w:t>
      </w:r>
      <w:r w:rsidR="00C74D68">
        <w:t xml:space="preserve"> person identifiers: first and second initial of name, sex, date of birth of parent/ carer, as this is how NDTMS records individual attributable information. The NDTMS data would be used to identify parents or carers and monitor their treatment outcomes. The socio-demographic and clinical data collected in the NDTMS would be used to adjust for potential confounding in the statistical analyses. In addition to treatment, the NDTMS data would be used to identify parents or cares receiving recovery support interventions such as </w:t>
      </w:r>
      <w:r w:rsidR="00AB7760">
        <w:t>parenting and/or family</w:t>
      </w:r>
      <w:r w:rsidR="00C74D68">
        <w:t xml:space="preserve"> recovery support. Children’s social care data would be used to identify families involved with early help or who were receiving statutory child welfare interventions such as being on a child in need plan, a child protection plan or a child being placed into care. Time spent in receipt of these interventions between those with parents or carers in treatment would be compared with those with parents or carers not in treatment, to see </w:t>
      </w:r>
      <w:r w:rsidR="00C74D68">
        <w:lastRenderedPageBreak/>
        <w:t>whether being in treatment is associated with less time spent on an early help/ statutory child welfare intervention, and how this translates into differential costs.</w:t>
      </w:r>
      <w:r w:rsidR="00B2500F">
        <w:t xml:space="preserve"> If this were not possible, social care resource usage could be captured </w:t>
      </w:r>
      <w:r w:rsidR="00B2500F" w:rsidRPr="00022AF0">
        <w:t>via a longitudinal survey</w:t>
      </w:r>
      <w:r w:rsidR="00B2500F">
        <w:t xml:space="preserve"> of </w:t>
      </w:r>
      <w:r w:rsidR="00B36BE2">
        <w:t>parents with SUD in a local authority</w:t>
      </w:r>
      <w:r w:rsidR="00A05F53">
        <w:t>.</w:t>
      </w:r>
    </w:p>
    <w:p w14:paraId="0AF6B26A" w14:textId="07A003BD" w:rsidR="00E300FB" w:rsidRDefault="00763184" w:rsidP="00E300FB">
      <w:pPr>
        <w:pStyle w:val="paragraph"/>
        <w:spacing w:before="0" w:after="0" w:line="360" w:lineRule="auto"/>
        <w:textAlignment w:val="baseline"/>
        <w:rPr>
          <w:rFonts w:ascii="Arial" w:eastAsiaTheme="minorHAnsi" w:hAnsi="Arial" w:cstheme="minorBidi"/>
          <w:szCs w:val="22"/>
          <w:lang w:eastAsia="en-US"/>
        </w:rPr>
      </w:pPr>
      <w:r w:rsidRPr="00AE3596">
        <w:rPr>
          <w:rFonts w:ascii="Arial" w:eastAsiaTheme="minorHAnsi" w:hAnsi="Arial" w:cstheme="minorBidi"/>
          <w:szCs w:val="22"/>
          <w:lang w:eastAsia="en-US"/>
        </w:rPr>
        <w:t>QALY gains</w:t>
      </w:r>
      <w:r w:rsidR="005819AB" w:rsidRPr="00AE3596">
        <w:rPr>
          <w:rFonts w:ascii="Arial" w:eastAsiaTheme="minorHAnsi" w:hAnsi="Arial" w:cstheme="minorBidi"/>
          <w:szCs w:val="22"/>
          <w:lang w:eastAsia="en-US"/>
        </w:rPr>
        <w:t xml:space="preserve"> </w:t>
      </w:r>
      <w:r w:rsidR="00FA6744" w:rsidRPr="00AE3596">
        <w:rPr>
          <w:rFonts w:ascii="Arial" w:eastAsiaTheme="minorHAnsi" w:hAnsi="Arial" w:cstheme="minorBidi"/>
          <w:szCs w:val="22"/>
          <w:lang w:eastAsia="en-US"/>
        </w:rPr>
        <w:t>were used as the</w:t>
      </w:r>
      <w:r w:rsidR="005819AB" w:rsidRPr="00AE3596">
        <w:rPr>
          <w:rFonts w:ascii="Arial" w:eastAsiaTheme="minorHAnsi" w:hAnsi="Arial" w:cstheme="minorBidi"/>
          <w:szCs w:val="22"/>
          <w:lang w:eastAsia="en-US"/>
        </w:rPr>
        <w:t xml:space="preserve"> treatment effect in </w:t>
      </w:r>
      <w:r w:rsidR="00FA6744" w:rsidRPr="00AE3596">
        <w:rPr>
          <w:rFonts w:ascii="Arial" w:eastAsiaTheme="minorHAnsi" w:hAnsi="Arial" w:cstheme="minorBidi"/>
          <w:szCs w:val="22"/>
          <w:lang w:eastAsia="en-US"/>
        </w:rPr>
        <w:t>the</w:t>
      </w:r>
      <w:r w:rsidR="005819AB" w:rsidRPr="00AE3596">
        <w:rPr>
          <w:rFonts w:ascii="Arial" w:eastAsiaTheme="minorHAnsi" w:hAnsi="Arial" w:cstheme="minorBidi"/>
          <w:szCs w:val="22"/>
          <w:lang w:eastAsia="en-US"/>
        </w:rPr>
        <w:t xml:space="preserve"> cost-effectiveness analysis</w:t>
      </w:r>
      <w:r w:rsidR="00FA6744" w:rsidRPr="00AE3596">
        <w:rPr>
          <w:rFonts w:ascii="Arial" w:eastAsiaTheme="minorHAnsi" w:hAnsi="Arial" w:cstheme="minorBidi"/>
          <w:szCs w:val="22"/>
          <w:lang w:eastAsia="en-US"/>
        </w:rPr>
        <w:t xml:space="preserve"> for this thesis</w:t>
      </w:r>
      <w:r w:rsidR="00A7185F">
        <w:rPr>
          <w:rFonts w:ascii="Arial" w:eastAsiaTheme="minorHAnsi" w:hAnsi="Arial" w:cstheme="minorBidi"/>
          <w:szCs w:val="22"/>
          <w:lang w:eastAsia="en-US"/>
        </w:rPr>
        <w:t xml:space="preserve">, however this was taken from a sample that </w:t>
      </w:r>
      <w:r w:rsidR="0019691D">
        <w:rPr>
          <w:rFonts w:ascii="Arial" w:eastAsiaTheme="minorHAnsi" w:hAnsi="Arial" w:cstheme="minorBidi"/>
          <w:szCs w:val="22"/>
          <w:lang w:eastAsia="en-US"/>
        </w:rPr>
        <w:t xml:space="preserve">was </w:t>
      </w:r>
      <w:r w:rsidR="00A7185F">
        <w:rPr>
          <w:rFonts w:ascii="Arial" w:eastAsiaTheme="minorHAnsi" w:hAnsi="Arial" w:cstheme="minorBidi"/>
          <w:szCs w:val="22"/>
          <w:lang w:eastAsia="en-US"/>
        </w:rPr>
        <w:t xml:space="preserve">not directly comparable to ours. For better comparability, ideally this would </w:t>
      </w:r>
      <w:r w:rsidR="00AF52AD">
        <w:rPr>
          <w:rFonts w:ascii="Arial" w:eastAsiaTheme="minorHAnsi" w:hAnsi="Arial" w:cstheme="minorBidi"/>
          <w:szCs w:val="22"/>
          <w:lang w:eastAsia="en-US"/>
        </w:rPr>
        <w:t xml:space="preserve">be </w:t>
      </w:r>
      <w:r w:rsidR="00E300FB">
        <w:rPr>
          <w:rFonts w:ascii="Arial" w:eastAsiaTheme="minorHAnsi" w:hAnsi="Arial" w:cstheme="minorBidi"/>
          <w:szCs w:val="22"/>
          <w:lang w:eastAsia="en-US"/>
        </w:rPr>
        <w:t xml:space="preserve">achieved by adding </w:t>
      </w:r>
      <w:r w:rsidR="00AD3514">
        <w:rPr>
          <w:rFonts w:ascii="Arial" w:eastAsiaTheme="minorHAnsi" w:hAnsi="Arial" w:cstheme="minorBidi"/>
          <w:szCs w:val="22"/>
          <w:lang w:eastAsia="en-US"/>
        </w:rPr>
        <w:t xml:space="preserve">a health survey instrument </w:t>
      </w:r>
      <w:r w:rsidR="00E300FB">
        <w:rPr>
          <w:rFonts w:ascii="Arial" w:eastAsiaTheme="minorHAnsi" w:hAnsi="Arial" w:cstheme="minorBidi"/>
          <w:szCs w:val="22"/>
          <w:lang w:eastAsia="en-US"/>
        </w:rPr>
        <w:t xml:space="preserve">to the NDTMS reporting and to ask for the survey to be completed once people enter treatment, during their reviews and at the end of treatment. In this way, </w:t>
      </w:r>
      <w:r w:rsidR="00562FB9">
        <w:rPr>
          <w:rFonts w:ascii="Arial" w:eastAsiaTheme="minorHAnsi" w:hAnsi="Arial" w:cstheme="minorBidi"/>
          <w:szCs w:val="22"/>
          <w:lang w:eastAsia="en-US"/>
        </w:rPr>
        <w:t xml:space="preserve">the robustness of the </w:t>
      </w:r>
      <w:r w:rsidR="00E300FB">
        <w:rPr>
          <w:rFonts w:ascii="Arial" w:eastAsiaTheme="minorHAnsi" w:hAnsi="Arial" w:cstheme="minorBidi"/>
          <w:szCs w:val="22"/>
          <w:lang w:eastAsia="en-US"/>
        </w:rPr>
        <w:t xml:space="preserve">QALY gains for all the different subgroups and health states in this study would be vastly improved. </w:t>
      </w:r>
    </w:p>
    <w:p w14:paraId="0B754FF6" w14:textId="77777777" w:rsidR="00562FB9" w:rsidRDefault="00562FB9" w:rsidP="00FA6744">
      <w:pPr>
        <w:pStyle w:val="paragraph"/>
        <w:spacing w:before="0" w:after="0" w:line="360" w:lineRule="auto"/>
        <w:textAlignment w:val="baseline"/>
        <w:rPr>
          <w:rFonts w:ascii="Arial" w:eastAsiaTheme="minorHAnsi" w:hAnsi="Arial" w:cstheme="minorBidi"/>
          <w:szCs w:val="22"/>
          <w:lang w:eastAsia="en-US"/>
        </w:rPr>
      </w:pPr>
    </w:p>
    <w:p w14:paraId="211B94B8" w14:textId="3AEA3CEF" w:rsidR="00DE0112" w:rsidRDefault="00F5220A" w:rsidP="003C301E">
      <w:pPr>
        <w:pStyle w:val="paragraph"/>
        <w:spacing w:before="0" w:after="0" w:line="360" w:lineRule="auto"/>
        <w:textAlignment w:val="baseline"/>
        <w:rPr>
          <w:rFonts w:ascii="Arial" w:eastAsiaTheme="minorEastAsia" w:hAnsi="Arial" w:cstheme="minorBidi"/>
          <w:lang w:eastAsia="en-US"/>
        </w:rPr>
      </w:pPr>
      <w:r w:rsidRPr="4A2509E5">
        <w:rPr>
          <w:rFonts w:ascii="Arial" w:eastAsiaTheme="minorEastAsia" w:hAnsi="Arial" w:cstheme="minorBidi"/>
          <w:lang w:eastAsia="en-US"/>
        </w:rPr>
        <w:t xml:space="preserve">While estimated QALY gains in parents are valuable outcomes, they are </w:t>
      </w:r>
      <w:r w:rsidR="009623A4">
        <w:rPr>
          <w:rFonts w:ascii="Arial" w:eastAsiaTheme="minorEastAsia" w:hAnsi="Arial" w:cstheme="minorBidi"/>
          <w:lang w:eastAsia="en-US"/>
        </w:rPr>
        <w:t>may not be wholly</w:t>
      </w:r>
      <w:r w:rsidR="009623A4" w:rsidRPr="4A2509E5">
        <w:rPr>
          <w:rFonts w:ascii="Arial" w:eastAsiaTheme="minorEastAsia" w:hAnsi="Arial" w:cstheme="minorBidi"/>
          <w:lang w:eastAsia="en-US"/>
        </w:rPr>
        <w:t xml:space="preserve"> </w:t>
      </w:r>
      <w:r w:rsidRPr="4A2509E5">
        <w:rPr>
          <w:rFonts w:ascii="Arial" w:eastAsiaTheme="minorEastAsia" w:hAnsi="Arial" w:cstheme="minorBidi"/>
          <w:lang w:eastAsia="en-US"/>
        </w:rPr>
        <w:t xml:space="preserve">relevant when regarding the wellbeing of their children </w:t>
      </w:r>
      <w:r w:rsidRPr="4A2509E5">
        <w:rPr>
          <w:rFonts w:ascii="Arial" w:eastAsiaTheme="minorEastAsia" w:hAnsi="Arial" w:cstheme="minorBidi"/>
          <w:lang w:eastAsia="en-US"/>
        </w:rPr>
        <w:fldChar w:fldCharType="begin"/>
      </w:r>
      <w:r w:rsidR="00B9334F">
        <w:rPr>
          <w:rFonts w:ascii="Arial" w:eastAsiaTheme="minorEastAsia" w:hAnsi="Arial" w:cstheme="minorBidi"/>
          <w:lang w:eastAsia="en-US"/>
        </w:rPr>
        <w:instrText xml:space="preserve"> ADDIN EN.CITE &lt;EndNote&gt;&lt;Cite&gt;&lt;Author&gt;Barlow&lt;/Author&gt;&lt;Year&gt;2019&lt;/Year&gt;&lt;RecNum&gt;352&lt;/RecNum&gt;&lt;DisplayText&gt;(Barlow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rsidRPr="4A2509E5">
        <w:rPr>
          <w:rFonts w:ascii="Arial" w:eastAsiaTheme="minorEastAsia" w:hAnsi="Arial" w:cstheme="minorBidi"/>
          <w:lang w:eastAsia="en-US"/>
        </w:rPr>
        <w:fldChar w:fldCharType="separate"/>
      </w:r>
      <w:r w:rsidR="00A77498" w:rsidRPr="4A2509E5">
        <w:rPr>
          <w:rFonts w:ascii="Arial" w:eastAsiaTheme="minorEastAsia" w:hAnsi="Arial" w:cstheme="minorBidi"/>
          <w:noProof/>
          <w:lang w:eastAsia="en-US"/>
        </w:rPr>
        <w:t>(Barlow et al., 2019)</w:t>
      </w:r>
      <w:r w:rsidRPr="4A2509E5">
        <w:rPr>
          <w:rFonts w:ascii="Arial" w:eastAsiaTheme="minorEastAsia" w:hAnsi="Arial" w:cstheme="minorBidi"/>
          <w:lang w:eastAsia="en-US"/>
        </w:rPr>
        <w:fldChar w:fldCharType="end"/>
      </w:r>
      <w:r w:rsidRPr="4A2509E5">
        <w:rPr>
          <w:rFonts w:ascii="Arial" w:eastAsiaTheme="minorEastAsia" w:hAnsi="Arial" w:cstheme="minorBidi"/>
          <w:lang w:eastAsia="en-US"/>
        </w:rPr>
        <w:t xml:space="preserve">. Future research in this space should prioritise establishing a willingness to pay per child outcome gained, such as those measured using the </w:t>
      </w:r>
      <w:r w:rsidR="00CB5FE1">
        <w:rPr>
          <w:rFonts w:ascii="Arial" w:eastAsiaTheme="minorEastAsia" w:hAnsi="Arial" w:cstheme="minorBidi"/>
          <w:lang w:eastAsia="en-US"/>
        </w:rPr>
        <w:t>BCAP</w:t>
      </w:r>
      <w:r w:rsidR="00FA6744" w:rsidRPr="4A2509E5">
        <w:rPr>
          <w:rFonts w:ascii="Arial" w:eastAsiaTheme="minorEastAsia" w:hAnsi="Arial" w:cstheme="minorBidi"/>
          <w:lang w:eastAsia="en-US"/>
        </w:rPr>
        <w:t xml:space="preserve"> (the Risk Abuse Scale from the Brief Child Abuse Potential Inventory </w:t>
      </w:r>
      <w:r w:rsidR="00FA6744" w:rsidRPr="4A2509E5">
        <w:rPr>
          <w:rFonts w:ascii="Arial" w:eastAsiaTheme="minorEastAsia" w:hAnsi="Arial" w:cstheme="minorBidi"/>
          <w:lang w:eastAsia="en-US"/>
        </w:rPr>
        <w:fldChar w:fldCharType="begin"/>
      </w:r>
      <w:r w:rsidR="00B9334F">
        <w:rPr>
          <w:rFonts w:ascii="Arial" w:eastAsiaTheme="minorEastAsia" w:hAnsi="Arial" w:cstheme="minorBidi"/>
          <w:lang w:eastAsia="en-US"/>
        </w:rPr>
        <w:instrText xml:space="preserve"> ADDIN EN.CITE &lt;EndNote&gt;&lt;Cite&gt;&lt;Author&gt;Ondersma&lt;/Author&gt;&lt;Year&gt;2005&lt;/Year&gt;&lt;RecNum&gt;480&lt;/RecNum&gt;&lt;DisplayText&gt;(Ondersma et al., 2005)&lt;/DisplayText&gt;&lt;record&gt;&lt;rec-number&gt;480&lt;/rec-number&gt;&lt;foreign-keys&gt;&lt;key app="EN" db-id="ffzvr5fstavwxoe9v04xf0wmp5t50as52da0" timestamp="1731671682" guid="185014df-b873-41fa-8685-e14b719169ae"&gt;480&lt;/key&gt;&lt;/foreign-keys&gt;&lt;ref-type name="Journal Article"&gt;17&lt;/ref-type&gt;&lt;contributors&gt;&lt;authors&gt;&lt;author&gt;Ondersma, S. J.&lt;/author&gt;&lt;author&gt;Chaffin, M. J.&lt;/author&gt;&lt;author&gt;Mullins, S. M.&lt;/author&gt;&lt;author&gt;LeBreton, J. M.&lt;/author&gt;&lt;/authors&gt;&lt;/contributors&gt;&lt;titles&gt;&lt;title&gt;A brief form of the child abuse potential inventory: development and validation&lt;/title&gt;&lt;alt-title&gt;J Clin Child Adolesc Psychol&lt;/alt-title&gt;&lt;/titles&gt;&lt;alt-periodical&gt;&lt;abbr-1&gt;J Clin Child Adolesc Psychol&lt;/abbr-1&gt;&lt;/alt-periodical&gt;&lt;pages&gt;301-311&lt;/pages&gt;&lt;volume&gt;34&lt;/volume&gt;&lt;dates&gt;&lt;year&gt;2005&lt;/year&gt;&lt;/dates&gt;&lt;label&gt;77.&lt;/label&gt;&lt;urls&gt;&lt;related-urls&gt;&lt;url&gt;https://doi.org/10.1207/s15374424jccp3402_9&lt;/url&gt;&lt;/related-urls&gt;&lt;/urls&gt;&lt;/record&gt;&lt;/Cite&gt;&lt;/EndNote&gt;</w:instrText>
      </w:r>
      <w:r w:rsidR="00FA6744" w:rsidRPr="4A2509E5">
        <w:rPr>
          <w:rFonts w:ascii="Arial" w:eastAsiaTheme="minorEastAsia" w:hAnsi="Arial" w:cstheme="minorBidi"/>
          <w:lang w:eastAsia="en-US"/>
        </w:rPr>
        <w:fldChar w:fldCharType="separate"/>
      </w:r>
      <w:r w:rsidR="00A77498" w:rsidRPr="4A2509E5">
        <w:rPr>
          <w:rFonts w:ascii="Arial" w:eastAsiaTheme="minorEastAsia" w:hAnsi="Arial" w:cstheme="minorBidi"/>
          <w:noProof/>
          <w:lang w:eastAsia="en-US"/>
        </w:rPr>
        <w:t>(Ondersma et al., 2005)</w:t>
      </w:r>
      <w:r w:rsidR="00FA6744" w:rsidRPr="4A2509E5">
        <w:rPr>
          <w:rFonts w:ascii="Arial" w:eastAsiaTheme="minorEastAsia" w:hAnsi="Arial" w:cstheme="minorBidi"/>
          <w:lang w:eastAsia="en-US"/>
        </w:rPr>
        <w:fldChar w:fldCharType="end"/>
      </w:r>
      <w:r w:rsidRPr="4A2509E5">
        <w:rPr>
          <w:rFonts w:ascii="Arial" w:eastAsiaTheme="minorEastAsia" w:hAnsi="Arial" w:cstheme="minorBidi"/>
          <w:lang w:eastAsia="en-US"/>
        </w:rPr>
        <w:t>, to be used in economic evaluations</w:t>
      </w:r>
      <w:r w:rsidR="00BB03A1">
        <w:rPr>
          <w:rFonts w:ascii="Arial" w:eastAsiaTheme="minorEastAsia" w:hAnsi="Arial" w:cstheme="minorBidi"/>
          <w:lang w:eastAsia="en-US"/>
        </w:rPr>
        <w:t xml:space="preserve">. </w:t>
      </w:r>
      <w:r w:rsidR="00DE0112">
        <w:rPr>
          <w:rFonts w:ascii="Arial" w:eastAsiaTheme="minorEastAsia" w:hAnsi="Arial" w:cstheme="minorBidi"/>
          <w:lang w:eastAsia="en-US"/>
        </w:rPr>
        <w:t xml:space="preserve">This </w:t>
      </w:r>
      <w:r w:rsidR="00B65E62">
        <w:rPr>
          <w:rFonts w:ascii="Arial" w:eastAsiaTheme="minorEastAsia" w:hAnsi="Arial" w:cstheme="minorBidi"/>
          <w:lang w:eastAsia="en-US"/>
        </w:rPr>
        <w:t xml:space="preserve">could involve contingent valuation among stakeholders, where </w:t>
      </w:r>
      <w:r w:rsidR="003D5B2C">
        <w:rPr>
          <w:rFonts w:ascii="Arial" w:eastAsiaTheme="minorEastAsia" w:hAnsi="Arial" w:cstheme="minorBidi"/>
          <w:lang w:eastAsia="en-US"/>
        </w:rPr>
        <w:t>stakeholders</w:t>
      </w:r>
      <w:r w:rsidR="00B65E62">
        <w:rPr>
          <w:rFonts w:ascii="Arial" w:eastAsiaTheme="minorEastAsia" w:hAnsi="Arial" w:cstheme="minorBidi"/>
          <w:lang w:eastAsia="en-US"/>
        </w:rPr>
        <w:t xml:space="preserve"> are asked to compare </w:t>
      </w:r>
      <w:r w:rsidR="003D5B2C">
        <w:rPr>
          <w:rFonts w:ascii="Arial" w:eastAsiaTheme="minorEastAsia" w:hAnsi="Arial" w:cstheme="minorBidi"/>
          <w:lang w:eastAsia="en-US"/>
        </w:rPr>
        <w:t>various hypothetical scenarios for BCAP</w:t>
      </w:r>
      <w:r w:rsidR="00E74098">
        <w:rPr>
          <w:rFonts w:ascii="Arial" w:eastAsiaTheme="minorEastAsia" w:hAnsi="Arial" w:cstheme="minorBidi"/>
          <w:lang w:eastAsia="en-US"/>
        </w:rPr>
        <w:t xml:space="preserve">. </w:t>
      </w:r>
    </w:p>
    <w:p w14:paraId="0E51456C" w14:textId="77777777" w:rsidR="003C301E" w:rsidRDefault="003C301E" w:rsidP="003C301E">
      <w:pPr>
        <w:pStyle w:val="paragraph"/>
        <w:spacing w:before="0" w:after="0" w:line="360" w:lineRule="auto"/>
        <w:textAlignment w:val="baseline"/>
        <w:rPr>
          <w:rFonts w:ascii="Arial" w:eastAsiaTheme="minorEastAsia" w:hAnsi="Arial" w:cstheme="minorBidi"/>
          <w:lang w:eastAsia="en-US"/>
        </w:rPr>
      </w:pPr>
    </w:p>
    <w:p w14:paraId="3BB5BA60" w14:textId="48D28381" w:rsidR="4A2509E5" w:rsidRDefault="00886814" w:rsidP="4A2509E5">
      <w:pPr>
        <w:pStyle w:val="paragraph"/>
        <w:spacing w:before="0" w:after="0" w:line="360" w:lineRule="auto"/>
        <w:rPr>
          <w:rFonts w:ascii="Arial" w:eastAsiaTheme="minorEastAsia" w:hAnsi="Arial" w:cstheme="minorBidi"/>
          <w:lang w:eastAsia="en-US"/>
        </w:rPr>
      </w:pPr>
      <w:r>
        <w:rPr>
          <w:rFonts w:ascii="Arial" w:eastAsiaTheme="minorHAnsi" w:hAnsi="Arial" w:cstheme="minorBidi"/>
          <w:szCs w:val="22"/>
          <w:lang w:eastAsia="en-US"/>
        </w:rPr>
        <w:t>The</w:t>
      </w:r>
      <w:r w:rsidR="00F0794B" w:rsidRPr="4A2509E5">
        <w:rPr>
          <w:rFonts w:ascii="Arial" w:eastAsiaTheme="minorEastAsia" w:hAnsi="Arial" w:cstheme="minorBidi"/>
          <w:lang w:eastAsia="en-US"/>
        </w:rPr>
        <w:t xml:space="preserve"> thesis only </w:t>
      </w:r>
      <w:r w:rsidR="006754D6" w:rsidRPr="4A2509E5">
        <w:rPr>
          <w:rFonts w:ascii="Arial" w:eastAsiaTheme="minorEastAsia" w:hAnsi="Arial" w:cstheme="minorBidi"/>
          <w:lang w:eastAsia="en-US"/>
        </w:rPr>
        <w:t xml:space="preserve">evaluated the cost-effectiveness </w:t>
      </w:r>
      <w:r w:rsidR="7767C27C" w:rsidRPr="4A2509E5">
        <w:rPr>
          <w:rFonts w:ascii="Arial" w:eastAsiaTheme="minorEastAsia" w:hAnsi="Arial" w:cstheme="minorBidi"/>
          <w:lang w:eastAsia="en-US"/>
        </w:rPr>
        <w:t xml:space="preserve">for parents/ carers with </w:t>
      </w:r>
      <w:r w:rsidR="7396B157" w:rsidRPr="4A2509E5">
        <w:rPr>
          <w:rFonts w:ascii="Arial" w:eastAsiaTheme="minorEastAsia" w:hAnsi="Arial" w:cstheme="minorBidi"/>
          <w:lang w:eastAsia="en-US"/>
        </w:rPr>
        <w:t xml:space="preserve">AUD, </w:t>
      </w:r>
      <w:r w:rsidR="006754D6" w:rsidRPr="4A2509E5">
        <w:rPr>
          <w:rFonts w:ascii="Arial" w:eastAsiaTheme="minorEastAsia" w:hAnsi="Arial" w:cstheme="minorBidi"/>
          <w:lang w:eastAsia="en-US"/>
        </w:rPr>
        <w:t xml:space="preserve">of treatment </w:t>
      </w:r>
      <w:r w:rsidR="00545D7B">
        <w:rPr>
          <w:rFonts w:ascii="Arial" w:eastAsiaTheme="minorEastAsia" w:hAnsi="Arial" w:cstheme="minorBidi"/>
          <w:lang w:eastAsia="en-US"/>
        </w:rPr>
        <w:t>plus</w:t>
      </w:r>
      <w:r w:rsidR="006754D6" w:rsidRPr="4A2509E5">
        <w:rPr>
          <w:rFonts w:ascii="Arial" w:eastAsiaTheme="minorEastAsia" w:hAnsi="Arial" w:cstheme="minorBidi"/>
          <w:lang w:eastAsia="en-US"/>
        </w:rPr>
        <w:t xml:space="preserve"> </w:t>
      </w:r>
      <w:r w:rsidR="00AB7760" w:rsidRPr="4A2509E5">
        <w:rPr>
          <w:rFonts w:ascii="Arial" w:eastAsiaTheme="minorEastAsia" w:hAnsi="Arial" w:cstheme="minorBidi"/>
          <w:lang w:eastAsia="en-US"/>
        </w:rPr>
        <w:t>parenting and/or family</w:t>
      </w:r>
      <w:r w:rsidR="006754D6" w:rsidRPr="4A2509E5">
        <w:rPr>
          <w:rFonts w:ascii="Arial" w:eastAsiaTheme="minorEastAsia" w:hAnsi="Arial" w:cstheme="minorBidi"/>
          <w:lang w:eastAsia="en-US"/>
        </w:rPr>
        <w:t xml:space="preserve"> recovery support compared with treatment </w:t>
      </w:r>
      <w:r w:rsidR="009358A7" w:rsidRPr="4A2509E5">
        <w:rPr>
          <w:rFonts w:ascii="Arial" w:eastAsiaTheme="minorEastAsia" w:hAnsi="Arial" w:cstheme="minorBidi"/>
          <w:lang w:eastAsia="en-US"/>
        </w:rPr>
        <w:t>only</w:t>
      </w:r>
      <w:r w:rsidR="5F352E12" w:rsidRPr="4A2509E5">
        <w:rPr>
          <w:rFonts w:ascii="Arial" w:eastAsiaTheme="minorEastAsia" w:hAnsi="Arial" w:cstheme="minorBidi"/>
          <w:lang w:eastAsia="en-US"/>
        </w:rPr>
        <w:t xml:space="preserve">, </w:t>
      </w:r>
      <w:r w:rsidR="006754D6" w:rsidRPr="4A2509E5">
        <w:rPr>
          <w:rFonts w:ascii="Arial" w:eastAsiaTheme="minorEastAsia" w:hAnsi="Arial" w:cstheme="minorBidi"/>
          <w:lang w:eastAsia="en-US"/>
        </w:rPr>
        <w:t xml:space="preserve">for reasons outlined in chapter 2. </w:t>
      </w:r>
      <w:r w:rsidR="00CD0E9B" w:rsidRPr="4A2509E5">
        <w:rPr>
          <w:rFonts w:ascii="Arial" w:eastAsiaTheme="minorEastAsia" w:hAnsi="Arial" w:cstheme="minorBidi"/>
          <w:lang w:eastAsia="en-US"/>
        </w:rPr>
        <w:t xml:space="preserve">A similar analysis for non-opiate </w:t>
      </w:r>
      <w:r w:rsidR="0085268B" w:rsidRPr="4A2509E5">
        <w:rPr>
          <w:rFonts w:ascii="Arial" w:eastAsiaTheme="minorEastAsia" w:hAnsi="Arial" w:cstheme="minorBidi"/>
          <w:lang w:eastAsia="en-US"/>
        </w:rPr>
        <w:t>using parents would be useful in informing local commissioning decisions</w:t>
      </w:r>
      <w:r w:rsidR="002F6B00">
        <w:rPr>
          <w:rFonts w:ascii="Arial" w:eastAsiaTheme="minorEastAsia" w:hAnsi="Arial" w:cstheme="minorBidi"/>
          <w:lang w:eastAsia="en-US"/>
        </w:rPr>
        <w:t>.</w:t>
      </w:r>
      <w:r w:rsidR="00527EAD">
        <w:rPr>
          <w:rFonts w:ascii="Arial" w:eastAsiaTheme="minorEastAsia" w:hAnsi="Arial" w:cstheme="minorBidi"/>
          <w:lang w:eastAsia="en-US"/>
        </w:rPr>
        <w:t xml:space="preserve"> </w:t>
      </w:r>
      <w:r w:rsidR="002F6B00">
        <w:rPr>
          <w:rFonts w:ascii="Arial" w:eastAsiaTheme="minorEastAsia" w:hAnsi="Arial" w:cstheme="minorBidi"/>
          <w:lang w:eastAsia="en-US"/>
        </w:rPr>
        <w:t>The same Markov approach could be used, but d</w:t>
      </w:r>
      <w:r w:rsidR="00527EAD">
        <w:rPr>
          <w:rFonts w:ascii="Arial" w:eastAsiaTheme="minorEastAsia" w:hAnsi="Arial" w:cstheme="minorBidi"/>
          <w:lang w:eastAsia="en-US"/>
        </w:rPr>
        <w:t xml:space="preserve">ifferent utilities and costs would be needed </w:t>
      </w:r>
      <w:r w:rsidR="009E5325">
        <w:rPr>
          <w:rFonts w:ascii="Arial" w:eastAsiaTheme="minorEastAsia" w:hAnsi="Arial" w:cstheme="minorBidi"/>
          <w:lang w:eastAsia="en-US"/>
        </w:rPr>
        <w:t xml:space="preserve">for each substance </w:t>
      </w:r>
      <w:r w:rsidR="002F6B00" w:rsidRPr="008434CC">
        <w:rPr>
          <w:rFonts w:ascii="Arial" w:eastAsiaTheme="minorEastAsia" w:hAnsi="Arial" w:cstheme="minorBidi"/>
          <w:lang w:eastAsia="en-US"/>
        </w:rPr>
        <w:t>as</w:t>
      </w:r>
      <w:r w:rsidR="003E786D" w:rsidRPr="008434CC">
        <w:rPr>
          <w:rFonts w:ascii="Arial" w:eastAsiaTheme="minorEastAsia" w:hAnsi="Arial" w:cstheme="minorBidi"/>
          <w:lang w:eastAsia="en-US"/>
        </w:rPr>
        <w:t xml:space="preserve"> ‘non-opiate use’ is a broad category comprising many diverse substances, such as powder cocaine, crack cocaine, MDMA, methamphetamine and cannabis</w:t>
      </w:r>
      <w:r w:rsidR="002F6B00" w:rsidRPr="008434CC">
        <w:rPr>
          <w:rFonts w:ascii="Arial" w:eastAsiaTheme="minorEastAsia" w:hAnsi="Arial" w:cstheme="minorBidi"/>
          <w:lang w:eastAsia="en-US"/>
        </w:rPr>
        <w:t>.</w:t>
      </w:r>
    </w:p>
    <w:p w14:paraId="3A1F7D44" w14:textId="4F0BD2E4" w:rsidR="00FA6744" w:rsidRPr="00847A2D" w:rsidRDefault="00FA6744" w:rsidP="00FA6744">
      <w:pPr>
        <w:spacing w:line="360" w:lineRule="auto"/>
      </w:pPr>
      <w:r w:rsidRPr="00AE3596">
        <w:t>The estimates of public sector savings used were old</w:t>
      </w:r>
      <w:r w:rsidR="002F6B00">
        <w:t xml:space="preserve"> (2000/01 price</w:t>
      </w:r>
      <w:r w:rsidR="00432267">
        <w:t>s</w:t>
      </w:r>
      <w:r w:rsidR="002F6B00">
        <w:t>)</w:t>
      </w:r>
      <w:r w:rsidR="007C0FCB">
        <w:t>, r</w:t>
      </w:r>
      <w:r w:rsidRPr="00AE3596">
        <w:t xml:space="preserve">elied on patient recall and were not the results of treatment </w:t>
      </w:r>
      <w:r w:rsidR="00545D7B">
        <w:t>plus</w:t>
      </w:r>
      <w:r w:rsidRPr="00AE3596">
        <w:t xml:space="preserve"> a parenting programme</w:t>
      </w:r>
      <w:r w:rsidR="007C0FCB">
        <w:t xml:space="preserve">, but </w:t>
      </w:r>
      <w:r w:rsidR="00FF2485">
        <w:t xml:space="preserve">rather alcohol </w:t>
      </w:r>
      <w:r w:rsidR="008D77CA">
        <w:t xml:space="preserve">treatment </w:t>
      </w:r>
      <w:r w:rsidR="00FF2485">
        <w:t>for all adults</w:t>
      </w:r>
      <w:r w:rsidR="52ACA864">
        <w:t>.</w:t>
      </w:r>
      <w:r w:rsidRPr="00AE3596">
        <w:t xml:space="preserve"> Thus, in addition to the above, a research </w:t>
      </w:r>
      <w:r w:rsidRPr="00AE3596">
        <w:lastRenderedPageBreak/>
        <w:t xml:space="preserve">priority would be to update and capture the broad spectrum of societal costs associated with parental treatment for both children and parents. </w:t>
      </w:r>
      <w:r w:rsidR="04D65D0B">
        <w:t xml:space="preserve">The approach would be to </w:t>
      </w:r>
      <w:r w:rsidR="678FEA13">
        <w:t xml:space="preserve">use </w:t>
      </w:r>
      <w:r w:rsidRPr="00AE3596">
        <w:t xml:space="preserve">national administrative databases matched </w:t>
      </w:r>
      <w:r w:rsidR="4B3EAD31">
        <w:t xml:space="preserve">at individual level </w:t>
      </w:r>
      <w:r w:rsidRPr="00AE3596">
        <w:t>to NDTMS</w:t>
      </w:r>
      <w:r w:rsidR="058B1F99">
        <w:t>.  This would</w:t>
      </w:r>
      <w:r w:rsidR="003A4A6D">
        <w:t xml:space="preserve"> </w:t>
      </w:r>
      <w:r w:rsidRPr="00AE3596">
        <w:t>measure reductions in, for example, hospital admissions (via the Hospital Episodes Statistics database) and offending (via the Police National Computer database</w:t>
      </w:r>
      <w:r w:rsidR="52ACA864">
        <w:t>)</w:t>
      </w:r>
      <w:r w:rsidR="562BD58C">
        <w:t>. This</w:t>
      </w:r>
      <w:r w:rsidRPr="00AE3596">
        <w:t xml:space="preserve"> could be a more robust way of estimating public sector costs as it does not rely on patient recall and the large sample sizes </w:t>
      </w:r>
      <w:r w:rsidR="3BFC2A2B">
        <w:t>w</w:t>
      </w:r>
      <w:r w:rsidRPr="00AE3596">
        <w:t>ould lower the amount of variance in the observed data. Patients could also be followed up for a long period of time.</w:t>
      </w:r>
      <w:r>
        <w:t xml:space="preserve"> </w:t>
      </w:r>
    </w:p>
    <w:p w14:paraId="7B772781" w14:textId="77777777" w:rsidR="00C67885" w:rsidRDefault="00C67885" w:rsidP="003D7552">
      <w:pPr>
        <w:pStyle w:val="NoSpacing"/>
        <w:spacing w:line="360" w:lineRule="auto"/>
      </w:pPr>
    </w:p>
    <w:p w14:paraId="48BA93E1" w14:textId="319272E0" w:rsidR="00EA1246" w:rsidRDefault="00C67885" w:rsidP="00304E07">
      <w:pPr>
        <w:pStyle w:val="NoSpacing"/>
        <w:spacing w:line="360" w:lineRule="auto"/>
      </w:pPr>
      <w:r>
        <w:t xml:space="preserve">Finally, and arguably, the most important </w:t>
      </w:r>
      <w:r w:rsidR="00E23D30">
        <w:t xml:space="preserve">recommended </w:t>
      </w:r>
      <w:r>
        <w:t>research</w:t>
      </w:r>
      <w:r w:rsidR="00E23D30">
        <w:t xml:space="preserve"> is establishing what </w:t>
      </w:r>
      <w:r w:rsidR="00931C32">
        <w:t xml:space="preserve">precisely </w:t>
      </w:r>
      <w:r w:rsidR="00E23D30">
        <w:t xml:space="preserve">constitutes a </w:t>
      </w:r>
      <w:r w:rsidR="00AB7760">
        <w:t>parenting and/or family</w:t>
      </w:r>
      <w:r w:rsidR="00E23D30">
        <w:t xml:space="preserve"> recovery support intervention in every local authority. </w:t>
      </w:r>
      <w:r w:rsidR="00D96810">
        <w:t>D</w:t>
      </w:r>
      <w:r w:rsidR="008A0D32">
        <w:t xml:space="preserve">efinitions of early help and statutory child welfare interventions are clear and enshrined in law </w:t>
      </w:r>
      <w:r w:rsidR="008A0D32">
        <w:fldChar w:fldCharType="begin"/>
      </w:r>
      <w:r w:rsidR="00B9334F">
        <w:instrText xml:space="preserve"> ADDIN EN.CITE &lt;EndNote&gt;&lt;Cite&gt;&lt;Author&gt;HM Government&lt;/Author&gt;&lt;Year&gt;2018&lt;/Year&gt;&lt;RecNum&gt;32&lt;/RecNum&gt;&lt;DisplayText&gt;(HM Government, 2018, 2023)&lt;/DisplayText&gt;&lt;record&gt;&lt;rec-number&gt;32&lt;/rec-number&gt;&lt;foreign-keys&gt;&lt;key app="EN" db-id="ffzvr5fstavwxoe9v04xf0wmp5t50as52da0" timestamp="1731671637" guid="d8c02848-9bcb-4710-85da-768f45c658ca"&gt;32&lt;/key&gt;&lt;/foreign-keys&gt;&lt;ref-type name="Electronic Article"&gt;43&lt;/ref-type&gt;&lt;contributors&gt;&lt;authors&gt;&lt;author&gt;HM Government,&lt;/author&gt;&lt;/authors&gt;&lt;/contributors&gt;&lt;titles&gt;&lt;title&gt;Working Together to Safeguard Children: A guide to inter-agency working to safeguard and promote the welfare of children&lt;/title&gt;&lt;/titles&gt;&lt;dates&gt;&lt;year&gt;2018&lt;/year&gt;&lt;/dates&gt;&lt;urls&gt;&lt;related-urls&gt;&lt;url&gt;https://assets.publishing.service.gov.uk/government/uploads/system/uploads/attachment_data/file/779401/Working_Together_to_Safeguard-Children.pdf&lt;/url&gt;&lt;/related-urls&gt;&lt;/urls&gt;&lt;access-date&gt;26/04/2019&lt;/access-date&gt;&lt;/record&gt;&lt;/Cite&gt;&lt;Cite&gt;&lt;Author&gt;HM Government&lt;/Author&gt;&lt;Year&gt;2023&lt;/Year&gt;&lt;RecNum&gt;243&lt;/RecNum&gt;&lt;record&gt;&lt;rec-number&gt;243&lt;/rec-number&gt;&lt;foreign-keys&gt;&lt;key app="EN" db-id="ffzvr5fstavwxoe9v04xf0wmp5t50as52da0" timestamp="1731671651" guid="fcc8cee2-9bdc-46dd-9e84-c16eaefc7ca4"&gt;243&lt;/key&gt;&lt;/foreign-keys&gt;&lt;ref-type name="Electronic Article"&gt;43&lt;/ref-type&gt;&lt;contributors&gt;&lt;authors&gt;&lt;author&gt;HM Government,&lt;/author&gt;&lt;/authors&gt;&lt;/contributors&gt;&lt;titles&gt;&lt;title&gt;Working Together to  Safeguard Children 2023. A guide to multi-agency working to help, protect and promote the welfare of children.&lt;/title&gt;&lt;/titles&gt;&lt;dates&gt;&lt;year&gt;2023&lt;/year&gt;&lt;pub-dates&gt;&lt;date&gt;01/04/2024&lt;/date&gt;&lt;/pub-dates&gt;&lt;/dates&gt;&lt;urls&gt;&lt;related-urls&gt;&lt;url&gt;https://assets.publishing.service.gov.uk/media/65cb4349a7ded0000c79e4e1/Working_together_to_safeguard_children_2023_-_statutory_guidance.pdf&lt;/url&gt;&lt;/related-urls&gt;&lt;/urls&gt;&lt;/record&gt;&lt;/Cite&gt;&lt;/EndNote&gt;</w:instrText>
      </w:r>
      <w:r w:rsidR="008A0D32">
        <w:fldChar w:fldCharType="separate"/>
      </w:r>
      <w:r w:rsidR="00A77498">
        <w:rPr>
          <w:noProof/>
        </w:rPr>
        <w:t>(HM Government, 2018, 2023)</w:t>
      </w:r>
      <w:r w:rsidR="008A0D32">
        <w:fldChar w:fldCharType="end"/>
      </w:r>
      <w:r w:rsidR="00D96810">
        <w:t>.</w:t>
      </w:r>
      <w:r w:rsidR="008A0D32">
        <w:t xml:space="preserve"> </w:t>
      </w:r>
      <w:r w:rsidR="00D96810">
        <w:t xml:space="preserve">What </w:t>
      </w:r>
      <w:r w:rsidR="00974B84">
        <w:t>is being delivered under the banner of ‘</w:t>
      </w:r>
      <w:r w:rsidR="00AB7760">
        <w:t>parenting and/or family</w:t>
      </w:r>
      <w:r w:rsidR="008A0D32">
        <w:t xml:space="preserve"> recovery support</w:t>
      </w:r>
      <w:r w:rsidR="00974B84">
        <w:t xml:space="preserve">’ is less </w:t>
      </w:r>
      <w:r w:rsidR="00D96810">
        <w:t>clear</w:t>
      </w:r>
      <w:r w:rsidR="00974B84">
        <w:t xml:space="preserve">. </w:t>
      </w:r>
      <w:r w:rsidR="00752903">
        <w:t xml:space="preserve">The definition given to treatment providers on what qualifies as </w:t>
      </w:r>
      <w:r w:rsidR="00974B84">
        <w:t xml:space="preserve">parenting </w:t>
      </w:r>
      <w:r w:rsidR="00AA4DFE">
        <w:t>and</w:t>
      </w:r>
      <w:r w:rsidR="000249E1">
        <w:t>/or</w:t>
      </w:r>
      <w:r w:rsidR="00AA4DFE">
        <w:t xml:space="preserve"> </w:t>
      </w:r>
      <w:r w:rsidR="00974B84">
        <w:t xml:space="preserve">family recovery support </w:t>
      </w:r>
      <w:r w:rsidR="002F4537">
        <w:t>is</w:t>
      </w:r>
      <w:r w:rsidR="00AA4DFE">
        <w:t xml:space="preserve"> vague: the </w:t>
      </w:r>
      <w:r w:rsidR="00864D55">
        <w:t>NDTMS</w:t>
      </w:r>
      <w:r w:rsidR="00AA4DFE">
        <w:t xml:space="preserve"> business definitions state that </w:t>
      </w:r>
      <w:r w:rsidR="00F60D27">
        <w:t>they</w:t>
      </w:r>
      <w:r w:rsidR="00D348C0">
        <w:t xml:space="preserve"> </w:t>
      </w:r>
      <w:r w:rsidR="00B216AA">
        <w:t xml:space="preserve">can </w:t>
      </w:r>
      <w:r w:rsidR="00974B84">
        <w:t xml:space="preserve">include arranging therapeutic support for families in their own right, referral to a parenting support worker within the treatment service where available, or to a local partner delivering parenting support </w:t>
      </w:r>
      <w:r w:rsidR="00974B84">
        <w:fldChar w:fldCharType="begin"/>
      </w:r>
      <w:r w:rsidR="00B9334F">
        <w:instrText xml:space="preserve"> ADDIN EN.CITE &lt;EndNote&gt;&lt;Cite&gt;&lt;Author&gt;PHE&lt;/Author&gt;&lt;Year&gt;2019&lt;/Year&gt;&lt;RecNum&gt;63&lt;/RecNum&gt;&lt;DisplayText&gt;(PHE, 2019a)&lt;/DisplayText&gt;&lt;record&gt;&lt;rec-number&gt;63&lt;/rec-number&gt;&lt;foreign-keys&gt;&lt;key app="EN" db-id="ffzvr5fstavwxoe9v04xf0wmp5t50as52da0" timestamp="1731671640" guid="41db3abb-9f3b-4907-b16e-d664d4bba4d1"&gt;63&lt;/key&gt;&lt;/foreign-keys&gt;&lt;ref-type name="Report"&gt;27&lt;/ref-type&gt;&lt;contributors&gt;&lt;authors&gt;&lt;author&gt;PHE&lt;/author&gt;&lt;/authors&gt;&lt;/contributors&gt;&lt;titles&gt;&lt;title&gt;National Drug Treatment Monitoring System (NDTMS). Adult drug and alcohol treatment business definitions. Core dataset O&lt;/title&gt;&lt;/titles&gt;&lt;dates&gt;&lt;year&gt;2019&lt;/year&gt;&lt;pub-dates&gt;&lt;date&gt;14/06/2019&lt;/date&gt;&lt;/pub-dates&gt;&lt;/dates&gt;&lt;publisher&gt;Public Health England&lt;/publisher&gt;&lt;urls&gt;&lt;related-urls&gt;&lt;url&gt;https://assets.publishing.service.gov.uk/government/uploads/system/uploads/attachment_data/file/785198/NDTMS_adult_drug_and_alcohol_treatment_business_definitions_CDS-O.pdf&lt;/url&gt;&lt;/related-urls&gt;&lt;/urls&gt;&lt;/record&gt;&lt;/Cite&gt;&lt;/EndNote&gt;</w:instrText>
      </w:r>
      <w:r w:rsidR="00974B84">
        <w:fldChar w:fldCharType="separate"/>
      </w:r>
      <w:r w:rsidR="00A77498">
        <w:rPr>
          <w:noProof/>
        </w:rPr>
        <w:t>(PHE, 2019a)</w:t>
      </w:r>
      <w:r w:rsidR="00974B84">
        <w:fldChar w:fldCharType="end"/>
      </w:r>
      <w:r w:rsidR="00974B84">
        <w:t>.</w:t>
      </w:r>
      <w:r w:rsidR="00AD58CF">
        <w:t xml:space="preserve"> </w:t>
      </w:r>
      <w:r w:rsidR="00DC2426">
        <w:t xml:space="preserve">It is possible that </w:t>
      </w:r>
      <w:r w:rsidR="002354AD">
        <w:t>some</w:t>
      </w:r>
      <w:r w:rsidR="00766A20">
        <w:t xml:space="preserve"> areas </w:t>
      </w:r>
      <w:r w:rsidR="002354AD">
        <w:t xml:space="preserve">are </w:t>
      </w:r>
      <w:r w:rsidR="00766A20">
        <w:t xml:space="preserve">not </w:t>
      </w:r>
      <w:r w:rsidR="00950FCF">
        <w:t>delivering evidence-based interventions</w:t>
      </w:r>
      <w:r w:rsidR="00337DD1">
        <w:t>, e.g. working with high caseloads, inexperienced staff</w:t>
      </w:r>
      <w:r w:rsidR="00453EAC">
        <w:t xml:space="preserve">, not tailoring support to individual and family </w:t>
      </w:r>
      <w:r w:rsidR="00304E07">
        <w:t>n</w:t>
      </w:r>
      <w:r w:rsidR="00453EAC">
        <w:t>eed</w:t>
      </w:r>
      <w:r w:rsidR="00304E07">
        <w:t>s</w:t>
      </w:r>
      <w:r w:rsidR="00453EAC">
        <w:t>.</w:t>
      </w:r>
      <w:r w:rsidR="00950FCF">
        <w:t xml:space="preserve"> </w:t>
      </w:r>
      <w:r w:rsidR="00453EAC">
        <w:t xml:space="preserve">If these areas were </w:t>
      </w:r>
      <w:r w:rsidR="00950FCF">
        <w:t xml:space="preserve">encouraged to do </w:t>
      </w:r>
      <w:r w:rsidR="5FBB3FFA">
        <w:t>so</w:t>
      </w:r>
      <w:r w:rsidR="00950FCF">
        <w:t xml:space="preserve">, </w:t>
      </w:r>
      <w:r w:rsidR="00453EAC">
        <w:t>this could i</w:t>
      </w:r>
      <w:r w:rsidR="00950FCF">
        <w:t xml:space="preserve">mprove the </w:t>
      </w:r>
      <w:r w:rsidR="009712B8">
        <w:t xml:space="preserve">average </w:t>
      </w:r>
      <w:r w:rsidR="00FA3898">
        <w:t>treatment effects for parents with SUD, including opiate users</w:t>
      </w:r>
      <w:r w:rsidR="009712B8">
        <w:t xml:space="preserve">, which could be explored through a </w:t>
      </w:r>
      <w:r w:rsidR="00E941AA">
        <w:t>replica of study 2</w:t>
      </w:r>
      <w:r w:rsidR="00FA3898">
        <w:t>.</w:t>
      </w:r>
      <w:r w:rsidR="00BC2C64">
        <w:t xml:space="preserve"> </w:t>
      </w:r>
    </w:p>
    <w:p w14:paraId="34B9732C" w14:textId="77777777" w:rsidR="00B04CA2" w:rsidRDefault="00B04CA2"/>
    <w:p w14:paraId="6D84FE44" w14:textId="0D5FA5B6" w:rsidR="00216E4C" w:rsidRDefault="6FA3E51C" w:rsidP="000F5E93">
      <w:pPr>
        <w:pStyle w:val="Heading2"/>
        <w:numPr>
          <w:ilvl w:val="1"/>
          <w:numId w:val="19"/>
        </w:numPr>
        <w:spacing w:after="240"/>
      </w:pPr>
      <w:bookmarkStart w:id="165" w:name="_Toc189229723"/>
      <w:r>
        <w:t>Conclusion</w:t>
      </w:r>
      <w:bookmarkEnd w:id="165"/>
    </w:p>
    <w:p w14:paraId="100C97B5" w14:textId="2CCE497E" w:rsidR="006C4AE8" w:rsidRPr="00B4190E" w:rsidRDefault="00522CEE" w:rsidP="008434CC">
      <w:pPr>
        <w:spacing w:line="360" w:lineRule="auto"/>
        <w:rPr>
          <w:rFonts w:cs="Arial"/>
          <w:szCs w:val="24"/>
        </w:rPr>
      </w:pPr>
      <w:r w:rsidRPr="008434CC">
        <w:rPr>
          <w:rFonts w:cs="Arial"/>
          <w:szCs w:val="24"/>
        </w:rPr>
        <w:t>This PhD has completed three important linked studies</w:t>
      </w:r>
      <w:r w:rsidR="006B5FEE">
        <w:rPr>
          <w:rFonts w:cs="Arial"/>
          <w:szCs w:val="24"/>
        </w:rPr>
        <w:t xml:space="preserve"> and </w:t>
      </w:r>
      <w:r w:rsidRPr="008434CC">
        <w:rPr>
          <w:rFonts w:cs="Arial"/>
          <w:szCs w:val="24"/>
        </w:rPr>
        <w:t xml:space="preserve">sets out </w:t>
      </w:r>
      <w:r w:rsidR="00D847D5" w:rsidRPr="008434CC">
        <w:rPr>
          <w:rFonts w:cs="Arial"/>
          <w:szCs w:val="24"/>
        </w:rPr>
        <w:t>14</w:t>
      </w:r>
      <w:r w:rsidRPr="008434CC">
        <w:rPr>
          <w:rFonts w:cs="Arial"/>
          <w:szCs w:val="24"/>
        </w:rPr>
        <w:t xml:space="preserve"> detailed findings which bring novel evidence together </w:t>
      </w:r>
      <w:r w:rsidR="00511901">
        <w:rPr>
          <w:rFonts w:cs="Arial"/>
          <w:szCs w:val="24"/>
        </w:rPr>
        <w:t>as well as</w:t>
      </w:r>
      <w:r w:rsidR="00511901" w:rsidRPr="008434CC">
        <w:rPr>
          <w:rFonts w:cs="Arial"/>
          <w:szCs w:val="24"/>
        </w:rPr>
        <w:t xml:space="preserve"> </w:t>
      </w:r>
      <w:r w:rsidR="00B34218" w:rsidRPr="008434CC">
        <w:rPr>
          <w:rFonts w:cs="Arial"/>
          <w:szCs w:val="24"/>
        </w:rPr>
        <w:t>10</w:t>
      </w:r>
      <w:r w:rsidRPr="008434CC">
        <w:rPr>
          <w:rFonts w:cs="Arial"/>
          <w:szCs w:val="24"/>
        </w:rPr>
        <w:t xml:space="preserve"> research recommendations for the field</w:t>
      </w:r>
      <w:r w:rsidR="00FC1706" w:rsidRPr="00B4190E">
        <w:rPr>
          <w:rFonts w:cs="Arial"/>
          <w:szCs w:val="24"/>
        </w:rPr>
        <w:t>.</w:t>
      </w:r>
      <w:r w:rsidR="000D2506" w:rsidRPr="00B4190E">
        <w:rPr>
          <w:rFonts w:cs="Arial"/>
          <w:szCs w:val="24"/>
        </w:rPr>
        <w:t xml:space="preserve"> </w:t>
      </w:r>
      <w:r w:rsidR="00FC1BB9" w:rsidRPr="00B4190E">
        <w:rPr>
          <w:rFonts w:cs="Arial"/>
          <w:szCs w:val="24"/>
        </w:rPr>
        <w:t xml:space="preserve">The strength of this research is that it adds to the limited evidence base and provides researchers with replicable techniques which could be adopted and adapted in various </w:t>
      </w:r>
      <w:r w:rsidR="46DCE988" w:rsidRPr="00B4190E">
        <w:rPr>
          <w:rFonts w:cs="Arial"/>
          <w:szCs w:val="24"/>
        </w:rPr>
        <w:t>jurisdictions.</w:t>
      </w:r>
      <w:r w:rsidR="00A652BA" w:rsidRPr="00B4190E">
        <w:rPr>
          <w:rFonts w:cs="Arial"/>
          <w:szCs w:val="24"/>
        </w:rPr>
        <w:t xml:space="preserve"> </w:t>
      </w:r>
      <w:r w:rsidR="00D0138D" w:rsidRPr="00B4190E">
        <w:rPr>
          <w:rFonts w:cs="Arial"/>
          <w:szCs w:val="24"/>
        </w:rPr>
        <w:t xml:space="preserve">Using the </w:t>
      </w:r>
      <w:r w:rsidR="001531E4" w:rsidRPr="00B4190E">
        <w:rPr>
          <w:rFonts w:cs="Arial"/>
          <w:szCs w:val="24"/>
        </w:rPr>
        <w:t xml:space="preserve">recommendations </w:t>
      </w:r>
      <w:r w:rsidR="001531E4" w:rsidRPr="00B4190E">
        <w:rPr>
          <w:rFonts w:cs="Arial"/>
          <w:szCs w:val="24"/>
        </w:rPr>
        <w:lastRenderedPageBreak/>
        <w:t>presented in this chapter</w:t>
      </w:r>
      <w:r w:rsidR="00D0138D" w:rsidRPr="00B4190E">
        <w:rPr>
          <w:rFonts w:cs="Arial"/>
          <w:szCs w:val="24"/>
        </w:rPr>
        <w:t>, policymakers and decision</w:t>
      </w:r>
      <w:r w:rsidR="004F6A7D">
        <w:rPr>
          <w:rFonts w:cs="Arial"/>
          <w:szCs w:val="24"/>
        </w:rPr>
        <w:t>-</w:t>
      </w:r>
      <w:r w:rsidR="00D0138D" w:rsidRPr="00B4190E">
        <w:rPr>
          <w:rFonts w:cs="Arial"/>
          <w:szCs w:val="24"/>
        </w:rPr>
        <w:t xml:space="preserve">makers </w:t>
      </w:r>
      <w:r w:rsidR="007F1743" w:rsidRPr="00B4190E">
        <w:rPr>
          <w:rFonts w:cs="Arial"/>
          <w:szCs w:val="24"/>
        </w:rPr>
        <w:t>have the best available evidence on</w:t>
      </w:r>
      <w:r w:rsidR="00FC1BB9" w:rsidRPr="00B4190E">
        <w:rPr>
          <w:rFonts w:cs="Arial"/>
          <w:szCs w:val="24"/>
        </w:rPr>
        <w:t xml:space="preserve"> how to support families in increasingly financially constrained times</w:t>
      </w:r>
      <w:r w:rsidR="007B19F8" w:rsidRPr="00B4190E">
        <w:rPr>
          <w:rFonts w:cs="Arial"/>
          <w:szCs w:val="24"/>
        </w:rPr>
        <w:t>.</w:t>
      </w:r>
    </w:p>
    <w:p w14:paraId="0C74EA72" w14:textId="77777777" w:rsidR="00C50A6E" w:rsidRDefault="00C50A6E" w:rsidP="00C50A6E">
      <w:pPr>
        <w:pStyle w:val="NoSpacing"/>
      </w:pPr>
    </w:p>
    <w:p w14:paraId="7C52DA19" w14:textId="77777777" w:rsidR="00C50A6E" w:rsidRDefault="00C50A6E" w:rsidP="00C50A6E">
      <w:pPr>
        <w:rPr>
          <w:rFonts w:eastAsiaTheme="majorEastAsia" w:cstheme="majorBidi"/>
          <w:b/>
          <w:sz w:val="32"/>
          <w:szCs w:val="32"/>
        </w:rPr>
      </w:pPr>
      <w:r>
        <w:br w:type="page"/>
      </w:r>
    </w:p>
    <w:p w14:paraId="11B50A22" w14:textId="6137AB0D" w:rsidR="004C13E2" w:rsidRDefault="004C13E2" w:rsidP="000F5E93">
      <w:pPr>
        <w:pStyle w:val="Heading1"/>
        <w:numPr>
          <w:ilvl w:val="0"/>
          <w:numId w:val="0"/>
        </w:numPr>
        <w:ind w:left="405" w:hanging="405"/>
      </w:pPr>
      <w:bookmarkStart w:id="166" w:name="_Toc189229724"/>
      <w:r>
        <w:lastRenderedPageBreak/>
        <w:t>References</w:t>
      </w:r>
      <w:bookmarkEnd w:id="166"/>
    </w:p>
    <w:p w14:paraId="2548BEC7" w14:textId="343CFFD8" w:rsidR="00024918" w:rsidRPr="00024918" w:rsidRDefault="00024918" w:rsidP="00024918">
      <w:pPr>
        <w:pStyle w:val="NoSpacing"/>
      </w:pPr>
    </w:p>
    <w:p w14:paraId="0A24D2CB" w14:textId="75CBA26E" w:rsidR="0042328C" w:rsidRPr="0042328C" w:rsidRDefault="00160E9D" w:rsidP="0042328C">
      <w:pPr>
        <w:pStyle w:val="EndNoteBibliography"/>
        <w:ind w:left="720" w:hanging="720"/>
      </w:pPr>
      <w:r>
        <w:fldChar w:fldCharType="begin"/>
      </w:r>
      <w:r>
        <w:instrText xml:space="preserve"> ADDIN EN.REFLIST </w:instrText>
      </w:r>
      <w:r>
        <w:fldChar w:fldCharType="separate"/>
      </w:r>
      <w:r w:rsidR="0042328C" w:rsidRPr="0042328C">
        <w:t xml:space="preserve">Advisory Council on the Misuse of Drugs. (2003). </w:t>
      </w:r>
      <w:r w:rsidR="0042328C" w:rsidRPr="0042328C">
        <w:rPr>
          <w:i/>
        </w:rPr>
        <w:t>Hidden Harm: Responding to the Needs of Children of Problem Drug Users</w:t>
      </w:r>
      <w:r w:rsidR="0042328C" w:rsidRPr="0042328C">
        <w:t xml:space="preserve">. </w:t>
      </w:r>
      <w:hyperlink r:id="rId48" w:history="1">
        <w:r w:rsidR="0042328C" w:rsidRPr="0042328C">
          <w:rPr>
            <w:rStyle w:val="Hyperlink"/>
          </w:rPr>
          <w:t>https://assets.publishing.service.gov.uk/media/5a756e6be5274a3edd9a4dcb/hidden-harm-full.pdf</w:t>
        </w:r>
      </w:hyperlink>
    </w:p>
    <w:p w14:paraId="67C31A53" w14:textId="567FDF45" w:rsidR="0042328C" w:rsidRPr="0042328C" w:rsidRDefault="0042328C" w:rsidP="0042328C">
      <w:pPr>
        <w:pStyle w:val="EndNoteBibliography"/>
        <w:ind w:left="720" w:hanging="720"/>
      </w:pPr>
      <w:r w:rsidRPr="0042328C">
        <w:t xml:space="preserve">Ahlborg, M. G., Nygren, J. M., Svedberg, P., &amp; Regber, S. (2024). Resilience in children of parents with mental illness, alcohol or substance misuse—An integrative review. </w:t>
      </w:r>
      <w:r w:rsidRPr="0042328C">
        <w:rPr>
          <w:i/>
        </w:rPr>
        <w:t>Nursing Open</w:t>
      </w:r>
      <w:r w:rsidRPr="0042328C">
        <w:t>,</w:t>
      </w:r>
      <w:r w:rsidRPr="0042328C">
        <w:rPr>
          <w:i/>
        </w:rPr>
        <w:t xml:space="preserve"> 11</w:t>
      </w:r>
      <w:r w:rsidRPr="0042328C">
        <w:t xml:space="preserve">(6), e2219. </w:t>
      </w:r>
      <w:hyperlink r:id="rId49" w:history="1">
        <w:r w:rsidRPr="0042328C">
          <w:rPr>
            <w:rStyle w:val="Hyperlink"/>
          </w:rPr>
          <w:t>https://doi.org/https://doi.org/10.1002/nop2.2219</w:t>
        </w:r>
      </w:hyperlink>
      <w:r w:rsidRPr="0042328C">
        <w:t xml:space="preserve"> </w:t>
      </w:r>
    </w:p>
    <w:p w14:paraId="2E3A45B4" w14:textId="6F97E76B" w:rsidR="0042328C" w:rsidRPr="0042328C" w:rsidRDefault="0042328C" w:rsidP="0042328C">
      <w:pPr>
        <w:pStyle w:val="EndNoteBibliography"/>
        <w:ind w:left="720" w:hanging="720"/>
      </w:pPr>
      <w:r w:rsidRPr="0042328C">
        <w:t xml:space="preserve">Akin, B. A., Brook, J., Lloyd, M. H., &amp; McDonald, T. P. (2017). Effect of a Parenting Intervention on Foster Care Reentry After Reunification Among Substance-Affected Families: A Quasi-Experimental Study. </w:t>
      </w:r>
      <w:r w:rsidRPr="0042328C">
        <w:rPr>
          <w:i/>
        </w:rPr>
        <w:t>Child Maltreatment</w:t>
      </w:r>
      <w:r w:rsidRPr="0042328C">
        <w:t>,</w:t>
      </w:r>
      <w:r w:rsidRPr="0042328C">
        <w:rPr>
          <w:i/>
        </w:rPr>
        <w:t xml:space="preserve"> 22</w:t>
      </w:r>
      <w:r w:rsidRPr="0042328C">
        <w:t xml:space="preserve">(3), 194-204. </w:t>
      </w:r>
      <w:hyperlink r:id="rId50" w:history="1">
        <w:r w:rsidRPr="0042328C">
          <w:rPr>
            <w:rStyle w:val="Hyperlink"/>
          </w:rPr>
          <w:t>https://doi.org/10.1177/1077559517702743</w:t>
        </w:r>
      </w:hyperlink>
      <w:r w:rsidRPr="0042328C">
        <w:t xml:space="preserve"> </w:t>
      </w:r>
    </w:p>
    <w:p w14:paraId="56739CEB" w14:textId="76FC596D" w:rsidR="0042328C" w:rsidRPr="0042328C" w:rsidRDefault="0042328C" w:rsidP="0042328C">
      <w:pPr>
        <w:pStyle w:val="EndNoteBibliography"/>
        <w:ind w:left="720" w:hanging="720"/>
      </w:pPr>
      <w:r w:rsidRPr="0042328C">
        <w:t xml:space="preserve">Alrouh, B., Abouelenin, M., Broadhurst, K., Cowley, L., Doebler, S., Farr, I., Cusworth, L., North, L., Hargreaves, C., Akabari, A., Griffiths, L., &amp; Ford, D. (2022). </w:t>
      </w:r>
      <w:r w:rsidRPr="0042328C">
        <w:rPr>
          <w:i/>
        </w:rPr>
        <w:t>Mothers in recurrent care proceedings: New evidence for England and Wales</w:t>
      </w:r>
      <w:r w:rsidRPr="0042328C">
        <w:t xml:space="preserve">. </w:t>
      </w:r>
      <w:hyperlink r:id="rId51" w:history="1">
        <w:r w:rsidRPr="0042328C">
          <w:rPr>
            <w:rStyle w:val="Hyperlink"/>
          </w:rPr>
          <w:t>https://www.nuffieldfjo.org.uk/wp-content/uploads/2022/11/nfjo_eng_report_newborn_recurrence_20221111_final-1.pdf</w:t>
        </w:r>
      </w:hyperlink>
    </w:p>
    <w:p w14:paraId="67E76F68" w14:textId="580C200D" w:rsidR="0042328C" w:rsidRPr="0042328C" w:rsidRDefault="0042328C" w:rsidP="0042328C">
      <w:pPr>
        <w:pStyle w:val="EndNoteBibliography"/>
        <w:ind w:left="720" w:hanging="720"/>
      </w:pPr>
      <w:r w:rsidRPr="0042328C">
        <w:t xml:space="preserve">Anda, R. F., Whitfield, C. L., Felitti, V. J., Chapman, D., Edwards, V. J., Dube, S. R., &amp; Williamson, D. F. (2002). Adverse childhood experiences, alcoholic parents, and later risk of alcoholism and depression. </w:t>
      </w:r>
      <w:r w:rsidRPr="0042328C">
        <w:rPr>
          <w:i/>
        </w:rPr>
        <w:t>Psychiatr Serv</w:t>
      </w:r>
      <w:r w:rsidRPr="0042328C">
        <w:t>,</w:t>
      </w:r>
      <w:r w:rsidRPr="0042328C">
        <w:rPr>
          <w:i/>
        </w:rPr>
        <w:t xml:space="preserve"> 53</w:t>
      </w:r>
      <w:r w:rsidRPr="0042328C">
        <w:t xml:space="preserve">(8), 1001-1009. </w:t>
      </w:r>
      <w:hyperlink r:id="rId52" w:history="1">
        <w:r w:rsidRPr="0042328C">
          <w:rPr>
            <w:rStyle w:val="Hyperlink"/>
          </w:rPr>
          <w:t>https://doi.org/10.1176/appi.ps.53.8.1001</w:t>
        </w:r>
      </w:hyperlink>
      <w:r w:rsidRPr="0042328C">
        <w:t xml:space="preserve"> </w:t>
      </w:r>
    </w:p>
    <w:p w14:paraId="0BAE9A88" w14:textId="32F2FCA0" w:rsidR="0042328C" w:rsidRPr="0042328C" w:rsidRDefault="0042328C" w:rsidP="0042328C">
      <w:pPr>
        <w:pStyle w:val="EndNoteBibliography"/>
        <w:ind w:left="720" w:hanging="720"/>
      </w:pPr>
      <w:r w:rsidRPr="0042328C">
        <w:t xml:space="preserve">Anderson, A. S., Siciliano, R. E., Pillai, A., Jiang, W., &amp; Compas, B. E. (2023). Parental drug use disorders and youth psychopathology: Meta-analytic review. </w:t>
      </w:r>
      <w:r w:rsidRPr="0042328C">
        <w:rPr>
          <w:i/>
        </w:rPr>
        <w:t>Drug Alcohol Depend</w:t>
      </w:r>
      <w:r w:rsidRPr="0042328C">
        <w:t>,</w:t>
      </w:r>
      <w:r w:rsidRPr="0042328C">
        <w:rPr>
          <w:i/>
        </w:rPr>
        <w:t xml:space="preserve"> 244</w:t>
      </w:r>
      <w:r w:rsidRPr="0042328C">
        <w:t xml:space="preserve">, 109793. </w:t>
      </w:r>
      <w:hyperlink r:id="rId53" w:history="1">
        <w:r w:rsidRPr="0042328C">
          <w:rPr>
            <w:rStyle w:val="Hyperlink"/>
          </w:rPr>
          <w:t>https://doi.org/10.1016/j.drugalcdep.2023.109793</w:t>
        </w:r>
      </w:hyperlink>
      <w:r w:rsidRPr="0042328C">
        <w:t xml:space="preserve"> </w:t>
      </w:r>
    </w:p>
    <w:p w14:paraId="3FDDDC43" w14:textId="0C20F704" w:rsidR="0042328C" w:rsidRPr="0042328C" w:rsidRDefault="0042328C" w:rsidP="0042328C">
      <w:pPr>
        <w:pStyle w:val="EndNoteBibliography"/>
        <w:ind w:left="720" w:hanging="720"/>
      </w:pPr>
      <w:r w:rsidRPr="0042328C">
        <w:t xml:space="preserve">APA. (2022). Substance-Related and Addictive Disorders. In </w:t>
      </w:r>
      <w:r w:rsidRPr="0042328C">
        <w:rPr>
          <w:i/>
        </w:rPr>
        <w:t>Diagnostic and Statistical Manual of Mental Disorders, Fifth Edition, Text Revision (DSM-5-TR®)</w:t>
      </w:r>
      <w:r w:rsidRPr="0042328C">
        <w:t xml:space="preserve">. American Psychiatric Association,. </w:t>
      </w:r>
      <w:hyperlink r:id="rId54" w:history="1">
        <w:r w:rsidRPr="0042328C">
          <w:rPr>
            <w:rStyle w:val="Hyperlink"/>
          </w:rPr>
          <w:t>https://doi.org/10.1176/appi.books.9780890425787.x16_Substance_Related_Disorders</w:t>
        </w:r>
      </w:hyperlink>
      <w:r w:rsidRPr="0042328C">
        <w:t xml:space="preserve"> </w:t>
      </w:r>
    </w:p>
    <w:p w14:paraId="61DB579F" w14:textId="4A65DCD1" w:rsidR="0042328C" w:rsidRPr="0042328C" w:rsidRDefault="0042328C" w:rsidP="0042328C">
      <w:pPr>
        <w:pStyle w:val="EndNoteBibliography"/>
        <w:ind w:left="720" w:hanging="720"/>
      </w:pPr>
      <w:r w:rsidRPr="0042328C">
        <w:t xml:space="preserve">Barbosa, C., Taylor, B., Godfrey, C., Rehm, J., Parrott, S., &amp; Drummond, C. (2010). Modelling lifetime QALYs and health care costs from different drinking patterns over time: A Markov model. </w:t>
      </w:r>
      <w:r w:rsidRPr="0042328C">
        <w:rPr>
          <w:i/>
        </w:rPr>
        <w:t>International Journal of Methods in Psychiatric Research</w:t>
      </w:r>
      <w:r w:rsidRPr="0042328C">
        <w:t>,</w:t>
      </w:r>
      <w:r w:rsidRPr="0042328C">
        <w:rPr>
          <w:i/>
        </w:rPr>
        <w:t xml:space="preserve"> 19</w:t>
      </w:r>
      <w:r w:rsidRPr="0042328C">
        <w:t xml:space="preserve">(2), 97-109. </w:t>
      </w:r>
      <w:hyperlink r:id="rId55" w:history="1">
        <w:r w:rsidRPr="0042328C">
          <w:rPr>
            <w:rStyle w:val="Hyperlink"/>
          </w:rPr>
          <w:t>https://doi.org/https://doi.org/10.1002/mpr.306</w:t>
        </w:r>
      </w:hyperlink>
      <w:r w:rsidRPr="0042328C">
        <w:t xml:space="preserve"> </w:t>
      </w:r>
    </w:p>
    <w:p w14:paraId="471D5DF5" w14:textId="204E50F5" w:rsidR="0042328C" w:rsidRPr="0042328C" w:rsidRDefault="0042328C" w:rsidP="0042328C">
      <w:pPr>
        <w:pStyle w:val="EndNoteBibliography"/>
        <w:ind w:left="720" w:hanging="720"/>
      </w:pPr>
      <w:r w:rsidRPr="0042328C">
        <w:t xml:space="preserve">Barlow, J., Sembi, S., Parsons, H., Kim, S., Petrou, S., Harnett, P., &amp; Dawe, S. (2019). A randomized controlled trial and economic evaluation of the Parents Under Pressure program for parents in substance abuse treatment. </w:t>
      </w:r>
      <w:r w:rsidRPr="0042328C">
        <w:rPr>
          <w:i/>
        </w:rPr>
        <w:t>Drug Alcohol Depend</w:t>
      </w:r>
      <w:r w:rsidRPr="0042328C">
        <w:t>,</w:t>
      </w:r>
      <w:r w:rsidRPr="0042328C">
        <w:rPr>
          <w:i/>
        </w:rPr>
        <w:t xml:space="preserve"> 194</w:t>
      </w:r>
      <w:r w:rsidRPr="0042328C">
        <w:t xml:space="preserve">, 184-194. </w:t>
      </w:r>
      <w:hyperlink r:id="rId56" w:history="1">
        <w:r w:rsidRPr="0042328C">
          <w:rPr>
            <w:rStyle w:val="Hyperlink"/>
          </w:rPr>
          <w:t>https://doi.org/10.1016/j.drugalcdep.2018.08.044</w:t>
        </w:r>
      </w:hyperlink>
      <w:r w:rsidRPr="0042328C">
        <w:t xml:space="preserve"> </w:t>
      </w:r>
    </w:p>
    <w:p w14:paraId="58CBB134" w14:textId="6B381297" w:rsidR="0042328C" w:rsidRPr="0042328C" w:rsidRDefault="0042328C" w:rsidP="0042328C">
      <w:pPr>
        <w:pStyle w:val="EndNoteBibliography"/>
        <w:ind w:left="720" w:hanging="720"/>
      </w:pPr>
      <w:r w:rsidRPr="0042328C">
        <w:t xml:space="preserve">Barnard, M., &amp; McKeganey, N. (2004). The impact of parental problem drug use on children: What is the problem and what can be done to help? </w:t>
      </w:r>
      <w:r w:rsidRPr="0042328C">
        <w:rPr>
          <w:i/>
        </w:rPr>
        <w:t>Addiction</w:t>
      </w:r>
      <w:r w:rsidRPr="0042328C">
        <w:t>,</w:t>
      </w:r>
      <w:r w:rsidRPr="0042328C">
        <w:rPr>
          <w:i/>
        </w:rPr>
        <w:t xml:space="preserve"> 99</w:t>
      </w:r>
      <w:r w:rsidRPr="0042328C">
        <w:t xml:space="preserve">(5), 552-559. </w:t>
      </w:r>
      <w:hyperlink r:id="rId57" w:history="1">
        <w:r w:rsidRPr="0042328C">
          <w:rPr>
            <w:rStyle w:val="Hyperlink"/>
          </w:rPr>
          <w:t>https://doi.org/10.1111/j.1360-0443.2003.00664.x</w:t>
        </w:r>
      </w:hyperlink>
      <w:r w:rsidRPr="0042328C">
        <w:t xml:space="preserve"> </w:t>
      </w:r>
    </w:p>
    <w:p w14:paraId="616FF353" w14:textId="1E8C1733" w:rsidR="0042328C" w:rsidRPr="0042328C" w:rsidRDefault="0042328C" w:rsidP="0042328C">
      <w:pPr>
        <w:pStyle w:val="EndNoteBibliography"/>
        <w:ind w:left="720" w:hanging="720"/>
      </w:pPr>
      <w:r w:rsidRPr="0042328C">
        <w:t xml:space="preserve">Barrio, P., Reynolds, J., García-Altés, A., Gual, A., &amp; Anderson, P. (2017). Social costs of illegal drugs, alcohol and tobacco in the European Union: A </w:t>
      </w:r>
      <w:r w:rsidRPr="0042328C">
        <w:lastRenderedPageBreak/>
        <w:t xml:space="preserve">systematic review. </w:t>
      </w:r>
      <w:r w:rsidRPr="0042328C">
        <w:rPr>
          <w:i/>
        </w:rPr>
        <w:t>Drug and Alcohol Review</w:t>
      </w:r>
      <w:r w:rsidRPr="0042328C">
        <w:t>,</w:t>
      </w:r>
      <w:r w:rsidRPr="0042328C">
        <w:rPr>
          <w:i/>
        </w:rPr>
        <w:t xml:space="preserve"> 36</w:t>
      </w:r>
      <w:r w:rsidRPr="0042328C">
        <w:t xml:space="preserve">(5), 578-588. </w:t>
      </w:r>
      <w:hyperlink r:id="rId58" w:history="1">
        <w:r w:rsidRPr="0042328C">
          <w:rPr>
            <w:rStyle w:val="Hyperlink"/>
          </w:rPr>
          <w:t>https://doi.org/https://doi.org/10.1111/dar.12504</w:t>
        </w:r>
      </w:hyperlink>
      <w:r w:rsidRPr="0042328C">
        <w:t xml:space="preserve"> </w:t>
      </w:r>
    </w:p>
    <w:p w14:paraId="7B3A8761" w14:textId="31D3D717" w:rsidR="0042328C" w:rsidRPr="0042328C" w:rsidRDefault="0042328C" w:rsidP="0042328C">
      <w:pPr>
        <w:pStyle w:val="EndNoteBibliography"/>
        <w:ind w:left="720" w:hanging="720"/>
      </w:pPr>
      <w:r w:rsidRPr="0042328C">
        <w:t xml:space="preserve">Barth, R. P., Gibbons, C., &amp; Guo, S. (2006). Substance abuse treatment and the recurrence of maltreatment among caregivers with children living at home: A propensity score analysis. </w:t>
      </w:r>
      <w:r w:rsidRPr="0042328C">
        <w:rPr>
          <w:i/>
        </w:rPr>
        <w:t>Journal of Substance Abuse Treatment</w:t>
      </w:r>
      <w:r w:rsidRPr="0042328C">
        <w:t>,</w:t>
      </w:r>
      <w:r w:rsidRPr="0042328C">
        <w:rPr>
          <w:i/>
        </w:rPr>
        <w:t xml:space="preserve"> 30</w:t>
      </w:r>
      <w:r w:rsidRPr="0042328C">
        <w:t xml:space="preserve">(2), 93-104. </w:t>
      </w:r>
      <w:hyperlink r:id="rId59" w:history="1">
        <w:r w:rsidRPr="0042328C">
          <w:rPr>
            <w:rStyle w:val="Hyperlink"/>
          </w:rPr>
          <w:t>https://doi.org/https://doi.org/10.1016/j.jsat.2005.10.008</w:t>
        </w:r>
      </w:hyperlink>
      <w:r w:rsidRPr="0042328C">
        <w:t xml:space="preserve"> </w:t>
      </w:r>
    </w:p>
    <w:p w14:paraId="5177C1E4" w14:textId="70D13AAD" w:rsidR="0042328C" w:rsidRPr="0042328C" w:rsidRDefault="0042328C" w:rsidP="0042328C">
      <w:pPr>
        <w:pStyle w:val="EndNoteBibliography"/>
        <w:ind w:left="720" w:hanging="720"/>
      </w:pPr>
      <w:r w:rsidRPr="0042328C">
        <w:t>Bartu, A., Sharp, J., Ludlow, J., &amp; Doherty, D. A. (2006). Postnatal home visiting for illicit drug</w:t>
      </w:r>
      <w:r w:rsidRPr="0042328C">
        <w:rPr>
          <w:rFonts w:ascii="Cambria Math" w:hAnsi="Cambria Math" w:cs="Cambria Math"/>
        </w:rPr>
        <w:t>‐</w:t>
      </w:r>
      <w:r w:rsidRPr="0042328C">
        <w:t xml:space="preserve">using mothers and their infants: A randomised controlled trial. </w:t>
      </w:r>
      <w:r w:rsidRPr="0042328C">
        <w:rPr>
          <w:i/>
        </w:rPr>
        <w:t>Australian and New Zealand Journal of Obstetrics and Gynaecology</w:t>
      </w:r>
      <w:r w:rsidRPr="0042328C">
        <w:t>,</w:t>
      </w:r>
      <w:r w:rsidRPr="0042328C">
        <w:rPr>
          <w:i/>
        </w:rPr>
        <w:t xml:space="preserve"> 46</w:t>
      </w:r>
      <w:r w:rsidRPr="0042328C">
        <w:t xml:space="preserve">(5), 419-426. </w:t>
      </w:r>
      <w:hyperlink r:id="rId60" w:history="1">
        <w:r w:rsidRPr="0042328C">
          <w:rPr>
            <w:rStyle w:val="Hyperlink"/>
          </w:rPr>
          <w:t>https://doi.org/10.1111/j.1479-828X.2006.00628.x</w:t>
        </w:r>
      </w:hyperlink>
      <w:r w:rsidRPr="0042328C">
        <w:t xml:space="preserve"> </w:t>
      </w:r>
    </w:p>
    <w:p w14:paraId="406D2513" w14:textId="64C94998" w:rsidR="0042328C" w:rsidRPr="0042328C" w:rsidRDefault="0042328C" w:rsidP="0042328C">
      <w:pPr>
        <w:pStyle w:val="EndNoteBibliography"/>
        <w:ind w:left="720" w:hanging="720"/>
      </w:pPr>
      <w:r w:rsidRPr="0042328C">
        <w:t xml:space="preserve">Bellis, M. A., Hughes, K., Leckenby, N., Baban, A., Kachaeva, M., Povilaitis, R., Pudule, I., Qirjako, G., Ulukol, B., Raleva, M., &amp; Terzic, N. (2014). Adverse childhood experiences and associations with health-harming behaviours in young adults: Surveys in eight eastern European countries. </w:t>
      </w:r>
      <w:r w:rsidRPr="0042328C">
        <w:rPr>
          <w:i/>
        </w:rPr>
        <w:t>Bulletin of the World Health Organization</w:t>
      </w:r>
      <w:r w:rsidRPr="0042328C">
        <w:t>,</w:t>
      </w:r>
      <w:r w:rsidRPr="0042328C">
        <w:rPr>
          <w:i/>
        </w:rPr>
        <w:t xml:space="preserve"> 92</w:t>
      </w:r>
      <w:r w:rsidRPr="0042328C">
        <w:t xml:space="preserve">, 641-655. </w:t>
      </w:r>
      <w:hyperlink r:id="rId61" w:history="1">
        <w:r w:rsidRPr="0042328C">
          <w:rPr>
            <w:rStyle w:val="Hyperlink"/>
          </w:rPr>
          <w:t>https://doi.org/http://dx.doi.org/10.2471/BLT.13.129247</w:t>
        </w:r>
      </w:hyperlink>
      <w:r w:rsidRPr="0042328C">
        <w:t xml:space="preserve"> </w:t>
      </w:r>
    </w:p>
    <w:p w14:paraId="14B00722" w14:textId="59C2F3E0" w:rsidR="0042328C" w:rsidRPr="0042328C" w:rsidRDefault="0042328C" w:rsidP="0042328C">
      <w:pPr>
        <w:pStyle w:val="EndNoteBibliography"/>
        <w:ind w:left="720" w:hanging="720"/>
      </w:pPr>
      <w:r w:rsidRPr="0042328C">
        <w:t xml:space="preserve">Bellis, M. A., Hughes, K., Leckenby, N., Perkins, C., &amp; Lowey, H. (2014). National household survey of adverse childhood experiences and their relationship with resilience to health-harming behaviors in England. </w:t>
      </w:r>
      <w:r w:rsidRPr="0042328C">
        <w:rPr>
          <w:i/>
        </w:rPr>
        <w:t>BMC Medicine</w:t>
      </w:r>
      <w:r w:rsidRPr="0042328C">
        <w:t>,</w:t>
      </w:r>
      <w:r w:rsidRPr="0042328C">
        <w:rPr>
          <w:i/>
        </w:rPr>
        <w:t xml:space="preserve"> 12</w:t>
      </w:r>
      <w:r w:rsidRPr="0042328C">
        <w:t xml:space="preserve">(72). </w:t>
      </w:r>
      <w:hyperlink r:id="rId62" w:history="1">
        <w:r w:rsidRPr="0042328C">
          <w:rPr>
            <w:rStyle w:val="Hyperlink"/>
          </w:rPr>
          <w:t>https://doi.org/http://dx.doi.org/10.1186/1741-7015-12-72</w:t>
        </w:r>
      </w:hyperlink>
      <w:r w:rsidRPr="0042328C">
        <w:t xml:space="preserve"> </w:t>
      </w:r>
    </w:p>
    <w:p w14:paraId="2B20A2DE" w14:textId="0B184966" w:rsidR="0042328C" w:rsidRPr="0042328C" w:rsidRDefault="0042328C" w:rsidP="0042328C">
      <w:pPr>
        <w:pStyle w:val="EndNoteBibliography"/>
        <w:ind w:left="720" w:hanging="720"/>
      </w:pPr>
      <w:r w:rsidRPr="0042328C">
        <w:t xml:space="preserve">Bellis, M. A., Lowey, H., Leckenby, N., Hughes, K., &amp; Harrison, D. (2014). Adverse childhood experiences: retrospective study to determine their impact on adult health behaviours and health outcomes in a UK population. </w:t>
      </w:r>
      <w:r w:rsidRPr="0042328C">
        <w:rPr>
          <w:i/>
        </w:rPr>
        <w:t>Journal of Public Health</w:t>
      </w:r>
      <w:r w:rsidRPr="0042328C">
        <w:t>,</w:t>
      </w:r>
      <w:r w:rsidRPr="0042328C">
        <w:rPr>
          <w:i/>
        </w:rPr>
        <w:t xml:space="preserve"> 36</w:t>
      </w:r>
      <w:r w:rsidRPr="0042328C">
        <w:t xml:space="preserve">(1), 81-91. </w:t>
      </w:r>
      <w:hyperlink r:id="rId63" w:history="1">
        <w:r w:rsidRPr="0042328C">
          <w:rPr>
            <w:rStyle w:val="Hyperlink"/>
          </w:rPr>
          <w:t>https://doi.org/10.1093/pubmed/fdt038</w:t>
        </w:r>
      </w:hyperlink>
      <w:r w:rsidRPr="0042328C">
        <w:t xml:space="preserve"> </w:t>
      </w:r>
    </w:p>
    <w:p w14:paraId="73B33F32" w14:textId="3DFC9BED" w:rsidR="0042328C" w:rsidRPr="0042328C" w:rsidRDefault="0042328C" w:rsidP="0042328C">
      <w:pPr>
        <w:pStyle w:val="EndNoteBibliography"/>
        <w:ind w:left="720" w:hanging="720"/>
      </w:pPr>
      <w:r w:rsidRPr="0042328C">
        <w:t xml:space="preserve">Belt, R. H., Flykt, M., Punamäki, R.-L., Pajulo, M., Posa, T., &amp; Tamminen, T. (2012). Psychotherapy groups and individual support to enhance mental health and early dyadic interaction among drug-abusing mothers. </w:t>
      </w:r>
      <w:r w:rsidRPr="0042328C">
        <w:rPr>
          <w:i/>
        </w:rPr>
        <w:t>Infant mental health journal</w:t>
      </w:r>
      <w:r w:rsidRPr="0042328C">
        <w:t>,</w:t>
      </w:r>
      <w:r w:rsidRPr="0042328C">
        <w:rPr>
          <w:i/>
        </w:rPr>
        <w:t xml:space="preserve"> 33</w:t>
      </w:r>
      <w:r w:rsidRPr="0042328C">
        <w:t xml:space="preserve">(5), 520-534. </w:t>
      </w:r>
      <w:hyperlink r:id="rId64" w:history="1">
        <w:r w:rsidRPr="0042328C">
          <w:rPr>
            <w:rStyle w:val="Hyperlink"/>
          </w:rPr>
          <w:t>https://doi.org/https://doi.org/10.1002/imhj.21348</w:t>
        </w:r>
      </w:hyperlink>
      <w:r w:rsidRPr="0042328C">
        <w:t xml:space="preserve"> </w:t>
      </w:r>
    </w:p>
    <w:p w14:paraId="285B1D86" w14:textId="627F8EB2" w:rsidR="0042328C" w:rsidRPr="0042328C" w:rsidRDefault="0042328C" w:rsidP="0042328C">
      <w:pPr>
        <w:pStyle w:val="EndNoteBibliography"/>
        <w:ind w:left="720" w:hanging="720"/>
      </w:pPr>
      <w:r w:rsidRPr="0042328C">
        <w:t xml:space="preserve">Best, D., &amp; Hennessy, E. A. (2022). The science of recovery capital: Where do we go from here? </w:t>
      </w:r>
      <w:r w:rsidRPr="0042328C">
        <w:rPr>
          <w:i/>
        </w:rPr>
        <w:t>Addiction</w:t>
      </w:r>
      <w:r w:rsidRPr="0042328C">
        <w:t>,</w:t>
      </w:r>
      <w:r w:rsidRPr="0042328C">
        <w:rPr>
          <w:i/>
        </w:rPr>
        <w:t xml:space="preserve"> 117</w:t>
      </w:r>
      <w:r w:rsidRPr="0042328C">
        <w:t xml:space="preserve">(4), 1139-1145. </w:t>
      </w:r>
      <w:hyperlink r:id="rId65" w:history="1">
        <w:r w:rsidRPr="0042328C">
          <w:rPr>
            <w:rStyle w:val="Hyperlink"/>
          </w:rPr>
          <w:t>https://doi.org/https://doi.org/10.1111/add.15732</w:t>
        </w:r>
      </w:hyperlink>
      <w:r w:rsidRPr="0042328C">
        <w:t xml:space="preserve"> </w:t>
      </w:r>
    </w:p>
    <w:p w14:paraId="646B35E5" w14:textId="5AF1AF25" w:rsidR="0042328C" w:rsidRPr="0042328C" w:rsidRDefault="0042328C" w:rsidP="0042328C">
      <w:pPr>
        <w:pStyle w:val="EndNoteBibliography"/>
        <w:ind w:left="720" w:hanging="720"/>
      </w:pPr>
      <w:r w:rsidRPr="0042328C">
        <w:t xml:space="preserve">Bishai, D., Brenzel, L., &amp; Padula, W. V. (2023). 383 Making models probabilistic and estimating the value of information. In D. Bishai, L. Brenzel, &amp; W. Padula (Eds.), </w:t>
      </w:r>
      <w:r w:rsidRPr="0042328C">
        <w:rPr>
          <w:i/>
        </w:rPr>
        <w:t>Handbook of Applied Health Economics in Vaccines</w:t>
      </w:r>
      <w:r w:rsidRPr="0042328C">
        <w:t xml:space="preserve"> (pp. 0). Oxford University Press. </w:t>
      </w:r>
      <w:hyperlink r:id="rId66" w:history="1">
        <w:r w:rsidRPr="0042328C">
          <w:rPr>
            <w:rStyle w:val="Hyperlink"/>
          </w:rPr>
          <w:t>https://doi.org/10.1093/oso/9780192896087.005.0006</w:t>
        </w:r>
      </w:hyperlink>
      <w:r w:rsidRPr="0042328C">
        <w:t xml:space="preserve"> </w:t>
      </w:r>
    </w:p>
    <w:p w14:paraId="09CE27CF" w14:textId="124E68A4" w:rsidR="0042328C" w:rsidRPr="0042328C" w:rsidRDefault="0042328C" w:rsidP="0042328C">
      <w:pPr>
        <w:pStyle w:val="EndNoteBibliography"/>
        <w:ind w:left="720" w:hanging="720"/>
      </w:pPr>
      <w:r w:rsidRPr="0042328C">
        <w:t xml:space="preserve">Black, C. (2021). </w:t>
      </w:r>
      <w:r w:rsidRPr="0042328C">
        <w:rPr>
          <w:i/>
        </w:rPr>
        <w:t>Review of drugs part two: prevention, treatment, and recovery</w:t>
      </w:r>
      <w:r w:rsidRPr="0042328C">
        <w:t xml:space="preserve">. Department of Health and Social Care Retrieved from </w:t>
      </w:r>
      <w:hyperlink r:id="rId67" w:history="1">
        <w:r w:rsidRPr="0042328C">
          <w:rPr>
            <w:rStyle w:val="Hyperlink"/>
          </w:rPr>
          <w:t>https://www.gov.uk/government/publications/review-of-drugs-phase-two-report</w:t>
        </w:r>
      </w:hyperlink>
    </w:p>
    <w:p w14:paraId="756A761B" w14:textId="24A3237A" w:rsidR="0042328C" w:rsidRPr="0042328C" w:rsidRDefault="0042328C" w:rsidP="0042328C">
      <w:pPr>
        <w:pStyle w:val="EndNoteBibliography"/>
        <w:ind w:left="720" w:hanging="720"/>
      </w:pPr>
      <w:r w:rsidRPr="0042328C">
        <w:t xml:space="preserve">Boles, S. M., Young, N. K., Moore, T., &amp; DiPirro-Beard, S. (2007). The Sacramento Dependency Drug Court: Development and Outcomes. </w:t>
      </w:r>
      <w:r w:rsidRPr="0042328C">
        <w:rPr>
          <w:i/>
        </w:rPr>
        <w:t>Child Maltreatment</w:t>
      </w:r>
      <w:r w:rsidRPr="0042328C">
        <w:t>,</w:t>
      </w:r>
      <w:r w:rsidRPr="0042328C">
        <w:rPr>
          <w:i/>
        </w:rPr>
        <w:t xml:space="preserve"> 12</w:t>
      </w:r>
      <w:r w:rsidRPr="0042328C">
        <w:t xml:space="preserve">(2), 161-171. </w:t>
      </w:r>
      <w:hyperlink r:id="rId68" w:history="1">
        <w:r w:rsidRPr="0042328C">
          <w:rPr>
            <w:rStyle w:val="Hyperlink"/>
          </w:rPr>
          <w:t>https://doi.org/10.1177/1077559507300643</w:t>
        </w:r>
      </w:hyperlink>
      <w:r w:rsidRPr="0042328C">
        <w:t xml:space="preserve"> </w:t>
      </w:r>
    </w:p>
    <w:p w14:paraId="66CB97F8" w14:textId="0AA03EE5" w:rsidR="0042328C" w:rsidRPr="0042328C" w:rsidRDefault="0042328C" w:rsidP="0042328C">
      <w:pPr>
        <w:pStyle w:val="EndNoteBibliography"/>
        <w:ind w:left="720" w:hanging="720"/>
      </w:pPr>
      <w:r w:rsidRPr="0042328C">
        <w:t xml:space="preserve">Bonin, E.-M., Stevens, M., Beecham, J., Byford, S., &amp; Parsonage, M. (2011). Costs and longer-term savings of parenting programmes for the prevention of persistent conduct disorder: A modelling study. </w:t>
      </w:r>
      <w:r w:rsidRPr="0042328C">
        <w:rPr>
          <w:i/>
        </w:rPr>
        <w:t>BMC public health</w:t>
      </w:r>
      <w:r w:rsidRPr="0042328C">
        <w:t>,</w:t>
      </w:r>
      <w:r w:rsidRPr="0042328C">
        <w:rPr>
          <w:i/>
        </w:rPr>
        <w:t xml:space="preserve"> 11</w:t>
      </w:r>
      <w:r w:rsidRPr="0042328C">
        <w:t xml:space="preserve">(1), 803. </w:t>
      </w:r>
      <w:hyperlink r:id="rId69" w:history="1">
        <w:r w:rsidRPr="0042328C">
          <w:rPr>
            <w:rStyle w:val="Hyperlink"/>
          </w:rPr>
          <w:t>https://doi.org/10.1186/1471-2458-11-803</w:t>
        </w:r>
      </w:hyperlink>
      <w:r w:rsidRPr="0042328C">
        <w:t xml:space="preserve"> </w:t>
      </w:r>
    </w:p>
    <w:p w14:paraId="72848A52" w14:textId="2769C13A" w:rsidR="0042328C" w:rsidRPr="0042328C" w:rsidRDefault="0042328C" w:rsidP="0042328C">
      <w:pPr>
        <w:pStyle w:val="EndNoteBibliography"/>
        <w:ind w:left="720" w:hanging="720"/>
      </w:pPr>
      <w:r w:rsidRPr="0042328C">
        <w:t xml:space="preserve">Brandon, M., Sidebotham, P., Belderson, P., Cleaver, H., Dickens, J., Garstang, J., Harris, J., Sorensen, P., &amp; Wate, R. (2020). </w:t>
      </w:r>
      <w:r w:rsidRPr="0042328C">
        <w:rPr>
          <w:i/>
        </w:rPr>
        <w:t>Complexity and challenge: a triennial analysis of SCRs. 2014-2017. Final report</w:t>
      </w:r>
      <w:r w:rsidRPr="0042328C">
        <w:t xml:space="preserve">. Department for Education Retrieved from </w:t>
      </w:r>
      <w:hyperlink r:id="rId70" w:history="1">
        <w:r w:rsidRPr="0042328C">
          <w:rPr>
            <w:rStyle w:val="Hyperlink"/>
          </w:rPr>
          <w:t>https://assets.publishing.service.gov.uk/government/uploads/system/uploads/attachment_data/file/869586/TRIENNIAL_SCR_REPORT_2014_to_2017.pdf</w:t>
        </w:r>
      </w:hyperlink>
    </w:p>
    <w:p w14:paraId="7F2EA393" w14:textId="40C57EB4" w:rsidR="0042328C" w:rsidRPr="0042328C" w:rsidRDefault="0042328C" w:rsidP="0042328C">
      <w:pPr>
        <w:pStyle w:val="EndNoteBibliography"/>
        <w:ind w:left="720" w:hanging="720"/>
      </w:pPr>
      <w:r w:rsidRPr="0042328C">
        <w:t xml:space="preserve">Briggs, A. H., Ades, A. E., &amp; Price, M. J. (2003). Probabilistic sensitivity analysis for decision trees with multiple branches: Use of the Dirichlet distribution in a Bayesian framework. </w:t>
      </w:r>
      <w:r w:rsidRPr="0042328C">
        <w:rPr>
          <w:i/>
        </w:rPr>
        <w:t>Med Decis Making</w:t>
      </w:r>
      <w:r w:rsidRPr="0042328C">
        <w:t>,</w:t>
      </w:r>
      <w:r w:rsidRPr="0042328C">
        <w:rPr>
          <w:i/>
        </w:rPr>
        <w:t xml:space="preserve"> 23</w:t>
      </w:r>
      <w:r w:rsidRPr="0042328C">
        <w:t xml:space="preserve">(4), 341-350. </w:t>
      </w:r>
      <w:hyperlink r:id="rId71" w:history="1">
        <w:r w:rsidRPr="0042328C">
          <w:rPr>
            <w:rStyle w:val="Hyperlink"/>
          </w:rPr>
          <w:t>https://doi.org/10.1177/0272989x03255922</w:t>
        </w:r>
      </w:hyperlink>
      <w:r w:rsidRPr="0042328C">
        <w:t xml:space="preserve"> </w:t>
      </w:r>
    </w:p>
    <w:p w14:paraId="2DAB6E74" w14:textId="3E530CC2" w:rsidR="0042328C" w:rsidRPr="0042328C" w:rsidRDefault="0042328C" w:rsidP="0042328C">
      <w:pPr>
        <w:pStyle w:val="EndNoteBibliography"/>
        <w:ind w:left="720" w:hanging="720"/>
      </w:pPr>
      <w:r w:rsidRPr="0042328C">
        <w:t xml:space="preserve">Broadhurst, K., &amp; Mason, C. (2020). Child removal as the gateway to further adversity: Birth mother accounts of the immediate and enduring collateral consequences of child removal. </w:t>
      </w:r>
      <w:r w:rsidRPr="0042328C">
        <w:rPr>
          <w:i/>
        </w:rPr>
        <w:t>Qualitative Social Work</w:t>
      </w:r>
      <w:r w:rsidRPr="0042328C">
        <w:t>,</w:t>
      </w:r>
      <w:r w:rsidRPr="0042328C">
        <w:rPr>
          <w:i/>
        </w:rPr>
        <w:t xml:space="preserve"> 19</w:t>
      </w:r>
      <w:r w:rsidRPr="0042328C">
        <w:t xml:space="preserve">(1), 15-37. </w:t>
      </w:r>
      <w:hyperlink r:id="rId72" w:history="1">
        <w:r w:rsidRPr="0042328C">
          <w:rPr>
            <w:rStyle w:val="Hyperlink"/>
          </w:rPr>
          <w:t>https://doi.org/10.1177/1473325019893412</w:t>
        </w:r>
      </w:hyperlink>
      <w:r w:rsidRPr="0042328C">
        <w:t xml:space="preserve"> </w:t>
      </w:r>
    </w:p>
    <w:p w14:paraId="0F0AC3E9" w14:textId="6A66A451" w:rsidR="0042328C" w:rsidRPr="0042328C" w:rsidRDefault="0042328C" w:rsidP="0042328C">
      <w:pPr>
        <w:pStyle w:val="EndNoteBibliography"/>
        <w:ind w:left="720" w:hanging="720"/>
      </w:pPr>
      <w:r w:rsidRPr="0042328C">
        <w:t xml:space="preserve">Brown, S. M., Bender, K. A., Bellamy, J. L., Garland, E. L., Dmitrieva, J., &amp; Jenson, J. M. (2021). Correction to: A Pilot Randomized Trial of a Mindfulness-Informed Intervention for Child Welfare-Involved Families. </w:t>
      </w:r>
      <w:r w:rsidRPr="0042328C">
        <w:rPr>
          <w:i/>
        </w:rPr>
        <w:t>Mindfulness</w:t>
      </w:r>
      <w:r w:rsidRPr="0042328C">
        <w:t>,</w:t>
      </w:r>
      <w:r w:rsidRPr="0042328C">
        <w:rPr>
          <w:i/>
        </w:rPr>
        <w:t xml:space="preserve"> 12</w:t>
      </w:r>
      <w:r w:rsidRPr="0042328C">
        <w:t xml:space="preserve">(2), 436-437. </w:t>
      </w:r>
      <w:hyperlink r:id="rId73" w:history="1">
        <w:r w:rsidRPr="0042328C">
          <w:rPr>
            <w:rStyle w:val="Hyperlink"/>
          </w:rPr>
          <w:t>https://doi.org/10.1007/s12671-018-1025-x</w:t>
        </w:r>
      </w:hyperlink>
      <w:r w:rsidRPr="0042328C">
        <w:t xml:space="preserve"> </w:t>
      </w:r>
    </w:p>
    <w:p w14:paraId="01F05BE8" w14:textId="3FC68658" w:rsidR="0042328C" w:rsidRPr="0042328C" w:rsidRDefault="0042328C" w:rsidP="0042328C">
      <w:pPr>
        <w:pStyle w:val="EndNoteBibliography"/>
        <w:ind w:left="720" w:hanging="720"/>
      </w:pPr>
      <w:r w:rsidRPr="0042328C">
        <w:t xml:space="preserve">Bruns, E. J., Pullmann, M. D., Weathers, E. S., Wirschem, M. L., &amp; Murphy, J. K. (2012). Effects of a Multidisciplinary Family Treatment Drug Court on Child and Family Outcomes: Results of a Quasi-Experimental Study. </w:t>
      </w:r>
      <w:r w:rsidRPr="0042328C">
        <w:rPr>
          <w:i/>
        </w:rPr>
        <w:t>Child Maltreatment</w:t>
      </w:r>
      <w:r w:rsidRPr="0042328C">
        <w:t>,</w:t>
      </w:r>
      <w:r w:rsidRPr="0042328C">
        <w:rPr>
          <w:i/>
        </w:rPr>
        <w:t xml:space="preserve"> 17</w:t>
      </w:r>
      <w:r w:rsidRPr="0042328C">
        <w:t xml:space="preserve">(3), 218-230. </w:t>
      </w:r>
      <w:hyperlink r:id="rId74" w:history="1">
        <w:r w:rsidRPr="0042328C">
          <w:rPr>
            <w:rStyle w:val="Hyperlink"/>
          </w:rPr>
          <w:t>https://doi.org/10.1177/1077559512454216</w:t>
        </w:r>
      </w:hyperlink>
      <w:r w:rsidRPr="0042328C">
        <w:t xml:space="preserve"> </w:t>
      </w:r>
    </w:p>
    <w:p w14:paraId="42EA6096" w14:textId="417B71CF" w:rsidR="0042328C" w:rsidRPr="0042328C" w:rsidRDefault="0042328C" w:rsidP="0042328C">
      <w:pPr>
        <w:pStyle w:val="EndNoteBibliography"/>
        <w:ind w:left="720" w:hanging="720"/>
      </w:pPr>
      <w:r w:rsidRPr="0042328C">
        <w:t xml:space="preserve">Burgette, L., Griffin, B. A., &amp; McCaffrey, D. (2021). Propensity scores for multiple treatments: A tutorial for the mnps function in the twang package. </w:t>
      </w:r>
      <w:hyperlink r:id="rId75" w:history="1">
        <w:r w:rsidRPr="0042328C">
          <w:rPr>
            <w:rStyle w:val="Hyperlink"/>
          </w:rPr>
          <w:t>https://cran.r-project.org/web/packages/twang/vignettes/mnps.pdf</w:t>
        </w:r>
      </w:hyperlink>
      <w:r w:rsidRPr="0042328C">
        <w:t xml:space="preserve"> </w:t>
      </w:r>
    </w:p>
    <w:p w14:paraId="641688BE" w14:textId="4BACE733" w:rsidR="0042328C" w:rsidRPr="0042328C" w:rsidRDefault="0042328C" w:rsidP="0042328C">
      <w:pPr>
        <w:pStyle w:val="EndNoteBibliography"/>
        <w:ind w:left="720" w:hanging="720"/>
      </w:pPr>
      <w:r w:rsidRPr="0042328C">
        <w:t xml:space="preserve">Burkinshaw, P., Knight, J., Anders, P., Eastwood, B., Musto, V., White, M., &amp; Marsden, J. (2017). An Evidence Review of the Outcomes that can be Expected of Drug Misuse Treatment in England. Retrieved 04/02/17, from </w:t>
      </w:r>
      <w:hyperlink r:id="rId76" w:history="1">
        <w:r w:rsidRPr="0042328C">
          <w:rPr>
            <w:rStyle w:val="Hyperlink"/>
          </w:rPr>
          <w:t>https://www.gov.uk/government/uploads/system/uploads/attachment_data/file/586111/PHE_Evidence_review_of_drug_treatment_outcomes.pdf</w:t>
        </w:r>
      </w:hyperlink>
      <w:r w:rsidRPr="0042328C">
        <w:t xml:space="preserve"> </w:t>
      </w:r>
    </w:p>
    <w:p w14:paraId="15305D0F" w14:textId="77777777" w:rsidR="0042328C" w:rsidRPr="0042328C" w:rsidRDefault="0042328C" w:rsidP="0042328C">
      <w:pPr>
        <w:pStyle w:val="EndNoteBibliography"/>
        <w:ind w:left="720" w:hanging="720"/>
      </w:pPr>
      <w:r w:rsidRPr="0042328C">
        <w:t xml:space="preserve">Burrus, S. W. M., Mackin, J. R., &amp; Finigan, M. W. (2011). Show Me the Money: Child Welfare Cost Savings of a Family Drug Court. </w:t>
      </w:r>
      <w:r w:rsidRPr="0042328C">
        <w:rPr>
          <w:i/>
        </w:rPr>
        <w:t>Juvenile and Family Court Journal</w:t>
      </w:r>
      <w:r w:rsidRPr="0042328C">
        <w:t>,</w:t>
      </w:r>
      <w:r w:rsidRPr="0042328C">
        <w:rPr>
          <w:i/>
        </w:rPr>
        <w:t xml:space="preserve"> 62</w:t>
      </w:r>
      <w:r w:rsidRPr="0042328C">
        <w:t xml:space="preserve">(3), 1-14. </w:t>
      </w:r>
    </w:p>
    <w:p w14:paraId="25E8546E" w14:textId="18206A37" w:rsidR="0042328C" w:rsidRPr="0042328C" w:rsidRDefault="0042328C" w:rsidP="0042328C">
      <w:pPr>
        <w:pStyle w:val="EndNoteBibliography"/>
        <w:ind w:left="720" w:hanging="720"/>
      </w:pPr>
      <w:r w:rsidRPr="0042328C">
        <w:t xml:space="preserve">Burton, R., Henn, C., Lavoie, D., O'Connor, R., Perkins, C., Sweeney, K., Greaves, F., Ferguson, B., Beynon, C., Belloni, A., Musto, V., Marsden, J., &amp; Sheron, N. (2016). A Rapid Evidence Review of the Effectiveness and Cost-effectiveness of Alcohol Control Policies: An English perspective. </w:t>
      </w:r>
      <w:r w:rsidRPr="0042328C">
        <w:rPr>
          <w:i/>
        </w:rPr>
        <w:t>The Lancet</w:t>
      </w:r>
      <w:r w:rsidRPr="0042328C">
        <w:t>,</w:t>
      </w:r>
      <w:r w:rsidRPr="0042328C">
        <w:rPr>
          <w:i/>
        </w:rPr>
        <w:t xml:space="preserve"> 389</w:t>
      </w:r>
      <w:r w:rsidRPr="0042328C">
        <w:t xml:space="preserve">(10078), 1558–1580. </w:t>
      </w:r>
      <w:hyperlink r:id="rId77" w:history="1">
        <w:r w:rsidRPr="0042328C">
          <w:rPr>
            <w:rStyle w:val="Hyperlink"/>
          </w:rPr>
          <w:t>https://doi.org/10.1016/S0140-6736(16)32420-5</w:t>
        </w:r>
      </w:hyperlink>
      <w:r w:rsidRPr="0042328C">
        <w:t xml:space="preserve"> </w:t>
      </w:r>
    </w:p>
    <w:p w14:paraId="29673262" w14:textId="3763765B" w:rsidR="0042328C" w:rsidRPr="0042328C" w:rsidRDefault="0042328C" w:rsidP="0042328C">
      <w:pPr>
        <w:pStyle w:val="EndNoteBibliography"/>
        <w:ind w:left="720" w:hanging="720"/>
      </w:pPr>
      <w:r w:rsidRPr="0042328C">
        <w:t xml:space="preserve">Burton, R., Henn, C., Lavoie, D., O’Connor, R., Perkins, C., Sweeney, K., Greaves, F., Ferguson, B., Beynon, C., Belloni, A., Musto, V., Marsden, J., Sheron, N., &amp; Wolff, A. (2016). The Public Health Burden of  Alcohol and the Effectiveness and Cost-Effectiveness of Alcohol Control Policies: An evidence review. Retrieved 15/03/2024, from </w:t>
      </w:r>
      <w:hyperlink r:id="rId78" w:history="1">
        <w:r w:rsidRPr="0042328C">
          <w:rPr>
            <w:rStyle w:val="Hyperlink"/>
          </w:rPr>
          <w:t>https://assets.publishing.service.gov.uk/media/5b6c5703ed915d3119112af6/alcohol_public_health_burden_evidence_review_update_2018.pdf</w:t>
        </w:r>
      </w:hyperlink>
      <w:r w:rsidRPr="0042328C">
        <w:t xml:space="preserve"> </w:t>
      </w:r>
    </w:p>
    <w:p w14:paraId="1E928D6F" w14:textId="77777777" w:rsidR="0042328C" w:rsidRPr="0042328C" w:rsidRDefault="0042328C" w:rsidP="0042328C">
      <w:pPr>
        <w:pStyle w:val="EndNoteBibliography"/>
        <w:ind w:left="720" w:hanging="720"/>
      </w:pPr>
      <w:r w:rsidRPr="0042328C">
        <w:t>Butchart, A., &amp; Harvey, A. P. (2006). Preventing child maltreatment: a guide to taking action and generating evidence. In. France: WHO and International Society for Prevention of Child Abuse and Neglect.</w:t>
      </w:r>
    </w:p>
    <w:p w14:paraId="3C4BB6C9" w14:textId="50097672" w:rsidR="0042328C" w:rsidRPr="0042328C" w:rsidRDefault="0042328C" w:rsidP="0042328C">
      <w:pPr>
        <w:pStyle w:val="EndNoteBibliography"/>
        <w:ind w:left="720" w:hanging="720"/>
      </w:pPr>
      <w:r w:rsidRPr="0042328C">
        <w:t xml:space="preserve">Campbell, S., &amp; Harper, G. (2012). Quality in policy impact evaluation: understanding the effects of policy from other influences (supplementary Magenta Book guidance). Retrieved 15/06/18, from </w:t>
      </w:r>
      <w:hyperlink r:id="rId79" w:history="1">
        <w:r w:rsidRPr="0042328C">
          <w:rPr>
            <w:rStyle w:val="Hyperlink"/>
          </w:rPr>
          <w:t>https://assets.publishing.service.gov.uk/government/uploads/system/uploads/attachment_data/file/190984/Magenta_Book_quality_in_policy_impact_evaluation__QPIE_.pdf</w:t>
        </w:r>
      </w:hyperlink>
      <w:r w:rsidRPr="0042328C">
        <w:t xml:space="preserve"> </w:t>
      </w:r>
    </w:p>
    <w:p w14:paraId="7B649C89" w14:textId="63960589" w:rsidR="0042328C" w:rsidRPr="0042328C" w:rsidRDefault="0042328C" w:rsidP="0042328C">
      <w:pPr>
        <w:pStyle w:val="EndNoteBibliography"/>
        <w:ind w:left="720" w:hanging="720"/>
      </w:pPr>
      <w:r w:rsidRPr="0042328C">
        <w:lastRenderedPageBreak/>
        <w:t xml:space="preserve">Canfield, M., Norton, S., Downs, J., &amp; Gilchrist, G. (2021). Parental status and characteristics of women in substance use treatment services: Analysis of electronic patient records. </w:t>
      </w:r>
      <w:r w:rsidRPr="0042328C">
        <w:rPr>
          <w:i/>
        </w:rPr>
        <w:t>Journal of Substance Abuse Treatment</w:t>
      </w:r>
      <w:r w:rsidRPr="0042328C">
        <w:t>,</w:t>
      </w:r>
      <w:r w:rsidRPr="0042328C">
        <w:rPr>
          <w:i/>
        </w:rPr>
        <w:t xml:space="preserve"> 127</w:t>
      </w:r>
      <w:r w:rsidRPr="0042328C">
        <w:t xml:space="preserve">, 108365. </w:t>
      </w:r>
      <w:hyperlink r:id="rId80" w:history="1">
        <w:r w:rsidRPr="0042328C">
          <w:rPr>
            <w:rStyle w:val="Hyperlink"/>
          </w:rPr>
          <w:t>https://doi.org/https://doi.org/10.1016/j.jsat.2021.108365</w:t>
        </w:r>
      </w:hyperlink>
      <w:r w:rsidRPr="0042328C">
        <w:t xml:space="preserve"> </w:t>
      </w:r>
    </w:p>
    <w:p w14:paraId="0E9F1803" w14:textId="2B045492" w:rsidR="0042328C" w:rsidRPr="0042328C" w:rsidRDefault="0042328C" w:rsidP="0042328C">
      <w:pPr>
        <w:pStyle w:val="EndNoteBibliography"/>
        <w:ind w:left="720" w:hanging="720"/>
      </w:pPr>
      <w:r w:rsidRPr="0042328C">
        <w:t xml:space="preserve">Canfield, M., Radcliffe, P., Marlow, S., Boreham, M., &amp; Gilchrist, G. (2017). Maternal substance use and child protection: A rapid evidence assessment of factors associated with loss of child care. </w:t>
      </w:r>
      <w:r w:rsidRPr="0042328C">
        <w:rPr>
          <w:i/>
        </w:rPr>
        <w:t>Child Abuse &amp; Neglect</w:t>
      </w:r>
      <w:r w:rsidRPr="0042328C">
        <w:t>,</w:t>
      </w:r>
      <w:r w:rsidRPr="0042328C">
        <w:rPr>
          <w:i/>
        </w:rPr>
        <w:t xml:space="preserve"> 70</w:t>
      </w:r>
      <w:r w:rsidRPr="0042328C">
        <w:t xml:space="preserve">, 11-27. </w:t>
      </w:r>
      <w:hyperlink r:id="rId81" w:history="1">
        <w:r w:rsidRPr="0042328C">
          <w:rPr>
            <w:rStyle w:val="Hyperlink"/>
          </w:rPr>
          <w:t>https://doi.org/https://doi.org/10.1016/j.chiabu.2017.05.005</w:t>
        </w:r>
      </w:hyperlink>
      <w:r w:rsidRPr="0042328C">
        <w:t xml:space="preserve"> </w:t>
      </w:r>
    </w:p>
    <w:p w14:paraId="4F5EEEA9" w14:textId="4AEB9D04" w:rsidR="0042328C" w:rsidRPr="0042328C" w:rsidRDefault="0042328C" w:rsidP="0042328C">
      <w:pPr>
        <w:pStyle w:val="EndNoteBibliography"/>
        <w:ind w:left="720" w:hanging="720"/>
      </w:pPr>
      <w:r w:rsidRPr="0042328C">
        <w:t xml:space="preserve">Cefalu, M. (2006). TWANG: Toolkit for Weighting and Analysis of Nonequivalent Groups. R package version 2.5. </w:t>
      </w:r>
      <w:hyperlink r:id="rId82" w:history="1">
        <w:r w:rsidRPr="0042328C">
          <w:rPr>
            <w:rStyle w:val="Hyperlink"/>
          </w:rPr>
          <w:t>https://cran.r-project.org/web/packages/twang</w:t>
        </w:r>
      </w:hyperlink>
      <w:r w:rsidRPr="0042328C">
        <w:t xml:space="preserve"> </w:t>
      </w:r>
    </w:p>
    <w:p w14:paraId="1BB5E869" w14:textId="0473EE77" w:rsidR="0042328C" w:rsidRPr="0042328C" w:rsidRDefault="0042328C" w:rsidP="0042328C">
      <w:pPr>
        <w:pStyle w:val="EndNoteBibliography"/>
        <w:ind w:left="720" w:hanging="720"/>
      </w:pPr>
      <w:r w:rsidRPr="0042328C">
        <w:t xml:space="preserve">Children's Commissioner. (2024). Children on child in need plans. Retrieved 01/04/2024, from </w:t>
      </w:r>
      <w:hyperlink r:id="rId83" w:history="1">
        <w:r w:rsidRPr="0042328C">
          <w:rPr>
            <w:rStyle w:val="Hyperlink"/>
          </w:rPr>
          <w:t>https://assets.childrenscommissioner.gov.uk/wpuploads/2024/03/Childreninneedreport.pdf</w:t>
        </w:r>
      </w:hyperlink>
      <w:r w:rsidRPr="0042328C">
        <w:t xml:space="preserve"> </w:t>
      </w:r>
    </w:p>
    <w:p w14:paraId="1E701826" w14:textId="10D24D30" w:rsidR="0042328C" w:rsidRPr="0042328C" w:rsidRDefault="0042328C" w:rsidP="0042328C">
      <w:pPr>
        <w:pStyle w:val="EndNoteBibliography"/>
        <w:ind w:left="720" w:hanging="720"/>
      </w:pPr>
      <w:r w:rsidRPr="0042328C">
        <w:t xml:space="preserve">Choi, S., Rosenbloom, D., Stein, M. D., Raifman, J., &amp; Clark, J. A. (2022). Differential Gateways, Facilitators, and Barriers to Substance Use Disorder Treatment for Pregnant Women and Mothers: A Scoping Systematic Review. </w:t>
      </w:r>
      <w:r w:rsidRPr="0042328C">
        <w:rPr>
          <w:i/>
        </w:rPr>
        <w:t>J Addict Med</w:t>
      </w:r>
      <w:r w:rsidRPr="0042328C">
        <w:t>,</w:t>
      </w:r>
      <w:r w:rsidRPr="0042328C">
        <w:rPr>
          <w:i/>
        </w:rPr>
        <w:t xml:space="preserve"> 16</w:t>
      </w:r>
      <w:r w:rsidRPr="0042328C">
        <w:t xml:space="preserve">(3), e185-e196. </w:t>
      </w:r>
      <w:hyperlink r:id="rId84" w:history="1">
        <w:r w:rsidRPr="0042328C">
          <w:rPr>
            <w:rStyle w:val="Hyperlink"/>
          </w:rPr>
          <w:t>https://doi.org/10.1097/adm.0000000000000909</w:t>
        </w:r>
      </w:hyperlink>
      <w:r w:rsidRPr="0042328C">
        <w:t xml:space="preserve"> </w:t>
      </w:r>
    </w:p>
    <w:p w14:paraId="204C9632" w14:textId="50E183F1" w:rsidR="0042328C" w:rsidRPr="0042328C" w:rsidRDefault="0042328C" w:rsidP="0042328C">
      <w:pPr>
        <w:pStyle w:val="EndNoteBibliography"/>
        <w:ind w:left="720" w:hanging="720"/>
      </w:pPr>
      <w:r w:rsidRPr="0042328C">
        <w:t xml:space="preserve">Chuang, E., Moore, K., Barrett, B., &amp; Young, M. S. (2012). Effect of an integrated family dependency treatment court on child welfare reunification, time to permanency and re-entry rates. </w:t>
      </w:r>
      <w:r w:rsidRPr="0042328C">
        <w:rPr>
          <w:i/>
        </w:rPr>
        <w:t>Children and Youth Services Review</w:t>
      </w:r>
      <w:r w:rsidRPr="0042328C">
        <w:t>,</w:t>
      </w:r>
      <w:r w:rsidRPr="0042328C">
        <w:rPr>
          <w:i/>
        </w:rPr>
        <w:t xml:space="preserve"> 34</w:t>
      </w:r>
      <w:r w:rsidRPr="0042328C">
        <w:t xml:space="preserve">(9), 1896-1902. </w:t>
      </w:r>
      <w:hyperlink r:id="rId85" w:history="1">
        <w:r w:rsidRPr="0042328C">
          <w:rPr>
            <w:rStyle w:val="Hyperlink"/>
          </w:rPr>
          <w:t>https://doi.org/https://doi.org/10.1016/j.childyouth.2012.06.001</w:t>
        </w:r>
      </w:hyperlink>
      <w:r w:rsidRPr="0042328C">
        <w:t xml:space="preserve"> </w:t>
      </w:r>
    </w:p>
    <w:p w14:paraId="00C69B45" w14:textId="4E810DE0" w:rsidR="0042328C" w:rsidRPr="0042328C" w:rsidRDefault="0042328C" w:rsidP="0042328C">
      <w:pPr>
        <w:pStyle w:val="EndNoteBibliography"/>
        <w:ind w:left="720" w:hanging="720"/>
      </w:pPr>
      <w:r w:rsidRPr="0042328C">
        <w:t xml:space="preserve">Clark, M. C., Buswell, J., Gold, C., &amp; Peacock-Chambers, E. (2021). A Triple Threat: Parents in Recovery During COVID-19. </w:t>
      </w:r>
      <w:r w:rsidRPr="0042328C">
        <w:rPr>
          <w:i/>
        </w:rPr>
        <w:t>Journal of Addiction Medicine</w:t>
      </w:r>
      <w:r w:rsidRPr="0042328C">
        <w:t>,</w:t>
      </w:r>
      <w:r w:rsidRPr="0042328C">
        <w:rPr>
          <w:i/>
        </w:rPr>
        <w:t xml:space="preserve"> 15</w:t>
      </w:r>
      <w:r w:rsidRPr="0042328C">
        <w:t xml:space="preserve">(6), 446-447. </w:t>
      </w:r>
      <w:hyperlink r:id="rId86" w:history="1">
        <w:r w:rsidRPr="0042328C">
          <w:rPr>
            <w:rStyle w:val="Hyperlink"/>
          </w:rPr>
          <w:t>https://doi.org/10.1097/adm.0000000000000790</w:t>
        </w:r>
      </w:hyperlink>
      <w:r w:rsidRPr="0042328C">
        <w:t xml:space="preserve"> </w:t>
      </w:r>
    </w:p>
    <w:p w14:paraId="3C447EBC" w14:textId="77777777" w:rsidR="0042328C" w:rsidRPr="0042328C" w:rsidRDefault="0042328C" w:rsidP="0042328C">
      <w:pPr>
        <w:pStyle w:val="EndNoteBibliography"/>
        <w:ind w:left="720" w:hanging="720"/>
      </w:pPr>
      <w:r w:rsidRPr="0042328C">
        <w:t xml:space="preserve">Cleaver, H., Unell, I., &amp; Aldgate, J. (2011). </w:t>
      </w:r>
      <w:r w:rsidRPr="0042328C">
        <w:rPr>
          <w:i/>
        </w:rPr>
        <w:t>Children's need - Parenting capacity. Child abuse: parental mental illness , learning disabilty, substance misuse and domestic violence. 2nd edition.</w:t>
      </w:r>
      <w:r w:rsidRPr="0042328C">
        <w:t xml:space="preserve"> TSO. </w:t>
      </w:r>
    </w:p>
    <w:p w14:paraId="574144FA" w14:textId="0B0B51B3" w:rsidR="0042328C" w:rsidRPr="0042328C" w:rsidRDefault="0042328C" w:rsidP="0042328C">
      <w:pPr>
        <w:pStyle w:val="EndNoteBibliography"/>
        <w:ind w:left="720" w:hanging="720"/>
      </w:pPr>
      <w:r w:rsidRPr="0042328C">
        <w:t xml:space="preserve">Cloud, W., &amp; Granfield, R. (2008). Conceptualizing Recovery Capital: Expansion of a Theoretical Construct. </w:t>
      </w:r>
      <w:r w:rsidRPr="0042328C">
        <w:rPr>
          <w:i/>
        </w:rPr>
        <w:t>Substance Use &amp; Misuse</w:t>
      </w:r>
      <w:r w:rsidRPr="0042328C">
        <w:t>,</w:t>
      </w:r>
      <w:r w:rsidRPr="0042328C">
        <w:rPr>
          <w:i/>
        </w:rPr>
        <w:t xml:space="preserve"> 43</w:t>
      </w:r>
      <w:r w:rsidRPr="0042328C">
        <w:t xml:space="preserve">(12-13), 1971-1986. </w:t>
      </w:r>
      <w:hyperlink r:id="rId87" w:history="1">
        <w:r w:rsidRPr="0042328C">
          <w:rPr>
            <w:rStyle w:val="Hyperlink"/>
          </w:rPr>
          <w:t>https://doi.org/10.1080/10826080802289762</w:t>
        </w:r>
      </w:hyperlink>
      <w:r w:rsidRPr="0042328C">
        <w:t xml:space="preserve"> </w:t>
      </w:r>
    </w:p>
    <w:p w14:paraId="3BD20F88" w14:textId="09298F42" w:rsidR="0042328C" w:rsidRPr="0042328C" w:rsidRDefault="0042328C" w:rsidP="0042328C">
      <w:pPr>
        <w:pStyle w:val="EndNoteBibliography"/>
        <w:ind w:left="720" w:hanging="720"/>
      </w:pPr>
      <w:r w:rsidRPr="0042328C">
        <w:t xml:space="preserve">Coffman, D. L., Zhou, J., &amp; Cai, X. (2020). Comparison of methods for handling covariate missingness in propensity score estimation with a binary exposure. </w:t>
      </w:r>
      <w:r w:rsidRPr="0042328C">
        <w:rPr>
          <w:i/>
        </w:rPr>
        <w:t>BMC Medical Research Methodology</w:t>
      </w:r>
      <w:r w:rsidRPr="0042328C">
        <w:t>,</w:t>
      </w:r>
      <w:r w:rsidRPr="0042328C">
        <w:rPr>
          <w:i/>
        </w:rPr>
        <w:t xml:space="preserve"> 20</w:t>
      </w:r>
      <w:r w:rsidRPr="0042328C">
        <w:t xml:space="preserve">(1), 168. </w:t>
      </w:r>
      <w:hyperlink r:id="rId88" w:history="1">
        <w:r w:rsidRPr="0042328C">
          <w:rPr>
            <w:rStyle w:val="Hyperlink"/>
          </w:rPr>
          <w:t>https://doi.org/10.1186/s12874-020-01053-4</w:t>
        </w:r>
      </w:hyperlink>
      <w:r w:rsidRPr="0042328C">
        <w:t xml:space="preserve"> </w:t>
      </w:r>
    </w:p>
    <w:p w14:paraId="69E8F322" w14:textId="075BE61B" w:rsidR="0042328C" w:rsidRPr="0042328C" w:rsidRDefault="0042328C" w:rsidP="0042328C">
      <w:pPr>
        <w:pStyle w:val="EndNoteBibliography"/>
        <w:ind w:left="720" w:hanging="720"/>
      </w:pPr>
      <w:r w:rsidRPr="0042328C">
        <w:t xml:space="preserve">Cooke, J. E., Kochendorfer, L. B., Stuart-Parrigon, K. L., Koehn, A. J., &amp; Kerns, K. A. (2019). Parent–child attachment and children’s experience and regulation of emotion: A meta-analytic review. </w:t>
      </w:r>
      <w:r w:rsidRPr="0042328C">
        <w:rPr>
          <w:i/>
        </w:rPr>
        <w:t>Emotion</w:t>
      </w:r>
      <w:r w:rsidRPr="0042328C">
        <w:t>,</w:t>
      </w:r>
      <w:r w:rsidRPr="0042328C">
        <w:rPr>
          <w:i/>
        </w:rPr>
        <w:t xml:space="preserve"> 19</w:t>
      </w:r>
      <w:r w:rsidRPr="0042328C">
        <w:t xml:space="preserve">(6), 1103-1126. </w:t>
      </w:r>
      <w:hyperlink r:id="rId89" w:history="1">
        <w:r w:rsidRPr="0042328C">
          <w:rPr>
            <w:rStyle w:val="Hyperlink"/>
          </w:rPr>
          <w:t>https://doi.org/10.1037/emo0000504</w:t>
        </w:r>
      </w:hyperlink>
      <w:r w:rsidRPr="0042328C">
        <w:t xml:space="preserve"> </w:t>
      </w:r>
    </w:p>
    <w:p w14:paraId="77FBAF49" w14:textId="51D07CAC" w:rsidR="0042328C" w:rsidRPr="0042328C" w:rsidRDefault="0042328C" w:rsidP="0042328C">
      <w:pPr>
        <w:pStyle w:val="EndNoteBibliography"/>
        <w:ind w:left="720" w:hanging="720"/>
      </w:pPr>
      <w:r w:rsidRPr="0042328C">
        <w:t xml:space="preserve">Copello, A. G., Velleman, R. D. B., &amp; Templeton, L. J. (2005). Family interventions in the treatment of alcohol and drug problems. </w:t>
      </w:r>
      <w:r w:rsidRPr="0042328C">
        <w:rPr>
          <w:i/>
        </w:rPr>
        <w:t>Drug and Alcohol Review</w:t>
      </w:r>
      <w:r w:rsidRPr="0042328C">
        <w:t>,</w:t>
      </w:r>
      <w:r w:rsidRPr="0042328C">
        <w:rPr>
          <w:i/>
        </w:rPr>
        <w:t xml:space="preserve"> 24</w:t>
      </w:r>
      <w:r w:rsidRPr="0042328C">
        <w:t xml:space="preserve">(4), 369-385. </w:t>
      </w:r>
      <w:hyperlink r:id="rId90" w:history="1">
        <w:r w:rsidRPr="0042328C">
          <w:rPr>
            <w:rStyle w:val="Hyperlink"/>
          </w:rPr>
          <w:t>https://doi.org/https://doi.org/10.1080/09595230500302356</w:t>
        </w:r>
      </w:hyperlink>
      <w:r w:rsidRPr="0042328C">
        <w:t xml:space="preserve"> </w:t>
      </w:r>
    </w:p>
    <w:p w14:paraId="0A12EEC4" w14:textId="65C58DD7" w:rsidR="0042328C" w:rsidRPr="0042328C" w:rsidRDefault="0042328C" w:rsidP="0042328C">
      <w:pPr>
        <w:pStyle w:val="EndNoteBibliography"/>
        <w:ind w:left="720" w:hanging="720"/>
      </w:pPr>
      <w:r w:rsidRPr="0042328C">
        <w:t xml:space="preserve">Corr, T. E., &amp; Hollenbeak, C. S. (2017). The economic burden of neonatal abstinence syndrome in the United States. </w:t>
      </w:r>
      <w:r w:rsidRPr="0042328C">
        <w:rPr>
          <w:i/>
        </w:rPr>
        <w:t>Addiction</w:t>
      </w:r>
      <w:r w:rsidRPr="0042328C">
        <w:t>,</w:t>
      </w:r>
      <w:r w:rsidRPr="0042328C">
        <w:rPr>
          <w:i/>
        </w:rPr>
        <w:t xml:space="preserve"> 112</w:t>
      </w:r>
      <w:r w:rsidRPr="0042328C">
        <w:t xml:space="preserve">(9), 1590-1599. </w:t>
      </w:r>
      <w:hyperlink r:id="rId91" w:history="1">
        <w:r w:rsidRPr="0042328C">
          <w:rPr>
            <w:rStyle w:val="Hyperlink"/>
          </w:rPr>
          <w:t>https://doi.org/10.1111/add.13842</w:t>
        </w:r>
      </w:hyperlink>
      <w:r w:rsidRPr="0042328C">
        <w:t xml:space="preserve"> </w:t>
      </w:r>
    </w:p>
    <w:p w14:paraId="341FA9A4" w14:textId="4B3767D6" w:rsidR="0042328C" w:rsidRPr="0042328C" w:rsidRDefault="0042328C" w:rsidP="0042328C">
      <w:pPr>
        <w:pStyle w:val="EndNoteBibliography"/>
        <w:ind w:left="720" w:hanging="720"/>
      </w:pPr>
      <w:r w:rsidRPr="0042328C">
        <w:t xml:space="preserve">Coyle, M. G., Salisbury, A. L., Lester, B. M., Jones, H. E., Lin, H., Graf-Rohrmeister, K., &amp; Fischer, G. (2012). Neonatal neurobehavior effects following buprenorphine versus methadone exposure. </w:t>
      </w:r>
      <w:r w:rsidRPr="0042328C">
        <w:rPr>
          <w:i/>
        </w:rPr>
        <w:t>Addiction</w:t>
      </w:r>
      <w:r w:rsidRPr="0042328C">
        <w:t>,</w:t>
      </w:r>
      <w:r w:rsidRPr="0042328C">
        <w:rPr>
          <w:i/>
        </w:rPr>
        <w:t xml:space="preserve"> 107</w:t>
      </w:r>
      <w:r w:rsidRPr="0042328C">
        <w:t xml:space="preserve">(S1), 63-73. </w:t>
      </w:r>
      <w:hyperlink r:id="rId92" w:history="1">
        <w:r w:rsidRPr="0042328C">
          <w:rPr>
            <w:rStyle w:val="Hyperlink"/>
          </w:rPr>
          <w:t>https://doi.org/https://doi.org/10.1111/j.1360-0443.2012.04040.x</w:t>
        </w:r>
      </w:hyperlink>
      <w:r w:rsidRPr="0042328C">
        <w:t xml:space="preserve"> </w:t>
      </w:r>
    </w:p>
    <w:p w14:paraId="5A34E39F" w14:textId="37C58C79" w:rsidR="0042328C" w:rsidRPr="0042328C" w:rsidRDefault="0042328C" w:rsidP="0042328C">
      <w:pPr>
        <w:pStyle w:val="EndNoteBibliography"/>
        <w:ind w:left="720" w:hanging="720"/>
      </w:pPr>
      <w:r w:rsidRPr="0042328C">
        <w:lastRenderedPageBreak/>
        <w:t xml:space="preserve">Crack, C., Gardner, J., &amp; Ghosh, D. (2015). Brighton Oasis Project: POCAR programme evaluation. Retrieved 04/09/2024, from </w:t>
      </w:r>
      <w:hyperlink r:id="rId93" w:history="1">
        <w:r w:rsidRPr="0042328C">
          <w:rPr>
            <w:rStyle w:val="Hyperlink"/>
          </w:rPr>
          <w:t>https://www.oasisproject.org.uk/wp-content/uploads/2020/12/Brighton-Oasis-evaluation-FINAL.pdf</w:t>
        </w:r>
      </w:hyperlink>
      <w:r w:rsidRPr="0042328C">
        <w:t xml:space="preserve"> </w:t>
      </w:r>
    </w:p>
    <w:p w14:paraId="2A12876B" w14:textId="3D541EE0" w:rsidR="0042328C" w:rsidRPr="0042328C" w:rsidRDefault="0042328C" w:rsidP="0042328C">
      <w:pPr>
        <w:pStyle w:val="EndNoteBibliography"/>
        <w:ind w:left="720" w:hanging="720"/>
      </w:pPr>
      <w:r w:rsidRPr="0042328C">
        <w:t xml:space="preserve">Crawford, T. N., Cohen, P. R., Chen, H., Anglin, D. M., &amp; Ehrensaft, M. (2009). Early maternal separation and the trajectory of borderline personality disorder symptoms. </w:t>
      </w:r>
      <w:r w:rsidRPr="0042328C">
        <w:rPr>
          <w:i/>
        </w:rPr>
        <w:t>Development and Psychopathology</w:t>
      </w:r>
      <w:r w:rsidRPr="0042328C">
        <w:t>,</w:t>
      </w:r>
      <w:r w:rsidRPr="0042328C">
        <w:rPr>
          <w:i/>
        </w:rPr>
        <w:t xml:space="preserve"> 21</w:t>
      </w:r>
      <w:r w:rsidRPr="0042328C">
        <w:t xml:space="preserve">(3), 1013-1030. </w:t>
      </w:r>
      <w:hyperlink r:id="rId94" w:history="1">
        <w:r w:rsidRPr="0042328C">
          <w:rPr>
            <w:rStyle w:val="Hyperlink"/>
          </w:rPr>
          <w:t>https://doi.org/10.1017/S0954579409000546</w:t>
        </w:r>
      </w:hyperlink>
      <w:r w:rsidRPr="0042328C">
        <w:t xml:space="preserve"> </w:t>
      </w:r>
    </w:p>
    <w:p w14:paraId="0D0E63D6" w14:textId="67785AA8" w:rsidR="0042328C" w:rsidRPr="0042328C" w:rsidRDefault="0042328C" w:rsidP="0042328C">
      <w:pPr>
        <w:pStyle w:val="EndNoteBibliography"/>
        <w:ind w:left="720" w:hanging="720"/>
      </w:pPr>
      <w:r w:rsidRPr="0042328C">
        <w:t xml:space="preserve">Dakof, G. A., Cohen, J. B. J. D., Henderson, C. E., Duarte, E. M. A., Boustani, M. M. S., Blackburn, A. B. A., Venzer, E. J. D., &amp; Hawes, S. M. S. (2010). A randomized pilot study of the Engaging Moms Program for family drug court. </w:t>
      </w:r>
      <w:r w:rsidRPr="0042328C">
        <w:rPr>
          <w:i/>
        </w:rPr>
        <w:t>Journal of Substance Abuse Treatment</w:t>
      </w:r>
      <w:r w:rsidRPr="0042328C">
        <w:t>,</w:t>
      </w:r>
      <w:r w:rsidRPr="0042328C">
        <w:rPr>
          <w:i/>
        </w:rPr>
        <w:t xml:space="preserve"> 38</w:t>
      </w:r>
      <w:r w:rsidRPr="0042328C">
        <w:t xml:space="preserve">(3), 263. </w:t>
      </w:r>
      <w:hyperlink r:id="rId95" w:history="1">
        <w:r w:rsidRPr="0042328C">
          <w:rPr>
            <w:rStyle w:val="Hyperlink"/>
          </w:rPr>
          <w:t>https://doi.org/https://doi.org/10.1016/j.jsat.2010.01.002</w:t>
        </w:r>
      </w:hyperlink>
      <w:r w:rsidRPr="0042328C">
        <w:t xml:space="preserve"> </w:t>
      </w:r>
    </w:p>
    <w:p w14:paraId="353EA131" w14:textId="1A8EE2A6" w:rsidR="0042328C" w:rsidRPr="0042328C" w:rsidRDefault="0042328C" w:rsidP="0042328C">
      <w:pPr>
        <w:pStyle w:val="EndNoteBibliography"/>
        <w:ind w:left="720" w:hanging="720"/>
      </w:pPr>
      <w:r w:rsidRPr="0042328C">
        <w:t xml:space="preserve">Damashek, A., Williams, N. A., Sher, K., &amp; Peterson, L. (2009). Relation of Caregiver Alcohol Use to Unintentional Childhood Injury. </w:t>
      </w:r>
      <w:r w:rsidRPr="0042328C">
        <w:rPr>
          <w:i/>
        </w:rPr>
        <w:t>Journal of Pediatric Psychology</w:t>
      </w:r>
      <w:r w:rsidRPr="0042328C">
        <w:t>,</w:t>
      </w:r>
      <w:r w:rsidRPr="0042328C">
        <w:rPr>
          <w:i/>
        </w:rPr>
        <w:t xml:space="preserve"> 34</w:t>
      </w:r>
      <w:r w:rsidRPr="0042328C">
        <w:t xml:space="preserve">(4), 344-353. </w:t>
      </w:r>
      <w:hyperlink r:id="rId96" w:history="1">
        <w:r w:rsidRPr="0042328C">
          <w:rPr>
            <w:rStyle w:val="Hyperlink"/>
          </w:rPr>
          <w:t>https://doi.org/10.1093/jpepsy/jsn097</w:t>
        </w:r>
      </w:hyperlink>
      <w:r w:rsidRPr="0042328C">
        <w:t xml:space="preserve"> </w:t>
      </w:r>
    </w:p>
    <w:p w14:paraId="5C81A04C" w14:textId="5DDCF97A" w:rsidR="0042328C" w:rsidRPr="0042328C" w:rsidRDefault="0042328C" w:rsidP="0042328C">
      <w:pPr>
        <w:pStyle w:val="EndNoteBibliography"/>
        <w:ind w:left="720" w:hanging="720"/>
      </w:pPr>
      <w:r w:rsidRPr="0042328C">
        <w:t xml:space="preserve">Darlington, C. K., Clark, R., Jacoby, S. F., Terplan, M., Alexander, K., &amp; Compton, P. (2023). Outcomes and experiences after child custody loss among mothers who use drugs: A mixed studies systematic review. </w:t>
      </w:r>
      <w:r w:rsidRPr="0042328C">
        <w:rPr>
          <w:i/>
        </w:rPr>
        <w:t>Drug Alcohol Depend</w:t>
      </w:r>
      <w:r w:rsidRPr="0042328C">
        <w:t>,</w:t>
      </w:r>
      <w:r w:rsidRPr="0042328C">
        <w:rPr>
          <w:i/>
        </w:rPr>
        <w:t xml:space="preserve"> 251</w:t>
      </w:r>
      <w:r w:rsidRPr="0042328C">
        <w:t xml:space="preserve">, 110944. </w:t>
      </w:r>
      <w:hyperlink r:id="rId97" w:history="1">
        <w:r w:rsidRPr="0042328C">
          <w:rPr>
            <w:rStyle w:val="Hyperlink"/>
          </w:rPr>
          <w:t>https://doi.org/https://doi.org/10.1016/j.drugalcdep.2023.110944</w:t>
        </w:r>
      </w:hyperlink>
      <w:r w:rsidRPr="0042328C">
        <w:t xml:space="preserve"> </w:t>
      </w:r>
    </w:p>
    <w:p w14:paraId="394739A4" w14:textId="2E77F154" w:rsidR="0042328C" w:rsidRPr="0042328C" w:rsidRDefault="0042328C" w:rsidP="0042328C">
      <w:pPr>
        <w:pStyle w:val="EndNoteBibliography"/>
        <w:ind w:left="720" w:hanging="720"/>
      </w:pPr>
      <w:r w:rsidRPr="0042328C">
        <w:t xml:space="preserve">Dauber, S., Neighbors, C., Dasaro, C., Riordan, A., &amp; Morgenstern, J. (2012). Impact of intensive case management on child welfare system involvement for substance-dependent parenting women on public assistance. </w:t>
      </w:r>
      <w:r w:rsidRPr="0042328C">
        <w:rPr>
          <w:i/>
        </w:rPr>
        <w:t>Children and Youth Services Review</w:t>
      </w:r>
      <w:r w:rsidRPr="0042328C">
        <w:t>,</w:t>
      </w:r>
      <w:r w:rsidRPr="0042328C">
        <w:rPr>
          <w:i/>
        </w:rPr>
        <w:t xml:space="preserve"> 34</w:t>
      </w:r>
      <w:r w:rsidRPr="0042328C">
        <w:t xml:space="preserve">(7), 1359-1366. </w:t>
      </w:r>
      <w:hyperlink r:id="rId98" w:history="1">
        <w:r w:rsidRPr="0042328C">
          <w:rPr>
            <w:rStyle w:val="Hyperlink"/>
          </w:rPr>
          <w:t>https://doi.org/http://dx.doi.org/10.1016/j.childyouth.2012.03.020</w:t>
        </w:r>
      </w:hyperlink>
      <w:r w:rsidRPr="0042328C">
        <w:t xml:space="preserve"> </w:t>
      </w:r>
    </w:p>
    <w:p w14:paraId="53610C22" w14:textId="60544C66" w:rsidR="0042328C" w:rsidRPr="0042328C" w:rsidRDefault="0042328C" w:rsidP="0042328C">
      <w:pPr>
        <w:pStyle w:val="EndNoteBibliography"/>
        <w:ind w:left="720" w:hanging="720"/>
      </w:pPr>
      <w:r w:rsidRPr="0042328C">
        <w:t>Dawe, S., &amp; Harnett, P. (2007). Reducing potential for child abuse among methadone-maintained parents: results from a randomized controlled trial.</w:t>
      </w:r>
      <w:r w:rsidRPr="0042328C">
        <w:rPr>
          <w:i/>
        </w:rPr>
        <w:t xml:space="preserve"> 32</w:t>
      </w:r>
      <w:r w:rsidRPr="0042328C">
        <w:t xml:space="preserve">, 381-390. </w:t>
      </w:r>
      <w:hyperlink r:id="rId99" w:history="1">
        <w:r w:rsidRPr="0042328C">
          <w:rPr>
            <w:rStyle w:val="Hyperlink"/>
          </w:rPr>
          <w:t>https://doi.org/10.1016/j.jsat.2006.10.003</w:t>
        </w:r>
      </w:hyperlink>
      <w:r w:rsidRPr="0042328C">
        <w:t xml:space="preserve"> </w:t>
      </w:r>
    </w:p>
    <w:p w14:paraId="01A2DBFF" w14:textId="64C2623B" w:rsidR="0042328C" w:rsidRPr="0042328C" w:rsidRDefault="0042328C" w:rsidP="0042328C">
      <w:pPr>
        <w:pStyle w:val="EndNoteBibliography"/>
        <w:ind w:left="720" w:hanging="720"/>
      </w:pPr>
      <w:r w:rsidRPr="0042328C">
        <w:t>Dawe, S., Taplin, S., &amp; Mattick, R. P. (2017). Psychometric investigation of the Brief Child Abuse Potential Inventory in mothers on opioid substitution therapy.</w:t>
      </w:r>
      <w:r w:rsidRPr="0042328C">
        <w:rPr>
          <w:i/>
        </w:rPr>
        <w:t xml:space="preserve"> 32</w:t>
      </w:r>
      <w:r w:rsidRPr="0042328C">
        <w:t xml:space="preserve">, 341-348. </w:t>
      </w:r>
      <w:hyperlink r:id="rId100" w:history="1">
        <w:r w:rsidRPr="0042328C">
          <w:rPr>
            <w:rStyle w:val="Hyperlink"/>
          </w:rPr>
          <w:t>https://doi.org/10.1007/s10896-016-9821-3</w:t>
        </w:r>
      </w:hyperlink>
      <w:r w:rsidRPr="0042328C">
        <w:t xml:space="preserve"> </w:t>
      </w:r>
    </w:p>
    <w:p w14:paraId="5880E842" w14:textId="18A5E5A3" w:rsidR="0042328C" w:rsidRPr="0042328C" w:rsidRDefault="0042328C" w:rsidP="0042328C">
      <w:pPr>
        <w:pStyle w:val="EndNoteBibliography"/>
        <w:ind w:left="720" w:hanging="720"/>
      </w:pPr>
      <w:r w:rsidRPr="0042328C">
        <w:t xml:space="preserve">Dawson, D. A., Goldstein, R. B., &amp; Grant, B. F. (2007). Rates and Correlates of Relapse Among Individuals in Remission From DSM-IV Alcohol Dependence: A 3-Year Follow-Up. </w:t>
      </w:r>
      <w:r w:rsidRPr="0042328C">
        <w:rPr>
          <w:i/>
        </w:rPr>
        <w:t>Alcoholism: Clinical and Experimental Research</w:t>
      </w:r>
      <w:r w:rsidRPr="0042328C">
        <w:t>,</w:t>
      </w:r>
      <w:r w:rsidRPr="0042328C">
        <w:rPr>
          <w:i/>
        </w:rPr>
        <w:t xml:space="preserve"> 31</w:t>
      </w:r>
      <w:r w:rsidRPr="0042328C">
        <w:t xml:space="preserve">(12), 2036-2045. </w:t>
      </w:r>
      <w:hyperlink r:id="rId101" w:history="1">
        <w:r w:rsidRPr="0042328C">
          <w:rPr>
            <w:rStyle w:val="Hyperlink"/>
          </w:rPr>
          <w:t>https://doi.org/https://doi.org/10.1111/j.1530-0277.2007.00536.x</w:t>
        </w:r>
      </w:hyperlink>
      <w:r w:rsidRPr="0042328C">
        <w:t xml:space="preserve"> </w:t>
      </w:r>
    </w:p>
    <w:p w14:paraId="3EE193C8" w14:textId="579B26C9" w:rsidR="0042328C" w:rsidRPr="0042328C" w:rsidRDefault="0042328C" w:rsidP="0042328C">
      <w:pPr>
        <w:pStyle w:val="EndNoteBibliography"/>
        <w:ind w:left="720" w:hanging="720"/>
      </w:pPr>
      <w:r w:rsidRPr="0042328C">
        <w:t xml:space="preserve">Day, C., Briskman, J., Crawford, M. J., Foote, L., Harris, L., Boadu, J., McCrone, P., McMurran, M., Michelson, D., Moran, P., Mosse, L., Scott, S., Stahl, D., Ramchandani, P., &amp; Weaver, T. (2020). An intervention for parents with severe personality difficulties whose children have mental health problems: a feasibility RCT. </w:t>
      </w:r>
      <w:r w:rsidRPr="0042328C">
        <w:rPr>
          <w:i/>
        </w:rPr>
        <w:t>Health Technol Assess</w:t>
      </w:r>
      <w:r w:rsidRPr="0042328C">
        <w:t>,</w:t>
      </w:r>
      <w:r w:rsidRPr="0042328C">
        <w:rPr>
          <w:i/>
        </w:rPr>
        <w:t xml:space="preserve"> 24</w:t>
      </w:r>
      <w:r w:rsidRPr="0042328C">
        <w:t xml:space="preserve">(14), 1-188. </w:t>
      </w:r>
      <w:hyperlink r:id="rId102" w:history="1">
        <w:r w:rsidRPr="0042328C">
          <w:rPr>
            <w:rStyle w:val="Hyperlink"/>
          </w:rPr>
          <w:t>https://doi.org/10.3310/hta24140</w:t>
        </w:r>
      </w:hyperlink>
      <w:r w:rsidRPr="0042328C">
        <w:t xml:space="preserve"> </w:t>
      </w:r>
    </w:p>
    <w:p w14:paraId="277290BB" w14:textId="7463B70C" w:rsidR="0042328C" w:rsidRPr="0042328C" w:rsidRDefault="0042328C" w:rsidP="0042328C">
      <w:pPr>
        <w:pStyle w:val="EndNoteBibliography"/>
        <w:ind w:left="720" w:hanging="720"/>
      </w:pPr>
      <w:r w:rsidRPr="0042328C">
        <w:t xml:space="preserve">DCLG. (2012). Working with Troubled Families. A guide to the evidence and good practice. Retrieved 15/06/2019, from </w:t>
      </w:r>
      <w:hyperlink r:id="rId103" w:history="1">
        <w:r w:rsidRPr="0042328C">
          <w:rPr>
            <w:rStyle w:val="Hyperlink"/>
          </w:rPr>
          <w:t>https://assets.publishing.service.gov.uk/government/uploads/system/uploads/attachment_data/file/66113/121214_Working_with_troubled_families_FINAL_v2.pdf</w:t>
        </w:r>
      </w:hyperlink>
      <w:r w:rsidRPr="0042328C">
        <w:t xml:space="preserve"> </w:t>
      </w:r>
    </w:p>
    <w:p w14:paraId="6B663CB7" w14:textId="2472C0C5" w:rsidR="0042328C" w:rsidRPr="0042328C" w:rsidRDefault="0042328C" w:rsidP="0042328C">
      <w:pPr>
        <w:pStyle w:val="EndNoteBibliography"/>
        <w:ind w:left="720" w:hanging="720"/>
      </w:pPr>
      <w:r w:rsidRPr="0042328C">
        <w:t xml:space="preserve">Degenhardt, L., Charlson, F., Ferrari, A., Santomauro, D., Erskine, H., Mantilla-Herrara, A., Whiteford, H., Leung, J., Naghavi, M., Griswold, M., Rehm, J., Hall, W., Sartorius, B., Scott, J., Vollset, S. E., Knudsen, A. K., Haro, J. M., Patton, G., Kopec, J., . . . Vos, T. (2018). The global burden of disease </w:t>
      </w:r>
      <w:r w:rsidRPr="0042328C">
        <w:lastRenderedPageBreak/>
        <w:t xml:space="preserve">attributable to alcohol and drug use in 195 countries and territories, 1990–2016: a systematic analysis for the Global Burden of Disease Study 2016. </w:t>
      </w:r>
      <w:r w:rsidRPr="0042328C">
        <w:rPr>
          <w:i/>
        </w:rPr>
        <w:t>The Lancet Psychiatry</w:t>
      </w:r>
      <w:r w:rsidRPr="0042328C">
        <w:t>,</w:t>
      </w:r>
      <w:r w:rsidRPr="0042328C">
        <w:rPr>
          <w:i/>
        </w:rPr>
        <w:t xml:space="preserve"> 5</w:t>
      </w:r>
      <w:r w:rsidRPr="0042328C">
        <w:t xml:space="preserve">(12), 987-1012. </w:t>
      </w:r>
      <w:hyperlink r:id="rId104" w:history="1">
        <w:r w:rsidRPr="0042328C">
          <w:rPr>
            <w:rStyle w:val="Hyperlink"/>
          </w:rPr>
          <w:t>https://doi.org/https://doi.org/10.1016/S2215-0366(18)30337-7</w:t>
        </w:r>
      </w:hyperlink>
      <w:r w:rsidRPr="0042328C">
        <w:t xml:space="preserve"> </w:t>
      </w:r>
    </w:p>
    <w:p w14:paraId="02BC6713" w14:textId="21997A2D" w:rsidR="0042328C" w:rsidRPr="0042328C" w:rsidRDefault="0042328C" w:rsidP="0042328C">
      <w:pPr>
        <w:pStyle w:val="EndNoteBibliography"/>
        <w:ind w:left="720" w:hanging="720"/>
      </w:pPr>
      <w:r w:rsidRPr="0042328C">
        <w:t xml:space="preserve">Department of Health. (2017). Drug misuse and dependence: UK guidelines on clinical management. Update 2017. Retrieved 26/04/2019, from </w:t>
      </w:r>
      <w:hyperlink r:id="rId105" w:history="1">
        <w:r w:rsidRPr="0042328C">
          <w:rPr>
            <w:rStyle w:val="Hyperlink"/>
          </w:rPr>
          <w:t>https://assets.publishing.service.gov.uk/government/uploads/system/uploads/attachment_data/file/673978/clinical_guidelines_2017.pdf</w:t>
        </w:r>
      </w:hyperlink>
      <w:r w:rsidRPr="0042328C">
        <w:t xml:space="preserve"> </w:t>
      </w:r>
    </w:p>
    <w:p w14:paraId="78221CAE" w14:textId="5AA9B3B0" w:rsidR="0042328C" w:rsidRPr="0042328C" w:rsidRDefault="0042328C" w:rsidP="0042328C">
      <w:pPr>
        <w:pStyle w:val="EndNoteBibliography"/>
        <w:ind w:left="720" w:hanging="720"/>
      </w:pPr>
      <w:r w:rsidRPr="0042328C">
        <w:t xml:space="preserve">DfE. (2021). </w:t>
      </w:r>
      <w:r w:rsidRPr="0042328C">
        <w:rPr>
          <w:i/>
        </w:rPr>
        <w:t>Vulnerable Children and Young People  Survey: Summary of returns Waves 1 to 17</w:t>
      </w:r>
      <w:r w:rsidRPr="0042328C">
        <w:t xml:space="preserve">. Department for Education Retrieved from </w:t>
      </w:r>
      <w:hyperlink r:id="rId106" w:history="1">
        <w:r w:rsidRPr="0042328C">
          <w:rPr>
            <w:rStyle w:val="Hyperlink"/>
          </w:rPr>
          <w:t>https://assets.publishing.service.gov.uk/government/uploads/system/uploads/attachment_data/file/957499/Vulnerable_children_and_young_people_survey_-_waves_1_to_17_-_Feb_2021.pdf</w:t>
        </w:r>
      </w:hyperlink>
    </w:p>
    <w:p w14:paraId="17BACA71" w14:textId="22117C4D" w:rsidR="0042328C" w:rsidRPr="0042328C" w:rsidRDefault="0042328C" w:rsidP="0042328C">
      <w:pPr>
        <w:pStyle w:val="EndNoteBibliography"/>
        <w:ind w:left="720" w:hanging="720"/>
      </w:pPr>
      <w:r w:rsidRPr="0042328C">
        <w:t xml:space="preserve">DfE. (2023). </w:t>
      </w:r>
      <w:r w:rsidRPr="0042328C">
        <w:rPr>
          <w:i/>
        </w:rPr>
        <w:t>Reporting year 2023. Children in need</w:t>
      </w:r>
      <w:r w:rsidRPr="0042328C">
        <w:t xml:space="preserve"> </w:t>
      </w:r>
      <w:hyperlink r:id="rId107" w:history="1">
        <w:r w:rsidRPr="0042328C">
          <w:rPr>
            <w:rStyle w:val="Hyperlink"/>
          </w:rPr>
          <w:t>https://explore-education-statistics.service.gov.uk/find-statistics/characteristics-of-children-in-need/2023#explore-data-and-files</w:t>
        </w:r>
      </w:hyperlink>
      <w:r w:rsidRPr="0042328C">
        <w:t xml:space="preserve"> </w:t>
      </w:r>
    </w:p>
    <w:p w14:paraId="2F934856" w14:textId="5E75A91C" w:rsidR="0042328C" w:rsidRPr="0042328C" w:rsidRDefault="0042328C" w:rsidP="0042328C">
      <w:pPr>
        <w:pStyle w:val="EndNoteBibliography"/>
        <w:ind w:left="720" w:hanging="720"/>
      </w:pPr>
      <w:r w:rsidRPr="0042328C">
        <w:t xml:space="preserve">Díaz, R., Gual, A., García, M., Arnau, J., Pascual, F., Cañuelo, B., Rubio, G., de Dios, Y., Fernández-Eire, M. C., Valdés, R., &amp; Garbayo, I. (2008). Children of alcoholics in Spain: from risk to pathology. Results from the ALFIL program. </w:t>
      </w:r>
      <w:r w:rsidRPr="0042328C">
        <w:rPr>
          <w:i/>
        </w:rPr>
        <w:t>Soc Psychiatry Psychiatr Epidemiol</w:t>
      </w:r>
      <w:r w:rsidRPr="0042328C">
        <w:t>,</w:t>
      </w:r>
      <w:r w:rsidRPr="0042328C">
        <w:rPr>
          <w:i/>
        </w:rPr>
        <w:t xml:space="preserve"> 43</w:t>
      </w:r>
      <w:r w:rsidRPr="0042328C">
        <w:t xml:space="preserve">(1), 1-10. </w:t>
      </w:r>
      <w:hyperlink r:id="rId108" w:history="1">
        <w:r w:rsidRPr="0042328C">
          <w:rPr>
            <w:rStyle w:val="Hyperlink"/>
          </w:rPr>
          <w:t>https://doi.org/10.1007/s00127-007-0264-2</w:t>
        </w:r>
      </w:hyperlink>
      <w:r w:rsidRPr="0042328C">
        <w:t xml:space="preserve"> </w:t>
      </w:r>
    </w:p>
    <w:p w14:paraId="0E09E034" w14:textId="5B90C904" w:rsidR="0042328C" w:rsidRPr="0042328C" w:rsidRDefault="0042328C" w:rsidP="0042328C">
      <w:pPr>
        <w:pStyle w:val="EndNoteBibliography"/>
        <w:ind w:left="720" w:hanging="720"/>
      </w:pPr>
      <w:r w:rsidRPr="0042328C">
        <w:t xml:space="preserve">Donohue, B., Azrin, N. H., Bradshaw, K., Van Hasselt, V. B., Cross, C. L., Urgelles, J., Romero, V., Hill, H. H., &amp; Allen, D. N. (2014). A controlled evaluation of family behavior therapy in concurrent child neglect and drug abuse [Journal article]. </w:t>
      </w:r>
      <w:r w:rsidRPr="0042328C">
        <w:rPr>
          <w:i/>
        </w:rPr>
        <w:t>Journal of consulting and clinical psychology</w:t>
      </w:r>
      <w:r w:rsidRPr="0042328C">
        <w:t>,</w:t>
      </w:r>
      <w:r w:rsidRPr="0042328C">
        <w:rPr>
          <w:i/>
        </w:rPr>
        <w:t xml:space="preserve"> 82</w:t>
      </w:r>
      <w:r w:rsidRPr="0042328C">
        <w:t>(4), 706</w:t>
      </w:r>
      <w:r w:rsidRPr="0042328C">
        <w:rPr>
          <w:rFonts w:ascii="Cambria Math" w:hAnsi="Cambria Math" w:cs="Cambria Math"/>
        </w:rPr>
        <w:t>‐</w:t>
      </w:r>
      <w:r w:rsidRPr="0042328C">
        <w:t xml:space="preserve">720. </w:t>
      </w:r>
      <w:hyperlink r:id="rId109" w:history="1">
        <w:r w:rsidRPr="0042328C">
          <w:rPr>
            <w:rStyle w:val="Hyperlink"/>
          </w:rPr>
          <w:t>https://doi.org/10.1037/a0036920</w:t>
        </w:r>
      </w:hyperlink>
      <w:r w:rsidRPr="0042328C">
        <w:t xml:space="preserve"> </w:t>
      </w:r>
    </w:p>
    <w:p w14:paraId="4C439529" w14:textId="57A54F63" w:rsidR="0042328C" w:rsidRPr="0042328C" w:rsidRDefault="0042328C" w:rsidP="0042328C">
      <w:pPr>
        <w:pStyle w:val="EndNoteBibliography"/>
        <w:ind w:left="720" w:hanging="720"/>
      </w:pPr>
      <w:r w:rsidRPr="0042328C">
        <w:t xml:space="preserve">Douglas-Siegel, J. A., &amp; Ryan, J. P. (2013). The effect of recovery coaches for substance-involved mothers in child welfare: Impact on juvenile delinquency. </w:t>
      </w:r>
      <w:r w:rsidRPr="0042328C">
        <w:rPr>
          <w:i/>
        </w:rPr>
        <w:t>Journal of Substance Abuse Treatment</w:t>
      </w:r>
      <w:r w:rsidRPr="0042328C">
        <w:t>,</w:t>
      </w:r>
      <w:r w:rsidRPr="0042328C">
        <w:rPr>
          <w:i/>
        </w:rPr>
        <w:t xml:space="preserve"> 45</w:t>
      </w:r>
      <w:r w:rsidRPr="0042328C">
        <w:t xml:space="preserve">(4), 381-387. </w:t>
      </w:r>
      <w:hyperlink r:id="rId110" w:history="1">
        <w:r w:rsidRPr="0042328C">
          <w:rPr>
            <w:rStyle w:val="Hyperlink"/>
          </w:rPr>
          <w:t>https://doi.org/http://dx.doi.org/10.1016/j.jsat.2013.05.010</w:t>
        </w:r>
      </w:hyperlink>
      <w:r w:rsidRPr="0042328C">
        <w:t xml:space="preserve"> </w:t>
      </w:r>
    </w:p>
    <w:p w14:paraId="6A9C22DD" w14:textId="77777777" w:rsidR="0042328C" w:rsidRPr="0042328C" w:rsidRDefault="0042328C" w:rsidP="0042328C">
      <w:pPr>
        <w:pStyle w:val="EndNoteBibliography"/>
        <w:ind w:left="720" w:hanging="720"/>
      </w:pPr>
      <w:r w:rsidRPr="0042328C">
        <w:t xml:space="preserve">Dretzke, J., Davenport, C., Frew, E., Barlow, J., Stewart-Brown, S., Bayliss, S., Taylor, R. S., Sandercock, J., &amp; Hyde, C. (2009). The clinical effectiveness of different parenting programmes for children with conduct problems: a systematic review of randomised controlled trials. </w:t>
      </w:r>
      <w:r w:rsidRPr="0042328C">
        <w:rPr>
          <w:i/>
        </w:rPr>
        <w:t>Child and adolescent psychiatry and mental health</w:t>
      </w:r>
      <w:r w:rsidRPr="0042328C">
        <w:t>,</w:t>
      </w:r>
      <w:r w:rsidRPr="0042328C">
        <w:rPr>
          <w:i/>
        </w:rPr>
        <w:t xml:space="preserve"> 3</w:t>
      </w:r>
      <w:r w:rsidRPr="0042328C">
        <w:t xml:space="preserve">, 1-10. </w:t>
      </w:r>
    </w:p>
    <w:p w14:paraId="022D1FD6" w14:textId="075269EF" w:rsidR="0042328C" w:rsidRPr="0042328C" w:rsidRDefault="0042328C" w:rsidP="0042328C">
      <w:pPr>
        <w:pStyle w:val="EndNoteBibliography"/>
        <w:ind w:left="720" w:hanging="720"/>
      </w:pPr>
      <w:r w:rsidRPr="0042328C">
        <w:t xml:space="preserve">Eastwood, B. (2019). The long-term impact of treatment for individuals presenting to specialist services in England with opioid addiction problems. </w:t>
      </w:r>
      <w:hyperlink r:id="rId111" w:history="1">
        <w:r w:rsidRPr="0042328C">
          <w:rPr>
            <w:rStyle w:val="Hyperlink"/>
          </w:rPr>
          <w:t>https://kclpure.kcl.ac.uk/portal/en/studentTheses/the-long-term-impact-of-treatment-for-individuals-presenting-to-s</w:t>
        </w:r>
      </w:hyperlink>
      <w:r w:rsidRPr="0042328C">
        <w:t xml:space="preserve"> </w:t>
      </w:r>
    </w:p>
    <w:p w14:paraId="31578248" w14:textId="6549C3E1" w:rsidR="0042328C" w:rsidRPr="0042328C" w:rsidRDefault="0042328C" w:rsidP="0042328C">
      <w:pPr>
        <w:pStyle w:val="EndNoteBibliography"/>
        <w:ind w:left="720" w:hanging="720"/>
      </w:pPr>
      <w:r w:rsidRPr="0042328C">
        <w:t xml:space="preserve">Eastwood, B., Peacock, A., Millar, T., Jones, A., Knight, J., Horgan, P., Lowden, T., Willey, P., &amp; Marsden, J. (2018). Effectiveness of inpatient withdrawal and residential rehabilitation interventions for alcohol use disorder: A national observational, cohort study in England. </w:t>
      </w:r>
      <w:r w:rsidRPr="0042328C">
        <w:rPr>
          <w:i/>
        </w:rPr>
        <w:t>Journal of Substance Abuse Treatment</w:t>
      </w:r>
      <w:r w:rsidRPr="0042328C">
        <w:t>,</w:t>
      </w:r>
      <w:r w:rsidRPr="0042328C">
        <w:rPr>
          <w:i/>
        </w:rPr>
        <w:t xml:space="preserve"> 88</w:t>
      </w:r>
      <w:r w:rsidRPr="0042328C">
        <w:t xml:space="preserve">, 1-8. </w:t>
      </w:r>
      <w:hyperlink r:id="rId112" w:history="1">
        <w:r w:rsidRPr="0042328C">
          <w:rPr>
            <w:rStyle w:val="Hyperlink"/>
          </w:rPr>
          <w:t>https://doi.org/10.1016/j.jsat.2018.02.001</w:t>
        </w:r>
      </w:hyperlink>
      <w:r w:rsidRPr="0042328C">
        <w:t xml:space="preserve"> </w:t>
      </w:r>
    </w:p>
    <w:p w14:paraId="52316C37" w14:textId="61A7C28A" w:rsidR="0042328C" w:rsidRPr="0042328C" w:rsidRDefault="0042328C" w:rsidP="0042328C">
      <w:pPr>
        <w:pStyle w:val="EndNoteBibliography"/>
        <w:ind w:left="720" w:hanging="720"/>
      </w:pPr>
      <w:r w:rsidRPr="0042328C">
        <w:t xml:space="preserve">Eastwood, B., Strang, J., &amp; Marsden, J. (2017). Effectiveness of treatment for opioid use disorder: A national, five-year, prospective, observational study in England. </w:t>
      </w:r>
      <w:r w:rsidRPr="0042328C">
        <w:rPr>
          <w:i/>
        </w:rPr>
        <w:t>Drug Alcohol Depend</w:t>
      </w:r>
      <w:r w:rsidRPr="0042328C">
        <w:t>,</w:t>
      </w:r>
      <w:r w:rsidRPr="0042328C">
        <w:rPr>
          <w:i/>
        </w:rPr>
        <w:t xml:space="preserve"> 176</w:t>
      </w:r>
      <w:r w:rsidRPr="0042328C">
        <w:t xml:space="preserve">, 139-147. </w:t>
      </w:r>
      <w:hyperlink r:id="rId113" w:history="1">
        <w:r w:rsidRPr="0042328C">
          <w:rPr>
            <w:rStyle w:val="Hyperlink"/>
          </w:rPr>
          <w:t>https://doi.org/10.1016/j.drugalcdep.2017.03.013</w:t>
        </w:r>
      </w:hyperlink>
      <w:r w:rsidRPr="0042328C">
        <w:t xml:space="preserve"> </w:t>
      </w:r>
    </w:p>
    <w:p w14:paraId="3D5DD555" w14:textId="3CE51103" w:rsidR="0042328C" w:rsidRPr="0042328C" w:rsidRDefault="0042328C" w:rsidP="0042328C">
      <w:pPr>
        <w:pStyle w:val="EndNoteBibliography"/>
        <w:ind w:left="720" w:hanging="720"/>
      </w:pPr>
      <w:r w:rsidRPr="0042328C">
        <w:t xml:space="preserve">Edwards, R. T., Jones, C., Berry, V., Charles, J., Linck, P., Bywater, T., &amp; Hutchings, J. (2016). Incredible Years parenting programme: cost-effectiveness and </w:t>
      </w:r>
      <w:r w:rsidRPr="0042328C">
        <w:lastRenderedPageBreak/>
        <w:t xml:space="preserve">implementation. </w:t>
      </w:r>
      <w:r w:rsidRPr="0042328C">
        <w:rPr>
          <w:i/>
        </w:rPr>
        <w:t>Journal of Children's Services</w:t>
      </w:r>
      <w:r w:rsidRPr="0042328C">
        <w:t>,</w:t>
      </w:r>
      <w:r w:rsidRPr="0042328C">
        <w:rPr>
          <w:i/>
        </w:rPr>
        <w:t xml:space="preserve"> 11</w:t>
      </w:r>
      <w:r w:rsidRPr="0042328C">
        <w:t xml:space="preserve">(1), 54-72. </w:t>
      </w:r>
      <w:hyperlink r:id="rId114" w:history="1">
        <w:r w:rsidRPr="0042328C">
          <w:rPr>
            <w:rStyle w:val="Hyperlink"/>
          </w:rPr>
          <w:t>https://doi.org/10.1108/JCS-02-2015-0005</w:t>
        </w:r>
      </w:hyperlink>
      <w:r w:rsidRPr="0042328C">
        <w:t xml:space="preserve"> </w:t>
      </w:r>
    </w:p>
    <w:p w14:paraId="34C0B82E" w14:textId="384693C4" w:rsidR="0042328C" w:rsidRPr="0042328C" w:rsidRDefault="0042328C" w:rsidP="0042328C">
      <w:pPr>
        <w:pStyle w:val="EndNoteBibliography"/>
        <w:ind w:left="720" w:hanging="720"/>
      </w:pPr>
      <w:r w:rsidRPr="0042328C">
        <w:t xml:space="preserve">El-Banna, A., Petrou, S., Yiu, H. H. E., Daher, S., Forrester, D., Scourfield, J., Wilkins, D., Evans, R., Turley, R., &amp; Wallace, S. (2021). Systematic review of economic evaluations of children’s social care interventions. </w:t>
      </w:r>
      <w:r w:rsidRPr="0042328C">
        <w:rPr>
          <w:i/>
        </w:rPr>
        <w:t>Children and Youth Services Review</w:t>
      </w:r>
      <w:r w:rsidRPr="0042328C">
        <w:t>,</w:t>
      </w:r>
      <w:r w:rsidRPr="0042328C">
        <w:rPr>
          <w:i/>
        </w:rPr>
        <w:t xml:space="preserve"> 121</w:t>
      </w:r>
      <w:r w:rsidRPr="0042328C">
        <w:t xml:space="preserve">. </w:t>
      </w:r>
      <w:hyperlink r:id="rId115" w:history="1">
        <w:r w:rsidRPr="0042328C">
          <w:rPr>
            <w:rStyle w:val="Hyperlink"/>
          </w:rPr>
          <w:t>https://doi.org/https://doi.org/10.1016/j.childyouth.2020.105864</w:t>
        </w:r>
      </w:hyperlink>
      <w:r w:rsidRPr="0042328C">
        <w:t xml:space="preserve"> </w:t>
      </w:r>
    </w:p>
    <w:p w14:paraId="24F070BF" w14:textId="1AE09FE9" w:rsidR="0042328C" w:rsidRPr="0042328C" w:rsidRDefault="0042328C" w:rsidP="0042328C">
      <w:pPr>
        <w:pStyle w:val="EndNoteBibliography"/>
        <w:ind w:left="720" w:hanging="720"/>
      </w:pPr>
      <w:r w:rsidRPr="0042328C">
        <w:t xml:space="preserve">Evans, A., Hardcastle, K., Bandyopadhyay, A., Farewell, D., John, A., Lyons, R. A., Long, S., Bellis, M. A., &amp; Paranjothy, S. (2020). Adverse childhood experiences during childhood and academic attainment at age 7 and 11 years: an electronic birth cohort study. </w:t>
      </w:r>
      <w:r w:rsidRPr="0042328C">
        <w:rPr>
          <w:i/>
        </w:rPr>
        <w:t>Public Health</w:t>
      </w:r>
      <w:r w:rsidRPr="0042328C">
        <w:t>,</w:t>
      </w:r>
      <w:r w:rsidRPr="0042328C">
        <w:rPr>
          <w:i/>
        </w:rPr>
        <w:t xml:space="preserve"> 189</w:t>
      </w:r>
      <w:r w:rsidRPr="0042328C">
        <w:t xml:space="preserve">, 37-47. </w:t>
      </w:r>
      <w:hyperlink r:id="rId116" w:history="1">
        <w:r w:rsidRPr="0042328C">
          <w:rPr>
            <w:rStyle w:val="Hyperlink"/>
          </w:rPr>
          <w:t>https://doi.org/https://doi.org/10.1016/j.puhe.2020.08.027</w:t>
        </w:r>
      </w:hyperlink>
      <w:r w:rsidRPr="0042328C">
        <w:t xml:space="preserve"> </w:t>
      </w:r>
    </w:p>
    <w:p w14:paraId="428169E1" w14:textId="1930C969" w:rsidR="0042328C" w:rsidRPr="0042328C" w:rsidRDefault="0042328C" w:rsidP="0042328C">
      <w:pPr>
        <w:pStyle w:val="EndNoteBibliography"/>
        <w:ind w:left="720" w:hanging="720"/>
      </w:pPr>
      <w:r w:rsidRPr="0042328C">
        <w:t xml:space="preserve">Farhoudian, A., Razaghi, E., Hooshyari, Z., Noroozi, A., Pilevari, A., Mokri, A., Mohammadi, M. R., &amp; Malekinejad, M. (2022). Barriers and Facilitators to Substance Use Disorder Treatment: An Overview of Systematic Reviews. </w:t>
      </w:r>
      <w:r w:rsidRPr="0042328C">
        <w:rPr>
          <w:i/>
        </w:rPr>
        <w:t>Substance Abuse: Research and Treatment</w:t>
      </w:r>
      <w:r w:rsidRPr="0042328C">
        <w:t>,</w:t>
      </w:r>
      <w:r w:rsidRPr="0042328C">
        <w:rPr>
          <w:i/>
        </w:rPr>
        <w:t xml:space="preserve"> 16</w:t>
      </w:r>
      <w:r w:rsidRPr="0042328C">
        <w:t xml:space="preserve">, 11782218221118462. </w:t>
      </w:r>
      <w:hyperlink r:id="rId117" w:history="1">
        <w:r w:rsidRPr="0042328C">
          <w:rPr>
            <w:rStyle w:val="Hyperlink"/>
          </w:rPr>
          <w:t>https://doi.org/10.1177/11782218221118462</w:t>
        </w:r>
      </w:hyperlink>
      <w:r w:rsidRPr="0042328C">
        <w:t xml:space="preserve"> </w:t>
      </w:r>
    </w:p>
    <w:p w14:paraId="7BA90A9B" w14:textId="36C339DA" w:rsidR="0042328C" w:rsidRPr="0042328C" w:rsidRDefault="0042328C" w:rsidP="0042328C">
      <w:pPr>
        <w:pStyle w:val="EndNoteBibliography"/>
        <w:ind w:left="720" w:hanging="720"/>
      </w:pPr>
      <w:r w:rsidRPr="0042328C">
        <w:t xml:space="preserve">Fink, B., Landthaler, M., &amp; Hafner, C. (2011). Skin alterations due to illegal drug abuse. </w:t>
      </w:r>
      <w:r w:rsidRPr="0042328C">
        <w:rPr>
          <w:i/>
        </w:rPr>
        <w:t>JDDG: Journal der Deutschen Dermatologischen Gesellschaft</w:t>
      </w:r>
      <w:r w:rsidRPr="0042328C">
        <w:t>,</w:t>
      </w:r>
      <w:r w:rsidRPr="0042328C">
        <w:rPr>
          <w:i/>
        </w:rPr>
        <w:t xml:space="preserve"> 9</w:t>
      </w:r>
      <w:r w:rsidRPr="0042328C">
        <w:t xml:space="preserve">(8), 633-639. </w:t>
      </w:r>
      <w:hyperlink r:id="rId118" w:history="1">
        <w:r w:rsidRPr="0042328C">
          <w:rPr>
            <w:rStyle w:val="Hyperlink"/>
          </w:rPr>
          <w:t>https://doi.org/https://doi.org/10.1111/j.1610-0387.2011.07699.x</w:t>
        </w:r>
      </w:hyperlink>
      <w:r w:rsidRPr="0042328C">
        <w:t xml:space="preserve"> </w:t>
      </w:r>
    </w:p>
    <w:p w14:paraId="63864FF7" w14:textId="4E983BCB" w:rsidR="0042328C" w:rsidRPr="0042328C" w:rsidRDefault="0042328C" w:rsidP="0042328C">
      <w:pPr>
        <w:pStyle w:val="EndNoteBibliography"/>
        <w:ind w:left="720" w:hanging="720"/>
      </w:pPr>
      <w:r w:rsidRPr="0042328C">
        <w:t xml:space="preserve">Fischer, G., Ortner, R., Rohrmeister, K., Jagsch, R., Baewert, A., Langer, M., &amp; Aschauer, H. (2006). Methadone versus buprenorphine in pregnant addicts: a double-blind, double-dummy comparison study. </w:t>
      </w:r>
      <w:r w:rsidRPr="0042328C">
        <w:rPr>
          <w:i/>
        </w:rPr>
        <w:t>Addiction</w:t>
      </w:r>
      <w:r w:rsidRPr="0042328C">
        <w:t>,</w:t>
      </w:r>
      <w:r w:rsidRPr="0042328C">
        <w:rPr>
          <w:i/>
        </w:rPr>
        <w:t xml:space="preserve"> 101</w:t>
      </w:r>
      <w:r w:rsidRPr="0042328C">
        <w:t xml:space="preserve">(2), 275-281. </w:t>
      </w:r>
      <w:hyperlink r:id="rId119" w:history="1">
        <w:r w:rsidRPr="0042328C">
          <w:rPr>
            <w:rStyle w:val="Hyperlink"/>
          </w:rPr>
          <w:t>https://doi.org/http://dx.doi.org/10.1111/j.1360-0443.2006.01321.x</w:t>
        </w:r>
      </w:hyperlink>
      <w:r w:rsidRPr="0042328C">
        <w:t xml:space="preserve"> </w:t>
      </w:r>
    </w:p>
    <w:p w14:paraId="287E835C" w14:textId="5FEBBBFA" w:rsidR="0042328C" w:rsidRPr="0042328C" w:rsidRDefault="0042328C" w:rsidP="0042328C">
      <w:pPr>
        <w:pStyle w:val="EndNoteBibliography"/>
        <w:ind w:left="720" w:hanging="720"/>
      </w:pPr>
      <w:r w:rsidRPr="0042328C">
        <w:t xml:space="preserve">Forrester, D., Copello, A., Waissbein, C., &amp; Pokhrel, S. (2008). Evaluation of an intensive family preservation service for families affected by parental substance misuse. </w:t>
      </w:r>
      <w:r w:rsidRPr="0042328C">
        <w:rPr>
          <w:i/>
        </w:rPr>
        <w:t>Child Abuse Review</w:t>
      </w:r>
      <w:r w:rsidRPr="0042328C">
        <w:t>,</w:t>
      </w:r>
      <w:r w:rsidRPr="0042328C">
        <w:rPr>
          <w:i/>
        </w:rPr>
        <w:t xml:space="preserve"> 17</w:t>
      </w:r>
      <w:r w:rsidRPr="0042328C">
        <w:t xml:space="preserve">(6), 410-426. </w:t>
      </w:r>
      <w:hyperlink r:id="rId120" w:history="1">
        <w:r w:rsidRPr="0042328C">
          <w:rPr>
            <w:rStyle w:val="Hyperlink"/>
          </w:rPr>
          <w:t>https://doi.org/10.1002/car.1048</w:t>
        </w:r>
      </w:hyperlink>
      <w:r w:rsidRPr="0042328C">
        <w:t xml:space="preserve"> </w:t>
      </w:r>
    </w:p>
    <w:p w14:paraId="2A1666A4" w14:textId="4A90D483" w:rsidR="0042328C" w:rsidRPr="0042328C" w:rsidRDefault="0042328C" w:rsidP="0042328C">
      <w:pPr>
        <w:pStyle w:val="EndNoteBibliography"/>
        <w:ind w:left="720" w:hanging="720"/>
      </w:pPr>
      <w:r w:rsidRPr="0042328C">
        <w:t xml:space="preserve">Forrester, D., &amp; Harwin, J. (2006). Parental substance misuse and child care social work: findings from the first stage of a study of 100 families. </w:t>
      </w:r>
      <w:r w:rsidRPr="0042328C">
        <w:rPr>
          <w:i/>
        </w:rPr>
        <w:t>Child &amp; Family Social Work</w:t>
      </w:r>
      <w:r w:rsidRPr="0042328C">
        <w:t>,</w:t>
      </w:r>
      <w:r w:rsidRPr="0042328C">
        <w:rPr>
          <w:i/>
        </w:rPr>
        <w:t xml:space="preserve"> 11</w:t>
      </w:r>
      <w:r w:rsidRPr="0042328C">
        <w:t xml:space="preserve">(4), 325-335. </w:t>
      </w:r>
      <w:hyperlink r:id="rId121" w:history="1">
        <w:r w:rsidRPr="0042328C">
          <w:rPr>
            <w:rStyle w:val="Hyperlink"/>
          </w:rPr>
          <w:t>https://doi.org/https://doi.org/10.1111/j.1365-2206.2006.00415.x</w:t>
        </w:r>
      </w:hyperlink>
      <w:r w:rsidRPr="0042328C">
        <w:t xml:space="preserve"> </w:t>
      </w:r>
    </w:p>
    <w:p w14:paraId="19D5E2B0" w14:textId="26326FC4" w:rsidR="0042328C" w:rsidRPr="0042328C" w:rsidRDefault="0042328C" w:rsidP="0042328C">
      <w:pPr>
        <w:pStyle w:val="EndNoteBibliography"/>
        <w:ind w:left="720" w:hanging="720"/>
      </w:pPr>
      <w:r w:rsidRPr="0042328C">
        <w:t xml:space="preserve">Forrester, D., Holland, S., Williams, A., &amp; Copello, A. (2014). Helping families where parents misuse drugs or alcohol? A mixed methods comparative evaluation of an intensive family preservation service. </w:t>
      </w:r>
      <w:r w:rsidRPr="0042328C">
        <w:rPr>
          <w:i/>
        </w:rPr>
        <w:t>Child &amp; Family Social Work</w:t>
      </w:r>
      <w:r w:rsidRPr="0042328C">
        <w:t>,</w:t>
      </w:r>
      <w:r w:rsidRPr="0042328C">
        <w:rPr>
          <w:i/>
        </w:rPr>
        <w:t xml:space="preserve"> 21</w:t>
      </w:r>
      <w:r w:rsidRPr="0042328C">
        <w:t xml:space="preserve">(1), 65-75. </w:t>
      </w:r>
      <w:hyperlink r:id="rId122" w:history="1">
        <w:r w:rsidRPr="0042328C">
          <w:rPr>
            <w:rStyle w:val="Hyperlink"/>
          </w:rPr>
          <w:t>https://doi.org/doi:10.1111/cfs.12111</w:t>
        </w:r>
      </w:hyperlink>
      <w:r w:rsidRPr="0042328C">
        <w:t xml:space="preserve"> </w:t>
      </w:r>
    </w:p>
    <w:p w14:paraId="14BAE3BE" w14:textId="2CD4F793" w:rsidR="0042328C" w:rsidRPr="0042328C" w:rsidRDefault="0042328C" w:rsidP="0042328C">
      <w:pPr>
        <w:pStyle w:val="EndNoteBibliography"/>
        <w:ind w:left="720" w:hanging="720"/>
      </w:pPr>
      <w:r w:rsidRPr="0042328C">
        <w:t xml:space="preserve">Foster, D. (2023). Supporting Families. Research Briefing. Retrieved 04/04/2024, from </w:t>
      </w:r>
      <w:hyperlink r:id="rId123" w:history="1">
        <w:r w:rsidRPr="0042328C">
          <w:rPr>
            <w:rStyle w:val="Hyperlink"/>
          </w:rPr>
          <w:t>https://researchbriefings.files.parliament.uk/documents/CBP-7585/CBP-7585.pdf</w:t>
        </w:r>
      </w:hyperlink>
      <w:r w:rsidRPr="0042328C">
        <w:t xml:space="preserve"> </w:t>
      </w:r>
    </w:p>
    <w:p w14:paraId="1322722D" w14:textId="7FE060CC" w:rsidR="0042328C" w:rsidRPr="0042328C" w:rsidRDefault="0042328C" w:rsidP="0042328C">
      <w:pPr>
        <w:pStyle w:val="EndNoteBibliography"/>
        <w:ind w:left="720" w:hanging="720"/>
      </w:pPr>
      <w:r w:rsidRPr="0042328C">
        <w:t xml:space="preserve">Franklin, J., Larkham, J., &amp; Mansoor, M. (2023). The well-worn path: Children’s services spending 2010-11 to 2021-22. </w:t>
      </w:r>
      <w:hyperlink r:id="rId124" w:history="1">
        <w:r w:rsidRPr="0042328C">
          <w:rPr>
            <w:rStyle w:val="Hyperlink"/>
          </w:rPr>
          <w:t>https://www.probonoeconomics.com/Handlers/Download.ashx?IDMF=64274c2e-73c3-4364-b995-4b31b6825dd8</w:t>
        </w:r>
      </w:hyperlink>
      <w:r w:rsidRPr="0042328C">
        <w:t xml:space="preserve"> </w:t>
      </w:r>
    </w:p>
    <w:p w14:paraId="01CDEC7E" w14:textId="66E1D71A" w:rsidR="0042328C" w:rsidRPr="0042328C" w:rsidRDefault="0042328C" w:rsidP="0042328C">
      <w:pPr>
        <w:pStyle w:val="EndNoteBibliography"/>
        <w:ind w:left="720" w:hanging="720"/>
      </w:pPr>
      <w:r w:rsidRPr="0042328C">
        <w:t xml:space="preserve">Galvani, S., &amp; Forrester, D. (2011). Social Work Services and Recovery from Substance Misuse: A review of the evidence. Retrieved 21/01/17, from </w:t>
      </w:r>
      <w:hyperlink r:id="rId125" w:history="1">
        <w:r w:rsidRPr="0042328C">
          <w:rPr>
            <w:rStyle w:val="Hyperlink"/>
          </w:rPr>
          <w:t>http://www.gov.scot/Publications/2011/03/18085806/0</w:t>
        </w:r>
      </w:hyperlink>
      <w:r w:rsidRPr="0042328C">
        <w:t xml:space="preserve"> </w:t>
      </w:r>
    </w:p>
    <w:p w14:paraId="733C01C3" w14:textId="203ABD59" w:rsidR="0042328C" w:rsidRPr="0042328C" w:rsidRDefault="0042328C" w:rsidP="0042328C">
      <w:pPr>
        <w:pStyle w:val="EndNoteBibliography"/>
        <w:ind w:left="720" w:hanging="720"/>
      </w:pPr>
      <w:r w:rsidRPr="0042328C">
        <w:t xml:space="preserve">Gifford, E. J., Eldred, L. M., Vernerey, A., &amp; Sloan, F. A. (2014). How does family drug treatment court participation affect child welfare outcomes? </w:t>
      </w:r>
      <w:r w:rsidRPr="0042328C">
        <w:rPr>
          <w:i/>
        </w:rPr>
        <w:t>Child Abuse &amp; Neglect</w:t>
      </w:r>
      <w:r w:rsidRPr="0042328C">
        <w:t>,</w:t>
      </w:r>
      <w:r w:rsidRPr="0042328C">
        <w:rPr>
          <w:i/>
        </w:rPr>
        <w:t xml:space="preserve"> 38</w:t>
      </w:r>
      <w:r w:rsidRPr="0042328C">
        <w:t xml:space="preserve">(10), 1659-1670. </w:t>
      </w:r>
      <w:hyperlink r:id="rId126" w:history="1">
        <w:r w:rsidRPr="0042328C">
          <w:rPr>
            <w:rStyle w:val="Hyperlink"/>
          </w:rPr>
          <w:t>https://doi.org/https://doi.org/10.1016/j.chiabu.2014.03.010</w:t>
        </w:r>
      </w:hyperlink>
      <w:r w:rsidRPr="0042328C">
        <w:t xml:space="preserve"> </w:t>
      </w:r>
    </w:p>
    <w:p w14:paraId="1285B5E6" w14:textId="02DCB586" w:rsidR="0042328C" w:rsidRPr="0042328C" w:rsidRDefault="0042328C" w:rsidP="0042328C">
      <w:pPr>
        <w:pStyle w:val="EndNoteBibliography"/>
        <w:ind w:left="720" w:hanging="720"/>
      </w:pPr>
      <w:r w:rsidRPr="0042328C">
        <w:lastRenderedPageBreak/>
        <w:t xml:space="preserve">Gifford, E. J., Sloan, F. A., Eldred, L. M., &amp; Evans, K. E. (2015). Intergenerational effects of parental substance-related convictions and adult drug treatment court participation on children’s school performance. </w:t>
      </w:r>
      <w:r w:rsidRPr="0042328C">
        <w:rPr>
          <w:i/>
        </w:rPr>
        <w:t>American Journal of Orthopsychiatry</w:t>
      </w:r>
      <w:r w:rsidRPr="0042328C">
        <w:t>,</w:t>
      </w:r>
      <w:r w:rsidRPr="0042328C">
        <w:rPr>
          <w:i/>
        </w:rPr>
        <w:t xml:space="preserve"> 85</w:t>
      </w:r>
      <w:r w:rsidRPr="0042328C">
        <w:t xml:space="preserve">(5), 452-468. </w:t>
      </w:r>
      <w:hyperlink r:id="rId127" w:history="1">
        <w:r w:rsidRPr="0042328C">
          <w:rPr>
            <w:rStyle w:val="Hyperlink"/>
          </w:rPr>
          <w:t>https://doi.org/10.1037/ort0000087</w:t>
        </w:r>
      </w:hyperlink>
      <w:r w:rsidRPr="0042328C">
        <w:t xml:space="preserve"> </w:t>
      </w:r>
    </w:p>
    <w:p w14:paraId="24F96311" w14:textId="5388279F" w:rsidR="0042328C" w:rsidRPr="0042328C" w:rsidRDefault="0042328C" w:rsidP="0042328C">
      <w:pPr>
        <w:pStyle w:val="EndNoteBibliography"/>
        <w:ind w:left="720" w:hanging="720"/>
      </w:pPr>
      <w:r w:rsidRPr="0042328C">
        <w:t xml:space="preserve">Gossop, M., Trakada, K., Stewart, D., &amp; Witton, J. (2005). Reductions in criminal convictions after addiction treatment: 5-year follow-up. </w:t>
      </w:r>
      <w:r w:rsidRPr="0042328C">
        <w:rPr>
          <w:i/>
        </w:rPr>
        <w:t>Drug Alcohol Depend</w:t>
      </w:r>
      <w:r w:rsidRPr="0042328C">
        <w:t>,</w:t>
      </w:r>
      <w:r w:rsidRPr="0042328C">
        <w:rPr>
          <w:i/>
        </w:rPr>
        <w:t xml:space="preserve"> 79</w:t>
      </w:r>
      <w:r w:rsidRPr="0042328C">
        <w:t xml:space="preserve">(3), 295-302. </w:t>
      </w:r>
      <w:hyperlink r:id="rId128" w:history="1">
        <w:r w:rsidRPr="0042328C">
          <w:rPr>
            <w:rStyle w:val="Hyperlink"/>
          </w:rPr>
          <w:t>https://doi.org/https://doi.org/10.1016/j.drugalcdep.2005.01.023</w:t>
        </w:r>
      </w:hyperlink>
      <w:r w:rsidRPr="0042328C">
        <w:t xml:space="preserve"> </w:t>
      </w:r>
    </w:p>
    <w:p w14:paraId="5BBEAF7C" w14:textId="099359B2" w:rsidR="0042328C" w:rsidRPr="0042328C" w:rsidRDefault="0042328C" w:rsidP="0042328C">
      <w:pPr>
        <w:pStyle w:val="EndNoteBibliography"/>
        <w:ind w:left="720" w:hanging="720"/>
      </w:pPr>
      <w:r w:rsidRPr="0042328C">
        <w:t xml:space="preserve">Graham, J. W., Olchowski, A. E., &amp; Gilreath, T. D. (2007). How many imputations are really needed? Some practical clarifications of multiple imputation theory. </w:t>
      </w:r>
      <w:r w:rsidRPr="0042328C">
        <w:rPr>
          <w:i/>
        </w:rPr>
        <w:t>Prev Sci</w:t>
      </w:r>
      <w:r w:rsidRPr="0042328C">
        <w:t>,</w:t>
      </w:r>
      <w:r w:rsidRPr="0042328C">
        <w:rPr>
          <w:i/>
        </w:rPr>
        <w:t xml:space="preserve"> 8</w:t>
      </w:r>
      <w:r w:rsidRPr="0042328C">
        <w:t xml:space="preserve">(3), 206-213. </w:t>
      </w:r>
      <w:hyperlink r:id="rId129" w:history="1">
        <w:r w:rsidRPr="0042328C">
          <w:rPr>
            <w:rStyle w:val="Hyperlink"/>
          </w:rPr>
          <w:t>https://doi.org/10.1007/s11121-007-0070-9</w:t>
        </w:r>
      </w:hyperlink>
      <w:r w:rsidRPr="0042328C">
        <w:t xml:space="preserve"> </w:t>
      </w:r>
    </w:p>
    <w:p w14:paraId="4167627F" w14:textId="168C550C" w:rsidR="0042328C" w:rsidRPr="0042328C" w:rsidRDefault="0042328C" w:rsidP="0042328C">
      <w:pPr>
        <w:pStyle w:val="EndNoteBibliography"/>
        <w:ind w:left="720" w:hanging="720"/>
      </w:pPr>
      <w:r w:rsidRPr="0042328C">
        <w:t xml:space="preserve">Granfield, R., &amp; Cloud, W. (2001). Social context and “Natural Recovery”: The role of social capital in the resolution of drug-associated problems. </w:t>
      </w:r>
      <w:r w:rsidRPr="0042328C">
        <w:rPr>
          <w:i/>
        </w:rPr>
        <w:t>Substance Use &amp; Misuse</w:t>
      </w:r>
      <w:r w:rsidRPr="0042328C">
        <w:t>,</w:t>
      </w:r>
      <w:r w:rsidRPr="0042328C">
        <w:rPr>
          <w:i/>
        </w:rPr>
        <w:t xml:space="preserve"> 36</w:t>
      </w:r>
      <w:r w:rsidRPr="0042328C">
        <w:t xml:space="preserve">(11), 1543-1570. </w:t>
      </w:r>
      <w:hyperlink r:id="rId130" w:history="1">
        <w:r w:rsidRPr="0042328C">
          <w:rPr>
            <w:rStyle w:val="Hyperlink"/>
          </w:rPr>
          <w:t>https://doi.org/10.1081/JA-100106963</w:t>
        </w:r>
      </w:hyperlink>
      <w:r w:rsidRPr="0042328C">
        <w:t xml:space="preserve"> </w:t>
      </w:r>
    </w:p>
    <w:p w14:paraId="41F809FC" w14:textId="4F056B83" w:rsidR="0042328C" w:rsidRPr="0042328C" w:rsidRDefault="0042328C" w:rsidP="0042328C">
      <w:pPr>
        <w:pStyle w:val="EndNoteBibliography"/>
        <w:ind w:left="720" w:hanging="720"/>
      </w:pPr>
      <w:r w:rsidRPr="0042328C">
        <w:t xml:space="preserve">Grant, T. M., Ernst, C. C., Streissguth, A., &amp; Stark, K. (2005). Preventing Alcohol and Drug Exposed Births in Washington State: Intervention Findings From Three Parent-Child Assistance Program Sites. </w:t>
      </w:r>
      <w:r w:rsidRPr="0042328C">
        <w:rPr>
          <w:i/>
        </w:rPr>
        <w:t>The American Journal of Drug and Alcohol Abuse</w:t>
      </w:r>
      <w:r w:rsidRPr="0042328C">
        <w:t>,</w:t>
      </w:r>
      <w:r w:rsidRPr="0042328C">
        <w:rPr>
          <w:i/>
        </w:rPr>
        <w:t xml:space="preserve"> 31</w:t>
      </w:r>
      <w:r w:rsidRPr="0042328C">
        <w:t xml:space="preserve">(3), 471-490. </w:t>
      </w:r>
      <w:hyperlink r:id="rId131" w:history="1">
        <w:r w:rsidRPr="0042328C">
          <w:rPr>
            <w:rStyle w:val="Hyperlink"/>
          </w:rPr>
          <w:t>https://doi.org/10.1081/ADA-200056813</w:t>
        </w:r>
      </w:hyperlink>
      <w:r w:rsidRPr="0042328C">
        <w:t xml:space="preserve"> </w:t>
      </w:r>
    </w:p>
    <w:p w14:paraId="05E88D7C" w14:textId="56C1BA6D" w:rsidR="0042328C" w:rsidRPr="0042328C" w:rsidRDefault="0042328C" w:rsidP="0042328C">
      <w:pPr>
        <w:pStyle w:val="EndNoteBibliography"/>
        <w:ind w:left="720" w:hanging="720"/>
      </w:pPr>
      <w:r w:rsidRPr="0042328C">
        <w:t xml:space="preserve">Green, B. L., Furrer, C., Worcel, S., Burrus, S., &amp; Finigan, M. W. (2007). How Effective Are Family Treatment Drug Courts? Outcomes From a Four-Site National Study. </w:t>
      </w:r>
      <w:r w:rsidRPr="0042328C">
        <w:rPr>
          <w:i/>
        </w:rPr>
        <w:t>Child Maltreatment</w:t>
      </w:r>
      <w:r w:rsidRPr="0042328C">
        <w:t>,</w:t>
      </w:r>
      <w:r w:rsidRPr="0042328C">
        <w:rPr>
          <w:i/>
        </w:rPr>
        <w:t xml:space="preserve"> 12</w:t>
      </w:r>
      <w:r w:rsidRPr="0042328C">
        <w:t xml:space="preserve">(1), 43-59. </w:t>
      </w:r>
      <w:hyperlink r:id="rId132" w:history="1">
        <w:r w:rsidRPr="0042328C">
          <w:rPr>
            <w:rStyle w:val="Hyperlink"/>
          </w:rPr>
          <w:t>https://doi.org/10.1177/1077559506296317</w:t>
        </w:r>
      </w:hyperlink>
      <w:r w:rsidRPr="0042328C">
        <w:t xml:space="preserve"> </w:t>
      </w:r>
    </w:p>
    <w:p w14:paraId="4EFDE16B" w14:textId="05564C6E" w:rsidR="0042328C" w:rsidRPr="0042328C" w:rsidRDefault="0042328C" w:rsidP="0042328C">
      <w:pPr>
        <w:pStyle w:val="EndNoteBibliography"/>
        <w:ind w:left="720" w:hanging="720"/>
      </w:pPr>
      <w:r w:rsidRPr="0042328C">
        <w:t xml:space="preserve">Green, K. M., &amp; Stuart, E. A. (2014). Examining Moderation Analyses in Propensity Score Methods: Application to Depression and Substance Use. </w:t>
      </w:r>
      <w:r w:rsidRPr="0042328C">
        <w:rPr>
          <w:i/>
        </w:rPr>
        <w:t>J Consult Clin Psychol</w:t>
      </w:r>
      <w:r w:rsidRPr="0042328C">
        <w:t>,</w:t>
      </w:r>
      <w:r w:rsidRPr="0042328C">
        <w:rPr>
          <w:i/>
        </w:rPr>
        <w:t xml:space="preserve"> 82</w:t>
      </w:r>
      <w:r w:rsidRPr="0042328C">
        <w:t xml:space="preserve">(5), 773-783. </w:t>
      </w:r>
      <w:hyperlink r:id="rId133" w:history="1">
        <w:r w:rsidRPr="0042328C">
          <w:rPr>
            <w:rStyle w:val="Hyperlink"/>
          </w:rPr>
          <w:t>https://doi.org/10.1037/a0036515</w:t>
        </w:r>
      </w:hyperlink>
      <w:r w:rsidRPr="0042328C">
        <w:t xml:space="preserve"> </w:t>
      </w:r>
    </w:p>
    <w:p w14:paraId="64DCF15D" w14:textId="01F4BC4E" w:rsidR="0042328C" w:rsidRPr="0042328C" w:rsidRDefault="0042328C" w:rsidP="0042328C">
      <w:pPr>
        <w:pStyle w:val="EndNoteBibliography"/>
        <w:ind w:left="720" w:hanging="720"/>
      </w:pPr>
      <w:r w:rsidRPr="0042328C">
        <w:t xml:space="preserve">Greenmyer, J. R., Klug, M., G., Kambeitz, C., Popova, S., &amp; Burd, L. (2018). </w:t>
      </w:r>
      <w:r w:rsidRPr="0042328C">
        <w:rPr>
          <w:i/>
        </w:rPr>
        <w:t>A Multicountry Updated Assessment of the Economic Impact of Fetal Alcohol Spectrum Disorder: Costs for Children and Adults</w:t>
      </w:r>
      <w:r w:rsidRPr="0042328C">
        <w:t xml:space="preserve"> (Vol. 12). </w:t>
      </w:r>
      <w:hyperlink r:id="rId134" w:history="1">
        <w:r w:rsidRPr="0042328C">
          <w:rPr>
            <w:rStyle w:val="Hyperlink"/>
          </w:rPr>
          <w:t>https://doi.org/10.1097/ADM.0000000000000438</w:t>
        </w:r>
      </w:hyperlink>
      <w:r w:rsidRPr="0042328C">
        <w:t xml:space="preserve"> </w:t>
      </w:r>
    </w:p>
    <w:p w14:paraId="7D1F7E6C" w14:textId="7D74116F" w:rsidR="0042328C" w:rsidRPr="0042328C" w:rsidRDefault="0042328C" w:rsidP="0042328C">
      <w:pPr>
        <w:pStyle w:val="EndNoteBibliography"/>
        <w:ind w:left="720" w:hanging="720"/>
      </w:pPr>
      <w:r w:rsidRPr="0042328C">
        <w:t xml:space="preserve">Greifer, N., &amp; Stuart, E. A. (2021). Choosing the Causal Estimand for Propensity Score Analysis of Observational Studies. </w:t>
      </w:r>
      <w:hyperlink r:id="rId135" w:history="1">
        <w:r w:rsidRPr="0042328C">
          <w:rPr>
            <w:rStyle w:val="Hyperlink"/>
          </w:rPr>
          <w:t>https://doi.org/10.48550/arxiv.2106.10577</w:t>
        </w:r>
      </w:hyperlink>
      <w:r w:rsidRPr="0042328C">
        <w:t xml:space="preserve"> </w:t>
      </w:r>
    </w:p>
    <w:p w14:paraId="7118F23F" w14:textId="0583F91C" w:rsidR="0042328C" w:rsidRPr="0042328C" w:rsidRDefault="0042328C" w:rsidP="0042328C">
      <w:pPr>
        <w:pStyle w:val="EndNoteBibliography"/>
        <w:ind w:left="720" w:hanging="720"/>
      </w:pPr>
      <w:r w:rsidRPr="0042328C">
        <w:t xml:space="preserve">Grella, C. E., Hser, Y.-I., &amp; Huang, Y.-C. (2006). Mothers in substance abuse treatment: differences in characteristics based on involvement with child welfare services. </w:t>
      </w:r>
      <w:r w:rsidRPr="0042328C">
        <w:rPr>
          <w:i/>
        </w:rPr>
        <w:t>Child Abuse &amp; Neglect</w:t>
      </w:r>
      <w:r w:rsidRPr="0042328C">
        <w:t>,</w:t>
      </w:r>
      <w:r w:rsidRPr="0042328C">
        <w:rPr>
          <w:i/>
        </w:rPr>
        <w:t xml:space="preserve"> 30</w:t>
      </w:r>
      <w:r w:rsidRPr="0042328C">
        <w:t xml:space="preserve">(1), 55-73. </w:t>
      </w:r>
      <w:hyperlink r:id="rId136" w:history="1">
        <w:r w:rsidRPr="0042328C">
          <w:rPr>
            <w:rStyle w:val="Hyperlink"/>
          </w:rPr>
          <w:t>http://ovidsp.ovid.com/ovidweb.cgi?T=JS&amp;PAGE=reference&amp;D=med5&amp;NEWS=N&amp;AN=16406024</w:t>
        </w:r>
      </w:hyperlink>
      <w:r w:rsidRPr="0042328C">
        <w:t xml:space="preserve"> </w:t>
      </w:r>
    </w:p>
    <w:p w14:paraId="1A97EA93" w14:textId="7C511E99" w:rsidR="0042328C" w:rsidRPr="0042328C" w:rsidRDefault="0042328C" w:rsidP="0042328C">
      <w:pPr>
        <w:pStyle w:val="EndNoteBibliography"/>
        <w:ind w:left="720" w:hanging="720"/>
      </w:pPr>
      <w:r w:rsidRPr="0042328C">
        <w:t xml:space="preserve">Griffin, B. A., McCaffrey, D., Almirall, D., Setodji, C., &amp; Burgette, L. (2017). Chasing balance and other recommendations for improving nonparametric propensity score models. </w:t>
      </w:r>
      <w:r w:rsidRPr="0042328C">
        <w:rPr>
          <w:i/>
        </w:rPr>
        <w:t>J Causal Inference</w:t>
      </w:r>
      <w:r w:rsidRPr="0042328C">
        <w:t>,</w:t>
      </w:r>
      <w:r w:rsidRPr="0042328C">
        <w:rPr>
          <w:i/>
        </w:rPr>
        <w:t xml:space="preserve"> 5</w:t>
      </w:r>
      <w:r w:rsidRPr="0042328C">
        <w:t xml:space="preserve">(2). </w:t>
      </w:r>
      <w:hyperlink r:id="rId137" w:history="1">
        <w:r w:rsidRPr="0042328C">
          <w:rPr>
            <w:rStyle w:val="Hyperlink"/>
          </w:rPr>
          <w:t>https://doi.org/10.1515/jci-2015-0026</w:t>
        </w:r>
      </w:hyperlink>
      <w:r w:rsidRPr="0042328C">
        <w:t xml:space="preserve"> </w:t>
      </w:r>
    </w:p>
    <w:p w14:paraId="28EA2E68" w14:textId="1209B626" w:rsidR="0042328C" w:rsidRPr="0042328C" w:rsidRDefault="0042328C" w:rsidP="0042328C">
      <w:pPr>
        <w:pStyle w:val="EndNoteBibliography"/>
        <w:ind w:left="720" w:hanging="720"/>
      </w:pPr>
      <w:r w:rsidRPr="0042328C">
        <w:t xml:space="preserve">Griffin, B. A., Story, C., Sanchez, R., Cefalu, M., &amp; McCaffrey, D. F. (2020). </w:t>
      </w:r>
      <w:r w:rsidRPr="0042328C">
        <w:rPr>
          <w:i/>
        </w:rPr>
        <w:t>Toolkit for Weighting and Analysis of Nonequivalent Groups: A Tutorial on the TWANG Shiny Application for Three or More Treatment Groups</w:t>
      </w:r>
      <w:r w:rsidRPr="0042328C">
        <w:t xml:space="preserve">. RAND Corporation. </w:t>
      </w:r>
      <w:hyperlink r:id="rId138" w:history="1">
        <w:r w:rsidRPr="0042328C">
          <w:rPr>
            <w:rStyle w:val="Hyperlink"/>
          </w:rPr>
          <w:t>https://doi.org/10.7249/TLA570-1</w:t>
        </w:r>
      </w:hyperlink>
      <w:r w:rsidRPr="0042328C">
        <w:t xml:space="preserve"> </w:t>
      </w:r>
    </w:p>
    <w:p w14:paraId="5EC93F19" w14:textId="674D8884" w:rsidR="0042328C" w:rsidRPr="0042328C" w:rsidRDefault="0042328C" w:rsidP="0042328C">
      <w:pPr>
        <w:pStyle w:val="EndNoteBibliography"/>
        <w:ind w:left="720" w:hanging="720"/>
      </w:pPr>
      <w:r w:rsidRPr="0042328C">
        <w:t xml:space="preserve">Griswold, M. G., Fullman, N., Hawley, C., Arian, N., Zimsen, S. R. M., Tymeson, H. D., Venkateswaran, V., Tapp, A. D., Forouzanfar, M. H., Salama, J. S., Abate, K. H., Abate, D., Abay, S. M., Abbafati, C., Abdulkader, R. S., Abebe, Z., Aboyans, V., Abrar, M. M., Acharya, P., . . . Gakidou, E. (2018). Alcohol use and burden for 195 countries and territories, 1990–2016: A systematic </w:t>
      </w:r>
      <w:r w:rsidRPr="0042328C">
        <w:lastRenderedPageBreak/>
        <w:t xml:space="preserve">analysis for the Global Burden of Disease Study 2016. </w:t>
      </w:r>
      <w:r w:rsidRPr="0042328C">
        <w:rPr>
          <w:i/>
        </w:rPr>
        <w:t>The Lancet</w:t>
      </w:r>
      <w:r w:rsidRPr="0042328C">
        <w:t>,</w:t>
      </w:r>
      <w:r w:rsidRPr="0042328C">
        <w:rPr>
          <w:i/>
        </w:rPr>
        <w:t xml:space="preserve"> 392</w:t>
      </w:r>
      <w:r w:rsidRPr="0042328C">
        <w:t xml:space="preserve">(10152), 1015-1035. </w:t>
      </w:r>
      <w:hyperlink r:id="rId139" w:history="1">
        <w:r w:rsidRPr="0042328C">
          <w:rPr>
            <w:rStyle w:val="Hyperlink"/>
          </w:rPr>
          <w:t>https://doi.org/10.1016/S0140-6736(18)31310-2</w:t>
        </w:r>
      </w:hyperlink>
      <w:r w:rsidRPr="0042328C">
        <w:t xml:space="preserve"> </w:t>
      </w:r>
    </w:p>
    <w:p w14:paraId="0A80A0BF" w14:textId="24A44DED" w:rsidR="0042328C" w:rsidRPr="0042328C" w:rsidRDefault="0042328C" w:rsidP="0042328C">
      <w:pPr>
        <w:pStyle w:val="EndNoteBibliography"/>
        <w:ind w:left="720" w:hanging="720"/>
      </w:pPr>
      <w:r w:rsidRPr="0042328C">
        <w:t xml:space="preserve">Gunn, A., &amp; Miranda Samuels, G. (2020). Promoting Recovery Identities Among Mothers with Histories of Addiction: Strategies of Family Engagement. </w:t>
      </w:r>
      <w:r w:rsidRPr="0042328C">
        <w:rPr>
          <w:i/>
        </w:rPr>
        <w:t>Family Process</w:t>
      </w:r>
      <w:r w:rsidRPr="0042328C">
        <w:t>,</w:t>
      </w:r>
      <w:r w:rsidRPr="0042328C">
        <w:rPr>
          <w:i/>
        </w:rPr>
        <w:t xml:space="preserve"> 59</w:t>
      </w:r>
      <w:r w:rsidRPr="0042328C">
        <w:t xml:space="preserve">(1), 94-110. </w:t>
      </w:r>
      <w:hyperlink r:id="rId140" w:history="1">
        <w:r w:rsidRPr="0042328C">
          <w:rPr>
            <w:rStyle w:val="Hyperlink"/>
          </w:rPr>
          <w:t>https://doi.org/https://doi.org/10.1111/famp.12413</w:t>
        </w:r>
      </w:hyperlink>
      <w:r w:rsidRPr="0042328C">
        <w:t xml:space="preserve"> </w:t>
      </w:r>
    </w:p>
    <w:p w14:paraId="31D62A4F" w14:textId="77777777" w:rsidR="0042328C" w:rsidRPr="0042328C" w:rsidRDefault="0042328C" w:rsidP="0042328C">
      <w:pPr>
        <w:pStyle w:val="EndNoteBibliography"/>
        <w:ind w:left="720" w:hanging="720"/>
      </w:pPr>
      <w:r w:rsidRPr="0042328C">
        <w:t xml:space="preserve">Gutman, L. M., Joshi, H., Khan, L., &amp; Schoon, I. (2018). Children of the millennium. </w:t>
      </w:r>
      <w:r w:rsidRPr="0042328C">
        <w:rPr>
          <w:i/>
        </w:rPr>
        <w:t>London: Centre for Mental Health</w:t>
      </w:r>
      <w:r w:rsidRPr="0042328C">
        <w:t xml:space="preserve">. </w:t>
      </w:r>
    </w:p>
    <w:p w14:paraId="0021CBC7" w14:textId="3976B56A" w:rsidR="0042328C" w:rsidRPr="0042328C" w:rsidRDefault="0042328C" w:rsidP="0042328C">
      <w:pPr>
        <w:pStyle w:val="EndNoteBibliography"/>
        <w:ind w:left="720" w:hanging="720"/>
      </w:pPr>
      <w:r w:rsidRPr="0042328C">
        <w:t xml:space="preserve">Guyatt, G. H., Oxman, A. D., Schünemann, H. J., Tugwell, P., &amp; Knottnerus, A. (2010). GRADE guidelines: A new series of articles in the Journal of Clinical Epidemiology. </w:t>
      </w:r>
      <w:r w:rsidRPr="0042328C">
        <w:rPr>
          <w:i/>
        </w:rPr>
        <w:t>Journal of Clinical Epidemiology</w:t>
      </w:r>
      <w:r w:rsidRPr="0042328C">
        <w:t>,</w:t>
      </w:r>
      <w:r w:rsidRPr="0042328C">
        <w:rPr>
          <w:i/>
        </w:rPr>
        <w:t xml:space="preserve"> 64</w:t>
      </w:r>
      <w:r w:rsidRPr="0042328C">
        <w:t xml:space="preserve">(4), 380-382. </w:t>
      </w:r>
      <w:hyperlink r:id="rId141" w:history="1">
        <w:r w:rsidRPr="0042328C">
          <w:rPr>
            <w:rStyle w:val="Hyperlink"/>
          </w:rPr>
          <w:t>https://doi.org/10.1016/j.jclinepi.2010.09.011</w:t>
        </w:r>
      </w:hyperlink>
    </w:p>
    <w:p w14:paraId="4BE489B0" w14:textId="77777777" w:rsidR="0042328C" w:rsidRPr="0042328C" w:rsidRDefault="0042328C" w:rsidP="0042328C">
      <w:pPr>
        <w:pStyle w:val="EndNoteBibliography"/>
        <w:ind w:left="720" w:hanging="720"/>
      </w:pPr>
      <w:r w:rsidRPr="0042328C">
        <w:t xml:space="preserve">10.1016/j.jclinepi.2010.09.011&lt;/p&gt; </w:t>
      </w:r>
    </w:p>
    <w:p w14:paraId="6BB439F6" w14:textId="62FAC30B" w:rsidR="0042328C" w:rsidRPr="0042328C" w:rsidRDefault="0042328C" w:rsidP="0042328C">
      <w:pPr>
        <w:pStyle w:val="EndNoteBibliography"/>
        <w:ind w:left="720" w:hanging="720"/>
      </w:pPr>
      <w:r w:rsidRPr="0042328C">
        <w:t xml:space="preserve">Guyatt, G. H., Oxman, A. D., Vist, G. E., Kunz, R., Falck-Ytter, Y., Alonso-Coello, P., &amp; Schünemann, H. J. (2008). GRADE: an emerging consensus on rating quality of evidence and strength of recommendations. </w:t>
      </w:r>
      <w:r w:rsidRPr="0042328C">
        <w:rPr>
          <w:i/>
        </w:rPr>
        <w:t>BMJ</w:t>
      </w:r>
      <w:r w:rsidRPr="0042328C">
        <w:t>,</w:t>
      </w:r>
      <w:r w:rsidRPr="0042328C">
        <w:rPr>
          <w:i/>
        </w:rPr>
        <w:t xml:space="preserve"> 336</w:t>
      </w:r>
      <w:r w:rsidRPr="0042328C">
        <w:t xml:space="preserve">(7650), 924-926. </w:t>
      </w:r>
      <w:hyperlink r:id="rId142" w:history="1">
        <w:r w:rsidRPr="0042328C">
          <w:rPr>
            <w:rStyle w:val="Hyperlink"/>
          </w:rPr>
          <w:t>https://doi.org/10.1136/bmj.39489.470347.AD</w:t>
        </w:r>
      </w:hyperlink>
      <w:r w:rsidRPr="0042328C">
        <w:t xml:space="preserve"> </w:t>
      </w:r>
    </w:p>
    <w:p w14:paraId="2BA6D334" w14:textId="5B016FAC" w:rsidR="0042328C" w:rsidRPr="0042328C" w:rsidRDefault="0042328C" w:rsidP="0042328C">
      <w:pPr>
        <w:pStyle w:val="EndNoteBibliography"/>
        <w:ind w:left="720" w:hanging="720"/>
      </w:pPr>
      <w:r w:rsidRPr="0042328C">
        <w:t xml:space="preserve">Gwadz, M. V., Leonard, N. R., Cleland, C. M., Riedel, M., Arredondo, G. N., Wolfe, H., Hardcastle, E., &amp; Morris, J. (2008). Behavioral interventions for HIV infected and uninfected mothers with problem drinking. </w:t>
      </w:r>
      <w:r w:rsidRPr="0042328C">
        <w:rPr>
          <w:i/>
        </w:rPr>
        <w:t>Addiction Research &amp; Theory</w:t>
      </w:r>
      <w:r w:rsidRPr="0042328C">
        <w:t>,</w:t>
      </w:r>
      <w:r w:rsidRPr="0042328C">
        <w:rPr>
          <w:i/>
        </w:rPr>
        <w:t xml:space="preserve"> 16</w:t>
      </w:r>
      <w:r w:rsidRPr="0042328C">
        <w:t xml:space="preserve">(1), 47-65. </w:t>
      </w:r>
      <w:hyperlink r:id="rId143" w:history="1">
        <w:r w:rsidRPr="0042328C">
          <w:rPr>
            <w:rStyle w:val="Hyperlink"/>
          </w:rPr>
          <w:t>https://doi.org/10.1080/16066350701651214</w:t>
        </w:r>
      </w:hyperlink>
      <w:r w:rsidRPr="0042328C">
        <w:t xml:space="preserve"> </w:t>
      </w:r>
    </w:p>
    <w:p w14:paraId="2B359B18" w14:textId="65D817B6" w:rsidR="0042328C" w:rsidRPr="0042328C" w:rsidRDefault="0042328C" w:rsidP="0042328C">
      <w:pPr>
        <w:pStyle w:val="EndNoteBibliography"/>
        <w:ind w:left="720" w:hanging="720"/>
      </w:pPr>
      <w:r w:rsidRPr="0042328C">
        <w:t xml:space="preserve">Harwin, J., Alrouh, B., Broadhurst, K., McQuarrie, T., Golding, L., &amp; Ryan, M. (2018). Child and Parent Outcomes in the London Family Drug and Alcohol Court Five Years On: Building on International Evidence. </w:t>
      </w:r>
      <w:r w:rsidRPr="0042328C">
        <w:rPr>
          <w:i/>
        </w:rPr>
        <w:t>International Journal of Law, Policy and the Family</w:t>
      </w:r>
      <w:r w:rsidRPr="0042328C">
        <w:t xml:space="preserve">(0), 1-30. </w:t>
      </w:r>
      <w:hyperlink r:id="rId144" w:history="1">
        <w:r w:rsidRPr="0042328C">
          <w:rPr>
            <w:rStyle w:val="Hyperlink"/>
          </w:rPr>
          <w:t>https://doi.org/10.1093/lawfam/eby006</w:t>
        </w:r>
      </w:hyperlink>
      <w:r w:rsidRPr="0042328C">
        <w:t xml:space="preserve"> </w:t>
      </w:r>
    </w:p>
    <w:p w14:paraId="3FA90320" w14:textId="77777777" w:rsidR="0042328C" w:rsidRPr="0042328C" w:rsidRDefault="0042328C" w:rsidP="0042328C">
      <w:pPr>
        <w:pStyle w:val="EndNoteBibliography"/>
        <w:ind w:left="720" w:hanging="720"/>
      </w:pPr>
      <w:r w:rsidRPr="0042328C">
        <w:t>Harwin, J., Alrouh, B., Ryan, M., McQuarrie, T., Golding, L., Broadhurst, K., Tunnard, J., &amp; Swift, S. (2016). After FDAC: Outcomes 5 years later. In. Lancaster: Lancaster University.</w:t>
      </w:r>
    </w:p>
    <w:p w14:paraId="0BF92C0D" w14:textId="77777777" w:rsidR="0042328C" w:rsidRPr="0042328C" w:rsidRDefault="0042328C" w:rsidP="0042328C">
      <w:pPr>
        <w:pStyle w:val="EndNoteBibliography"/>
        <w:ind w:left="720" w:hanging="720"/>
      </w:pPr>
      <w:r w:rsidRPr="0042328C">
        <w:t xml:space="preserve">Harwin, J., Alrouh, B., Ryan, M., &amp; Tunnard, J. (2014). Changing Lifestyles, Keeping Children Safe: An evaluation of the first Family Drug and Alcohol Court (FDAC) in care proceedings. </w:t>
      </w:r>
    </w:p>
    <w:p w14:paraId="1C0121C3" w14:textId="509D26D4" w:rsidR="0042328C" w:rsidRPr="0042328C" w:rsidRDefault="0042328C" w:rsidP="0042328C">
      <w:pPr>
        <w:pStyle w:val="EndNoteBibliography"/>
        <w:ind w:left="720" w:hanging="720"/>
      </w:pPr>
      <w:r w:rsidRPr="0042328C">
        <w:t xml:space="preserve">Hatzis, D., Dawe, S., Harnett, P., &amp; Barlow, J. (2017). Quality of Caregiving in Mothers With Illicit Substance Use: A Systematic Review and Meta-analysis. </w:t>
      </w:r>
      <w:r w:rsidRPr="0042328C">
        <w:rPr>
          <w:i/>
        </w:rPr>
        <w:t>Substance Abuse: Research and Treatment</w:t>
      </w:r>
      <w:r w:rsidRPr="0042328C">
        <w:t>,</w:t>
      </w:r>
      <w:r w:rsidRPr="0042328C">
        <w:rPr>
          <w:i/>
        </w:rPr>
        <w:t xml:space="preserve"> 11</w:t>
      </w:r>
      <w:r w:rsidRPr="0042328C">
        <w:t xml:space="preserve">, 1178221817694038-1178221817694038. </w:t>
      </w:r>
      <w:hyperlink r:id="rId145" w:history="1">
        <w:r w:rsidRPr="0042328C">
          <w:rPr>
            <w:rStyle w:val="Hyperlink"/>
          </w:rPr>
          <w:t>https://doi.org/10.1177/1178221817694038</w:t>
        </w:r>
      </w:hyperlink>
      <w:r w:rsidRPr="0042328C">
        <w:t xml:space="preserve"> </w:t>
      </w:r>
    </w:p>
    <w:p w14:paraId="32C9C82A" w14:textId="4AD4E9E9" w:rsidR="0042328C" w:rsidRPr="0042328C" w:rsidRDefault="0042328C" w:rsidP="0042328C">
      <w:pPr>
        <w:pStyle w:val="EndNoteBibliography"/>
        <w:ind w:left="720" w:hanging="720"/>
      </w:pPr>
      <w:r w:rsidRPr="0042328C">
        <w:t xml:space="preserve">Health &amp; Medicine Policy Research Group. (2018). The Parent-Child Dyad in the Context of Child Development and Child Health. Retrieved 26/03/2024, from </w:t>
      </w:r>
      <w:hyperlink r:id="rId146" w:history="1">
        <w:r w:rsidRPr="0042328C">
          <w:rPr>
            <w:rStyle w:val="Hyperlink"/>
          </w:rPr>
          <w:t>https://hmprg.org/wp-content/uploads/2018/07/ILARC_Parent-Child-Dyad-Report.pdf</w:t>
        </w:r>
      </w:hyperlink>
      <w:r w:rsidRPr="0042328C">
        <w:t xml:space="preserve"> </w:t>
      </w:r>
    </w:p>
    <w:p w14:paraId="5D120955" w14:textId="22BAE3BF" w:rsidR="0042328C" w:rsidRPr="0042328C" w:rsidRDefault="0042328C" w:rsidP="0042328C">
      <w:pPr>
        <w:pStyle w:val="EndNoteBibliography"/>
        <w:ind w:left="720" w:hanging="720"/>
      </w:pPr>
      <w:r w:rsidRPr="0042328C">
        <w:t xml:space="preserve">Hindley, N., Ramchandani, P. G., &amp; Jones, D. P. H. (2006). Risk factors for recurrence of maltreatment: A systematic review. </w:t>
      </w:r>
      <w:r w:rsidRPr="0042328C">
        <w:rPr>
          <w:i/>
        </w:rPr>
        <w:t>Archives of Disease in Childhood</w:t>
      </w:r>
      <w:r w:rsidRPr="0042328C">
        <w:t>,</w:t>
      </w:r>
      <w:r w:rsidRPr="0042328C">
        <w:rPr>
          <w:i/>
        </w:rPr>
        <w:t xml:space="preserve"> 91</w:t>
      </w:r>
      <w:r w:rsidRPr="0042328C">
        <w:t xml:space="preserve">(9), 744-752. </w:t>
      </w:r>
      <w:hyperlink r:id="rId147" w:history="1">
        <w:r w:rsidRPr="0042328C">
          <w:rPr>
            <w:rStyle w:val="Hyperlink"/>
          </w:rPr>
          <w:t>https://doi.org/10.1136/adc.2005.085639</w:t>
        </w:r>
      </w:hyperlink>
      <w:r w:rsidRPr="0042328C">
        <w:t xml:space="preserve"> </w:t>
      </w:r>
    </w:p>
    <w:p w14:paraId="4F8CC1DE" w14:textId="7614FB16" w:rsidR="0042328C" w:rsidRPr="0042328C" w:rsidRDefault="0042328C" w:rsidP="0042328C">
      <w:pPr>
        <w:pStyle w:val="EndNoteBibliography"/>
        <w:ind w:left="720" w:hanging="720"/>
      </w:pPr>
      <w:r w:rsidRPr="0042328C">
        <w:t xml:space="preserve">HM Government. (2018). Working Together to Safeguard Children: A guide to inter-agency working to safeguard and promote the welfare of children. </w:t>
      </w:r>
      <w:hyperlink r:id="rId148" w:history="1">
        <w:r w:rsidRPr="0042328C">
          <w:rPr>
            <w:rStyle w:val="Hyperlink"/>
          </w:rPr>
          <w:t>https://assets.publishing.service.gov.uk/government/uploads/system/uploads/attachment_data/file/779401/Working_Together_to_Safeguard-Children.pdf</w:t>
        </w:r>
      </w:hyperlink>
      <w:r w:rsidRPr="0042328C">
        <w:t xml:space="preserve"> </w:t>
      </w:r>
    </w:p>
    <w:p w14:paraId="07B4EB18" w14:textId="39790280" w:rsidR="0042328C" w:rsidRPr="0042328C" w:rsidRDefault="0042328C" w:rsidP="0042328C">
      <w:pPr>
        <w:pStyle w:val="EndNoteBibliography"/>
        <w:ind w:left="720" w:hanging="720"/>
      </w:pPr>
      <w:r w:rsidRPr="0042328C">
        <w:t xml:space="preserve">HM Government. (2023). Working Together to  Safeguard Children 2023. A guide to multi-agency working to help, protect and promote the welfare of children. Retrieved 01/04/2024, from </w:t>
      </w:r>
      <w:hyperlink r:id="rId149" w:history="1">
        <w:r w:rsidRPr="0042328C">
          <w:rPr>
            <w:rStyle w:val="Hyperlink"/>
          </w:rPr>
          <w:t>https://assets.publishing.service.gov.uk/media/65cb4349a7ded0000c79e4e1/Working_together_to_safeguard_children_2023_-_statutory_guidance.pdf</w:t>
        </w:r>
      </w:hyperlink>
      <w:r w:rsidRPr="0042328C">
        <w:t xml:space="preserve"> </w:t>
      </w:r>
    </w:p>
    <w:p w14:paraId="4C32CD19" w14:textId="77777777" w:rsidR="0042328C" w:rsidRPr="0042328C" w:rsidRDefault="0042328C" w:rsidP="0042328C">
      <w:pPr>
        <w:pStyle w:val="EndNoteBibliography"/>
        <w:ind w:left="720" w:hanging="720"/>
      </w:pPr>
      <w:r w:rsidRPr="0042328C">
        <w:lastRenderedPageBreak/>
        <w:t xml:space="preserve">HM Treasury. (2022). </w:t>
      </w:r>
      <w:r w:rsidRPr="0042328C">
        <w:rPr>
          <w:i/>
        </w:rPr>
        <w:t>The Green Book: Central Government guidance on appraisal and evaluation</w:t>
      </w:r>
      <w:r w:rsidRPr="0042328C">
        <w:t>. London: HM Treasury,</w:t>
      </w:r>
    </w:p>
    <w:p w14:paraId="4097542C" w14:textId="610F95CE" w:rsidR="0042328C" w:rsidRPr="0042328C" w:rsidRDefault="0042328C" w:rsidP="0042328C">
      <w:pPr>
        <w:pStyle w:val="EndNoteBibliography"/>
        <w:ind w:left="720" w:hanging="720"/>
      </w:pPr>
      <w:r w:rsidRPr="0042328C">
        <w:t xml:space="preserve">HM Treasury and Evaluation Task Force. (2011). Government analytical evaluation capabilities framework. Retrieved 28/05/2024, from </w:t>
      </w:r>
      <w:hyperlink r:id="rId150" w:history="1">
        <w:r w:rsidRPr="0042328C">
          <w:rPr>
            <w:rStyle w:val="Hyperlink"/>
          </w:rPr>
          <w:t>https://assets.publishing.service.gov.uk/media/5e96c443e90e071a13b0892e/Magenta_Book_supplementary_guide._Government_Analytical_Evaluation_Capabilities_Framework.pdf</w:t>
        </w:r>
      </w:hyperlink>
      <w:r w:rsidRPr="0042328C">
        <w:t xml:space="preserve"> </w:t>
      </w:r>
    </w:p>
    <w:p w14:paraId="4A859680" w14:textId="59C29EDB" w:rsidR="0042328C" w:rsidRPr="0042328C" w:rsidRDefault="0042328C" w:rsidP="0042328C">
      <w:pPr>
        <w:pStyle w:val="EndNoteBibliography"/>
        <w:ind w:left="720" w:hanging="720"/>
      </w:pPr>
      <w:r w:rsidRPr="0042328C">
        <w:t xml:space="preserve">Hood, R., Goldacre, A., Jones, E., Martin, E., Clements, K., &amp; Webb, C. (2024). Intervention Pathways following a Social Work Assessment: An Analysis of National Administrative Data for Children’s Social Care in England. </w:t>
      </w:r>
      <w:r w:rsidRPr="0042328C">
        <w:rPr>
          <w:i/>
        </w:rPr>
        <w:t>The British Journal of Social Work</w:t>
      </w:r>
      <w:r w:rsidRPr="0042328C">
        <w:t>,</w:t>
      </w:r>
      <w:r w:rsidRPr="0042328C">
        <w:rPr>
          <w:i/>
        </w:rPr>
        <w:t xml:space="preserve"> 54</w:t>
      </w:r>
      <w:r w:rsidRPr="0042328C">
        <w:t xml:space="preserve">(7), 2937-2956. </w:t>
      </w:r>
      <w:hyperlink r:id="rId151" w:history="1">
        <w:r w:rsidRPr="0042328C">
          <w:rPr>
            <w:rStyle w:val="Hyperlink"/>
          </w:rPr>
          <w:t>https://doi.org/10.1093/bjsw/bcae070</w:t>
        </w:r>
      </w:hyperlink>
      <w:r w:rsidRPr="0042328C">
        <w:t xml:space="preserve"> </w:t>
      </w:r>
    </w:p>
    <w:p w14:paraId="13DA70B2" w14:textId="1D1E8F12" w:rsidR="0042328C" w:rsidRPr="0042328C" w:rsidRDefault="0042328C" w:rsidP="0042328C">
      <w:pPr>
        <w:pStyle w:val="EndNoteBibliography"/>
        <w:ind w:left="720" w:hanging="720"/>
      </w:pPr>
      <w:r w:rsidRPr="0042328C">
        <w:t xml:space="preserve">Hornor, G. (2017). Resilience. </w:t>
      </w:r>
      <w:r w:rsidRPr="0042328C">
        <w:rPr>
          <w:i/>
        </w:rPr>
        <w:t>Journal of Pediatric Health Care</w:t>
      </w:r>
      <w:r w:rsidRPr="0042328C">
        <w:t>,</w:t>
      </w:r>
      <w:r w:rsidRPr="0042328C">
        <w:rPr>
          <w:i/>
        </w:rPr>
        <w:t xml:space="preserve"> 31</w:t>
      </w:r>
      <w:r w:rsidRPr="0042328C">
        <w:t xml:space="preserve">(3), 384-390. </w:t>
      </w:r>
      <w:hyperlink r:id="rId152" w:history="1">
        <w:r w:rsidRPr="0042328C">
          <w:rPr>
            <w:rStyle w:val="Hyperlink"/>
          </w:rPr>
          <w:t>https://doi.org/https://doi.org/10.1016/j.pedhc.2016.09.005</w:t>
        </w:r>
      </w:hyperlink>
      <w:r w:rsidRPr="0042328C">
        <w:t xml:space="preserve"> </w:t>
      </w:r>
    </w:p>
    <w:p w14:paraId="7F8C0502" w14:textId="011336F5" w:rsidR="0042328C" w:rsidRPr="0042328C" w:rsidRDefault="0042328C" w:rsidP="0042328C">
      <w:pPr>
        <w:pStyle w:val="EndNoteBibliography"/>
        <w:ind w:left="720" w:hanging="720"/>
      </w:pPr>
      <w:r w:rsidRPr="0042328C">
        <w:t xml:space="preserve">Huang, H., &amp; Ryan, J. P. (2011). Trying to come home: Substance exposed infants, mothers, and family reunification. </w:t>
      </w:r>
      <w:r w:rsidRPr="0042328C">
        <w:rPr>
          <w:i/>
        </w:rPr>
        <w:t>Children and Youth Services Review</w:t>
      </w:r>
      <w:r w:rsidRPr="0042328C">
        <w:t>,</w:t>
      </w:r>
      <w:r w:rsidRPr="0042328C">
        <w:rPr>
          <w:i/>
        </w:rPr>
        <w:t xml:space="preserve"> 33</w:t>
      </w:r>
      <w:r w:rsidRPr="0042328C">
        <w:t xml:space="preserve">(2), 322-329. </w:t>
      </w:r>
      <w:hyperlink r:id="rId153" w:history="1">
        <w:r w:rsidRPr="0042328C">
          <w:rPr>
            <w:rStyle w:val="Hyperlink"/>
          </w:rPr>
          <w:t>https://EconPapers.repec.org/RePEc:eee:cysrev:v:33:y:2011:i:2:p:322-329</w:t>
        </w:r>
      </w:hyperlink>
      <w:r w:rsidRPr="0042328C">
        <w:t xml:space="preserve"> </w:t>
      </w:r>
    </w:p>
    <w:p w14:paraId="26748512" w14:textId="77DEF3DC" w:rsidR="0042328C" w:rsidRPr="0042328C" w:rsidRDefault="0042328C" w:rsidP="0042328C">
      <w:pPr>
        <w:pStyle w:val="EndNoteBibliography"/>
        <w:ind w:left="720" w:hanging="720"/>
      </w:pPr>
      <w:r w:rsidRPr="0042328C">
        <w:t xml:space="preserve">Huebner, R. A., Willauer, T., &amp; Posze, L. (2012). The Impact of Sobriety Treatment and Recovery Teams (START) on Family Outcomes. </w:t>
      </w:r>
      <w:r w:rsidRPr="0042328C">
        <w:rPr>
          <w:i/>
        </w:rPr>
        <w:t>Families in Society</w:t>
      </w:r>
      <w:r w:rsidRPr="0042328C">
        <w:t>,</w:t>
      </w:r>
      <w:r w:rsidRPr="0042328C">
        <w:rPr>
          <w:i/>
        </w:rPr>
        <w:t xml:space="preserve"> 93</w:t>
      </w:r>
      <w:r w:rsidRPr="0042328C">
        <w:t xml:space="preserve">(3), 196-203. </w:t>
      </w:r>
      <w:hyperlink r:id="rId154" w:history="1">
        <w:r w:rsidRPr="0042328C">
          <w:rPr>
            <w:rStyle w:val="Hyperlink"/>
          </w:rPr>
          <w:t>https://doi.org/10.1606/1044-3894.4223</w:t>
        </w:r>
      </w:hyperlink>
      <w:r w:rsidRPr="0042328C">
        <w:t xml:space="preserve"> </w:t>
      </w:r>
    </w:p>
    <w:p w14:paraId="5D78A99F" w14:textId="431E6293" w:rsidR="0042328C" w:rsidRPr="0042328C" w:rsidRDefault="0042328C" w:rsidP="0042328C">
      <w:pPr>
        <w:pStyle w:val="EndNoteBibliography"/>
        <w:ind w:left="720" w:hanging="720"/>
      </w:pPr>
      <w:r w:rsidRPr="0042328C">
        <w:t xml:space="preserve">Hughes, K., Bellis, M. A., Hardcastle, K. A., Sethi, D., Butchart, A., Mikton, C., Jones, L., &amp; Dunne, M. P. (2017). The effect of multiple adverse childhood experiences on health: A systematic review and meta-analysis. </w:t>
      </w:r>
      <w:r w:rsidRPr="0042328C">
        <w:rPr>
          <w:i/>
        </w:rPr>
        <w:t>Lancet Public Health</w:t>
      </w:r>
      <w:r w:rsidRPr="0042328C">
        <w:t>,</w:t>
      </w:r>
      <w:r w:rsidRPr="0042328C">
        <w:rPr>
          <w:i/>
        </w:rPr>
        <w:t xml:space="preserve"> 2</w:t>
      </w:r>
      <w:r w:rsidRPr="0042328C">
        <w:t xml:space="preserve">(8), e356-e366. </w:t>
      </w:r>
      <w:hyperlink r:id="rId155" w:history="1">
        <w:r w:rsidRPr="0042328C">
          <w:rPr>
            <w:rStyle w:val="Hyperlink"/>
          </w:rPr>
          <w:t>https://doi.org/10.1016/s2468-2667(17)30118-4</w:t>
        </w:r>
      </w:hyperlink>
      <w:r w:rsidRPr="0042328C">
        <w:t xml:space="preserve"> </w:t>
      </w:r>
    </w:p>
    <w:p w14:paraId="534EB5C9" w14:textId="0C3154C1" w:rsidR="0042328C" w:rsidRPr="0042328C" w:rsidRDefault="0042328C" w:rsidP="0042328C">
      <w:pPr>
        <w:pStyle w:val="EndNoteBibliography"/>
        <w:ind w:left="720" w:hanging="720"/>
      </w:pPr>
      <w:r w:rsidRPr="0042328C">
        <w:t xml:space="preserve">Hughes, K., Ford, K., Kadel, R., Sharp, C. A., &amp; Bellis, M. A. (2020). Health and financial burden of adverse childhood experiences in England and Wales: A combined primary data study of five surveys. </w:t>
      </w:r>
      <w:r w:rsidRPr="0042328C">
        <w:rPr>
          <w:i/>
        </w:rPr>
        <w:t>BMJ Open</w:t>
      </w:r>
      <w:r w:rsidRPr="0042328C">
        <w:t>,</w:t>
      </w:r>
      <w:r w:rsidRPr="0042328C">
        <w:rPr>
          <w:i/>
        </w:rPr>
        <w:t xml:space="preserve"> 10</w:t>
      </w:r>
      <w:r w:rsidRPr="0042328C">
        <w:t xml:space="preserve">(6), e036374. </w:t>
      </w:r>
      <w:hyperlink r:id="rId156" w:history="1">
        <w:r w:rsidRPr="0042328C">
          <w:rPr>
            <w:rStyle w:val="Hyperlink"/>
          </w:rPr>
          <w:t>https://doi.org/10.1136/bmjopen-2019-036374</w:t>
        </w:r>
      </w:hyperlink>
      <w:r w:rsidRPr="0042328C">
        <w:t xml:space="preserve"> </w:t>
      </w:r>
    </w:p>
    <w:p w14:paraId="4EBBF6E4" w14:textId="2AC265DE" w:rsidR="0042328C" w:rsidRPr="0042328C" w:rsidRDefault="0042328C" w:rsidP="0042328C">
      <w:pPr>
        <w:pStyle w:val="EndNoteBibliography"/>
        <w:ind w:left="720" w:hanging="720"/>
      </w:pPr>
      <w:r w:rsidRPr="0042328C">
        <w:t xml:space="preserve">Hughes, R. A., Heron, J., Sterne, J. A. C., &amp; Tilling, K. (2019). Accounting for missing data in statistical analyses: multiple imputation is not always the answer. </w:t>
      </w:r>
      <w:r w:rsidRPr="0042328C">
        <w:rPr>
          <w:i/>
        </w:rPr>
        <w:t>International Journal of Epidemiology</w:t>
      </w:r>
      <w:r w:rsidRPr="0042328C">
        <w:t>,</w:t>
      </w:r>
      <w:r w:rsidRPr="0042328C">
        <w:rPr>
          <w:i/>
        </w:rPr>
        <w:t xml:space="preserve"> 48</w:t>
      </w:r>
      <w:r w:rsidRPr="0042328C">
        <w:t xml:space="preserve">(4), 1294-1304. </w:t>
      </w:r>
      <w:hyperlink r:id="rId157" w:history="1">
        <w:r w:rsidRPr="0042328C">
          <w:rPr>
            <w:rStyle w:val="Hyperlink"/>
          </w:rPr>
          <w:t>https://doi.org/10.1093/ije/dyz032</w:t>
        </w:r>
      </w:hyperlink>
      <w:r w:rsidRPr="0042328C">
        <w:t xml:space="preserve"> </w:t>
      </w:r>
    </w:p>
    <w:p w14:paraId="50C2787F" w14:textId="18E31BBE" w:rsidR="0042328C" w:rsidRPr="0042328C" w:rsidRDefault="0042328C" w:rsidP="0042328C">
      <w:pPr>
        <w:pStyle w:val="EndNoteBibliography"/>
        <w:ind w:left="720" w:hanging="720"/>
      </w:pPr>
      <w:r w:rsidRPr="0042328C">
        <w:t xml:space="preserve">Huq, T., Alexander, E. C., Manikam, L., Jokinen, T., Patil, P., Benjumea, D., Das, I., &amp; Davidson, L. L. (2021). A Systematic Review of Household and Family Alcohol Use and Childhood Neurodevelopmental Outcomes in Low- and Middle-Income Countries. </w:t>
      </w:r>
      <w:r w:rsidRPr="0042328C">
        <w:rPr>
          <w:i/>
        </w:rPr>
        <w:t>Child Psychiatry Hum Dev</w:t>
      </w:r>
      <w:r w:rsidRPr="0042328C">
        <w:t>,</w:t>
      </w:r>
      <w:r w:rsidRPr="0042328C">
        <w:rPr>
          <w:i/>
        </w:rPr>
        <w:t xml:space="preserve"> 52</w:t>
      </w:r>
      <w:r w:rsidRPr="0042328C">
        <w:t xml:space="preserve">(6), 1194-1217. </w:t>
      </w:r>
      <w:hyperlink r:id="rId158" w:history="1">
        <w:r w:rsidRPr="0042328C">
          <w:rPr>
            <w:rStyle w:val="Hyperlink"/>
          </w:rPr>
          <w:t>https://doi.org/10.1007/s10578-020-01112-3</w:t>
        </w:r>
      </w:hyperlink>
      <w:r w:rsidRPr="0042328C">
        <w:t xml:space="preserve"> </w:t>
      </w:r>
    </w:p>
    <w:p w14:paraId="1AC3CCEA" w14:textId="6F9DFFB3" w:rsidR="0042328C" w:rsidRPr="0042328C" w:rsidRDefault="0042328C" w:rsidP="0042328C">
      <w:pPr>
        <w:pStyle w:val="EndNoteBibliography"/>
        <w:ind w:left="720" w:hanging="720"/>
      </w:pPr>
      <w:r w:rsidRPr="0042328C">
        <w:t xml:space="preserve">Ilyka, D., Johnson, M. H., &amp; Lloyd-Fox, S. (2021). Infant social interactions and brain development: A systematic review. </w:t>
      </w:r>
      <w:r w:rsidRPr="0042328C">
        <w:rPr>
          <w:i/>
        </w:rPr>
        <w:t>Neuroscience &amp; Biobehavioral Reviews</w:t>
      </w:r>
      <w:r w:rsidRPr="0042328C">
        <w:t>,</w:t>
      </w:r>
      <w:r w:rsidRPr="0042328C">
        <w:rPr>
          <w:i/>
        </w:rPr>
        <w:t xml:space="preserve"> 130</w:t>
      </w:r>
      <w:r w:rsidRPr="0042328C">
        <w:t xml:space="preserve">, 448-469. </w:t>
      </w:r>
      <w:hyperlink r:id="rId159" w:history="1">
        <w:r w:rsidRPr="0042328C">
          <w:rPr>
            <w:rStyle w:val="Hyperlink"/>
          </w:rPr>
          <w:t>https://doi.org/https://doi.org/10.1016/j.neubiorev.2021.09.001</w:t>
        </w:r>
      </w:hyperlink>
      <w:r w:rsidRPr="0042328C">
        <w:t xml:space="preserve"> </w:t>
      </w:r>
    </w:p>
    <w:p w14:paraId="124890F0" w14:textId="634E535C" w:rsidR="0042328C" w:rsidRPr="0042328C" w:rsidRDefault="0042328C" w:rsidP="0042328C">
      <w:pPr>
        <w:pStyle w:val="EndNoteBibliography"/>
        <w:ind w:left="720" w:hanging="720"/>
      </w:pPr>
      <w:r w:rsidRPr="0042328C">
        <w:t xml:space="preserve">Institute for Government. (2022). </w:t>
      </w:r>
      <w:r w:rsidRPr="0042328C">
        <w:rPr>
          <w:i/>
        </w:rPr>
        <w:t>Timeline of UK government coronavirus lockdowns and restrictions</w:t>
      </w:r>
      <w:r w:rsidRPr="0042328C">
        <w:t xml:space="preserve">. Institute for Government,. Retrieved 26/08/2024 from </w:t>
      </w:r>
      <w:hyperlink r:id="rId160" w:history="1">
        <w:r w:rsidRPr="0042328C">
          <w:rPr>
            <w:rStyle w:val="Hyperlink"/>
          </w:rPr>
          <w:t>https://www.instituteforgovernment.org.uk/sites/default/files/2022-12/timeline-coronavirus-lockdown-december-2021.pdf</w:t>
        </w:r>
      </w:hyperlink>
    </w:p>
    <w:p w14:paraId="2AD99AD4" w14:textId="5D1C1B7E" w:rsidR="0042328C" w:rsidRPr="0042328C" w:rsidRDefault="0042328C" w:rsidP="0042328C">
      <w:pPr>
        <w:pStyle w:val="EndNoteBibliography"/>
        <w:ind w:left="720" w:hanging="720"/>
      </w:pPr>
      <w:r w:rsidRPr="0042328C">
        <w:t xml:space="preserve">Itäpuisto, M. S. (2014). Helping the children of substance-abusing parents in the context of outpatient substance abuse treatment. </w:t>
      </w:r>
      <w:r w:rsidRPr="0042328C">
        <w:rPr>
          <w:i/>
        </w:rPr>
        <w:t>Addiction Research &amp; Theory</w:t>
      </w:r>
      <w:r w:rsidRPr="0042328C">
        <w:t>,</w:t>
      </w:r>
      <w:r w:rsidRPr="0042328C">
        <w:rPr>
          <w:i/>
        </w:rPr>
        <w:t xml:space="preserve"> 22</w:t>
      </w:r>
      <w:r w:rsidRPr="0042328C">
        <w:t xml:space="preserve">(6), 498-504. </w:t>
      </w:r>
      <w:hyperlink r:id="rId161" w:history="1">
        <w:r w:rsidRPr="0042328C">
          <w:rPr>
            <w:rStyle w:val="Hyperlink"/>
          </w:rPr>
          <w:t>https://doi.org/10.3109/16066359.2014.892930</w:t>
        </w:r>
      </w:hyperlink>
      <w:r w:rsidRPr="0042328C">
        <w:t xml:space="preserve"> </w:t>
      </w:r>
    </w:p>
    <w:p w14:paraId="2719F92E" w14:textId="5C8FBAA2" w:rsidR="0042328C" w:rsidRPr="0042328C" w:rsidRDefault="0042328C" w:rsidP="0042328C">
      <w:pPr>
        <w:pStyle w:val="EndNoteBibliography"/>
        <w:ind w:left="720" w:hanging="720"/>
      </w:pPr>
      <w:r w:rsidRPr="0042328C">
        <w:lastRenderedPageBreak/>
        <w:t xml:space="preserve">Jääskeläinen, M., Holmila, M., Notkola, I.-L., &amp; Raitasalo, K. (2016). A typology of families with parental alcohol or drug abuse. </w:t>
      </w:r>
      <w:r w:rsidRPr="0042328C">
        <w:rPr>
          <w:i/>
        </w:rPr>
        <w:t>Addiction Research &amp; Theory</w:t>
      </w:r>
      <w:r w:rsidRPr="0042328C">
        <w:t>,</w:t>
      </w:r>
      <w:r w:rsidRPr="0042328C">
        <w:rPr>
          <w:i/>
        </w:rPr>
        <w:t xml:space="preserve"> 24</w:t>
      </w:r>
      <w:r w:rsidRPr="0042328C">
        <w:t xml:space="preserve">(4), 288-299. </w:t>
      </w:r>
      <w:hyperlink r:id="rId162" w:history="1">
        <w:r w:rsidRPr="0042328C">
          <w:rPr>
            <w:rStyle w:val="Hyperlink"/>
          </w:rPr>
          <w:t>https://doi.org/10.3109/16066359.2015.1127358</w:t>
        </w:r>
      </w:hyperlink>
      <w:r w:rsidRPr="0042328C">
        <w:t xml:space="preserve"> </w:t>
      </w:r>
    </w:p>
    <w:p w14:paraId="3C81A0D5" w14:textId="29D9E451" w:rsidR="0042328C" w:rsidRPr="0042328C" w:rsidRDefault="0042328C" w:rsidP="0042328C">
      <w:pPr>
        <w:pStyle w:val="EndNoteBibliography"/>
        <w:ind w:left="720" w:hanging="720"/>
      </w:pPr>
      <w:r w:rsidRPr="0042328C">
        <w:t xml:space="preserve">Jackson, C. (2011). Multi-State Models for Panel Data: The msm Package for R. </w:t>
      </w:r>
      <w:r w:rsidRPr="0042328C">
        <w:rPr>
          <w:i/>
        </w:rPr>
        <w:t>Journal of Statistical Software</w:t>
      </w:r>
      <w:r w:rsidRPr="0042328C">
        <w:t>,</w:t>
      </w:r>
      <w:r w:rsidRPr="0042328C">
        <w:rPr>
          <w:i/>
        </w:rPr>
        <w:t xml:space="preserve"> 38</w:t>
      </w:r>
      <w:r w:rsidRPr="0042328C">
        <w:t xml:space="preserve">(8), 1 - 28. </w:t>
      </w:r>
      <w:hyperlink r:id="rId163" w:history="1">
        <w:r w:rsidRPr="0042328C">
          <w:rPr>
            <w:rStyle w:val="Hyperlink"/>
          </w:rPr>
          <w:t>https://doi.org/10.18637/jss.v038.i08</w:t>
        </w:r>
      </w:hyperlink>
      <w:r w:rsidRPr="0042328C">
        <w:t xml:space="preserve"> </w:t>
      </w:r>
    </w:p>
    <w:p w14:paraId="044CDF6E" w14:textId="12FC8548" w:rsidR="0042328C" w:rsidRPr="0042328C" w:rsidRDefault="0042328C" w:rsidP="0042328C">
      <w:pPr>
        <w:pStyle w:val="EndNoteBibliography"/>
        <w:ind w:left="720" w:hanging="720"/>
      </w:pPr>
      <w:r w:rsidRPr="0042328C">
        <w:t xml:space="preserve">Jansson, L. M., Svikis, D. S., Breon, D., &amp; Cieslak, R. (2005). Intensity of Case Management Services: Does More Equal Better for Drug Dependent Women and Their Children? </w:t>
      </w:r>
      <w:r w:rsidRPr="0042328C">
        <w:rPr>
          <w:i/>
        </w:rPr>
        <w:t>Social Work in Mental Health</w:t>
      </w:r>
      <w:r w:rsidRPr="0042328C">
        <w:t>,</w:t>
      </w:r>
      <w:r w:rsidRPr="0042328C">
        <w:rPr>
          <w:i/>
        </w:rPr>
        <w:t xml:space="preserve"> 3</w:t>
      </w:r>
      <w:r w:rsidRPr="0042328C">
        <w:t xml:space="preserve">(4), 63-78. </w:t>
      </w:r>
      <w:hyperlink r:id="rId164" w:history="1">
        <w:r w:rsidRPr="0042328C">
          <w:rPr>
            <w:rStyle w:val="Hyperlink"/>
          </w:rPr>
          <w:t>https://doi.org/10.1300/J200v03n04_04</w:t>
        </w:r>
      </w:hyperlink>
      <w:r w:rsidRPr="0042328C">
        <w:t xml:space="preserve"> </w:t>
      </w:r>
    </w:p>
    <w:p w14:paraId="2F642CF6" w14:textId="590DF76C" w:rsidR="0042328C" w:rsidRPr="0042328C" w:rsidRDefault="0042328C" w:rsidP="0042328C">
      <w:pPr>
        <w:pStyle w:val="EndNoteBibliography"/>
        <w:ind w:left="720" w:hanging="720"/>
      </w:pPr>
      <w:r w:rsidRPr="0042328C">
        <w:t xml:space="preserve">Jones, H. E., Johnson, R. E., Jasinski, D. R., O'Grady, K. E., Chisholm, C. A., Choo, R. E., Crocetti, M., Dudas, R., Harrow, C., Huestis, M. A., Jansson, L. M., Lantz, M., Lester, B. M., &amp; Milio, L. (2005). Buprenorphine versus methadone in the treatment of pregnant opioid-dependent patients: effects on the neonatal abstinence syndrome. </w:t>
      </w:r>
      <w:r w:rsidRPr="0042328C">
        <w:rPr>
          <w:i/>
        </w:rPr>
        <w:t>Drug Alcohol Depend</w:t>
      </w:r>
      <w:r w:rsidRPr="0042328C">
        <w:t>,</w:t>
      </w:r>
      <w:r w:rsidRPr="0042328C">
        <w:rPr>
          <w:i/>
        </w:rPr>
        <w:t xml:space="preserve"> 79</w:t>
      </w:r>
      <w:r w:rsidRPr="0042328C">
        <w:t xml:space="preserve">(1), 1-10. </w:t>
      </w:r>
      <w:hyperlink r:id="rId165" w:history="1">
        <w:r w:rsidRPr="0042328C">
          <w:rPr>
            <w:rStyle w:val="Hyperlink"/>
          </w:rPr>
          <w:t>https://doi.org/10.1016/j.drugalcdep.2004.11.013</w:t>
        </w:r>
      </w:hyperlink>
      <w:r w:rsidRPr="0042328C">
        <w:t xml:space="preserve"> </w:t>
      </w:r>
    </w:p>
    <w:p w14:paraId="31125B8B" w14:textId="3246D501" w:rsidR="0042328C" w:rsidRPr="0042328C" w:rsidRDefault="0042328C" w:rsidP="0042328C">
      <w:pPr>
        <w:pStyle w:val="EndNoteBibliography"/>
        <w:ind w:left="720" w:hanging="720"/>
      </w:pPr>
      <w:r w:rsidRPr="0042328C">
        <w:t xml:space="preserve">Jones, H. E., O’Grady, K. E., &amp; Tuten, M. (2011). Reinforcement-Based Treatment Improves the Maternal Treatment and Neonatal Outcomes of Pregnant Patients Enrolled in Comprehensive Care Treatment. </w:t>
      </w:r>
      <w:r w:rsidRPr="0042328C">
        <w:rPr>
          <w:i/>
        </w:rPr>
        <w:t>The American Journal on Addictions</w:t>
      </w:r>
      <w:r w:rsidRPr="0042328C">
        <w:t>,</w:t>
      </w:r>
      <w:r w:rsidRPr="0042328C">
        <w:rPr>
          <w:i/>
        </w:rPr>
        <w:t xml:space="preserve"> 20</w:t>
      </w:r>
      <w:r w:rsidRPr="0042328C">
        <w:t xml:space="preserve">(3), 196-204. </w:t>
      </w:r>
      <w:hyperlink r:id="rId166" w:history="1">
        <w:r w:rsidRPr="0042328C">
          <w:rPr>
            <w:rStyle w:val="Hyperlink"/>
          </w:rPr>
          <w:t>https://doi.org/doi:10.1111/j.1521-0391.2011.00119.x</w:t>
        </w:r>
      </w:hyperlink>
      <w:r w:rsidRPr="0042328C">
        <w:t xml:space="preserve"> </w:t>
      </w:r>
    </w:p>
    <w:p w14:paraId="3006DE72" w14:textId="1F2FA490" w:rsidR="0042328C" w:rsidRPr="0042328C" w:rsidRDefault="0042328C" w:rsidP="0042328C">
      <w:pPr>
        <w:pStyle w:val="EndNoteBibliography"/>
        <w:ind w:left="720" w:hanging="720"/>
      </w:pPr>
      <w:r w:rsidRPr="0042328C">
        <w:t xml:space="preserve">Kendall, S., Rodger, J., &amp; Palmer, H. (2010). Redesigning provision for families with multiple problems – an assessment of the early impact of different local approaches. Research Report DFE-RR046. Retrieved 15/06/2019, from </w:t>
      </w:r>
      <w:hyperlink r:id="rId167" w:history="1">
        <w:r w:rsidRPr="0042328C">
          <w:rPr>
            <w:rStyle w:val="Hyperlink"/>
          </w:rPr>
          <w:t>https://assets.publishing.service.gov.uk/government/uploads/system/uploads/attachment_data/file/181692/DFE-RR046.pdf</w:t>
        </w:r>
      </w:hyperlink>
      <w:r w:rsidRPr="0042328C">
        <w:t xml:space="preserve"> </w:t>
      </w:r>
    </w:p>
    <w:p w14:paraId="2A897419" w14:textId="2E76C3D9" w:rsidR="0042328C" w:rsidRPr="0042328C" w:rsidRDefault="0042328C" w:rsidP="0042328C">
      <w:pPr>
        <w:pStyle w:val="EndNoteBibliography"/>
        <w:ind w:left="720" w:hanging="720"/>
      </w:pPr>
      <w:r w:rsidRPr="0042328C">
        <w:t xml:space="preserve">Kendler, K. S., Gardner, C. O., Edwards, A., Hickman, M., Heron, J., Macleod, J., Lewis, G., &amp; Dick, D. M. (2013). Dimensions of Parental Alcohol Use/Problems and Offspring Temperament, Externalizing Behaviors, and Alcohol Use/Problems. </w:t>
      </w:r>
      <w:r w:rsidRPr="0042328C">
        <w:rPr>
          <w:i/>
        </w:rPr>
        <w:t>Alcoholism: Clinical and Experimental Research</w:t>
      </w:r>
      <w:r w:rsidRPr="0042328C">
        <w:t>,</w:t>
      </w:r>
      <w:r w:rsidRPr="0042328C">
        <w:rPr>
          <w:i/>
        </w:rPr>
        <w:t xml:space="preserve"> 37</w:t>
      </w:r>
      <w:r w:rsidRPr="0042328C">
        <w:t xml:space="preserve">(12), 2118-2127. </w:t>
      </w:r>
      <w:hyperlink r:id="rId168" w:history="1">
        <w:r w:rsidRPr="0042328C">
          <w:rPr>
            <w:rStyle w:val="Hyperlink"/>
          </w:rPr>
          <w:t>https://doi.org/https://doi.org/10.1111/acer.12196</w:t>
        </w:r>
      </w:hyperlink>
      <w:r w:rsidRPr="0042328C">
        <w:t xml:space="preserve"> </w:t>
      </w:r>
    </w:p>
    <w:p w14:paraId="0602A421" w14:textId="690C5D2A" w:rsidR="0042328C" w:rsidRPr="0042328C" w:rsidRDefault="0042328C" w:rsidP="0042328C">
      <w:pPr>
        <w:pStyle w:val="EndNoteBibliography"/>
        <w:ind w:left="720" w:hanging="720"/>
      </w:pPr>
      <w:r w:rsidRPr="0042328C">
        <w:t xml:space="preserve">Kepple, N. J. (2018). Does parental substance use always engender risk for children? Comparing incidence rate ratios of abusive and neglectful behaviors across substance use behavior patterns. </w:t>
      </w:r>
      <w:r w:rsidRPr="0042328C">
        <w:rPr>
          <w:i/>
        </w:rPr>
        <w:t>Child Abuse &amp; Neglect</w:t>
      </w:r>
      <w:r w:rsidRPr="0042328C">
        <w:t>,</w:t>
      </w:r>
      <w:r w:rsidRPr="0042328C">
        <w:rPr>
          <w:i/>
        </w:rPr>
        <w:t xml:space="preserve"> 76</w:t>
      </w:r>
      <w:r w:rsidRPr="0042328C">
        <w:t xml:space="preserve">, 44-55. </w:t>
      </w:r>
      <w:hyperlink r:id="rId169" w:history="1">
        <w:r w:rsidRPr="0042328C">
          <w:rPr>
            <w:rStyle w:val="Hyperlink"/>
          </w:rPr>
          <w:t>https://doi.org/https://doi.org/10.1016/j.chiabu.2017.09.015</w:t>
        </w:r>
      </w:hyperlink>
      <w:r w:rsidRPr="0042328C">
        <w:t xml:space="preserve"> </w:t>
      </w:r>
    </w:p>
    <w:p w14:paraId="2455AB47" w14:textId="3BF797AA" w:rsidR="0042328C" w:rsidRPr="0042328C" w:rsidRDefault="0042328C" w:rsidP="0042328C">
      <w:pPr>
        <w:pStyle w:val="EndNoteBibliography"/>
        <w:ind w:left="720" w:hanging="720"/>
      </w:pPr>
      <w:r w:rsidRPr="0042328C">
        <w:t xml:space="preserve">Knight, J., Brand, P., van der Merwe, J., &amp; Eastwood, B. (2018). Adult substance misuse statistics from the National Drug Treatment Monitoring System (NDTMS): 1 April 2017 to 31 March 2018 [06/06/2019]. </w:t>
      </w:r>
      <w:hyperlink r:id="rId170" w:history="1">
        <w:r w:rsidRPr="0042328C">
          <w:rPr>
            <w:rStyle w:val="Hyperlink"/>
          </w:rPr>
          <w:t>https://assets.publishing.service.gov.uk/government/uploads/system/uploads/attachment_data/file/752993/AdultSubstanceMisuseStatisticsfromNDTMS2017-18.pdf</w:t>
        </w:r>
      </w:hyperlink>
      <w:r w:rsidRPr="0042328C">
        <w:t xml:space="preserve"> </w:t>
      </w:r>
    </w:p>
    <w:p w14:paraId="5C0B1D7E" w14:textId="0069FD56" w:rsidR="0042328C" w:rsidRPr="0042328C" w:rsidRDefault="0042328C" w:rsidP="0042328C">
      <w:pPr>
        <w:pStyle w:val="EndNoteBibliography"/>
        <w:ind w:left="720" w:hanging="720"/>
      </w:pPr>
      <w:r w:rsidRPr="0042328C">
        <w:t xml:space="preserve">Knight, J., Brand, P., Willey, P., &amp; van de Merwe, J. (2017). Adult substance misuse statistics from the National Drug Treatment Monitoring System (NDTMS). 1 April 2016 to 31 March 2017. Retrieved 16/07/2019, from </w:t>
      </w:r>
      <w:hyperlink r:id="rId171" w:history="1">
        <w:r w:rsidRPr="0042328C">
          <w:rPr>
            <w:rStyle w:val="Hyperlink"/>
          </w:rPr>
          <w:t>https://assets.publishing.service.gov.uk/government/uploads/system/uploads/attachment_data/file/658056/Adult-statistics-from-the-national-drug-treatment-monitoring-system-2016-2017.pdf</w:t>
        </w:r>
      </w:hyperlink>
      <w:r w:rsidRPr="0042328C">
        <w:t xml:space="preserve"> </w:t>
      </w:r>
    </w:p>
    <w:p w14:paraId="155B414C" w14:textId="138E2177" w:rsidR="0042328C" w:rsidRPr="0042328C" w:rsidRDefault="0042328C" w:rsidP="0042328C">
      <w:pPr>
        <w:pStyle w:val="EndNoteBibliography"/>
        <w:ind w:left="720" w:hanging="720"/>
      </w:pPr>
      <w:r w:rsidRPr="0042328C">
        <w:t xml:space="preserve">Knight, K. E., Menard, S., &amp; Simmons, S. B. (2014). Intergenerational Continuity of Substance Use. </w:t>
      </w:r>
      <w:r w:rsidRPr="0042328C">
        <w:rPr>
          <w:i/>
        </w:rPr>
        <w:t>Substance Use &amp; Misuse</w:t>
      </w:r>
      <w:r w:rsidRPr="0042328C">
        <w:t>,</w:t>
      </w:r>
      <w:r w:rsidRPr="0042328C">
        <w:rPr>
          <w:i/>
        </w:rPr>
        <w:t xml:space="preserve"> 49</w:t>
      </w:r>
      <w:r w:rsidRPr="0042328C">
        <w:t xml:space="preserve">(3), 221-233. </w:t>
      </w:r>
      <w:hyperlink r:id="rId172" w:history="1">
        <w:r w:rsidRPr="0042328C">
          <w:rPr>
            <w:rStyle w:val="Hyperlink"/>
          </w:rPr>
          <w:t>https://doi.org/10.3109/10826084.2013.824478</w:t>
        </w:r>
      </w:hyperlink>
      <w:r w:rsidRPr="0042328C">
        <w:t xml:space="preserve"> </w:t>
      </w:r>
    </w:p>
    <w:p w14:paraId="73ED1FCF" w14:textId="6F18B273" w:rsidR="0042328C" w:rsidRPr="0042328C" w:rsidRDefault="0042328C" w:rsidP="0042328C">
      <w:pPr>
        <w:pStyle w:val="EndNoteBibliography"/>
        <w:ind w:left="720" w:hanging="720"/>
      </w:pPr>
      <w:r w:rsidRPr="0042328C">
        <w:lastRenderedPageBreak/>
        <w:t xml:space="preserve">Kroll, B. (2004). Living with an elephant: Growing up with parental substance misuse. </w:t>
      </w:r>
      <w:r w:rsidRPr="0042328C">
        <w:rPr>
          <w:i/>
        </w:rPr>
        <w:t>Child &amp; Family Social Work</w:t>
      </w:r>
      <w:r w:rsidRPr="0042328C">
        <w:t>,</w:t>
      </w:r>
      <w:r w:rsidRPr="0042328C">
        <w:rPr>
          <w:i/>
        </w:rPr>
        <w:t xml:space="preserve"> 9</w:t>
      </w:r>
      <w:r w:rsidRPr="0042328C">
        <w:t xml:space="preserve">(2), 129-140. </w:t>
      </w:r>
      <w:hyperlink r:id="rId173" w:history="1">
        <w:r w:rsidRPr="0042328C">
          <w:rPr>
            <w:rStyle w:val="Hyperlink"/>
          </w:rPr>
          <w:t>https://doi.org/10.1111/j.1365-2206.2004.00325.x</w:t>
        </w:r>
      </w:hyperlink>
      <w:r w:rsidRPr="0042328C">
        <w:t xml:space="preserve"> </w:t>
      </w:r>
    </w:p>
    <w:p w14:paraId="361CA971" w14:textId="77777777" w:rsidR="0042328C" w:rsidRPr="0042328C" w:rsidRDefault="0042328C" w:rsidP="0042328C">
      <w:pPr>
        <w:pStyle w:val="EndNoteBibliography"/>
        <w:ind w:left="720" w:hanging="720"/>
      </w:pPr>
      <w:r w:rsidRPr="0042328C">
        <w:t xml:space="preserve">Kroll, B., &amp; Taylor, A. (2003). </w:t>
      </w:r>
      <w:r w:rsidRPr="0042328C">
        <w:rPr>
          <w:i/>
        </w:rPr>
        <w:t>Parental substance misuse and child welfare</w:t>
      </w:r>
      <w:r w:rsidRPr="0042328C">
        <w:t xml:space="preserve">. Jessica Kingsley Publishers. </w:t>
      </w:r>
    </w:p>
    <w:p w14:paraId="17886B35" w14:textId="3B1EB1EF" w:rsidR="0042328C" w:rsidRPr="0042328C" w:rsidRDefault="0042328C" w:rsidP="0042328C">
      <w:pPr>
        <w:pStyle w:val="EndNoteBibliography"/>
        <w:ind w:left="720" w:hanging="720"/>
      </w:pPr>
      <w:r w:rsidRPr="0042328C">
        <w:t xml:space="preserve">Kydd, S., &amp; Roe, N. (2012). A better future for families: The importance of family-based interventions in tackling substance misuse. The Breaking the Cycle Commission. Retrieved 03/11/2018., from </w:t>
      </w:r>
      <w:hyperlink r:id="rId174" w:history="1">
        <w:r w:rsidRPr="0042328C">
          <w:rPr>
            <w:rStyle w:val="Hyperlink"/>
          </w:rPr>
          <w:t>https://www.addaction.org.uk/sites/default/files/public/attachments/the_breaking_the_cycle_commission_2mb_0.pdf</w:t>
        </w:r>
      </w:hyperlink>
      <w:r w:rsidRPr="0042328C">
        <w:t xml:space="preserve"> </w:t>
      </w:r>
    </w:p>
    <w:p w14:paraId="5A507837" w14:textId="1981D55D" w:rsidR="0042328C" w:rsidRPr="0042328C" w:rsidRDefault="0042328C" w:rsidP="0042328C">
      <w:pPr>
        <w:pStyle w:val="EndNoteBibliography"/>
        <w:ind w:left="720" w:hanging="720"/>
      </w:pPr>
      <w:r w:rsidRPr="0042328C">
        <w:t xml:space="preserve">Lam, W. K. K., Fals-Stewart, W., &amp; Kelley, M. L. (2009). Parent Training With Behavioral Couples Therapy for Fathers' Alcohol Abuse. </w:t>
      </w:r>
      <w:r w:rsidRPr="0042328C">
        <w:rPr>
          <w:i/>
        </w:rPr>
        <w:t>Child Maltreatment</w:t>
      </w:r>
      <w:r w:rsidRPr="0042328C">
        <w:t>,</w:t>
      </w:r>
      <w:r w:rsidRPr="0042328C">
        <w:rPr>
          <w:i/>
        </w:rPr>
        <w:t xml:space="preserve"> 14</w:t>
      </w:r>
      <w:r w:rsidRPr="0042328C">
        <w:t xml:space="preserve">(3), 243-254. </w:t>
      </w:r>
      <w:hyperlink r:id="rId175" w:history="1">
        <w:r w:rsidRPr="0042328C">
          <w:rPr>
            <w:rStyle w:val="Hyperlink"/>
          </w:rPr>
          <w:t>https://doi.org/http://dx.doi.org/10.1177/1077559509334091</w:t>
        </w:r>
      </w:hyperlink>
      <w:r w:rsidRPr="0042328C">
        <w:t xml:space="preserve"> </w:t>
      </w:r>
    </w:p>
    <w:p w14:paraId="76BFAE4D" w14:textId="77777777" w:rsidR="0042328C" w:rsidRPr="0042328C" w:rsidRDefault="0042328C" w:rsidP="0042328C">
      <w:pPr>
        <w:pStyle w:val="EndNoteBibliography"/>
        <w:ind w:left="720" w:hanging="720"/>
      </w:pPr>
      <w:r w:rsidRPr="0042328C">
        <w:t xml:space="preserve">Lander, L. R., Gurka, K. K., Marshalek, P. J., Riffon, M., &amp; Sullivan, C. R. (2015). A Comparison of Pregnancy-Only versus Mixed-Gender Group Therapy among Pregnant Women with Opioid Use Disorder. </w:t>
      </w:r>
      <w:r w:rsidRPr="0042328C">
        <w:rPr>
          <w:i/>
        </w:rPr>
        <w:t>Social Work Research</w:t>
      </w:r>
      <w:r w:rsidRPr="0042328C">
        <w:t>,</w:t>
      </w:r>
      <w:r w:rsidRPr="0042328C">
        <w:rPr>
          <w:i/>
        </w:rPr>
        <w:t xml:space="preserve"> 39</w:t>
      </w:r>
      <w:r w:rsidRPr="0042328C">
        <w:t xml:space="preserve">(4), 235. </w:t>
      </w:r>
    </w:p>
    <w:p w14:paraId="0D8EEF91" w14:textId="540EA567" w:rsidR="0042328C" w:rsidRPr="0042328C" w:rsidRDefault="0042328C" w:rsidP="0042328C">
      <w:pPr>
        <w:pStyle w:val="EndNoteBibliography"/>
        <w:ind w:left="720" w:hanging="720"/>
      </w:pPr>
      <w:r w:rsidRPr="0042328C">
        <w:t xml:space="preserve">Laramée, P., Kusel, J., Leonard, S., Aubin, H.-J., François, C., &amp; Daeppen, J.-B. (2013). The Economic Burden of Alcohol Dependence in Europe. </w:t>
      </w:r>
      <w:r w:rsidRPr="0042328C">
        <w:rPr>
          <w:i/>
        </w:rPr>
        <w:t>Alcohol and Alcoholism</w:t>
      </w:r>
      <w:r w:rsidRPr="0042328C">
        <w:t>,</w:t>
      </w:r>
      <w:r w:rsidRPr="0042328C">
        <w:rPr>
          <w:i/>
        </w:rPr>
        <w:t xml:space="preserve"> 48</w:t>
      </w:r>
      <w:r w:rsidRPr="0042328C">
        <w:t xml:space="preserve">(3), 259-269. </w:t>
      </w:r>
      <w:hyperlink r:id="rId176" w:history="1">
        <w:r w:rsidRPr="0042328C">
          <w:rPr>
            <w:rStyle w:val="Hyperlink"/>
          </w:rPr>
          <w:t>https://doi.org/10.1093/alcalc/agt004</w:t>
        </w:r>
      </w:hyperlink>
      <w:r w:rsidRPr="0042328C">
        <w:t xml:space="preserve"> </w:t>
      </w:r>
    </w:p>
    <w:p w14:paraId="063FC2F8" w14:textId="41BCC927" w:rsidR="0042328C" w:rsidRPr="0042328C" w:rsidRDefault="0042328C" w:rsidP="0042328C">
      <w:pPr>
        <w:pStyle w:val="EndNoteBibliography"/>
        <w:ind w:left="720" w:hanging="720"/>
      </w:pPr>
      <w:r w:rsidRPr="0042328C">
        <w:t xml:space="preserve">Lee, J. J. N., Cataldo, I., Coppola, A., Corazza, O., &amp; Esposito, G. (2021). Mind the dad–A review on the biopsychosocial influences of drug abuse on father-infant interaction. </w:t>
      </w:r>
      <w:r w:rsidRPr="0042328C">
        <w:rPr>
          <w:i/>
        </w:rPr>
        <w:t>Emerging Trends in Drugs, Addictions, and Health</w:t>
      </w:r>
      <w:r w:rsidRPr="0042328C">
        <w:t>,</w:t>
      </w:r>
      <w:r w:rsidRPr="0042328C">
        <w:rPr>
          <w:i/>
        </w:rPr>
        <w:t xml:space="preserve"> 1</w:t>
      </w:r>
      <w:r w:rsidRPr="0042328C">
        <w:t xml:space="preserve">, 100015. </w:t>
      </w:r>
      <w:hyperlink r:id="rId177" w:history="1">
        <w:r w:rsidRPr="0042328C">
          <w:rPr>
            <w:rStyle w:val="Hyperlink"/>
          </w:rPr>
          <w:t>https://doi.org/https://doi.org/10.1016/j.etdah.2021.100015</w:t>
        </w:r>
      </w:hyperlink>
      <w:r w:rsidRPr="0042328C">
        <w:t xml:space="preserve"> </w:t>
      </w:r>
    </w:p>
    <w:p w14:paraId="39F04CD0" w14:textId="33BA7DBD" w:rsidR="0042328C" w:rsidRPr="0042328C" w:rsidRDefault="0042328C" w:rsidP="0042328C">
      <w:pPr>
        <w:pStyle w:val="EndNoteBibliography"/>
        <w:ind w:left="720" w:hanging="720"/>
      </w:pPr>
      <w:r w:rsidRPr="0042328C">
        <w:t xml:space="preserve">Li, C. (2013). Little's Test of Missing Completely at Random. </w:t>
      </w:r>
      <w:r w:rsidRPr="0042328C">
        <w:rPr>
          <w:i/>
        </w:rPr>
        <w:t>The Stata Journal</w:t>
      </w:r>
      <w:r w:rsidRPr="0042328C">
        <w:t>,</w:t>
      </w:r>
      <w:r w:rsidRPr="0042328C">
        <w:rPr>
          <w:i/>
        </w:rPr>
        <w:t xml:space="preserve"> 13</w:t>
      </w:r>
      <w:r w:rsidRPr="0042328C">
        <w:t xml:space="preserve">(4), 795-809. </w:t>
      </w:r>
      <w:hyperlink r:id="rId178" w:history="1">
        <w:r w:rsidRPr="0042328C">
          <w:rPr>
            <w:rStyle w:val="Hyperlink"/>
          </w:rPr>
          <w:t>https://doi.org/10.1177/1536867X1301300407</w:t>
        </w:r>
      </w:hyperlink>
      <w:r w:rsidRPr="0042328C">
        <w:t xml:space="preserve"> </w:t>
      </w:r>
    </w:p>
    <w:p w14:paraId="7E32AA2E" w14:textId="2EBEADD1" w:rsidR="0042328C" w:rsidRPr="0042328C" w:rsidRDefault="0042328C" w:rsidP="0042328C">
      <w:pPr>
        <w:pStyle w:val="EndNoteBibliography"/>
        <w:ind w:left="720" w:hanging="720"/>
      </w:pPr>
      <w:r w:rsidRPr="0042328C">
        <w:t xml:space="preserve">Linden, A., Mathur, M. B., &amp; VanderWeele, T. J. (2020). Conducting sensitivity analysis for unmeasured confounding in observational studies using E-values: The evalue package. </w:t>
      </w:r>
      <w:r w:rsidRPr="0042328C">
        <w:rPr>
          <w:i/>
        </w:rPr>
        <w:t>The Stata Journal</w:t>
      </w:r>
      <w:r w:rsidRPr="0042328C">
        <w:t>,</w:t>
      </w:r>
      <w:r w:rsidRPr="0042328C">
        <w:rPr>
          <w:i/>
        </w:rPr>
        <w:t xml:space="preserve"> 20</w:t>
      </w:r>
      <w:r w:rsidRPr="0042328C">
        <w:t xml:space="preserve">(1), 162-175. </w:t>
      </w:r>
      <w:hyperlink r:id="rId179" w:history="1">
        <w:r w:rsidRPr="0042328C">
          <w:rPr>
            <w:rStyle w:val="Hyperlink"/>
          </w:rPr>
          <w:t>https://doi.org/10.1177/1536867x20909696</w:t>
        </w:r>
      </w:hyperlink>
      <w:r w:rsidRPr="0042328C">
        <w:t xml:space="preserve"> </w:t>
      </w:r>
    </w:p>
    <w:p w14:paraId="6CB4F9CF" w14:textId="725385C9" w:rsidR="0042328C" w:rsidRPr="0042328C" w:rsidRDefault="0042328C" w:rsidP="0042328C">
      <w:pPr>
        <w:pStyle w:val="EndNoteBibliography"/>
        <w:ind w:left="720" w:hanging="720"/>
      </w:pPr>
      <w:r w:rsidRPr="0042328C">
        <w:t xml:space="preserve">Little, R. J. A. (1988). A Test of Missing Completely at Random for Multivariate Data with Missing Values. </w:t>
      </w:r>
      <w:r w:rsidRPr="0042328C">
        <w:rPr>
          <w:i/>
        </w:rPr>
        <w:t>Journal of the American Statistical Association</w:t>
      </w:r>
      <w:r w:rsidRPr="0042328C">
        <w:t>,</w:t>
      </w:r>
      <w:r w:rsidRPr="0042328C">
        <w:rPr>
          <w:i/>
        </w:rPr>
        <w:t xml:space="preserve"> 83</w:t>
      </w:r>
      <w:r w:rsidRPr="0042328C">
        <w:t xml:space="preserve">(404), 1198-1202. </w:t>
      </w:r>
      <w:hyperlink r:id="rId180" w:history="1">
        <w:r w:rsidRPr="0042328C">
          <w:rPr>
            <w:rStyle w:val="Hyperlink"/>
          </w:rPr>
          <w:t>https://doi.org/10.1080/01621459.1988.10478722</w:t>
        </w:r>
      </w:hyperlink>
      <w:r w:rsidRPr="0042328C">
        <w:t xml:space="preserve"> </w:t>
      </w:r>
    </w:p>
    <w:p w14:paraId="606BA707" w14:textId="5D82C4F2" w:rsidR="0042328C" w:rsidRPr="0042328C" w:rsidRDefault="0042328C" w:rsidP="0042328C">
      <w:pPr>
        <w:pStyle w:val="EndNoteBibliography"/>
        <w:ind w:left="720" w:hanging="720"/>
      </w:pPr>
      <w:r w:rsidRPr="0042328C">
        <w:t xml:space="preserve">Localio, A. R., Stack, C., &amp; Griswold, M. (2017). Sensitivity Analysis for Unmeasured Confounding: E-Values for Observational Studies. </w:t>
      </w:r>
      <w:r w:rsidRPr="0042328C">
        <w:rPr>
          <w:i/>
        </w:rPr>
        <w:t>Annals of Internal Medicine</w:t>
      </w:r>
      <w:r w:rsidRPr="0042328C">
        <w:t>,</w:t>
      </w:r>
      <w:r w:rsidRPr="0042328C">
        <w:rPr>
          <w:i/>
        </w:rPr>
        <w:t xml:space="preserve"> 167</w:t>
      </w:r>
      <w:r w:rsidRPr="0042328C">
        <w:t xml:space="preserve">(4), 285-undefined. </w:t>
      </w:r>
      <w:hyperlink r:id="rId181" w:history="1">
        <w:r w:rsidRPr="0042328C">
          <w:rPr>
            <w:rStyle w:val="Hyperlink"/>
          </w:rPr>
          <w:t>https://doi.org/10.7326/M17-1485</w:t>
        </w:r>
      </w:hyperlink>
      <w:r w:rsidRPr="0042328C">
        <w:t xml:space="preserve"> </w:t>
      </w:r>
    </w:p>
    <w:p w14:paraId="0FDBD611" w14:textId="0B3C09F0" w:rsidR="0042328C" w:rsidRPr="0042328C" w:rsidRDefault="0042328C" w:rsidP="0042328C">
      <w:pPr>
        <w:pStyle w:val="EndNoteBibliography"/>
        <w:ind w:left="720" w:hanging="720"/>
      </w:pPr>
      <w:r w:rsidRPr="0042328C">
        <w:t xml:space="preserve">Long, F. C., &amp; Jepsen, K. S. (2023). Situating Stigma: An Ethnographic Exploration of How Stigma Arises in Interactions at Different Stages of People’s Drug Use Journeys. </w:t>
      </w:r>
      <w:r w:rsidRPr="0042328C">
        <w:rPr>
          <w:i/>
        </w:rPr>
        <w:t>International Journal of Environmental Research and Public Health</w:t>
      </w:r>
      <w:r w:rsidRPr="0042328C">
        <w:t>,</w:t>
      </w:r>
      <w:r w:rsidRPr="0042328C">
        <w:rPr>
          <w:i/>
        </w:rPr>
        <w:t xml:space="preserve"> 20</w:t>
      </w:r>
      <w:r w:rsidRPr="0042328C">
        <w:t xml:space="preserve">(19), 6894. </w:t>
      </w:r>
      <w:hyperlink r:id="rId182" w:history="1">
        <w:r w:rsidRPr="0042328C">
          <w:rPr>
            <w:rStyle w:val="Hyperlink"/>
          </w:rPr>
          <w:t>https://www.mdpi.com/1660-4601/20/19/6894</w:t>
        </w:r>
      </w:hyperlink>
      <w:r w:rsidRPr="0042328C">
        <w:t xml:space="preserve"> </w:t>
      </w:r>
    </w:p>
    <w:p w14:paraId="1D484147" w14:textId="364A755C" w:rsidR="0042328C" w:rsidRPr="0042328C" w:rsidRDefault="0042328C" w:rsidP="0042328C">
      <w:pPr>
        <w:pStyle w:val="EndNoteBibliography"/>
        <w:ind w:left="720" w:hanging="720"/>
      </w:pPr>
      <w:r w:rsidRPr="0042328C">
        <w:t xml:space="preserve">Lowthian, E. (2022). The Secondary Harms of Parental Substance Use on Children’s Educational Outcomes: A Review. </w:t>
      </w:r>
      <w:r w:rsidRPr="0042328C">
        <w:rPr>
          <w:i/>
        </w:rPr>
        <w:t>Journal of Child &amp; Adolescent Trauma</w:t>
      </w:r>
      <w:r w:rsidRPr="0042328C">
        <w:t>,</w:t>
      </w:r>
      <w:r w:rsidRPr="0042328C">
        <w:rPr>
          <w:i/>
        </w:rPr>
        <w:t xml:space="preserve"> 15</w:t>
      </w:r>
      <w:r w:rsidRPr="0042328C">
        <w:t xml:space="preserve">(3), 511-522. </w:t>
      </w:r>
      <w:hyperlink r:id="rId183" w:history="1">
        <w:r w:rsidRPr="0042328C">
          <w:rPr>
            <w:rStyle w:val="Hyperlink"/>
          </w:rPr>
          <w:t>https://doi.org/10.1007/s40653-021-00433-2</w:t>
        </w:r>
      </w:hyperlink>
      <w:r w:rsidRPr="0042328C">
        <w:t xml:space="preserve"> </w:t>
      </w:r>
    </w:p>
    <w:p w14:paraId="1CFE985E" w14:textId="622D5D0B" w:rsidR="0042328C" w:rsidRPr="0042328C" w:rsidRDefault="0042328C" w:rsidP="0042328C">
      <w:pPr>
        <w:pStyle w:val="EndNoteBibliography"/>
        <w:ind w:left="720" w:hanging="720"/>
      </w:pPr>
      <w:r w:rsidRPr="0042328C">
        <w:t xml:space="preserve">Luthar, S. S., Suchman, N. E., &amp; Altomare, M. (2007). Relational Psychotherapy Mothers' Group: A randomized clinical trial for substance abusing mothers. </w:t>
      </w:r>
      <w:r w:rsidRPr="0042328C">
        <w:rPr>
          <w:i/>
        </w:rPr>
        <w:t>Development and Psychopathology</w:t>
      </w:r>
      <w:r w:rsidRPr="0042328C">
        <w:t>,</w:t>
      </w:r>
      <w:r w:rsidRPr="0042328C">
        <w:rPr>
          <w:i/>
        </w:rPr>
        <w:t xml:space="preserve"> 19</w:t>
      </w:r>
      <w:r w:rsidRPr="0042328C">
        <w:t xml:space="preserve">(1), 243-261. </w:t>
      </w:r>
      <w:hyperlink r:id="rId184" w:history="1">
        <w:r w:rsidRPr="0042328C">
          <w:rPr>
            <w:rStyle w:val="Hyperlink"/>
          </w:rPr>
          <w:t>https://doi.org/10.1017/S0954579407070137</w:t>
        </w:r>
      </w:hyperlink>
      <w:r w:rsidRPr="0042328C">
        <w:t xml:space="preserve"> </w:t>
      </w:r>
    </w:p>
    <w:p w14:paraId="0C9D178C" w14:textId="7E91AB0F" w:rsidR="0042328C" w:rsidRPr="0042328C" w:rsidRDefault="0042328C" w:rsidP="0042328C">
      <w:pPr>
        <w:pStyle w:val="EndNoteBibliography"/>
        <w:ind w:left="720" w:hanging="720"/>
      </w:pPr>
      <w:r w:rsidRPr="0042328C">
        <w:t xml:space="preserve">Lutman, E., &amp; Farmer, E. (2013). What Contributes to Outcomes for Neglected Children Who Are Reunified with Their Parents? Findings from a Five-Year </w:t>
      </w:r>
      <w:r w:rsidRPr="0042328C">
        <w:lastRenderedPageBreak/>
        <w:t xml:space="preserve">Follow-Up Study. </w:t>
      </w:r>
      <w:r w:rsidRPr="0042328C">
        <w:rPr>
          <w:i/>
        </w:rPr>
        <w:t>The British Journal of Social Work</w:t>
      </w:r>
      <w:r w:rsidRPr="0042328C">
        <w:t>,</w:t>
      </w:r>
      <w:r w:rsidRPr="0042328C">
        <w:rPr>
          <w:i/>
        </w:rPr>
        <w:t xml:space="preserve"> 43</w:t>
      </w:r>
      <w:r w:rsidRPr="0042328C">
        <w:t xml:space="preserve">(3), 559-578. </w:t>
      </w:r>
      <w:hyperlink r:id="rId185" w:history="1">
        <w:r w:rsidRPr="0042328C">
          <w:rPr>
            <w:rStyle w:val="Hyperlink"/>
          </w:rPr>
          <w:t>https://doi.org/10.1093/bjsw/bcr184</w:t>
        </w:r>
      </w:hyperlink>
      <w:r w:rsidRPr="0042328C">
        <w:t xml:space="preserve"> </w:t>
      </w:r>
    </w:p>
    <w:p w14:paraId="07CF4DF3" w14:textId="63A0BA3D" w:rsidR="0042328C" w:rsidRPr="0042328C" w:rsidRDefault="0042328C" w:rsidP="0042328C">
      <w:pPr>
        <w:pStyle w:val="EndNoteBibliography"/>
        <w:ind w:left="720" w:hanging="720"/>
      </w:pPr>
      <w:r w:rsidRPr="0042328C">
        <w:t xml:space="preserve">Madigan, S., Cyr, C., Eirich, R., Fearon, R. M. P., Ly, A., Rash, C., Poole, J. C., &amp; Alink, L. R. A. (2019). Testing the cycle of maltreatment hypothesis: Meta-analytic evidence of the intergenerational transmission of child maltreatment. </w:t>
      </w:r>
      <w:r w:rsidRPr="0042328C">
        <w:rPr>
          <w:i/>
        </w:rPr>
        <w:t>Development and Psychopathology</w:t>
      </w:r>
      <w:r w:rsidRPr="0042328C">
        <w:t>,</w:t>
      </w:r>
      <w:r w:rsidRPr="0042328C">
        <w:rPr>
          <w:i/>
        </w:rPr>
        <w:t xml:space="preserve"> 31</w:t>
      </w:r>
      <w:r w:rsidRPr="0042328C">
        <w:t xml:space="preserve">(1), 23-51. </w:t>
      </w:r>
      <w:hyperlink r:id="rId186" w:history="1">
        <w:r w:rsidRPr="0042328C">
          <w:rPr>
            <w:rStyle w:val="Hyperlink"/>
          </w:rPr>
          <w:t>https://doi.org/10.1017/S0954579418001700</w:t>
        </w:r>
      </w:hyperlink>
      <w:r w:rsidRPr="0042328C">
        <w:t xml:space="preserve"> </w:t>
      </w:r>
    </w:p>
    <w:p w14:paraId="0ED3D4FD" w14:textId="41EA8D64" w:rsidR="0042328C" w:rsidRPr="0042328C" w:rsidRDefault="0042328C" w:rsidP="0042328C">
      <w:pPr>
        <w:pStyle w:val="EndNoteBibliography"/>
        <w:ind w:left="720" w:hanging="720"/>
      </w:pPr>
      <w:r w:rsidRPr="0042328C">
        <w:t xml:space="preserve">Manning, V., Best, D. W., Faulkner, N., &amp; Titherington, E. (2009). New estimates of the number of children living with substance misusing parents: results from UK national household surveys. </w:t>
      </w:r>
      <w:r w:rsidRPr="0042328C">
        <w:rPr>
          <w:i/>
        </w:rPr>
        <w:t>BMC public health</w:t>
      </w:r>
      <w:r w:rsidRPr="0042328C">
        <w:t>,</w:t>
      </w:r>
      <w:r w:rsidRPr="0042328C">
        <w:rPr>
          <w:i/>
        </w:rPr>
        <w:t xml:space="preserve"> 9</w:t>
      </w:r>
      <w:r w:rsidRPr="0042328C">
        <w:t xml:space="preserve">, 377-377. </w:t>
      </w:r>
      <w:hyperlink r:id="rId187" w:history="1">
        <w:r w:rsidRPr="0042328C">
          <w:rPr>
            <w:rStyle w:val="Hyperlink"/>
          </w:rPr>
          <w:t>https://doi.org/10.1186/1471-2458-9-377</w:t>
        </w:r>
      </w:hyperlink>
      <w:r w:rsidRPr="0042328C">
        <w:t xml:space="preserve"> </w:t>
      </w:r>
    </w:p>
    <w:p w14:paraId="279D1F5A" w14:textId="6EEE96BD" w:rsidR="0042328C" w:rsidRPr="0042328C" w:rsidRDefault="0042328C" w:rsidP="0042328C">
      <w:pPr>
        <w:pStyle w:val="EndNoteBibliography"/>
        <w:ind w:left="720" w:hanging="720"/>
      </w:pPr>
      <w:r w:rsidRPr="0042328C">
        <w:t xml:space="preserve">Manthey, J., Hassan, S. A., Carr, S., Kilian, C., Kuitunen-Paul, S., &amp; Rehm, J. (2021). What are the Economic Costs to Society Attributable to Alcohol Use? A Systematic Review and Modelling Study. </w:t>
      </w:r>
      <w:r w:rsidRPr="0042328C">
        <w:rPr>
          <w:i/>
        </w:rPr>
        <w:t>PharmacoEconomics</w:t>
      </w:r>
      <w:r w:rsidRPr="0042328C">
        <w:t>,</w:t>
      </w:r>
      <w:r w:rsidRPr="0042328C">
        <w:rPr>
          <w:i/>
        </w:rPr>
        <w:t xml:space="preserve"> 39</w:t>
      </w:r>
      <w:r w:rsidRPr="0042328C">
        <w:t xml:space="preserve">(7), 809-822. </w:t>
      </w:r>
      <w:hyperlink r:id="rId188" w:history="1">
        <w:r w:rsidRPr="0042328C">
          <w:rPr>
            <w:rStyle w:val="Hyperlink"/>
          </w:rPr>
          <w:t>https://doi.org/10.1007/s40273-021-01031-8</w:t>
        </w:r>
      </w:hyperlink>
      <w:r w:rsidRPr="0042328C">
        <w:t xml:space="preserve"> </w:t>
      </w:r>
    </w:p>
    <w:p w14:paraId="48F47091" w14:textId="50F0E184" w:rsidR="0042328C" w:rsidRPr="0042328C" w:rsidRDefault="0042328C" w:rsidP="0042328C">
      <w:pPr>
        <w:pStyle w:val="EndNoteBibliography"/>
        <w:ind w:left="720" w:hanging="720"/>
      </w:pPr>
      <w:r w:rsidRPr="0042328C">
        <w:t xml:space="preserve">Marsden, J., Eastwood, B., Bradbury, C., Dale-Perera, A., Farrell, M., Hammond, P., Knight, J., Randhawa, K., &amp; Wright, C. (2009). Effectiveness of community treatments for heroin and crack cocaine addiction in England: a prospective, in-treatment cohort study. </w:t>
      </w:r>
      <w:r w:rsidRPr="0042328C">
        <w:rPr>
          <w:i/>
        </w:rPr>
        <w:t>Lancet</w:t>
      </w:r>
      <w:r w:rsidRPr="0042328C">
        <w:t>,</w:t>
      </w:r>
      <w:r w:rsidRPr="0042328C">
        <w:rPr>
          <w:i/>
        </w:rPr>
        <w:t xml:space="preserve"> 374</w:t>
      </w:r>
      <w:r w:rsidRPr="0042328C">
        <w:t xml:space="preserve">(9697), 1262-1270. </w:t>
      </w:r>
      <w:hyperlink r:id="rId189" w:history="1">
        <w:r w:rsidRPr="0042328C">
          <w:rPr>
            <w:rStyle w:val="Hyperlink"/>
          </w:rPr>
          <w:t>https://doi.org/10.1016/s0140-6736(09)61420-3</w:t>
        </w:r>
      </w:hyperlink>
      <w:r w:rsidRPr="0042328C">
        <w:t xml:space="preserve"> </w:t>
      </w:r>
    </w:p>
    <w:p w14:paraId="2296DDF1" w14:textId="5FFACC83" w:rsidR="0042328C" w:rsidRPr="0042328C" w:rsidRDefault="0042328C" w:rsidP="0042328C">
      <w:pPr>
        <w:pStyle w:val="EndNoteBibliography"/>
        <w:ind w:left="720" w:hanging="720"/>
      </w:pPr>
      <w:r w:rsidRPr="0042328C">
        <w:t xml:space="preserve">Marsden, J., Eastwood, B., Jones, H., Bradbury, C., Hickman, M., Knight, J., Randhawa, K., White, M., &amp; National Drug Treatment Monitoring System Outcomes Study Group. (2012). Risk adjustment of heroin treatment outcomes for comparative performance assessment in England. </w:t>
      </w:r>
      <w:r w:rsidRPr="0042328C">
        <w:rPr>
          <w:i/>
        </w:rPr>
        <w:t>Addiction</w:t>
      </w:r>
      <w:r w:rsidRPr="0042328C">
        <w:t>,</w:t>
      </w:r>
      <w:r w:rsidRPr="0042328C">
        <w:rPr>
          <w:i/>
        </w:rPr>
        <w:t xml:space="preserve"> 107</w:t>
      </w:r>
      <w:r w:rsidRPr="0042328C">
        <w:t xml:space="preserve">(12), 2161-2172. </w:t>
      </w:r>
      <w:hyperlink r:id="rId190" w:history="1">
        <w:r w:rsidRPr="0042328C">
          <w:rPr>
            <w:rStyle w:val="Hyperlink"/>
          </w:rPr>
          <w:t>https://doi.org/https://doi.org/10.1111/j.1360-0443.2012.03971.x</w:t>
        </w:r>
      </w:hyperlink>
      <w:r w:rsidRPr="0042328C">
        <w:t xml:space="preserve"> </w:t>
      </w:r>
    </w:p>
    <w:p w14:paraId="10C38219" w14:textId="1F3F6D3B" w:rsidR="0042328C" w:rsidRPr="0042328C" w:rsidRDefault="0042328C" w:rsidP="0042328C">
      <w:pPr>
        <w:pStyle w:val="EndNoteBibliography"/>
        <w:ind w:left="720" w:hanging="720"/>
      </w:pPr>
      <w:r w:rsidRPr="0042328C">
        <w:t xml:space="preserve">Mathur, M. B., Ding, P., Riddell, C. A., &amp; VanderWeele, T. J. (2018). Web Site and R Package for Computing E-values. </w:t>
      </w:r>
      <w:r w:rsidRPr="0042328C">
        <w:rPr>
          <w:i/>
        </w:rPr>
        <w:t>Epidemiology</w:t>
      </w:r>
      <w:r w:rsidRPr="0042328C">
        <w:t>,</w:t>
      </w:r>
      <w:r w:rsidRPr="0042328C">
        <w:rPr>
          <w:i/>
        </w:rPr>
        <w:t xml:space="preserve"> 29</w:t>
      </w:r>
      <w:r w:rsidRPr="0042328C">
        <w:t xml:space="preserve">(5), e45-e47. </w:t>
      </w:r>
      <w:hyperlink r:id="rId191" w:history="1">
        <w:r w:rsidRPr="0042328C">
          <w:rPr>
            <w:rStyle w:val="Hyperlink"/>
          </w:rPr>
          <w:t>https://doi.org/10.1097/ede.0000000000000864</w:t>
        </w:r>
      </w:hyperlink>
      <w:r w:rsidRPr="0042328C">
        <w:t xml:space="preserve"> </w:t>
      </w:r>
    </w:p>
    <w:p w14:paraId="60E44BB6" w14:textId="5EA09EF8" w:rsidR="0042328C" w:rsidRPr="0042328C" w:rsidRDefault="0042328C" w:rsidP="0042328C">
      <w:pPr>
        <w:pStyle w:val="EndNoteBibliography"/>
        <w:ind w:left="720" w:hanging="720"/>
      </w:pPr>
      <w:r w:rsidRPr="0042328C">
        <w:t>Maxwell, N., Scourfield, J., Featherstone, B., Holland, S., &amp; Tolman, R. (2012). Engaging fathers in child welfare services: a narrative review of recent research evidence.</w:t>
      </w:r>
      <w:r w:rsidRPr="0042328C">
        <w:rPr>
          <w:i/>
        </w:rPr>
        <w:t xml:space="preserve"> 17</w:t>
      </w:r>
      <w:r w:rsidRPr="0042328C">
        <w:t xml:space="preserve">, 160-169. </w:t>
      </w:r>
      <w:hyperlink r:id="rId192" w:history="1">
        <w:r w:rsidRPr="0042328C">
          <w:rPr>
            <w:rStyle w:val="Hyperlink"/>
          </w:rPr>
          <w:t>https://doi.org/10.1111/j.1365-2206.2012.00827.x</w:t>
        </w:r>
      </w:hyperlink>
      <w:r w:rsidRPr="0042328C">
        <w:t xml:space="preserve"> </w:t>
      </w:r>
    </w:p>
    <w:p w14:paraId="7BF832D4" w14:textId="1D838EBC" w:rsidR="0042328C" w:rsidRPr="0042328C" w:rsidRDefault="0042328C" w:rsidP="0042328C">
      <w:pPr>
        <w:pStyle w:val="EndNoteBibliography"/>
        <w:ind w:left="720" w:hanging="720"/>
      </w:pPr>
      <w:r w:rsidRPr="0042328C">
        <w:t xml:space="preserve">McAllister, J. (2022). </w:t>
      </w:r>
      <w:r w:rsidRPr="0042328C">
        <w:rPr>
          <w:i/>
        </w:rPr>
        <w:t>The independent review of children’s social care. Final report.</w:t>
      </w:r>
      <w:r w:rsidRPr="0042328C">
        <w:t xml:space="preserve">  Retrieved from </w:t>
      </w:r>
      <w:hyperlink r:id="rId193" w:history="1">
        <w:r w:rsidRPr="0042328C">
          <w:rPr>
            <w:rStyle w:val="Hyperlink"/>
          </w:rPr>
          <w:t>https://childrenssocialcare.independent-review.uk/final-report/</w:t>
        </w:r>
      </w:hyperlink>
    </w:p>
    <w:p w14:paraId="17536BA0" w14:textId="15D1A669" w:rsidR="0042328C" w:rsidRPr="0042328C" w:rsidRDefault="0042328C" w:rsidP="0042328C">
      <w:pPr>
        <w:pStyle w:val="EndNoteBibliography"/>
        <w:ind w:left="720" w:hanging="720"/>
      </w:pPr>
      <w:r w:rsidRPr="0042328C">
        <w:t xml:space="preserve">McCaffrey, D. F., Griffin, B. A., Almirall, D., Slaughter, M. E., Ramchand, R., &amp; Burgette, L. F. (2013). A tutorial on propensity score estimation for multiple treatments using generalized boosted models. </w:t>
      </w:r>
      <w:r w:rsidRPr="0042328C">
        <w:rPr>
          <w:i/>
        </w:rPr>
        <w:t>Statistics in medicine</w:t>
      </w:r>
      <w:r w:rsidRPr="0042328C">
        <w:t>,</w:t>
      </w:r>
      <w:r w:rsidRPr="0042328C">
        <w:rPr>
          <w:i/>
        </w:rPr>
        <w:t xml:space="preserve"> 32</w:t>
      </w:r>
      <w:r w:rsidRPr="0042328C">
        <w:t xml:space="preserve">(19), 3388-3414. </w:t>
      </w:r>
      <w:hyperlink r:id="rId194" w:history="1">
        <w:r w:rsidRPr="0042328C">
          <w:rPr>
            <w:rStyle w:val="Hyperlink"/>
          </w:rPr>
          <w:t>https://doi.org/10.1002/sim.5753</w:t>
        </w:r>
      </w:hyperlink>
      <w:r w:rsidRPr="0042328C">
        <w:t xml:space="preserve"> </w:t>
      </w:r>
    </w:p>
    <w:p w14:paraId="0EF9AD86" w14:textId="5B297A17" w:rsidR="0042328C" w:rsidRPr="0042328C" w:rsidRDefault="0042328C" w:rsidP="0042328C">
      <w:pPr>
        <w:pStyle w:val="EndNoteBibliography"/>
        <w:ind w:left="720" w:hanging="720"/>
      </w:pPr>
      <w:r w:rsidRPr="0042328C">
        <w:t xml:space="preserve">McCurdy, L. Y., Yip, S. W., Worhunsky, P. D., Zhai, Z. W., Kim, S., Strathearn, L., Potenza, M. N., Mayes, L. C., &amp; Rutherford, H. J. V. (2024). Neural correlates of altered emotional responsivity to infant stimuli in mothers who use substances. </w:t>
      </w:r>
      <w:r w:rsidRPr="0042328C">
        <w:rPr>
          <w:i/>
        </w:rPr>
        <w:t>Journal of Psychiatric Research</w:t>
      </w:r>
      <w:r w:rsidRPr="0042328C">
        <w:t>,</w:t>
      </w:r>
      <w:r w:rsidRPr="0042328C">
        <w:rPr>
          <w:i/>
        </w:rPr>
        <w:t xml:space="preserve"> 171</w:t>
      </w:r>
      <w:r w:rsidRPr="0042328C">
        <w:t xml:space="preserve">, 126-133. </w:t>
      </w:r>
      <w:hyperlink r:id="rId195" w:history="1">
        <w:r w:rsidRPr="0042328C">
          <w:rPr>
            <w:rStyle w:val="Hyperlink"/>
          </w:rPr>
          <w:t>https://doi.org/https://doi.org/10.1016/j.jpsychires.2024.01.024</w:t>
        </w:r>
      </w:hyperlink>
      <w:r w:rsidRPr="0042328C">
        <w:t xml:space="preserve"> </w:t>
      </w:r>
    </w:p>
    <w:p w14:paraId="59139641" w14:textId="3F030688" w:rsidR="0042328C" w:rsidRPr="0042328C" w:rsidRDefault="0042328C" w:rsidP="0042328C">
      <w:pPr>
        <w:pStyle w:val="EndNoteBibliography"/>
        <w:ind w:left="720" w:hanging="720"/>
      </w:pPr>
      <w:r w:rsidRPr="0042328C">
        <w:t xml:space="preserve">McGovern, R., Addison, M. T., Newham, J. J., Hickman, M., &amp; Kaner, E. F. S. (2017). Effectiveness of psychosocial interventions for reducing parental substance misuse. </w:t>
      </w:r>
      <w:r w:rsidRPr="0042328C">
        <w:rPr>
          <w:i/>
        </w:rPr>
        <w:t>Cochrane Database of Systematic Reviews</w:t>
      </w:r>
      <w:r w:rsidRPr="0042328C">
        <w:t xml:space="preserve">(10). </w:t>
      </w:r>
      <w:hyperlink r:id="rId196" w:history="1">
        <w:r w:rsidRPr="0042328C">
          <w:rPr>
            <w:rStyle w:val="Hyperlink"/>
          </w:rPr>
          <w:t>https://doi.org/10.1002/14651858.CD012823</w:t>
        </w:r>
      </w:hyperlink>
      <w:r w:rsidRPr="0042328C">
        <w:t xml:space="preserve"> </w:t>
      </w:r>
    </w:p>
    <w:p w14:paraId="189C6AA6" w14:textId="385F108C" w:rsidR="0042328C" w:rsidRPr="0042328C" w:rsidRDefault="0042328C" w:rsidP="0042328C">
      <w:pPr>
        <w:pStyle w:val="EndNoteBibliography"/>
        <w:ind w:left="720" w:hanging="720"/>
      </w:pPr>
      <w:r w:rsidRPr="0042328C">
        <w:t xml:space="preserve">McGovern, R., Bogowicz, P., Meader, N., Kaner, E., Alderson, H., Craig, D., Geijer-Simpson, E., Jackson, K., Muir, C., Salonen, D., Smart, D., &amp; Newham, J. J. </w:t>
      </w:r>
      <w:r w:rsidRPr="0042328C">
        <w:lastRenderedPageBreak/>
        <w:t xml:space="preserve">(2023). The association between maternal and paternal substance use and child substance use, internalizing and externalizing problems: a systematic review and meta-analysis. </w:t>
      </w:r>
      <w:r w:rsidRPr="0042328C">
        <w:rPr>
          <w:i/>
        </w:rPr>
        <w:t>Addiction</w:t>
      </w:r>
      <w:r w:rsidRPr="0042328C">
        <w:t>,</w:t>
      </w:r>
      <w:r w:rsidRPr="0042328C">
        <w:rPr>
          <w:i/>
        </w:rPr>
        <w:t xml:space="preserve"> 118</w:t>
      </w:r>
      <w:r w:rsidRPr="0042328C">
        <w:t xml:space="preserve">(5), 804-818. </w:t>
      </w:r>
      <w:hyperlink r:id="rId197" w:history="1">
        <w:r w:rsidRPr="0042328C">
          <w:rPr>
            <w:rStyle w:val="Hyperlink"/>
          </w:rPr>
          <w:t>https://doi.org/https://doi.org/10.1111/add.16127</w:t>
        </w:r>
      </w:hyperlink>
      <w:r w:rsidRPr="0042328C">
        <w:t xml:space="preserve"> </w:t>
      </w:r>
    </w:p>
    <w:p w14:paraId="39C8803C" w14:textId="64B33FEA" w:rsidR="0042328C" w:rsidRPr="0042328C" w:rsidRDefault="0042328C" w:rsidP="0042328C">
      <w:pPr>
        <w:pStyle w:val="EndNoteBibliography"/>
        <w:ind w:left="720" w:hanging="720"/>
      </w:pPr>
      <w:r w:rsidRPr="0042328C">
        <w:t xml:space="preserve">McGovern, R., Gilvarry, E., Addison, M., Alderson, H., Geijer-Simpson, E., Lingam, R., Smart, D., &amp; Kaner, E. (2020). The Association Between Adverse Child Health, Psychological, Educational and Social Outcomes, and Nondependent Parental Substance: A Rapid Evidence Assessment. </w:t>
      </w:r>
      <w:r w:rsidRPr="0042328C">
        <w:rPr>
          <w:i/>
        </w:rPr>
        <w:t>Trauma Violence Abuse</w:t>
      </w:r>
      <w:r w:rsidRPr="0042328C">
        <w:t>,</w:t>
      </w:r>
      <w:r w:rsidRPr="0042328C">
        <w:rPr>
          <w:i/>
        </w:rPr>
        <w:t xml:space="preserve"> 21</w:t>
      </w:r>
      <w:r w:rsidRPr="0042328C">
        <w:t xml:space="preserve">(3), 470-483. </w:t>
      </w:r>
      <w:hyperlink r:id="rId198" w:history="1">
        <w:r w:rsidRPr="0042328C">
          <w:rPr>
            <w:rStyle w:val="Hyperlink"/>
          </w:rPr>
          <w:t>https://doi.org/10.1177/1524838018772850</w:t>
        </w:r>
      </w:hyperlink>
      <w:r w:rsidRPr="0042328C">
        <w:t xml:space="preserve"> </w:t>
      </w:r>
    </w:p>
    <w:p w14:paraId="09393FB6" w14:textId="30312490" w:rsidR="0042328C" w:rsidRPr="0042328C" w:rsidRDefault="0042328C" w:rsidP="0042328C">
      <w:pPr>
        <w:pStyle w:val="EndNoteBibliography"/>
        <w:ind w:left="720" w:hanging="720"/>
      </w:pPr>
      <w:r w:rsidRPr="0042328C">
        <w:t xml:space="preserve">McGovern, R., Newham, J., Addison, M., Hickman, M., &amp; Kaner, E. (2022). The effectiveness of psychosocial interventions at reducing the frequency of alcohol and drug use in parents: findings of a Cochrane Review and meta-analyses. </w:t>
      </w:r>
      <w:r w:rsidRPr="0042328C">
        <w:rPr>
          <w:i/>
        </w:rPr>
        <w:t>Addiction</w:t>
      </w:r>
      <w:r w:rsidRPr="0042328C">
        <w:t>,</w:t>
      </w:r>
      <w:r w:rsidRPr="0042328C">
        <w:rPr>
          <w:i/>
        </w:rPr>
        <w:t xml:space="preserve"> 117</w:t>
      </w:r>
      <w:r w:rsidRPr="0042328C">
        <w:t xml:space="preserve">(10), 2571-2582. </w:t>
      </w:r>
      <w:hyperlink r:id="rId199" w:history="1">
        <w:r w:rsidRPr="0042328C">
          <w:rPr>
            <w:rStyle w:val="Hyperlink"/>
          </w:rPr>
          <w:t>https://doi.org/https://doi.org/10.1111/add.15846</w:t>
        </w:r>
      </w:hyperlink>
      <w:r w:rsidRPr="0042328C">
        <w:t xml:space="preserve"> </w:t>
      </w:r>
    </w:p>
    <w:p w14:paraId="5FD22B9C" w14:textId="737CBEFC" w:rsidR="0042328C" w:rsidRPr="0042328C" w:rsidRDefault="0042328C" w:rsidP="0042328C">
      <w:pPr>
        <w:pStyle w:val="EndNoteBibliography"/>
        <w:ind w:left="720" w:hanging="720"/>
      </w:pPr>
      <w:r w:rsidRPr="0042328C">
        <w:t xml:space="preserve">McGovern, R., Newham, J. J., Addison, M. T., Hickman, M., &amp; Kaner, E. F. S. (2021). Effectiveness of psychosocial interventions for reducing parental substance misuse. </w:t>
      </w:r>
      <w:r w:rsidRPr="0042328C">
        <w:rPr>
          <w:i/>
        </w:rPr>
        <w:t>Cochrane Database of Systematic Reviews</w:t>
      </w:r>
      <w:r w:rsidRPr="0042328C">
        <w:t xml:space="preserve">(3). </w:t>
      </w:r>
      <w:hyperlink r:id="rId200" w:history="1">
        <w:r w:rsidRPr="0042328C">
          <w:rPr>
            <w:rStyle w:val="Hyperlink"/>
          </w:rPr>
          <w:t>https://doi.org/10.1002/14651858.CD012823.pub2</w:t>
        </w:r>
      </w:hyperlink>
      <w:r w:rsidRPr="0042328C">
        <w:t xml:space="preserve"> </w:t>
      </w:r>
    </w:p>
    <w:p w14:paraId="7F0B6E98" w14:textId="3A6DC831" w:rsidR="0042328C" w:rsidRPr="0042328C" w:rsidRDefault="0042328C" w:rsidP="0042328C">
      <w:pPr>
        <w:pStyle w:val="EndNoteBibliography"/>
        <w:ind w:left="720" w:hanging="720"/>
      </w:pPr>
      <w:r w:rsidRPr="0042328C">
        <w:t xml:space="preserve">McLellan, A. T., Kushner, H., Metzger, D., Peters, R., Smith, I., Grissom, G., Pettinati, H., &amp; Argeriou, M. (1992). The fifth edition of the addiction severity index. </w:t>
      </w:r>
      <w:r w:rsidRPr="0042328C">
        <w:rPr>
          <w:i/>
        </w:rPr>
        <w:t>Journal of Substance Abuse Treatment</w:t>
      </w:r>
      <w:r w:rsidRPr="0042328C">
        <w:t>,</w:t>
      </w:r>
      <w:r w:rsidRPr="0042328C">
        <w:rPr>
          <w:i/>
        </w:rPr>
        <w:t xml:space="preserve"> 9</w:t>
      </w:r>
      <w:r w:rsidRPr="0042328C">
        <w:t xml:space="preserve">(3), 199-213. </w:t>
      </w:r>
      <w:hyperlink r:id="rId201" w:history="1">
        <w:r w:rsidRPr="0042328C">
          <w:rPr>
            <w:rStyle w:val="Hyperlink"/>
          </w:rPr>
          <w:t>https://doi.org/https://doi.org/10.1016/0740-5472(92)90062-S</w:t>
        </w:r>
      </w:hyperlink>
      <w:r w:rsidRPr="0042328C">
        <w:t xml:space="preserve"> </w:t>
      </w:r>
    </w:p>
    <w:p w14:paraId="144923DC" w14:textId="1FBC9DC1" w:rsidR="0042328C" w:rsidRPr="0042328C" w:rsidRDefault="0042328C" w:rsidP="0042328C">
      <w:pPr>
        <w:pStyle w:val="EndNoteBibliography"/>
        <w:ind w:left="720" w:hanging="720"/>
      </w:pPr>
      <w:r w:rsidRPr="0042328C">
        <w:t xml:space="preserve">Meier, P. S., Donmall, M. C., &amp; McElduff, P. (2004). Characteristics of drug users who do or do not have care of their children. </w:t>
      </w:r>
      <w:r w:rsidRPr="0042328C">
        <w:rPr>
          <w:i/>
        </w:rPr>
        <w:t>Addiction</w:t>
      </w:r>
      <w:r w:rsidRPr="0042328C">
        <w:t>,</w:t>
      </w:r>
      <w:r w:rsidRPr="0042328C">
        <w:rPr>
          <w:i/>
        </w:rPr>
        <w:t xml:space="preserve"> 99</w:t>
      </w:r>
      <w:r w:rsidRPr="0042328C">
        <w:t xml:space="preserve">(8), 955-961. </w:t>
      </w:r>
      <w:hyperlink r:id="rId202" w:history="1">
        <w:r w:rsidRPr="0042328C">
          <w:rPr>
            <w:rStyle w:val="Hyperlink"/>
          </w:rPr>
          <w:t>https://doi.org/10.1111/j.1360-0443.2004.00786.x</w:t>
        </w:r>
      </w:hyperlink>
      <w:r w:rsidRPr="0042328C">
        <w:t xml:space="preserve"> </w:t>
      </w:r>
    </w:p>
    <w:p w14:paraId="23525601" w14:textId="42E8D6EB" w:rsidR="0042328C" w:rsidRPr="0042328C" w:rsidRDefault="0042328C" w:rsidP="0042328C">
      <w:pPr>
        <w:pStyle w:val="EndNoteBibliography"/>
        <w:ind w:left="720" w:hanging="720"/>
      </w:pPr>
      <w:r w:rsidRPr="0042328C">
        <w:t xml:space="preserve">Mekonen, T., Chan, G. C. K., Connor, J., Hall, W., Hides, L., &amp; Leung, J. (2021). Treatment rates for alcohol use disorders: a systematic review and meta-analysis. </w:t>
      </w:r>
      <w:r w:rsidRPr="0042328C">
        <w:rPr>
          <w:i/>
        </w:rPr>
        <w:t>Addiction</w:t>
      </w:r>
      <w:r w:rsidRPr="0042328C">
        <w:t>,</w:t>
      </w:r>
      <w:r w:rsidRPr="0042328C">
        <w:rPr>
          <w:i/>
        </w:rPr>
        <w:t xml:space="preserve"> 116</w:t>
      </w:r>
      <w:r w:rsidRPr="0042328C">
        <w:t xml:space="preserve">(10), 2617-2634. </w:t>
      </w:r>
      <w:hyperlink r:id="rId203" w:history="1">
        <w:r w:rsidRPr="0042328C">
          <w:rPr>
            <w:rStyle w:val="Hyperlink"/>
          </w:rPr>
          <w:t>https://doi.org/10.1111/add.15357</w:t>
        </w:r>
      </w:hyperlink>
      <w:r w:rsidRPr="0042328C">
        <w:t xml:space="preserve"> </w:t>
      </w:r>
    </w:p>
    <w:p w14:paraId="7C128FE1" w14:textId="7CB0ECAF" w:rsidR="0042328C" w:rsidRPr="0042328C" w:rsidRDefault="0042328C" w:rsidP="0042328C">
      <w:pPr>
        <w:pStyle w:val="EndNoteBibliography"/>
        <w:ind w:left="720" w:hanging="720"/>
      </w:pPr>
      <w:r w:rsidRPr="0042328C">
        <w:t xml:space="preserve">Mellentin, A. I., Brink, M., Andersen, L., Erlangsen, A., Stenager, E., Bjerregaard, L. B., &amp; Christiansen, E. (2016). The risk of offspring developing substance use disorders when exposed to one versus two parent(s) with alcohol use disorder: A nationwide, register-based cohort study. </w:t>
      </w:r>
      <w:r w:rsidRPr="0042328C">
        <w:rPr>
          <w:i/>
        </w:rPr>
        <w:t>J Psychiatr Res</w:t>
      </w:r>
      <w:r w:rsidRPr="0042328C">
        <w:t>,</w:t>
      </w:r>
      <w:r w:rsidRPr="0042328C">
        <w:rPr>
          <w:i/>
        </w:rPr>
        <w:t xml:space="preserve"> 80</w:t>
      </w:r>
      <w:r w:rsidRPr="0042328C">
        <w:t xml:space="preserve">, 52-58. </w:t>
      </w:r>
      <w:hyperlink r:id="rId204" w:history="1">
        <w:r w:rsidRPr="0042328C">
          <w:rPr>
            <w:rStyle w:val="Hyperlink"/>
          </w:rPr>
          <w:t>https://doi.org/10.1016/j.jpsychires.2016.06.001</w:t>
        </w:r>
      </w:hyperlink>
      <w:r w:rsidRPr="0042328C">
        <w:t xml:space="preserve"> </w:t>
      </w:r>
    </w:p>
    <w:p w14:paraId="77AF0D10" w14:textId="27552619" w:rsidR="0042328C" w:rsidRPr="0042328C" w:rsidRDefault="0042328C" w:rsidP="0042328C">
      <w:pPr>
        <w:pStyle w:val="EndNoteBibliography"/>
        <w:ind w:left="720" w:hanging="720"/>
      </w:pPr>
      <w:r w:rsidRPr="0042328C">
        <w:t xml:space="preserve">Mertens, J. R., Kline-Simon, A. H., Delucchi, K. L., Moore, C., &amp; Weisner, C. M. (2012). Ten-year stability of remission in private alcohol and drug outpatient treatment: Non-problem users versus abstainers. </w:t>
      </w:r>
      <w:r w:rsidRPr="0042328C">
        <w:rPr>
          <w:i/>
        </w:rPr>
        <w:t>Drug Alcohol Depend</w:t>
      </w:r>
      <w:r w:rsidRPr="0042328C">
        <w:t>,</w:t>
      </w:r>
      <w:r w:rsidRPr="0042328C">
        <w:rPr>
          <w:i/>
        </w:rPr>
        <w:t xml:space="preserve"> 125</w:t>
      </w:r>
      <w:r w:rsidRPr="0042328C">
        <w:t xml:space="preserve">(1), 67-74. </w:t>
      </w:r>
      <w:hyperlink r:id="rId205" w:history="1">
        <w:r w:rsidRPr="0042328C">
          <w:rPr>
            <w:rStyle w:val="Hyperlink"/>
          </w:rPr>
          <w:t>https://doi.org/https://doi.org/10.1016/j.drugalcdep.2012.03.020</w:t>
        </w:r>
      </w:hyperlink>
      <w:r w:rsidRPr="0042328C">
        <w:t xml:space="preserve"> </w:t>
      </w:r>
    </w:p>
    <w:p w14:paraId="0958F8FF" w14:textId="56B16CF8" w:rsidR="0042328C" w:rsidRPr="0042328C" w:rsidRDefault="0042328C" w:rsidP="0042328C">
      <w:pPr>
        <w:pStyle w:val="EndNoteBibliography"/>
        <w:ind w:left="720" w:hanging="720"/>
      </w:pPr>
      <w:r w:rsidRPr="0042328C">
        <w:t>Minozzi, S., Amato, L., Jahanfar, S., Bellisario, C., Ferri, M., &amp; Davoli, M. (2020). Maintenance agonist treatments for opiate</w:t>
      </w:r>
      <w:r w:rsidRPr="0042328C">
        <w:rPr>
          <w:rFonts w:ascii="Cambria Math" w:hAnsi="Cambria Math" w:cs="Cambria Math"/>
        </w:rPr>
        <w:t>‐</w:t>
      </w:r>
      <w:r w:rsidRPr="0042328C">
        <w:t xml:space="preserve">dependent pregnant women. </w:t>
      </w:r>
      <w:r w:rsidRPr="0042328C">
        <w:rPr>
          <w:i/>
        </w:rPr>
        <w:t>Cochrane Database of Systematic Reviews</w:t>
      </w:r>
      <w:r w:rsidRPr="0042328C">
        <w:t xml:space="preserve">(11). </w:t>
      </w:r>
      <w:hyperlink r:id="rId206" w:history="1">
        <w:r w:rsidRPr="0042328C">
          <w:rPr>
            <w:rStyle w:val="Hyperlink"/>
          </w:rPr>
          <w:t>https://doi.org/10.1002/14651858.CD006318.pub4</w:t>
        </w:r>
      </w:hyperlink>
      <w:r w:rsidRPr="0042328C">
        <w:t xml:space="preserve"> </w:t>
      </w:r>
    </w:p>
    <w:p w14:paraId="0D38206B" w14:textId="1D653C0D" w:rsidR="0042328C" w:rsidRPr="0042328C" w:rsidRDefault="0042328C" w:rsidP="0042328C">
      <w:pPr>
        <w:pStyle w:val="EndNoteBibliography"/>
        <w:ind w:left="720" w:hanging="720"/>
      </w:pPr>
      <w:r w:rsidRPr="0042328C">
        <w:t xml:space="preserve">Moore, E., &amp; Churchill, G. (2020). Still here for children: Sharing the experiences of NSPCC staff who supported children and families during the COVID-19 pandemic. Retrieved 26/08/2024, from </w:t>
      </w:r>
      <w:hyperlink r:id="rId207" w:history="1">
        <w:r w:rsidRPr="0042328C">
          <w:rPr>
            <w:rStyle w:val="Hyperlink"/>
          </w:rPr>
          <w:t>https://learning.nspcc.org.uk/media/2488/still-here-for-children-sharing-experiences-nspcc-staff-during-covid-19.pdf</w:t>
        </w:r>
      </w:hyperlink>
      <w:r w:rsidRPr="0042328C">
        <w:t xml:space="preserve"> </w:t>
      </w:r>
    </w:p>
    <w:p w14:paraId="6D345AFA" w14:textId="540770B3" w:rsidR="0042328C" w:rsidRPr="0042328C" w:rsidRDefault="0042328C" w:rsidP="0042328C">
      <w:pPr>
        <w:pStyle w:val="EndNoteBibliography"/>
        <w:ind w:left="720" w:hanging="720"/>
      </w:pPr>
      <w:r w:rsidRPr="0042328C">
        <w:t xml:space="preserve">Moreland, A., Newman, C., Crum, K. I., &amp; Are, F. (2021). Types of child maltreatment and child welfare involvement among opioid-using mothers involved in substance use treatment. </w:t>
      </w:r>
      <w:r w:rsidRPr="0042328C">
        <w:rPr>
          <w:i/>
        </w:rPr>
        <w:t>Children and Youth Services Review</w:t>
      </w:r>
      <w:r w:rsidRPr="0042328C">
        <w:t>,</w:t>
      </w:r>
      <w:r w:rsidRPr="0042328C">
        <w:rPr>
          <w:i/>
        </w:rPr>
        <w:t xml:space="preserve"> 126</w:t>
      </w:r>
      <w:r w:rsidRPr="0042328C">
        <w:t xml:space="preserve">, 106021. </w:t>
      </w:r>
      <w:hyperlink r:id="rId208" w:history="1">
        <w:r w:rsidRPr="0042328C">
          <w:rPr>
            <w:rStyle w:val="Hyperlink"/>
          </w:rPr>
          <w:t>https://doi.org/https://doi.org/10.1016/j.childyouth.2021.106021</w:t>
        </w:r>
      </w:hyperlink>
      <w:r w:rsidRPr="0042328C">
        <w:t xml:space="preserve"> </w:t>
      </w:r>
    </w:p>
    <w:p w14:paraId="5D6FC162" w14:textId="452C9AAC" w:rsidR="0042328C" w:rsidRPr="0042328C" w:rsidRDefault="0042328C" w:rsidP="0042328C">
      <w:pPr>
        <w:pStyle w:val="EndNoteBibliography"/>
        <w:ind w:left="720" w:hanging="720"/>
      </w:pPr>
      <w:r w:rsidRPr="0042328C">
        <w:lastRenderedPageBreak/>
        <w:t xml:space="preserve">Moreland, A. D., &amp; McRae-Clark, A. (2018). Parenting outcomes of parenting interventions in integrated substance-use treatment programs: A systematic review. </w:t>
      </w:r>
      <w:r w:rsidRPr="0042328C">
        <w:rPr>
          <w:i/>
        </w:rPr>
        <w:t>Journal of Substance Abuse Treatment</w:t>
      </w:r>
      <w:r w:rsidRPr="0042328C">
        <w:t>,</w:t>
      </w:r>
      <w:r w:rsidRPr="0042328C">
        <w:rPr>
          <w:i/>
        </w:rPr>
        <w:t xml:space="preserve"> 89</w:t>
      </w:r>
      <w:r w:rsidRPr="0042328C">
        <w:t xml:space="preserve">, 52-59. </w:t>
      </w:r>
      <w:hyperlink r:id="rId209" w:history="1">
        <w:r w:rsidRPr="0042328C">
          <w:rPr>
            <w:rStyle w:val="Hyperlink"/>
          </w:rPr>
          <w:t>https://doi.org/10.1016/j.jsat.2018.03.005</w:t>
        </w:r>
      </w:hyperlink>
      <w:r w:rsidRPr="0042328C">
        <w:t xml:space="preserve"> </w:t>
      </w:r>
    </w:p>
    <w:p w14:paraId="0ACD108F" w14:textId="4BF8151B" w:rsidR="0042328C" w:rsidRPr="0042328C" w:rsidRDefault="0042328C" w:rsidP="0042328C">
      <w:pPr>
        <w:pStyle w:val="EndNoteBibliography"/>
        <w:ind w:left="720" w:hanging="720"/>
      </w:pPr>
      <w:r w:rsidRPr="0042328C">
        <w:t xml:space="preserve">Morgenstern, J., Blanchard, K. A., McCrady, B. S., McVeigh, K. H., Morgan, T. J., &amp; Pandina, R. J. (2006). Effectiveness of Intensive Case Management for Substance-Dependent Women Receiving Temporary Assistance for Needy Families. </w:t>
      </w:r>
      <w:r w:rsidRPr="0042328C">
        <w:rPr>
          <w:i/>
        </w:rPr>
        <w:t>American Journal of Public Health</w:t>
      </w:r>
      <w:r w:rsidRPr="0042328C">
        <w:t>,</w:t>
      </w:r>
      <w:r w:rsidRPr="0042328C">
        <w:rPr>
          <w:i/>
        </w:rPr>
        <w:t xml:space="preserve"> 96</w:t>
      </w:r>
      <w:r w:rsidRPr="0042328C">
        <w:t xml:space="preserve">(11), 2016-2023. </w:t>
      </w:r>
      <w:hyperlink r:id="rId210" w:history="1">
        <w:r w:rsidRPr="0042328C">
          <w:rPr>
            <w:rStyle w:val="Hyperlink"/>
          </w:rPr>
          <w:t>https://doi.org/10.2105/AJPH.2005.076380</w:t>
        </w:r>
      </w:hyperlink>
      <w:r w:rsidRPr="0042328C">
        <w:t xml:space="preserve"> </w:t>
      </w:r>
    </w:p>
    <w:p w14:paraId="0B53F24A" w14:textId="7A576A47" w:rsidR="0042328C" w:rsidRPr="0042328C" w:rsidRDefault="0042328C" w:rsidP="0042328C">
      <w:pPr>
        <w:pStyle w:val="EndNoteBibliography"/>
        <w:ind w:left="720" w:hanging="720"/>
      </w:pPr>
      <w:r w:rsidRPr="0042328C">
        <w:t xml:space="preserve">Murphy, A. L., Harper, W., Griffiths, A., &amp; Joffrion, C. (2017). Family reunification: A systematic review of interventions designed to address co-occurring issues of child maltreatment and substance use [Community &amp; Social Services 3373]. </w:t>
      </w:r>
      <w:r w:rsidRPr="0042328C">
        <w:rPr>
          <w:i/>
        </w:rPr>
        <w:t>Special Issue: Child welfare literature reviews: Literature reviews, systematic reviews and meta-analyses. How can child welfare administrators, practitioners and researchers determine what we know?</w:t>
      </w:r>
      <w:r w:rsidRPr="0042328C">
        <w:t>,</w:t>
      </w:r>
      <w:r w:rsidRPr="0042328C">
        <w:rPr>
          <w:i/>
        </w:rPr>
        <w:t xml:space="preserve"> 11</w:t>
      </w:r>
      <w:r w:rsidRPr="0042328C">
        <w:t xml:space="preserve">(4-5), 413-432. </w:t>
      </w:r>
      <w:hyperlink r:id="rId211" w:history="1">
        <w:r w:rsidRPr="0042328C">
          <w:rPr>
            <w:rStyle w:val="Hyperlink"/>
          </w:rPr>
          <w:t>https://doi.org/http://dx.doi.org/10.1080/15548732.2017.1340221</w:t>
        </w:r>
      </w:hyperlink>
      <w:r w:rsidRPr="0042328C">
        <w:t xml:space="preserve"> </w:t>
      </w:r>
    </w:p>
    <w:p w14:paraId="2DE9D636" w14:textId="5A1B64E8" w:rsidR="0042328C" w:rsidRPr="0042328C" w:rsidRDefault="0042328C" w:rsidP="0042328C">
      <w:pPr>
        <w:pStyle w:val="EndNoteBibliography"/>
        <w:ind w:left="720" w:hanging="720"/>
      </w:pPr>
      <w:r w:rsidRPr="0042328C">
        <w:t xml:space="preserve">Murphy, C. (2023). ‘Rising demand and decreasing resources’: Theorising the ‘cost of austerity’ as a barrier to social worker discretion. </w:t>
      </w:r>
      <w:r w:rsidRPr="0042328C">
        <w:rPr>
          <w:i/>
        </w:rPr>
        <w:t>Journal of Social Policy</w:t>
      </w:r>
      <w:r w:rsidRPr="0042328C">
        <w:t>,</w:t>
      </w:r>
      <w:r w:rsidRPr="0042328C">
        <w:rPr>
          <w:i/>
        </w:rPr>
        <w:t xml:space="preserve"> 52</w:t>
      </w:r>
      <w:r w:rsidRPr="0042328C">
        <w:t xml:space="preserve">(1), 197-214. </w:t>
      </w:r>
      <w:hyperlink r:id="rId212" w:history="1">
        <w:r w:rsidRPr="0042328C">
          <w:rPr>
            <w:rStyle w:val="Hyperlink"/>
          </w:rPr>
          <w:t>https://doi.org/10.1017/S0047279421000507</w:t>
        </w:r>
      </w:hyperlink>
      <w:r w:rsidRPr="0042328C">
        <w:t xml:space="preserve"> </w:t>
      </w:r>
    </w:p>
    <w:p w14:paraId="67A98694" w14:textId="245619D8" w:rsidR="0042328C" w:rsidRPr="0042328C" w:rsidRDefault="0042328C" w:rsidP="0042328C">
      <w:pPr>
        <w:pStyle w:val="EndNoteBibliography"/>
        <w:ind w:left="720" w:hanging="720"/>
      </w:pPr>
      <w:r w:rsidRPr="0042328C">
        <w:t xml:space="preserve">Musto Wright, V. (2018). </w:t>
      </w:r>
      <w:r w:rsidRPr="0042328C">
        <w:rPr>
          <w:i/>
        </w:rPr>
        <w:t>The 2016-17 Social Return on Investment (SROI) of Adult Alcohol and Drug Interventions</w:t>
      </w:r>
      <w:r w:rsidRPr="0042328C">
        <w:t xml:space="preserve"> </w:t>
      </w:r>
      <w:hyperlink r:id="rId213" w:history="1">
        <w:r w:rsidRPr="0042328C">
          <w:rPr>
            <w:rStyle w:val="Hyperlink"/>
          </w:rPr>
          <w:t>https://www.ndtms.net/VFM</w:t>
        </w:r>
      </w:hyperlink>
      <w:r w:rsidRPr="0042328C">
        <w:t xml:space="preserve"> </w:t>
      </w:r>
    </w:p>
    <w:p w14:paraId="79A7F1EC" w14:textId="77777777" w:rsidR="0042328C" w:rsidRPr="0042328C" w:rsidRDefault="0042328C" w:rsidP="0042328C">
      <w:pPr>
        <w:pStyle w:val="EndNoteBibliography"/>
        <w:ind w:left="720" w:hanging="720"/>
      </w:pPr>
      <w:r w:rsidRPr="0042328C">
        <w:t xml:space="preserve">Musto Wright, V. (2021). Parents with alcohol and drug problems: investing in families workbook. </w:t>
      </w:r>
    </w:p>
    <w:p w14:paraId="4FD622BB" w14:textId="77777777" w:rsidR="0042328C" w:rsidRPr="0042328C" w:rsidRDefault="0042328C" w:rsidP="0042328C">
      <w:pPr>
        <w:pStyle w:val="EndNoteBibliography"/>
        <w:ind w:left="720" w:hanging="720"/>
      </w:pPr>
      <w:r w:rsidRPr="0042328C">
        <w:t xml:space="preserve">Musto Wright, V., Eastwood, B., Meier, P., &amp; Brennan, A. (2024a). Characteristics of parents who use substances, receive specialist treatment and child welfare support in England. </w:t>
      </w:r>
      <w:r w:rsidRPr="0042328C">
        <w:rPr>
          <w:i/>
        </w:rPr>
        <w:t>Manuscript submitted for publication</w:t>
      </w:r>
      <w:r w:rsidRPr="0042328C">
        <w:t xml:space="preserve">. </w:t>
      </w:r>
    </w:p>
    <w:p w14:paraId="57987474" w14:textId="77777777" w:rsidR="0042328C" w:rsidRPr="0042328C" w:rsidRDefault="0042328C" w:rsidP="0042328C">
      <w:pPr>
        <w:pStyle w:val="EndNoteBibliography"/>
        <w:ind w:left="720" w:hanging="720"/>
      </w:pPr>
      <w:r w:rsidRPr="0042328C">
        <w:t xml:space="preserve">Musto Wright, V., Eastwood, B., Meier, P., &amp; Brennan, A. (2024b). Do parenting or child welfare support interventions improve alcohol and drug treatment completions among parents with a substance use disorder? A quasi-experimental study using generalized boosted models. </w:t>
      </w:r>
      <w:r w:rsidRPr="0042328C">
        <w:rPr>
          <w:i/>
        </w:rPr>
        <w:t>Manuscript submitted for publication</w:t>
      </w:r>
      <w:r w:rsidRPr="0042328C">
        <w:t xml:space="preserve">. </w:t>
      </w:r>
    </w:p>
    <w:p w14:paraId="66B67C89" w14:textId="5B4358D8" w:rsidR="0042328C" w:rsidRPr="0042328C" w:rsidRDefault="0042328C" w:rsidP="0042328C">
      <w:pPr>
        <w:pStyle w:val="EndNoteBibliography"/>
        <w:ind w:left="720" w:hanging="720"/>
      </w:pPr>
      <w:r w:rsidRPr="0042328C">
        <w:t xml:space="preserve">National Audit Office. (2007). Evaluation in government. Retrieved 15/06/2018, from </w:t>
      </w:r>
      <w:hyperlink r:id="rId214" w:history="1">
        <w:r w:rsidRPr="0042328C">
          <w:rPr>
            <w:rStyle w:val="Hyperlink"/>
          </w:rPr>
          <w:t>https://www.nao.org.uk/wp-content/uploads/2013/12/10331-001-Evaluation-in-government_NEW.pdf</w:t>
        </w:r>
      </w:hyperlink>
      <w:r w:rsidRPr="0042328C">
        <w:t xml:space="preserve"> </w:t>
      </w:r>
    </w:p>
    <w:p w14:paraId="6F977235" w14:textId="603951F2" w:rsidR="0042328C" w:rsidRPr="0042328C" w:rsidRDefault="0042328C" w:rsidP="0042328C">
      <w:pPr>
        <w:pStyle w:val="EndNoteBibliography"/>
        <w:ind w:left="720" w:hanging="720"/>
      </w:pPr>
      <w:r w:rsidRPr="0042328C">
        <w:t xml:space="preserve">Neo, S. H. F., Norton, S., Kavallari, D., &amp; Canfield, M. (2021). Integrated Treatment Programmes for Mothers with Substance Use Problems: A Systematic Review and Meta-analysis of Interventions to Prevent Out-of-home Child Placements. </w:t>
      </w:r>
      <w:r w:rsidRPr="0042328C">
        <w:rPr>
          <w:i/>
        </w:rPr>
        <w:t>Journal of Child and Family Studies</w:t>
      </w:r>
      <w:r w:rsidRPr="0042328C">
        <w:t>,</w:t>
      </w:r>
      <w:r w:rsidRPr="0042328C">
        <w:rPr>
          <w:i/>
        </w:rPr>
        <w:t xml:space="preserve"> 30</w:t>
      </w:r>
      <w:r w:rsidRPr="0042328C">
        <w:t xml:space="preserve">(11), 2877-2889. </w:t>
      </w:r>
      <w:hyperlink r:id="rId215" w:history="1">
        <w:r w:rsidRPr="0042328C">
          <w:rPr>
            <w:rStyle w:val="Hyperlink"/>
          </w:rPr>
          <w:t>https://doi.org/10.1007/s10826-021-02099-8</w:t>
        </w:r>
      </w:hyperlink>
      <w:r w:rsidRPr="0042328C">
        <w:t xml:space="preserve"> </w:t>
      </w:r>
    </w:p>
    <w:p w14:paraId="5C4F3D33" w14:textId="7B17E58E" w:rsidR="0042328C" w:rsidRPr="0042328C" w:rsidRDefault="0042328C" w:rsidP="0042328C">
      <w:pPr>
        <w:pStyle w:val="EndNoteBibliography"/>
        <w:ind w:left="720" w:hanging="720"/>
      </w:pPr>
      <w:r w:rsidRPr="0042328C">
        <w:t xml:space="preserve">Neppl, T. K., Diggs, O. N., &amp; Cleveland, M. J. (2020). The intergenerational transmission of harsh parenting, substance use, and emotional distress: Impact on the third-generation child. </w:t>
      </w:r>
      <w:r w:rsidRPr="0042328C">
        <w:rPr>
          <w:i/>
        </w:rPr>
        <w:t>Psychol Addict Behav</w:t>
      </w:r>
      <w:r w:rsidRPr="0042328C">
        <w:t>,</w:t>
      </w:r>
      <w:r w:rsidRPr="0042328C">
        <w:rPr>
          <w:i/>
        </w:rPr>
        <w:t xml:space="preserve"> 34</w:t>
      </w:r>
      <w:r w:rsidRPr="0042328C">
        <w:t xml:space="preserve">(8), 852-863. </w:t>
      </w:r>
      <w:hyperlink r:id="rId216" w:history="1">
        <w:r w:rsidRPr="0042328C">
          <w:rPr>
            <w:rStyle w:val="Hyperlink"/>
          </w:rPr>
          <w:t>https://doi.org/10.1037/adb0000551</w:t>
        </w:r>
      </w:hyperlink>
      <w:r w:rsidRPr="0042328C">
        <w:t xml:space="preserve"> </w:t>
      </w:r>
    </w:p>
    <w:p w14:paraId="75DB699E" w14:textId="326872AB" w:rsidR="0042328C" w:rsidRPr="0042328C" w:rsidRDefault="0042328C" w:rsidP="0042328C">
      <w:pPr>
        <w:pStyle w:val="EndNoteBibliography"/>
        <w:ind w:left="720" w:hanging="720"/>
      </w:pPr>
      <w:r w:rsidRPr="0042328C">
        <w:t xml:space="preserve">NICE. (2011). </w:t>
      </w:r>
      <w:r w:rsidRPr="0042328C">
        <w:rPr>
          <w:i/>
        </w:rPr>
        <w:t>Alcohol-use disorders: Diagnosis, assessment and management of harmful drinking (high-risk drinking) and alcohol dependence. Clinical Guideline (CG115).</w:t>
      </w:r>
      <w:r w:rsidRPr="0042328C">
        <w:t xml:space="preserve"> </w:t>
      </w:r>
      <w:hyperlink r:id="rId217" w:history="1">
        <w:r w:rsidRPr="0042328C">
          <w:rPr>
            <w:rStyle w:val="Hyperlink"/>
          </w:rPr>
          <w:t>https://www.nice.org.uk/guidance/cg115</w:t>
        </w:r>
      </w:hyperlink>
    </w:p>
    <w:p w14:paraId="439F0A55" w14:textId="77E12CCA" w:rsidR="0042328C" w:rsidRPr="0042328C" w:rsidRDefault="0042328C" w:rsidP="0042328C">
      <w:pPr>
        <w:pStyle w:val="EndNoteBibliography"/>
        <w:ind w:left="720" w:hanging="720"/>
      </w:pPr>
      <w:r w:rsidRPr="0042328C">
        <w:t xml:space="preserve">NICE. (2012a). </w:t>
      </w:r>
      <w:r w:rsidRPr="0042328C">
        <w:rPr>
          <w:i/>
        </w:rPr>
        <w:t>Drug use disorders in adults. Quality Standard (QS23).</w:t>
      </w:r>
      <w:r w:rsidRPr="0042328C">
        <w:t xml:space="preserve"> </w:t>
      </w:r>
      <w:hyperlink r:id="rId218" w:history="1">
        <w:r w:rsidRPr="0042328C">
          <w:rPr>
            <w:rStyle w:val="Hyperlink"/>
          </w:rPr>
          <w:t>https://www.nice.org.uk/guidance/qs23</w:t>
        </w:r>
      </w:hyperlink>
    </w:p>
    <w:p w14:paraId="32C0A081" w14:textId="6487AC99" w:rsidR="0042328C" w:rsidRPr="0042328C" w:rsidRDefault="0042328C" w:rsidP="0042328C">
      <w:pPr>
        <w:pStyle w:val="EndNoteBibliography"/>
        <w:ind w:left="720" w:hanging="720"/>
      </w:pPr>
      <w:r w:rsidRPr="0042328C">
        <w:t xml:space="preserve">NICE. (2012b). Methods for the development of NICE public health guidance (third edition). NICE process and methods [PMG4]. Retrieved 01/09/2024, from </w:t>
      </w:r>
      <w:hyperlink r:id="rId219" w:history="1">
        <w:r w:rsidRPr="0042328C">
          <w:rPr>
            <w:rStyle w:val="Hyperlink"/>
          </w:rPr>
          <w:t>https://www.nice.org.uk/process/pmg4/chapter/incorporating-health-economics</w:t>
        </w:r>
      </w:hyperlink>
      <w:r w:rsidRPr="0042328C">
        <w:t xml:space="preserve"> </w:t>
      </w:r>
    </w:p>
    <w:p w14:paraId="79F7D6F0" w14:textId="120E19A6" w:rsidR="0042328C" w:rsidRPr="0042328C" w:rsidRDefault="0042328C" w:rsidP="0042328C">
      <w:pPr>
        <w:pStyle w:val="EndNoteBibliography"/>
        <w:ind w:left="720" w:hanging="720"/>
      </w:pPr>
      <w:r w:rsidRPr="0042328C">
        <w:t xml:space="preserve">NSPCC. (2020). </w:t>
      </w:r>
      <w:r w:rsidRPr="0042328C">
        <w:rPr>
          <w:i/>
        </w:rPr>
        <w:t>The impact of the coronavirus pandemic on child welfare: domestic abuse</w:t>
      </w:r>
      <w:r w:rsidRPr="0042328C">
        <w:t xml:space="preserve">. NSPCC. Retrieved 26/08/2024 from </w:t>
      </w:r>
      <w:hyperlink r:id="rId220" w:history="1">
        <w:r w:rsidRPr="0042328C">
          <w:rPr>
            <w:rStyle w:val="Hyperlink"/>
          </w:rPr>
          <w:t>https://learning.nspcc.org.uk/media/2241/impact-of-coronavirus-pandemic-on-child-welfare-domestic-abuse.pdf</w:t>
        </w:r>
      </w:hyperlink>
    </w:p>
    <w:p w14:paraId="3A3AB1A0" w14:textId="4C4CACBB" w:rsidR="0042328C" w:rsidRPr="0042328C" w:rsidRDefault="0042328C" w:rsidP="0042328C">
      <w:pPr>
        <w:pStyle w:val="EndNoteBibliography"/>
        <w:ind w:left="720" w:hanging="720"/>
      </w:pPr>
      <w:r w:rsidRPr="0042328C">
        <w:t xml:space="preserve">NSPCC. (2022). </w:t>
      </w:r>
      <w:r w:rsidRPr="0042328C">
        <w:rPr>
          <w:i/>
        </w:rPr>
        <w:t>Contacts to the NSPCC about drug and alcohol misuse among parents soar during the pandemic</w:t>
      </w:r>
      <w:r w:rsidRPr="0042328C">
        <w:t xml:space="preserve">. NSPCC. Retrieved 26/08/2024 from </w:t>
      </w:r>
      <w:hyperlink r:id="rId221" w:history="1">
        <w:r w:rsidRPr="0042328C">
          <w:rPr>
            <w:rStyle w:val="Hyperlink"/>
          </w:rPr>
          <w:t>https://www.nspcc.org.uk/about-us/news-opinion/2021/parents-drug-and-alcohol-misuse-raises-concerns-as-reports-to-nspcc--soars-during-the-pandemic/?utm_source=Adestra&amp;utm_medium=email&amp;utm_content=Contacts%20to%20the%20NSPCC%20about%20drug%20and%20alcohol%20misuse%20among%20parents%20soar%20during%20the%20pandemic&amp;utm_campaign=20210222_KIS_CASPAR_February22</w:t>
        </w:r>
      </w:hyperlink>
    </w:p>
    <w:p w14:paraId="04032A85" w14:textId="7E997AC6" w:rsidR="0042328C" w:rsidRPr="0042328C" w:rsidRDefault="0042328C" w:rsidP="0042328C">
      <w:pPr>
        <w:pStyle w:val="EndNoteBibliography"/>
        <w:ind w:left="720" w:hanging="720"/>
      </w:pPr>
      <w:r w:rsidRPr="0042328C">
        <w:t xml:space="preserve">NSPCC. (2023). Parents with substance use problems: learning from case reviews. Summary of risk factors and learning for improved practice around  parents or carers with substance use problems. Retrieved 01/04/2024, from </w:t>
      </w:r>
      <w:hyperlink r:id="rId222" w:history="1">
        <w:r w:rsidRPr="0042328C">
          <w:rPr>
            <w:rStyle w:val="Hyperlink"/>
          </w:rPr>
          <w:t>https://learning.nspcc.org.uk/media/w2eh34r1/learning-from-case-reviews-parents-substance-use.pdf</w:t>
        </w:r>
      </w:hyperlink>
      <w:r w:rsidRPr="0042328C">
        <w:t xml:space="preserve"> </w:t>
      </w:r>
    </w:p>
    <w:p w14:paraId="2027143F" w14:textId="77777777" w:rsidR="0042328C" w:rsidRPr="0042328C" w:rsidRDefault="0042328C" w:rsidP="0042328C">
      <w:pPr>
        <w:pStyle w:val="EndNoteBibliography"/>
        <w:ind w:left="720" w:hanging="720"/>
      </w:pPr>
      <w:r w:rsidRPr="0042328C">
        <w:t>NTA. (2012). Parents with drug problems: How treatment helps families. In. London: National Treatment Agency for Substance Misuse.</w:t>
      </w:r>
    </w:p>
    <w:p w14:paraId="3FD98A7E" w14:textId="0BD9933B" w:rsidR="0042328C" w:rsidRPr="0042328C" w:rsidRDefault="0042328C" w:rsidP="0042328C">
      <w:pPr>
        <w:pStyle w:val="EndNoteBibliography"/>
        <w:ind w:left="720" w:hanging="720"/>
      </w:pPr>
      <w:r w:rsidRPr="0042328C">
        <w:t xml:space="preserve">Office of the Children's Commissioner for England. (2019). </w:t>
      </w:r>
      <w:r w:rsidRPr="0042328C">
        <w:rPr>
          <w:i/>
        </w:rPr>
        <w:t>Childhood Vulnerability in England</w:t>
      </w:r>
      <w:r w:rsidRPr="0042328C">
        <w:t xml:space="preserve">. Retrieved 28/03/2024 from </w:t>
      </w:r>
      <w:hyperlink r:id="rId223" w:history="1">
        <w:r w:rsidRPr="0042328C">
          <w:rPr>
            <w:rStyle w:val="Hyperlink"/>
          </w:rPr>
          <w:t>https://www.childrenscommissioner.gov.uk/resource/childhood-vulnerability-in-england-2019/</w:t>
        </w:r>
      </w:hyperlink>
    </w:p>
    <w:p w14:paraId="0CA4C7DB" w14:textId="04A476A6" w:rsidR="0042328C" w:rsidRPr="0042328C" w:rsidRDefault="0042328C" w:rsidP="0042328C">
      <w:pPr>
        <w:pStyle w:val="EndNoteBibliography"/>
        <w:ind w:left="720" w:hanging="720"/>
      </w:pPr>
      <w:r w:rsidRPr="0042328C">
        <w:t xml:space="preserve">Ofsted, Care Quality Commission, Her Majesty’s Prison and Probation Service, &amp; HM Inspectorate of Constabulary and Fire &amp; Rescue Services. (2018). Growing up neglected: a multi-agency response to older children. </w:t>
      </w:r>
      <w:hyperlink r:id="rId224" w:history="1">
        <w:r w:rsidRPr="0042328C">
          <w:rPr>
            <w:rStyle w:val="Hyperlink"/>
          </w:rPr>
          <w:t>https://assets.publishing.service.gov.uk/government/uploads/system/uploads/attachment_data/file/722740/Older_children_neglect_FINAL_060718.pdf</w:t>
        </w:r>
      </w:hyperlink>
      <w:r w:rsidRPr="0042328C">
        <w:t xml:space="preserve"> </w:t>
      </w:r>
    </w:p>
    <w:p w14:paraId="6995844F" w14:textId="4C81BFE9" w:rsidR="0042328C" w:rsidRPr="0042328C" w:rsidRDefault="0042328C" w:rsidP="0042328C">
      <w:pPr>
        <w:pStyle w:val="EndNoteBibliography"/>
        <w:ind w:left="720" w:hanging="720"/>
      </w:pPr>
      <w:r w:rsidRPr="0042328C">
        <w:t xml:space="preserve">Ohannessian, C. M. (2012). Parental Problem Drinking and Adolescent Psychosocial Adjustment: The Mediating Role of Adolescent–Parent Communication. </w:t>
      </w:r>
      <w:r w:rsidRPr="0042328C">
        <w:rPr>
          <w:i/>
        </w:rPr>
        <w:t>Journal of Research on Adolescence</w:t>
      </w:r>
      <w:r w:rsidRPr="0042328C">
        <w:t>,</w:t>
      </w:r>
      <w:r w:rsidRPr="0042328C">
        <w:rPr>
          <w:i/>
        </w:rPr>
        <w:t xml:space="preserve"> 22</w:t>
      </w:r>
      <w:r w:rsidRPr="0042328C">
        <w:t xml:space="preserve">(3), 498-511. </w:t>
      </w:r>
      <w:hyperlink r:id="rId225" w:history="1">
        <w:r w:rsidRPr="0042328C">
          <w:rPr>
            <w:rStyle w:val="Hyperlink"/>
          </w:rPr>
          <w:t>https://doi.org/https://doi.org/10.1111/j.1532-7795.2012.00791.x</w:t>
        </w:r>
      </w:hyperlink>
      <w:r w:rsidRPr="0042328C">
        <w:t xml:space="preserve"> </w:t>
      </w:r>
    </w:p>
    <w:p w14:paraId="408CFB11" w14:textId="0AE504EF" w:rsidR="0042328C" w:rsidRPr="0042328C" w:rsidRDefault="0042328C" w:rsidP="0042328C">
      <w:pPr>
        <w:pStyle w:val="EndNoteBibliography"/>
        <w:ind w:left="720" w:hanging="720"/>
      </w:pPr>
      <w:r w:rsidRPr="0042328C">
        <w:t xml:space="preserve">OHID. (2023a). </w:t>
      </w:r>
      <w:r w:rsidRPr="0042328C">
        <w:rPr>
          <w:i/>
        </w:rPr>
        <w:t>Annual Substance Misuse Treatment Statistics 2022-23. NDTMS Data tables.</w:t>
      </w:r>
      <w:r w:rsidRPr="0042328C">
        <w:t xml:space="preserve"> </w:t>
      </w:r>
      <w:hyperlink r:id="rId226" w:history="1">
        <w:r w:rsidRPr="0042328C">
          <w:rPr>
            <w:rStyle w:val="Hyperlink"/>
          </w:rPr>
          <w:t>https://assets.publishing.service.gov.uk/media/657050863831ec000dc7496d/Adult-substance-misuse-treatment-statistics-2022-2023_data-tables.ods</w:t>
        </w:r>
      </w:hyperlink>
      <w:r w:rsidRPr="0042328C">
        <w:t xml:space="preserve"> </w:t>
      </w:r>
    </w:p>
    <w:p w14:paraId="2EEBD71D" w14:textId="33CC329C" w:rsidR="0042328C" w:rsidRPr="0042328C" w:rsidRDefault="0042328C" w:rsidP="0042328C">
      <w:pPr>
        <w:pStyle w:val="EndNoteBibliography"/>
        <w:ind w:left="720" w:hanging="720"/>
      </w:pPr>
      <w:r w:rsidRPr="0042328C">
        <w:t xml:space="preserve">OHID. (2023b). Closed consultation. UK clinical guidelines for alcohol treatment: core elements of alcohol treatment. Retrieved 01/04/2024, from </w:t>
      </w:r>
      <w:hyperlink r:id="rId227" w:history="1">
        <w:r w:rsidRPr="0042328C">
          <w:rPr>
            <w:rStyle w:val="Hyperlink"/>
          </w:rPr>
          <w:t>https://www.gov.uk/government/consultations/uk-clinical-guidelines-for-alcohol-treatment/uk-clinical-guidelines-for-alcohol-treatment-core-elements-of-alcohol-treatment#pharmacological-interventions-1</w:t>
        </w:r>
      </w:hyperlink>
      <w:r w:rsidRPr="0042328C">
        <w:t xml:space="preserve"> </w:t>
      </w:r>
    </w:p>
    <w:p w14:paraId="1A86F6A8" w14:textId="77777777" w:rsidR="0042328C" w:rsidRPr="0042328C" w:rsidRDefault="0042328C" w:rsidP="0042328C">
      <w:pPr>
        <w:pStyle w:val="EndNoteBibliography"/>
        <w:ind w:left="720" w:hanging="720"/>
      </w:pPr>
      <w:r w:rsidRPr="0042328C">
        <w:t>OHID. (2023c). National Drug Treatment Monitoring System (NDTMS). Reference Data (Core Dataset Q). V16.4. In: Office for Health Improvement and Disparities.</w:t>
      </w:r>
    </w:p>
    <w:p w14:paraId="4AA85506" w14:textId="77777777" w:rsidR="0042328C" w:rsidRPr="0042328C" w:rsidRDefault="0042328C" w:rsidP="0042328C">
      <w:pPr>
        <w:pStyle w:val="EndNoteBibliography"/>
        <w:ind w:left="720" w:hanging="720"/>
      </w:pPr>
      <w:r w:rsidRPr="0042328C">
        <w:t>OHID. (2023d). National statistics. Adult substance misuse treatment statistics 2022 to 2023: report. Updated 21 December 2023. In: Office for Health Improvement and Disparities.</w:t>
      </w:r>
    </w:p>
    <w:p w14:paraId="484FFBCF" w14:textId="77777777" w:rsidR="0042328C" w:rsidRPr="0042328C" w:rsidRDefault="0042328C" w:rsidP="0042328C">
      <w:pPr>
        <w:pStyle w:val="EndNoteBibliography"/>
        <w:ind w:left="720" w:hanging="720"/>
      </w:pPr>
      <w:r w:rsidRPr="0042328C">
        <w:lastRenderedPageBreak/>
        <w:t>OHID. (2024). Research and analysis. Estimates of alcohol dependent adults in England: summary. In: Office for Health Improvement and Disparities.</w:t>
      </w:r>
    </w:p>
    <w:p w14:paraId="117C1FC7" w14:textId="575CEDA7" w:rsidR="0042328C" w:rsidRPr="0042328C" w:rsidRDefault="0042328C" w:rsidP="0042328C">
      <w:pPr>
        <w:pStyle w:val="EndNoteBibliography"/>
        <w:ind w:left="720" w:hanging="720"/>
      </w:pPr>
      <w:r w:rsidRPr="0042328C">
        <w:t xml:space="preserve">OHID and The University of Manchester. (2024). </w:t>
      </w:r>
      <w:r w:rsidRPr="0042328C">
        <w:rPr>
          <w:i/>
        </w:rPr>
        <w:t>NDTMS - National Drug Treatment Monitoring System. Restricted section.</w:t>
      </w:r>
      <w:r w:rsidRPr="0042328C">
        <w:t xml:space="preserve"> Office for Health Improvement and Disparities. Retrieved 01/04/2024 from </w:t>
      </w:r>
      <w:hyperlink r:id="rId228" w:history="1">
        <w:r w:rsidRPr="0042328C">
          <w:rPr>
            <w:rStyle w:val="Hyperlink"/>
          </w:rPr>
          <w:t>https://www.ndtms.net/</w:t>
        </w:r>
      </w:hyperlink>
    </w:p>
    <w:p w14:paraId="75195ABC" w14:textId="77777777" w:rsidR="0042328C" w:rsidRPr="0042328C" w:rsidRDefault="0042328C" w:rsidP="0042328C">
      <w:pPr>
        <w:pStyle w:val="EndNoteBibliography"/>
        <w:ind w:left="720" w:hanging="720"/>
      </w:pPr>
      <w:r w:rsidRPr="0042328C">
        <w:t>OHID and UKHSA. (2023). Research and analysis. Estimates of opiate and crack use in England: main points and methods. In: Office for Health Improvements and Disparities.</w:t>
      </w:r>
    </w:p>
    <w:p w14:paraId="6119A726" w14:textId="1B3EB618" w:rsidR="0042328C" w:rsidRPr="0042328C" w:rsidRDefault="0042328C" w:rsidP="0042328C">
      <w:pPr>
        <w:pStyle w:val="EndNoteBibliography"/>
        <w:ind w:left="720" w:hanging="720"/>
      </w:pPr>
      <w:r w:rsidRPr="0042328C">
        <w:t>Ondersma, S. J., Chaffin, M. J., Mullins, S. M., &amp; LeBreton, J. M. (2005). A brief form of the child abuse potential inventory: development and validation.</w:t>
      </w:r>
      <w:r w:rsidRPr="0042328C">
        <w:rPr>
          <w:i/>
        </w:rPr>
        <w:t xml:space="preserve"> 34</w:t>
      </w:r>
      <w:r w:rsidRPr="0042328C">
        <w:t xml:space="preserve">, 301-311. </w:t>
      </w:r>
      <w:hyperlink r:id="rId229" w:history="1">
        <w:r w:rsidRPr="0042328C">
          <w:rPr>
            <w:rStyle w:val="Hyperlink"/>
          </w:rPr>
          <w:t>https://doi.org/10.1207/s15374424jccp3402_9</w:t>
        </w:r>
      </w:hyperlink>
      <w:r w:rsidRPr="0042328C">
        <w:t xml:space="preserve"> </w:t>
      </w:r>
    </w:p>
    <w:p w14:paraId="4632EE1B" w14:textId="77777777" w:rsidR="0042328C" w:rsidRPr="0042328C" w:rsidRDefault="0042328C" w:rsidP="0042328C">
      <w:pPr>
        <w:pStyle w:val="EndNoteBibliography"/>
        <w:ind w:left="720" w:hanging="720"/>
      </w:pPr>
      <w:r w:rsidRPr="0042328C">
        <w:t xml:space="preserve">Orford, J., Natera, G., Copello, A., Atkinson, C., Tiburcio, M., Velleman, R., Crundall, I., Mora, J., Templeton, L., &amp; Walley, G. (2005). </w:t>
      </w:r>
      <w:r w:rsidRPr="0042328C">
        <w:rPr>
          <w:i/>
        </w:rPr>
        <w:t>Coping with Alcohol and Drug Problems: The Experiences of Family Members in Three Contrasting Cultures</w:t>
      </w:r>
      <w:r w:rsidRPr="0042328C">
        <w:t xml:space="preserve">. Taylor and Francis. </w:t>
      </w:r>
    </w:p>
    <w:p w14:paraId="0D43CC7B" w14:textId="72ADE073" w:rsidR="0042328C" w:rsidRPr="0042328C" w:rsidRDefault="0042328C" w:rsidP="0042328C">
      <w:pPr>
        <w:pStyle w:val="EndNoteBibliography"/>
        <w:ind w:left="720" w:hanging="720"/>
      </w:pPr>
      <w:r w:rsidRPr="0042328C">
        <w:t xml:space="preserve">Osterman, R., Lewis, D., &amp; Winhusen, T. (2017). Efficacy of motivational enhancement therapy to decrease alcohol and illicit-drug use in pregnant substance users reporting baseline alcohol use. </w:t>
      </w:r>
      <w:r w:rsidRPr="0042328C">
        <w:rPr>
          <w:i/>
        </w:rPr>
        <w:t>Journal of Substance Abuse Treatment</w:t>
      </w:r>
      <w:r w:rsidRPr="0042328C">
        <w:t>,</w:t>
      </w:r>
      <w:r w:rsidRPr="0042328C">
        <w:rPr>
          <w:i/>
        </w:rPr>
        <w:t xml:space="preserve"> 77</w:t>
      </w:r>
      <w:r w:rsidRPr="0042328C">
        <w:t xml:space="preserve">, 150-155. </w:t>
      </w:r>
      <w:hyperlink r:id="rId230" w:history="1">
        <w:r w:rsidRPr="0042328C">
          <w:rPr>
            <w:rStyle w:val="Hyperlink"/>
          </w:rPr>
          <w:t>https://doi.org/https://doi.org/10.1016/j.jsat.2017.02.003</w:t>
        </w:r>
      </w:hyperlink>
      <w:r w:rsidRPr="0042328C">
        <w:t xml:space="preserve"> </w:t>
      </w:r>
    </w:p>
    <w:p w14:paraId="0764BC1A" w14:textId="3E3B3D02" w:rsidR="0042328C" w:rsidRPr="0042328C" w:rsidRDefault="0042328C" w:rsidP="0042328C">
      <w:pPr>
        <w:pStyle w:val="EndNoteBibliography"/>
        <w:ind w:left="720" w:hanging="720"/>
      </w:pPr>
      <w:r w:rsidRPr="0042328C">
        <w:t xml:space="preserve">Page, S., Fedorowicz, S., McCormack, F., &amp; Whitehead, S. (2024). Women, Addictions, Mental Health, Dishonesty, and Crime Stigma: Solutions to Reduce the Social Harms of Stigma. </w:t>
      </w:r>
      <w:r w:rsidRPr="0042328C">
        <w:rPr>
          <w:i/>
        </w:rPr>
        <w:t>International Journal of Environmental Research and Public Health</w:t>
      </w:r>
      <w:r w:rsidRPr="0042328C">
        <w:t>,</w:t>
      </w:r>
      <w:r w:rsidRPr="0042328C">
        <w:rPr>
          <w:i/>
        </w:rPr>
        <w:t xml:space="preserve"> 21</w:t>
      </w:r>
      <w:r w:rsidRPr="0042328C">
        <w:t xml:space="preserve">(1), 63. </w:t>
      </w:r>
      <w:hyperlink r:id="rId231" w:history="1">
        <w:r w:rsidRPr="0042328C">
          <w:rPr>
            <w:rStyle w:val="Hyperlink"/>
          </w:rPr>
          <w:t>https://www.mdpi.com/1660-4601/21/1/63</w:t>
        </w:r>
      </w:hyperlink>
      <w:r w:rsidRPr="0042328C">
        <w:t xml:space="preserve"> </w:t>
      </w:r>
    </w:p>
    <w:p w14:paraId="649A5426" w14:textId="0882B852" w:rsidR="0042328C" w:rsidRPr="0042328C" w:rsidRDefault="0042328C" w:rsidP="0042328C">
      <w:pPr>
        <w:pStyle w:val="EndNoteBibliography"/>
        <w:ind w:left="720" w:hanging="720"/>
      </w:pPr>
      <w:r w:rsidRPr="0042328C">
        <w:t xml:space="preserve">Pajulo, M., Suchman, N., Kalland, M., &amp; Mayes, L. (2006). Enhancing the effectiveness of residential treatment for substance abusing pregnant women and parenting women: Focus on maternal reflective functioning and mother-child relationship. </w:t>
      </w:r>
      <w:r w:rsidRPr="0042328C">
        <w:rPr>
          <w:i/>
        </w:rPr>
        <w:t>Infant mental health journal</w:t>
      </w:r>
      <w:r w:rsidRPr="0042328C">
        <w:t>,</w:t>
      </w:r>
      <w:r w:rsidRPr="0042328C">
        <w:rPr>
          <w:i/>
        </w:rPr>
        <w:t xml:space="preserve"> 27</w:t>
      </w:r>
      <w:r w:rsidRPr="0042328C">
        <w:t xml:space="preserve">(5), 448-448. </w:t>
      </w:r>
      <w:hyperlink r:id="rId232" w:history="1">
        <w:r w:rsidRPr="0042328C">
          <w:rPr>
            <w:rStyle w:val="Hyperlink"/>
          </w:rPr>
          <w:t>https://doi.org/10.1002/imhj.20100</w:t>
        </w:r>
      </w:hyperlink>
      <w:r w:rsidRPr="0042328C">
        <w:t xml:space="preserve"> </w:t>
      </w:r>
    </w:p>
    <w:p w14:paraId="10DC1F52" w14:textId="26C25DDA" w:rsidR="0042328C" w:rsidRPr="0042328C" w:rsidRDefault="0042328C" w:rsidP="0042328C">
      <w:pPr>
        <w:pStyle w:val="EndNoteBibliography"/>
        <w:ind w:left="720" w:hanging="720"/>
      </w:pPr>
      <w:r w:rsidRPr="0042328C">
        <w:t xml:space="preserve">Park, S., &amp; Schepp, K. G. (2015). A Systematic Review of Research on Children of Alcoholics: Their Inherent Resilience and Vulnerability. </w:t>
      </w:r>
      <w:r w:rsidRPr="0042328C">
        <w:rPr>
          <w:i/>
        </w:rPr>
        <w:t>Journal of Child and Family Studies</w:t>
      </w:r>
      <w:r w:rsidRPr="0042328C">
        <w:t>,</w:t>
      </w:r>
      <w:r w:rsidRPr="0042328C">
        <w:rPr>
          <w:i/>
        </w:rPr>
        <w:t xml:space="preserve"> 24</w:t>
      </w:r>
      <w:r w:rsidRPr="0042328C">
        <w:t xml:space="preserve">(5), 1222-1231. </w:t>
      </w:r>
      <w:hyperlink r:id="rId233" w:history="1">
        <w:r w:rsidRPr="0042328C">
          <w:rPr>
            <w:rStyle w:val="Hyperlink"/>
          </w:rPr>
          <w:t>https://doi.org/http://dx.doi.org/10.1007/s10826-014-9930-7</w:t>
        </w:r>
      </w:hyperlink>
      <w:r w:rsidRPr="0042328C">
        <w:t xml:space="preserve"> </w:t>
      </w:r>
    </w:p>
    <w:p w14:paraId="3FE0559B" w14:textId="1781F60F" w:rsidR="0042328C" w:rsidRPr="0042328C" w:rsidRDefault="0042328C" w:rsidP="0042328C">
      <w:pPr>
        <w:pStyle w:val="EndNoteBibliography"/>
        <w:ind w:left="720" w:hanging="720"/>
      </w:pPr>
      <w:r w:rsidRPr="0042328C">
        <w:t xml:space="preserve">Payakachat, N., Ali, M. M., &amp; Tilford, J. M. (2015). Can The EQ-5D Detect Meaningful Change? A Systematic Review. </w:t>
      </w:r>
      <w:r w:rsidRPr="0042328C">
        <w:rPr>
          <w:i/>
        </w:rPr>
        <w:t>PharmacoEconomics</w:t>
      </w:r>
      <w:r w:rsidRPr="0042328C">
        <w:t>,</w:t>
      </w:r>
      <w:r w:rsidRPr="0042328C">
        <w:rPr>
          <w:i/>
        </w:rPr>
        <w:t xml:space="preserve"> 33</w:t>
      </w:r>
      <w:r w:rsidRPr="0042328C">
        <w:t xml:space="preserve">(11), 1137-1154. </w:t>
      </w:r>
      <w:hyperlink r:id="rId234" w:history="1">
        <w:r w:rsidRPr="0042328C">
          <w:rPr>
            <w:rStyle w:val="Hyperlink"/>
          </w:rPr>
          <w:t>https://doi.org/10.1007/s40273-015-0295-6</w:t>
        </w:r>
      </w:hyperlink>
      <w:r w:rsidRPr="0042328C">
        <w:t xml:space="preserve"> </w:t>
      </w:r>
    </w:p>
    <w:p w14:paraId="76043D4C" w14:textId="788F3CF4" w:rsidR="0042328C" w:rsidRPr="0042328C" w:rsidRDefault="0042328C" w:rsidP="0042328C">
      <w:pPr>
        <w:pStyle w:val="EndNoteBibliography"/>
        <w:ind w:left="720" w:hanging="720"/>
      </w:pPr>
      <w:r w:rsidRPr="0042328C">
        <w:t xml:space="preserve">Peacock, A., Eastwood, B., Jones, A., Millar, T., Horgan, P., Knight, J., Randhawa, K., White, M., &amp; Marsden, J. (2018). Effectiveness of community psychosocial and pharmacological treatments for alcohol use disorder: A national observational cohort study in England. </w:t>
      </w:r>
      <w:r w:rsidRPr="0042328C">
        <w:rPr>
          <w:i/>
        </w:rPr>
        <w:t>Drug Alcohol Depend</w:t>
      </w:r>
      <w:r w:rsidRPr="0042328C">
        <w:t>,</w:t>
      </w:r>
      <w:r w:rsidRPr="0042328C">
        <w:rPr>
          <w:i/>
        </w:rPr>
        <w:t xml:space="preserve"> 186</w:t>
      </w:r>
      <w:r w:rsidRPr="0042328C">
        <w:t xml:space="preserve">, 60-67. </w:t>
      </w:r>
      <w:hyperlink r:id="rId235" w:history="1">
        <w:r w:rsidRPr="0042328C">
          <w:rPr>
            <w:rStyle w:val="Hyperlink"/>
          </w:rPr>
          <w:t>https://doi.org/10.1016/j.drugalcdep.2018.01.019</w:t>
        </w:r>
      </w:hyperlink>
      <w:r w:rsidRPr="0042328C">
        <w:t xml:space="preserve"> </w:t>
      </w:r>
    </w:p>
    <w:p w14:paraId="1037AEE9" w14:textId="782CFE52" w:rsidR="0042328C" w:rsidRPr="0042328C" w:rsidRDefault="0042328C" w:rsidP="0042328C">
      <w:pPr>
        <w:pStyle w:val="EndNoteBibliography"/>
        <w:ind w:left="720" w:hanging="720"/>
      </w:pPr>
      <w:r w:rsidRPr="0042328C">
        <w:t xml:space="preserve">Peisch, V., D. Sullivan, A., Breslend, N. L., Benoit, R., Sigmon, S. C., Forehand, G. L., Strolin-Goltzman, J., &amp; Forehand, R. (2018). Parental Opioid Abuse: A Review of Child Outcomes, Parenting, and Parenting Interventions. </w:t>
      </w:r>
      <w:r w:rsidRPr="0042328C">
        <w:rPr>
          <w:i/>
        </w:rPr>
        <w:t>Journal of Child and Family Studies</w:t>
      </w:r>
      <w:r w:rsidRPr="0042328C">
        <w:t>,</w:t>
      </w:r>
      <w:r w:rsidRPr="0042328C">
        <w:rPr>
          <w:i/>
        </w:rPr>
        <w:t xml:space="preserve"> 27</w:t>
      </w:r>
      <w:r w:rsidRPr="0042328C">
        <w:t xml:space="preserve">(7), 2082-2099. </w:t>
      </w:r>
      <w:hyperlink r:id="rId236" w:history="1">
        <w:r w:rsidRPr="0042328C">
          <w:rPr>
            <w:rStyle w:val="Hyperlink"/>
          </w:rPr>
          <w:t>https://doi.org/10.1007/s10826-018-1061-0</w:t>
        </w:r>
      </w:hyperlink>
      <w:r w:rsidRPr="0042328C">
        <w:t xml:space="preserve"> </w:t>
      </w:r>
    </w:p>
    <w:p w14:paraId="288C6D06" w14:textId="26EA35E7" w:rsidR="0042328C" w:rsidRPr="0042328C" w:rsidRDefault="0042328C" w:rsidP="0042328C">
      <w:pPr>
        <w:pStyle w:val="EndNoteBibliography"/>
        <w:ind w:left="720" w:hanging="720"/>
      </w:pPr>
      <w:r w:rsidRPr="0042328C">
        <w:t xml:space="preserve">Perez-Vaisvidovsky, N., Halpern, A., Mizrahi, R., &amp; Atalla, Z. (2023). “Fathers Are Very Important, but They Aren’t Our Contact Persons”: The Primary Contact Person Assumption and the Absence of Fathers in Social Work Interventions. </w:t>
      </w:r>
      <w:r w:rsidRPr="0042328C">
        <w:rPr>
          <w:i/>
        </w:rPr>
        <w:lastRenderedPageBreak/>
        <w:t>Families in Society</w:t>
      </w:r>
      <w:r w:rsidRPr="0042328C">
        <w:t>,</w:t>
      </w:r>
      <w:r w:rsidRPr="0042328C">
        <w:rPr>
          <w:i/>
        </w:rPr>
        <w:t xml:space="preserve"> 104</w:t>
      </w:r>
      <w:r w:rsidRPr="0042328C">
        <w:t xml:space="preserve">(3), 292-305. </w:t>
      </w:r>
      <w:hyperlink r:id="rId237" w:history="1">
        <w:r w:rsidRPr="0042328C">
          <w:rPr>
            <w:rStyle w:val="Hyperlink"/>
          </w:rPr>
          <w:t>https://doi.org/10.1177/10443894221145751</w:t>
        </w:r>
      </w:hyperlink>
      <w:r w:rsidRPr="0042328C">
        <w:t xml:space="preserve"> </w:t>
      </w:r>
    </w:p>
    <w:p w14:paraId="1419E1BA" w14:textId="15619E63" w:rsidR="0042328C" w:rsidRPr="0042328C" w:rsidRDefault="0042328C" w:rsidP="0042328C">
      <w:pPr>
        <w:pStyle w:val="EndNoteBibliography"/>
        <w:ind w:left="720" w:hanging="720"/>
      </w:pPr>
      <w:r w:rsidRPr="0042328C">
        <w:t xml:space="preserve">Personal Social Services Research Unit. (2024). </w:t>
      </w:r>
      <w:r w:rsidRPr="0042328C">
        <w:rPr>
          <w:i/>
        </w:rPr>
        <w:t>Unit Costs of Health and Social Care programme (2022 – 2027)</w:t>
      </w:r>
      <w:r w:rsidRPr="0042328C">
        <w:t xml:space="preserve">. University of Kent. Retrieved 31/08/2024 from </w:t>
      </w:r>
      <w:hyperlink r:id="rId238" w:history="1">
        <w:r w:rsidRPr="0042328C">
          <w:rPr>
            <w:rStyle w:val="Hyperlink"/>
          </w:rPr>
          <w:t>https://www.pssru.ac.uk/unitcostsreport/</w:t>
        </w:r>
      </w:hyperlink>
    </w:p>
    <w:p w14:paraId="4B91FFF1" w14:textId="3E80B3D8" w:rsidR="0042328C" w:rsidRPr="0042328C" w:rsidRDefault="0042328C" w:rsidP="0042328C">
      <w:pPr>
        <w:pStyle w:val="EndNoteBibliography"/>
        <w:ind w:left="720" w:hanging="720"/>
      </w:pPr>
      <w:r w:rsidRPr="0042328C">
        <w:t xml:space="preserve">PHE. (2019a). </w:t>
      </w:r>
      <w:r w:rsidRPr="0042328C">
        <w:rPr>
          <w:i/>
        </w:rPr>
        <w:t>National Drug Treatment Monitoring System (NDTMS). Adult drug and alcohol treatment business definitions. Core dataset O</w:t>
      </w:r>
      <w:r w:rsidRPr="0042328C">
        <w:t xml:space="preserve">. </w:t>
      </w:r>
      <w:hyperlink r:id="rId239" w:history="1">
        <w:r w:rsidRPr="0042328C">
          <w:rPr>
            <w:rStyle w:val="Hyperlink"/>
          </w:rPr>
          <w:t>https://assets.publishing.service.gov.uk/government/uploads/system/uploads/attachment_data/file/785198/NDTMS_adult_drug_and_alcohol_treatment_business_definitions_CDS-O.pdf</w:t>
        </w:r>
      </w:hyperlink>
    </w:p>
    <w:p w14:paraId="238B688B" w14:textId="1651CD90" w:rsidR="0042328C" w:rsidRPr="0042328C" w:rsidRDefault="0042328C" w:rsidP="0042328C">
      <w:pPr>
        <w:pStyle w:val="EndNoteBibliography"/>
        <w:ind w:left="720" w:hanging="720"/>
      </w:pPr>
      <w:r w:rsidRPr="0042328C">
        <w:t xml:space="preserve">PHE. (2019b). </w:t>
      </w:r>
      <w:r w:rsidRPr="0042328C">
        <w:rPr>
          <w:i/>
        </w:rPr>
        <w:t>Substance misuse treatment statistics. National Drug Treatment Monitoring System: Quality and methodology information paper</w:t>
      </w:r>
      <w:r w:rsidRPr="0042328C">
        <w:t xml:space="preserve">. Public Health England. Retrieved 11 Dec 2020 from </w:t>
      </w:r>
      <w:hyperlink r:id="rId240" w:history="1">
        <w:r w:rsidRPr="0042328C">
          <w:rPr>
            <w:rStyle w:val="Hyperlink"/>
          </w:rPr>
          <w:t>https://www.ndtms.net/resources/public/NDTMS_annual_report-Quality_methodology.pdf</w:t>
        </w:r>
      </w:hyperlink>
    </w:p>
    <w:p w14:paraId="2C09AB21" w14:textId="03A7D462" w:rsidR="0042328C" w:rsidRPr="0042328C" w:rsidRDefault="0042328C" w:rsidP="0042328C">
      <w:pPr>
        <w:pStyle w:val="EndNoteBibliography"/>
        <w:ind w:left="720" w:hanging="720"/>
      </w:pPr>
      <w:r w:rsidRPr="0042328C">
        <w:t xml:space="preserve">PHE. (2020). </w:t>
      </w:r>
      <w:r w:rsidRPr="0042328C">
        <w:rPr>
          <w:i/>
        </w:rPr>
        <w:t>National Statistics. Adult substance misuse treatment statistics 2019 to 2020: Report</w:t>
      </w:r>
      <w:r w:rsidRPr="0042328C">
        <w:t xml:space="preserve">. Public Health England. Retrieved 23/04/21 from </w:t>
      </w:r>
      <w:hyperlink r:id="rId241" w:history="1">
        <w:r w:rsidRPr="0042328C">
          <w:rPr>
            <w:rStyle w:val="Hyperlink"/>
          </w:rPr>
          <w:t>https://www.gov.uk/government/statistics/substance-misuse-treatment-for-adults-statistics-2019-to-2020/adult-substance-misuse-treatment-statistics-2019-to-2020-report</w:t>
        </w:r>
      </w:hyperlink>
    </w:p>
    <w:p w14:paraId="0C04ADF1" w14:textId="661682A2" w:rsidR="0042328C" w:rsidRPr="0042328C" w:rsidRDefault="0042328C" w:rsidP="0042328C">
      <w:pPr>
        <w:pStyle w:val="EndNoteBibliography"/>
        <w:ind w:left="720" w:hanging="720"/>
      </w:pPr>
      <w:r w:rsidRPr="0042328C">
        <w:t xml:space="preserve">Public Health England. (2019). National Drug Treatment Monitoring System (NDTMS). Adult drug and alcohol treatment business definitions. Core dataset O. Retrieved 14/06/2019, from </w:t>
      </w:r>
      <w:hyperlink r:id="rId242" w:history="1">
        <w:r w:rsidRPr="0042328C">
          <w:rPr>
            <w:rStyle w:val="Hyperlink"/>
          </w:rPr>
          <w:t>https://assets.publishing.service.gov.uk/government/uploads/system/uploads/attachment_data/file/785198/NDTMS_adult_drug_and_alcohol_treatment_business_definitions_CDS-O.pdf</w:t>
        </w:r>
      </w:hyperlink>
      <w:r w:rsidRPr="0042328C">
        <w:t xml:space="preserve"> </w:t>
      </w:r>
    </w:p>
    <w:p w14:paraId="78846970" w14:textId="77777777" w:rsidR="0042328C" w:rsidRPr="0042328C" w:rsidRDefault="0042328C" w:rsidP="0042328C">
      <w:pPr>
        <w:pStyle w:val="EndNoteBibliography"/>
        <w:ind w:left="720" w:hanging="720"/>
      </w:pPr>
      <w:r w:rsidRPr="0042328C">
        <w:t xml:space="preserve">PwC. (2018). Assessing the costs and benefits of Crisis’ plan to end homelessness. </w:t>
      </w:r>
    </w:p>
    <w:p w14:paraId="1AAD443F" w14:textId="77777777" w:rsidR="0042328C" w:rsidRPr="0042328C" w:rsidRDefault="0042328C" w:rsidP="0042328C">
      <w:pPr>
        <w:pStyle w:val="EndNoteBibliography"/>
        <w:ind w:left="720" w:hanging="720"/>
      </w:pPr>
      <w:r w:rsidRPr="0042328C">
        <w:t xml:space="preserve">Radcliffe, P. (2011). Motherhood, pregnancy, and the negotiation of identity: The moral career of drug treatment. </w:t>
      </w:r>
      <w:r w:rsidRPr="0042328C">
        <w:rPr>
          <w:i/>
        </w:rPr>
        <w:t>Social science &amp; medicine</w:t>
      </w:r>
      <w:r w:rsidRPr="0042328C">
        <w:t>,</w:t>
      </w:r>
      <w:r w:rsidRPr="0042328C">
        <w:rPr>
          <w:i/>
        </w:rPr>
        <w:t xml:space="preserve"> 72</w:t>
      </w:r>
      <w:r w:rsidRPr="0042328C">
        <w:t xml:space="preserve">(6), 984-991. </w:t>
      </w:r>
    </w:p>
    <w:p w14:paraId="57274D7C" w14:textId="140CC60E" w:rsidR="0042328C" w:rsidRPr="0042328C" w:rsidRDefault="0042328C" w:rsidP="0042328C">
      <w:pPr>
        <w:pStyle w:val="EndNoteBibliography"/>
        <w:ind w:left="720" w:hanging="720"/>
      </w:pPr>
      <w:r w:rsidRPr="0042328C">
        <w:t xml:space="preserve">Raitasalo, K., Østergaard, J., &amp; Andrade, S. B. (2020). Educational attainment by children with parental alcohol problems in Denmark and Finland. </w:t>
      </w:r>
      <w:r w:rsidRPr="0042328C">
        <w:rPr>
          <w:i/>
        </w:rPr>
        <w:t>Nordic Studies on Alcohol and Drugs</w:t>
      </w:r>
      <w:r w:rsidRPr="0042328C">
        <w:t>,</w:t>
      </w:r>
      <w:r w:rsidRPr="0042328C">
        <w:rPr>
          <w:i/>
        </w:rPr>
        <w:t xml:space="preserve"> 38</w:t>
      </w:r>
      <w:r w:rsidRPr="0042328C">
        <w:t xml:space="preserve">(3), 227-242. </w:t>
      </w:r>
      <w:hyperlink r:id="rId243" w:history="1">
        <w:r w:rsidRPr="0042328C">
          <w:rPr>
            <w:rStyle w:val="Hyperlink"/>
          </w:rPr>
          <w:t>https://doi.org/10.1177/1455072520968343</w:t>
        </w:r>
      </w:hyperlink>
      <w:r w:rsidRPr="0042328C">
        <w:t xml:space="preserve"> </w:t>
      </w:r>
    </w:p>
    <w:p w14:paraId="5639B6A5" w14:textId="6A31CD6E" w:rsidR="0042328C" w:rsidRPr="0042328C" w:rsidRDefault="0042328C" w:rsidP="0042328C">
      <w:pPr>
        <w:pStyle w:val="EndNoteBibliography"/>
        <w:ind w:left="720" w:hanging="720"/>
      </w:pPr>
      <w:r w:rsidRPr="0042328C">
        <w:t xml:space="preserve">Rashti, R., Sharafi, H., Alavian, S. M., Moradi, Y., Mohamadi Bolbanabad, A., &amp; Moradi, G. (2020). Systematic Review and Meta-Analysis of Global Prevalence of HBsAg and HIV and HCV Antibodies among People Who Inject Drugs and Female Sex Workers. </w:t>
      </w:r>
      <w:r w:rsidRPr="0042328C">
        <w:rPr>
          <w:i/>
        </w:rPr>
        <w:t>Pathogens</w:t>
      </w:r>
      <w:r w:rsidRPr="0042328C">
        <w:t>,</w:t>
      </w:r>
      <w:r w:rsidRPr="0042328C">
        <w:rPr>
          <w:i/>
        </w:rPr>
        <w:t xml:space="preserve"> 9</w:t>
      </w:r>
      <w:r w:rsidRPr="0042328C">
        <w:t xml:space="preserve">(6), 432. </w:t>
      </w:r>
      <w:hyperlink r:id="rId244" w:history="1">
        <w:r w:rsidRPr="0042328C">
          <w:rPr>
            <w:rStyle w:val="Hyperlink"/>
          </w:rPr>
          <w:t>https://www.mdpi.com/2076-0817/9/6/432</w:t>
        </w:r>
      </w:hyperlink>
      <w:r w:rsidRPr="0042328C">
        <w:t xml:space="preserve"> </w:t>
      </w:r>
    </w:p>
    <w:p w14:paraId="7CBD4AD2" w14:textId="1C7CC2C0" w:rsidR="0042328C" w:rsidRPr="0042328C" w:rsidRDefault="0042328C" w:rsidP="0042328C">
      <w:pPr>
        <w:pStyle w:val="EndNoteBibliography"/>
        <w:ind w:left="720" w:hanging="720"/>
      </w:pPr>
      <w:r w:rsidRPr="0042328C">
        <w:t xml:space="preserve">Roscoe, S., Boyd, J., Buykx, P., Gavens, L., Pryce, R., &amp; Meier, P. (2021). The impact of disinvestment on alcohol and drug treatment delivery and outcomes: a systematic review. </w:t>
      </w:r>
      <w:r w:rsidRPr="0042328C">
        <w:rPr>
          <w:i/>
        </w:rPr>
        <w:t>BMC public health</w:t>
      </w:r>
      <w:r w:rsidRPr="0042328C">
        <w:t>,</w:t>
      </w:r>
      <w:r w:rsidRPr="0042328C">
        <w:rPr>
          <w:i/>
        </w:rPr>
        <w:t xml:space="preserve"> 21</w:t>
      </w:r>
      <w:r w:rsidRPr="0042328C">
        <w:t xml:space="preserve">(1), 2140. </w:t>
      </w:r>
      <w:hyperlink r:id="rId245" w:history="1">
        <w:r w:rsidRPr="0042328C">
          <w:rPr>
            <w:rStyle w:val="Hyperlink"/>
          </w:rPr>
          <w:t>https://doi.org/10.1186/s12889-021-12219-0</w:t>
        </w:r>
      </w:hyperlink>
      <w:r w:rsidRPr="0042328C">
        <w:t xml:space="preserve"> </w:t>
      </w:r>
    </w:p>
    <w:p w14:paraId="79E28AE5" w14:textId="19624428" w:rsidR="0042328C" w:rsidRPr="0042328C" w:rsidRDefault="0042328C" w:rsidP="0042328C">
      <w:pPr>
        <w:pStyle w:val="EndNoteBibliography"/>
        <w:ind w:left="720" w:hanging="720"/>
      </w:pPr>
      <w:r w:rsidRPr="0042328C">
        <w:t xml:space="preserve">Rossow, I., Felix, L., Keating, P., &amp; McCambridge, J. (2016). Parental drinking and adverse outcomes in children: A scoping review of cohort studies. </w:t>
      </w:r>
      <w:r w:rsidRPr="0042328C">
        <w:rPr>
          <w:i/>
        </w:rPr>
        <w:t>Drug Alcohol Rev</w:t>
      </w:r>
      <w:r w:rsidRPr="0042328C">
        <w:t>,</w:t>
      </w:r>
      <w:r w:rsidRPr="0042328C">
        <w:rPr>
          <w:i/>
        </w:rPr>
        <w:t xml:space="preserve"> 35</w:t>
      </w:r>
      <w:r w:rsidRPr="0042328C">
        <w:t xml:space="preserve">(4), 397-405. </w:t>
      </w:r>
      <w:hyperlink r:id="rId246" w:history="1">
        <w:r w:rsidRPr="0042328C">
          <w:rPr>
            <w:rStyle w:val="Hyperlink"/>
          </w:rPr>
          <w:t>https://doi.org/10.1111/dar.12319</w:t>
        </w:r>
      </w:hyperlink>
      <w:r w:rsidRPr="0042328C">
        <w:t xml:space="preserve"> </w:t>
      </w:r>
    </w:p>
    <w:p w14:paraId="134EC397" w14:textId="77777777" w:rsidR="0042328C" w:rsidRPr="0042328C" w:rsidRDefault="0042328C" w:rsidP="0042328C">
      <w:pPr>
        <w:pStyle w:val="EndNoteBibliography"/>
        <w:ind w:left="720" w:hanging="720"/>
      </w:pPr>
      <w:r w:rsidRPr="0042328C">
        <w:t>Rubenstein, B., &amp; Stover, C. (2016). Intimate partner violence, fatherhood, and co-parenting of men in residential substance misuse treatment. Advances in Dual Diagnosis, 9 (4), 119-129. In: ADD-10-2015-0022.</w:t>
      </w:r>
    </w:p>
    <w:p w14:paraId="5A99F560" w14:textId="747A9292" w:rsidR="0042328C" w:rsidRPr="0042328C" w:rsidRDefault="0042328C" w:rsidP="0042328C">
      <w:pPr>
        <w:pStyle w:val="EndNoteBibliography"/>
        <w:ind w:left="720" w:hanging="720"/>
      </w:pPr>
      <w:r w:rsidRPr="0042328C">
        <w:t xml:space="preserve">Rubin, D. B. (1987). </w:t>
      </w:r>
      <w:r w:rsidRPr="0042328C">
        <w:rPr>
          <w:i/>
        </w:rPr>
        <w:t>Multiple Imputation for Nonresponse in Surveys.</w:t>
      </w:r>
      <w:r w:rsidRPr="0042328C">
        <w:t xml:space="preserve"> John Wiley &amp; Sons, Inc. </w:t>
      </w:r>
      <w:hyperlink r:id="rId247" w:history="1">
        <w:r w:rsidRPr="0042328C">
          <w:rPr>
            <w:rStyle w:val="Hyperlink"/>
          </w:rPr>
          <w:t>https://doi.org/DOI:10.1002/9780470316696</w:t>
        </w:r>
      </w:hyperlink>
      <w:r w:rsidRPr="0042328C">
        <w:t xml:space="preserve"> </w:t>
      </w:r>
    </w:p>
    <w:p w14:paraId="73B1D781" w14:textId="25C3790C" w:rsidR="0042328C" w:rsidRPr="0042328C" w:rsidRDefault="0042328C" w:rsidP="0042328C">
      <w:pPr>
        <w:pStyle w:val="EndNoteBibliography"/>
        <w:ind w:left="720" w:hanging="720"/>
      </w:pPr>
      <w:r w:rsidRPr="0042328C">
        <w:lastRenderedPageBreak/>
        <w:t xml:space="preserve">Ryan, J. P., Marsh, J. C., Testa, M. F., &amp; Louderman, R. (2006). Integrating Substance Abuse Treatment and Child Welfare Services: Findings from the Illinois Alcohol and Other Drug Abuse Waiver Demonstration. </w:t>
      </w:r>
      <w:r w:rsidRPr="0042328C">
        <w:rPr>
          <w:i/>
        </w:rPr>
        <w:t>Social Work Research</w:t>
      </w:r>
      <w:r w:rsidRPr="0042328C">
        <w:t>,</w:t>
      </w:r>
      <w:r w:rsidRPr="0042328C">
        <w:rPr>
          <w:i/>
        </w:rPr>
        <w:t xml:space="preserve"> 30</w:t>
      </w:r>
      <w:r w:rsidRPr="0042328C">
        <w:t xml:space="preserve">(2), 95-107. </w:t>
      </w:r>
      <w:hyperlink r:id="rId248" w:history="1">
        <w:r w:rsidRPr="0042328C">
          <w:rPr>
            <w:rStyle w:val="Hyperlink"/>
          </w:rPr>
          <w:t>https://doi.org/https://doi.org/10.1093/swr/30.2.95</w:t>
        </w:r>
      </w:hyperlink>
      <w:r w:rsidRPr="0042328C">
        <w:t xml:space="preserve"> </w:t>
      </w:r>
    </w:p>
    <w:p w14:paraId="741847D2" w14:textId="77777777" w:rsidR="0042328C" w:rsidRPr="0042328C" w:rsidRDefault="0042328C" w:rsidP="0042328C">
      <w:pPr>
        <w:pStyle w:val="EndNoteBibliography"/>
        <w:ind w:left="720" w:hanging="720"/>
      </w:pPr>
      <w:r w:rsidRPr="0042328C">
        <w:t xml:space="preserve">Saldana, L. (2015). An Integrated Intervention to Address the Comorbid Needs of Families Referred to Child Welfare for Substance Use Disorders and Child Neglect: FAIR Pilot Outcomes. </w:t>
      </w:r>
      <w:r w:rsidRPr="0042328C">
        <w:rPr>
          <w:i/>
        </w:rPr>
        <w:t>Child welfare</w:t>
      </w:r>
      <w:r w:rsidRPr="0042328C">
        <w:t>,</w:t>
      </w:r>
      <w:r w:rsidRPr="0042328C">
        <w:rPr>
          <w:i/>
        </w:rPr>
        <w:t xml:space="preserve"> 94</w:t>
      </w:r>
      <w:r w:rsidRPr="0042328C">
        <w:t xml:space="preserve">(5), 167-186. </w:t>
      </w:r>
    </w:p>
    <w:p w14:paraId="316A07F5" w14:textId="29E6D146" w:rsidR="0042328C" w:rsidRPr="0042328C" w:rsidRDefault="0042328C" w:rsidP="0042328C">
      <w:pPr>
        <w:pStyle w:val="EndNoteBibliography"/>
        <w:ind w:left="720" w:hanging="720"/>
      </w:pPr>
      <w:r w:rsidRPr="0042328C">
        <w:t xml:space="preserve">Sampaio, F., Nystrand, C., Feldman, I., &amp; Mihalopoulos, C. (2024). Evidence for investing in parenting interventions aiming to improve child health: a systematic review of economic evaluations. </w:t>
      </w:r>
      <w:r w:rsidRPr="0042328C">
        <w:rPr>
          <w:i/>
        </w:rPr>
        <w:t>European Child &amp; Adolescent Psychiatry</w:t>
      </w:r>
      <w:r w:rsidRPr="0042328C">
        <w:t>,</w:t>
      </w:r>
      <w:r w:rsidRPr="0042328C">
        <w:rPr>
          <w:i/>
        </w:rPr>
        <w:t xml:space="preserve"> 33</w:t>
      </w:r>
      <w:r w:rsidRPr="0042328C">
        <w:t xml:space="preserve">(2), 323-355. </w:t>
      </w:r>
      <w:hyperlink r:id="rId249" w:history="1">
        <w:r w:rsidRPr="0042328C">
          <w:rPr>
            <w:rStyle w:val="Hyperlink"/>
          </w:rPr>
          <w:t>https://doi.org/10.1007/s00787-022-01969-w</w:t>
        </w:r>
      </w:hyperlink>
      <w:r w:rsidRPr="0042328C">
        <w:t xml:space="preserve"> </w:t>
      </w:r>
    </w:p>
    <w:p w14:paraId="0F5BF8D5" w14:textId="5999AB6C" w:rsidR="0042328C" w:rsidRPr="0042328C" w:rsidRDefault="0042328C" w:rsidP="0042328C">
      <w:pPr>
        <w:pStyle w:val="EndNoteBibliography"/>
        <w:ind w:left="720" w:hanging="720"/>
      </w:pPr>
      <w:r w:rsidRPr="0042328C">
        <w:t xml:space="preserve">Schaeffer, C. M., Swenson, C. C., Tuerk, E. H., &amp; Henggeler, S. W. (2013). Comprehensive treatment for co-occurring child maltreatment and parental substance abuse: Outcomes from a 24-month pilot study of the MST-Building Stronger Families program. </w:t>
      </w:r>
      <w:r w:rsidRPr="0042328C">
        <w:rPr>
          <w:i/>
        </w:rPr>
        <w:t>Child Abuse &amp; Neglect</w:t>
      </w:r>
      <w:r w:rsidRPr="0042328C">
        <w:t>,</w:t>
      </w:r>
      <w:r w:rsidRPr="0042328C">
        <w:rPr>
          <w:i/>
        </w:rPr>
        <w:t xml:space="preserve"> 37</w:t>
      </w:r>
      <w:r w:rsidRPr="0042328C">
        <w:t xml:space="preserve">(8), 596. </w:t>
      </w:r>
      <w:hyperlink r:id="rId250" w:history="1">
        <w:r w:rsidRPr="0042328C">
          <w:rPr>
            <w:rStyle w:val="Hyperlink"/>
          </w:rPr>
          <w:t>https://doi.org/https://doi.org/10.1016/j.chiabu.2013.04.004</w:t>
        </w:r>
      </w:hyperlink>
      <w:r w:rsidRPr="0042328C">
        <w:t xml:space="preserve"> </w:t>
      </w:r>
    </w:p>
    <w:p w14:paraId="2A3F08BD" w14:textId="059C3792" w:rsidR="0042328C" w:rsidRPr="0042328C" w:rsidRDefault="0042328C" w:rsidP="0042328C">
      <w:pPr>
        <w:pStyle w:val="EndNoteBibliography"/>
        <w:ind w:left="720" w:hanging="720"/>
      </w:pPr>
      <w:r w:rsidRPr="0042328C">
        <w:t xml:space="preserve">Schölin, L., Mukherjee, R. A. S., Aiton, N., Blackburn, C., Brown, S., Flemming, K. M., Gard, P. R., Howlett, H., Plant, M., Price, A. D., Shields, J., Smith, L. A., Suttie, M., Zammitt, D. C., &amp; Cook, P. A. (2021). Fetal alcohol spectrum disorders: an overview of current evidence and activities in the UK. </w:t>
      </w:r>
      <w:r w:rsidRPr="0042328C">
        <w:rPr>
          <w:i/>
        </w:rPr>
        <w:t>Archives of Disease in Childhood</w:t>
      </w:r>
      <w:r w:rsidRPr="0042328C">
        <w:t>,</w:t>
      </w:r>
      <w:r w:rsidRPr="0042328C">
        <w:rPr>
          <w:i/>
        </w:rPr>
        <w:t xml:space="preserve"> 106</w:t>
      </w:r>
      <w:r w:rsidRPr="0042328C">
        <w:t xml:space="preserve">(7), 636-640. </w:t>
      </w:r>
      <w:hyperlink r:id="rId251" w:history="1">
        <w:r w:rsidRPr="0042328C">
          <w:rPr>
            <w:rStyle w:val="Hyperlink"/>
          </w:rPr>
          <w:t>https://doi.org/10.1136/archdischild-2020-320435</w:t>
        </w:r>
      </w:hyperlink>
      <w:r w:rsidRPr="0042328C">
        <w:t xml:space="preserve"> </w:t>
      </w:r>
    </w:p>
    <w:p w14:paraId="7AA4A1FE" w14:textId="6653BB32" w:rsidR="0042328C" w:rsidRPr="0042328C" w:rsidRDefault="0042328C" w:rsidP="0042328C">
      <w:pPr>
        <w:pStyle w:val="EndNoteBibliography"/>
        <w:ind w:left="720" w:hanging="720"/>
      </w:pPr>
      <w:r w:rsidRPr="0042328C">
        <w:t xml:space="preserve">Schottenfeld, R. S., Moore, B., &amp; Pantalon, M. V. (2011). Contingency management with community reinforcement approach or twelve-step facilitation drug counseling for cocaine dependent pregnant women or women with young children [Journal article]. </w:t>
      </w:r>
      <w:r w:rsidRPr="0042328C">
        <w:rPr>
          <w:i/>
        </w:rPr>
        <w:t>Drug Alcohol Depend</w:t>
      </w:r>
      <w:r w:rsidRPr="0042328C">
        <w:t>,</w:t>
      </w:r>
      <w:r w:rsidRPr="0042328C">
        <w:rPr>
          <w:i/>
        </w:rPr>
        <w:t xml:space="preserve"> 118</w:t>
      </w:r>
      <w:r w:rsidRPr="0042328C">
        <w:t>(1), 48</w:t>
      </w:r>
      <w:r w:rsidRPr="0042328C">
        <w:rPr>
          <w:rFonts w:ascii="Cambria Math" w:hAnsi="Cambria Math" w:cs="Cambria Math"/>
        </w:rPr>
        <w:t>‐</w:t>
      </w:r>
      <w:r w:rsidRPr="0042328C">
        <w:t xml:space="preserve">55. </w:t>
      </w:r>
      <w:hyperlink r:id="rId252" w:history="1">
        <w:r w:rsidRPr="0042328C">
          <w:rPr>
            <w:rStyle w:val="Hyperlink"/>
          </w:rPr>
          <w:t>https://doi.org/10.1016/j.drugalcdep.2011.02.019</w:t>
        </w:r>
      </w:hyperlink>
      <w:r w:rsidRPr="0042328C">
        <w:t xml:space="preserve"> </w:t>
      </w:r>
    </w:p>
    <w:p w14:paraId="0BDFCDB2" w14:textId="49CD39D5" w:rsidR="0042328C" w:rsidRPr="0042328C" w:rsidRDefault="0042328C" w:rsidP="0042328C">
      <w:pPr>
        <w:pStyle w:val="EndNoteBibliography"/>
        <w:ind w:left="720" w:hanging="720"/>
      </w:pPr>
      <w:r w:rsidRPr="0042328C">
        <w:t xml:space="preserve">Seay, K. D. (2020). Pathways From Parental Substance Use to Child Internalizing and Externalizing Behaviors in a Child Protective Services Sample. </w:t>
      </w:r>
      <w:r w:rsidRPr="0042328C">
        <w:rPr>
          <w:i/>
        </w:rPr>
        <w:t>Child Maltreatment</w:t>
      </w:r>
      <w:r w:rsidRPr="0042328C">
        <w:t>,</w:t>
      </w:r>
      <w:r w:rsidRPr="0042328C">
        <w:rPr>
          <w:i/>
        </w:rPr>
        <w:t xml:space="preserve"> 25</w:t>
      </w:r>
      <w:r w:rsidRPr="0042328C">
        <w:t xml:space="preserve">(4), 446-456. </w:t>
      </w:r>
      <w:hyperlink r:id="rId253" w:history="1">
        <w:r w:rsidRPr="0042328C">
          <w:rPr>
            <w:rStyle w:val="Hyperlink"/>
          </w:rPr>
          <w:t>https://doi.org/10.1177/1077559520913638</w:t>
        </w:r>
      </w:hyperlink>
      <w:r w:rsidRPr="0042328C">
        <w:t xml:space="preserve"> </w:t>
      </w:r>
    </w:p>
    <w:p w14:paraId="151FE3E7" w14:textId="5E190ED2" w:rsidR="0042328C" w:rsidRPr="0042328C" w:rsidRDefault="0042328C" w:rsidP="0042328C">
      <w:pPr>
        <w:pStyle w:val="EndNoteBibliography"/>
        <w:ind w:left="720" w:hanging="720"/>
      </w:pPr>
      <w:r w:rsidRPr="0042328C">
        <w:t xml:space="preserve">Sherman, L. W., Gottfredson, D. C., MacKenzie, D. L., Eck, J., Reuter, P., &amp; Bushway, S. D. (1998). Preventing Crime: What Works, What Doesn’t, What’s Promising. Retrieved 15/04/2018, from </w:t>
      </w:r>
      <w:hyperlink r:id="rId254" w:history="1">
        <w:r w:rsidRPr="0042328C">
          <w:rPr>
            <w:rStyle w:val="Hyperlink"/>
          </w:rPr>
          <w:t>https://www.ncjrs.gov/pdffiles/171676.pdf</w:t>
        </w:r>
      </w:hyperlink>
      <w:r w:rsidRPr="0042328C">
        <w:t xml:space="preserve"> </w:t>
      </w:r>
    </w:p>
    <w:p w14:paraId="482C24E1" w14:textId="4F489E84" w:rsidR="0042328C" w:rsidRPr="0042328C" w:rsidRDefault="0042328C" w:rsidP="0042328C">
      <w:pPr>
        <w:pStyle w:val="EndNoteBibliography"/>
        <w:ind w:left="720" w:hanging="720"/>
      </w:pPr>
      <w:r w:rsidRPr="0042328C">
        <w:t xml:space="preserve">Shiba, K., &amp; Kawahara, T. (2021). Using Propensity Scores for Causal Inference: Pitfalls and Tips. </w:t>
      </w:r>
      <w:r w:rsidRPr="0042328C">
        <w:rPr>
          <w:i/>
        </w:rPr>
        <w:t>J Epidemiol</w:t>
      </w:r>
      <w:r w:rsidRPr="0042328C">
        <w:t>,</w:t>
      </w:r>
      <w:r w:rsidRPr="0042328C">
        <w:rPr>
          <w:i/>
        </w:rPr>
        <w:t xml:space="preserve"> 31</w:t>
      </w:r>
      <w:r w:rsidRPr="0042328C">
        <w:t xml:space="preserve">(8), 457-463. </w:t>
      </w:r>
      <w:hyperlink r:id="rId255" w:history="1">
        <w:r w:rsidRPr="0042328C">
          <w:rPr>
            <w:rStyle w:val="Hyperlink"/>
          </w:rPr>
          <w:t>https://doi.org/10.2188/jea.JE20210145</w:t>
        </w:r>
      </w:hyperlink>
      <w:r w:rsidRPr="0042328C">
        <w:t xml:space="preserve"> </w:t>
      </w:r>
    </w:p>
    <w:p w14:paraId="7413F753" w14:textId="5D87CDB8" w:rsidR="0042328C" w:rsidRPr="0042328C" w:rsidRDefault="0042328C" w:rsidP="0042328C">
      <w:pPr>
        <w:pStyle w:val="EndNoteBibliography"/>
        <w:ind w:left="720" w:hanging="720"/>
      </w:pPr>
      <w:r w:rsidRPr="0042328C">
        <w:t xml:space="preserve">Shorter, G. W., Campbell, K. B. D., Miller, N. M., Epton, T., O’Hara, L., Millen, S., Gunnarsson, K. U., Berry, E., &amp; Bendtsen, M. (2023). Few Interventions Support the Affected Other on Their Own: a Systematic Review of Individual Level Psychosocial Interventions to Support Those Harmed by Others’ Alcohol Use. </w:t>
      </w:r>
      <w:r w:rsidRPr="0042328C">
        <w:rPr>
          <w:i/>
        </w:rPr>
        <w:t>International Journal of Mental Health and Addiction</w:t>
      </w:r>
      <w:r w:rsidRPr="0042328C">
        <w:t xml:space="preserve">. </w:t>
      </w:r>
      <w:hyperlink r:id="rId256" w:history="1">
        <w:r w:rsidRPr="0042328C">
          <w:rPr>
            <w:rStyle w:val="Hyperlink"/>
          </w:rPr>
          <w:t>https://doi.org/10.1007/s11469-023-01065-3</w:t>
        </w:r>
      </w:hyperlink>
      <w:r w:rsidRPr="0042328C">
        <w:t xml:space="preserve"> </w:t>
      </w:r>
    </w:p>
    <w:p w14:paraId="08BE1F73" w14:textId="6B7D4C60" w:rsidR="0042328C" w:rsidRPr="0042328C" w:rsidRDefault="0042328C" w:rsidP="0042328C">
      <w:pPr>
        <w:pStyle w:val="EndNoteBibliography"/>
        <w:ind w:left="720" w:hanging="720"/>
      </w:pPr>
      <w:r w:rsidRPr="0042328C">
        <w:t xml:space="preserve">Sidebotham, P., Brandon, M., Bailey, S., Belderson, P., Dodsworth, J., Garstang, J., Harrison, E., Retzer, A., &amp; Sorensen, P. (2016a). Pathways to harm, pathways to protection: a triennial analysis of serious case reviews 2011 to 2014. Final report. Retrieved 13/06/2019, from </w:t>
      </w:r>
      <w:hyperlink r:id="rId257" w:history="1">
        <w:r w:rsidRPr="0042328C">
          <w:rPr>
            <w:rStyle w:val="Hyperlink"/>
          </w:rPr>
          <w:t>https://seriouscasereviews.rip.org.uk/wp-content/uploads/Triennial_Analysis_of_SCRs_2011-2014_Pathways_to_harm_and_protection_299616.pdf</w:t>
        </w:r>
      </w:hyperlink>
      <w:r w:rsidRPr="0042328C">
        <w:t xml:space="preserve"> </w:t>
      </w:r>
    </w:p>
    <w:p w14:paraId="1E74A37F" w14:textId="3FB497FB" w:rsidR="0042328C" w:rsidRPr="0042328C" w:rsidRDefault="0042328C" w:rsidP="0042328C">
      <w:pPr>
        <w:pStyle w:val="EndNoteBibliography"/>
        <w:ind w:left="720" w:hanging="720"/>
      </w:pPr>
      <w:r w:rsidRPr="0042328C">
        <w:lastRenderedPageBreak/>
        <w:t xml:space="preserve">Sidebotham, P., Brandon, M., Bailey, S., Belderson, P., Dodsworth, J., Garstang, J., Harrison, E., Retzer, A., &amp; Sorensen, P. (2016b). </w:t>
      </w:r>
      <w:r w:rsidRPr="0042328C">
        <w:rPr>
          <w:i/>
        </w:rPr>
        <w:t>Pathways to harm, pathways to protection: a triennial analysis of serious case reviews 2011 to 2014. Final report.</w:t>
      </w:r>
      <w:r w:rsidRPr="0042328C">
        <w:t xml:space="preserve">  Retrieved from </w:t>
      </w:r>
      <w:hyperlink r:id="rId258" w:history="1">
        <w:r w:rsidRPr="0042328C">
          <w:rPr>
            <w:rStyle w:val="Hyperlink"/>
          </w:rPr>
          <w:t>https://assets.publishing.service.gov.uk/government/uploads/system/uploads/attachment_data/file/533826/Triennial_Analysis_of_SCRs_2011-2014_-__Pathways_to_harm_and_protection.pdf</w:t>
        </w:r>
      </w:hyperlink>
    </w:p>
    <w:p w14:paraId="32230F1F" w14:textId="48D5DCC5" w:rsidR="0042328C" w:rsidRPr="0042328C" w:rsidRDefault="0042328C" w:rsidP="0042328C">
      <w:pPr>
        <w:pStyle w:val="EndNoteBibliography"/>
        <w:ind w:left="720" w:hanging="720"/>
      </w:pPr>
      <w:r w:rsidRPr="0042328C">
        <w:t xml:space="preserve">Siebert, U., Alagoz, O., Bayoumi, A. M., Jahn, B., Owens, D. K., Cohen, D. J., &amp; Kuntz, K. M. (2012). State-transition modeling: a report of the ISPOR-SMDM Modeling Good Research Practices Task Force--3. </w:t>
      </w:r>
      <w:r w:rsidRPr="0042328C">
        <w:rPr>
          <w:i/>
        </w:rPr>
        <w:t>Value Health</w:t>
      </w:r>
      <w:r w:rsidRPr="0042328C">
        <w:t>,</w:t>
      </w:r>
      <w:r w:rsidRPr="0042328C">
        <w:rPr>
          <w:i/>
        </w:rPr>
        <w:t xml:space="preserve"> 15</w:t>
      </w:r>
      <w:r w:rsidRPr="0042328C">
        <w:t xml:space="preserve">(6), 812-820. </w:t>
      </w:r>
      <w:hyperlink r:id="rId259" w:history="1">
        <w:r w:rsidRPr="0042328C">
          <w:rPr>
            <w:rStyle w:val="Hyperlink"/>
          </w:rPr>
          <w:t>https://doi.org/10.1016/j.jval.2012.06.014</w:t>
        </w:r>
      </w:hyperlink>
      <w:r w:rsidRPr="0042328C">
        <w:t xml:space="preserve"> </w:t>
      </w:r>
    </w:p>
    <w:p w14:paraId="5E0812F5" w14:textId="20DB936E" w:rsidR="0042328C" w:rsidRPr="0042328C" w:rsidRDefault="0042328C" w:rsidP="0042328C">
      <w:pPr>
        <w:pStyle w:val="EndNoteBibliography"/>
        <w:ind w:left="720" w:hanging="720"/>
      </w:pPr>
      <w:r w:rsidRPr="0042328C">
        <w:t xml:space="preserve">Slesnick, N., &amp; Erdem, G. (2013). Efficacy of ecologically-based treatment with substance-abusing homeless mothers: substance use and housing outcomes [Journal article]. </w:t>
      </w:r>
      <w:r w:rsidRPr="0042328C">
        <w:rPr>
          <w:i/>
        </w:rPr>
        <w:t>Journal of Substance Abuse Treatment</w:t>
      </w:r>
      <w:r w:rsidRPr="0042328C">
        <w:t>,</w:t>
      </w:r>
      <w:r w:rsidRPr="0042328C">
        <w:rPr>
          <w:i/>
        </w:rPr>
        <w:t xml:space="preserve"> 45</w:t>
      </w:r>
      <w:r w:rsidRPr="0042328C">
        <w:t>(5), 416</w:t>
      </w:r>
      <w:r w:rsidRPr="0042328C">
        <w:rPr>
          <w:rFonts w:ascii="Cambria Math" w:hAnsi="Cambria Math" w:cs="Cambria Math"/>
        </w:rPr>
        <w:t>‐</w:t>
      </w:r>
      <w:r w:rsidRPr="0042328C">
        <w:t xml:space="preserve">425. </w:t>
      </w:r>
      <w:hyperlink r:id="rId260" w:history="1">
        <w:r w:rsidRPr="0042328C">
          <w:rPr>
            <w:rStyle w:val="Hyperlink"/>
          </w:rPr>
          <w:t>https://doi.org/10.1016/j.jsat.2013.05.008</w:t>
        </w:r>
      </w:hyperlink>
      <w:r w:rsidRPr="0042328C">
        <w:t xml:space="preserve"> </w:t>
      </w:r>
    </w:p>
    <w:p w14:paraId="4960F7F2" w14:textId="4A260D6D" w:rsidR="0042328C" w:rsidRPr="0042328C" w:rsidRDefault="0042328C" w:rsidP="0042328C">
      <w:pPr>
        <w:pStyle w:val="EndNoteBibliography"/>
        <w:ind w:left="720" w:hanging="720"/>
      </w:pPr>
      <w:r w:rsidRPr="0042328C">
        <w:t xml:space="preserve">Slesnick, N., Feng, X., Brakenhoff, B., &amp; Brigham, G. S. (2014). Parenting under the influence: The effects of opioids, alcohol and cocaine on mother–child interaction. </w:t>
      </w:r>
      <w:r w:rsidRPr="0042328C">
        <w:rPr>
          <w:i/>
        </w:rPr>
        <w:t>Addictive Behaviors</w:t>
      </w:r>
      <w:r w:rsidRPr="0042328C">
        <w:t>,</w:t>
      </w:r>
      <w:r w:rsidRPr="0042328C">
        <w:rPr>
          <w:i/>
        </w:rPr>
        <w:t xml:space="preserve"> 39</w:t>
      </w:r>
      <w:r w:rsidRPr="0042328C">
        <w:t xml:space="preserve">(5), 897-900. </w:t>
      </w:r>
      <w:hyperlink r:id="rId261" w:history="1">
        <w:r w:rsidRPr="0042328C">
          <w:rPr>
            <w:rStyle w:val="Hyperlink"/>
          </w:rPr>
          <w:t>https://doi.org/https://doi.org/10.1016/j.addbeh.2014.02.003</w:t>
        </w:r>
      </w:hyperlink>
      <w:r w:rsidRPr="0042328C">
        <w:t xml:space="preserve"> </w:t>
      </w:r>
    </w:p>
    <w:p w14:paraId="0E094894" w14:textId="59BE428F" w:rsidR="0042328C" w:rsidRPr="0042328C" w:rsidRDefault="0042328C" w:rsidP="0042328C">
      <w:pPr>
        <w:pStyle w:val="EndNoteBibliography"/>
        <w:ind w:left="720" w:hanging="720"/>
      </w:pPr>
      <w:r w:rsidRPr="0042328C">
        <w:t xml:space="preserve">Slesnick, N., &amp; Zhang, J. (2016). Family Systems Therapy for Substance-Using Mothers and Their 8- to 16-Year-Old Children. </w:t>
      </w:r>
      <w:r w:rsidRPr="0042328C">
        <w:rPr>
          <w:i/>
        </w:rPr>
        <w:t>Psychology of addictive behaviors</w:t>
      </w:r>
      <w:r w:rsidRPr="0042328C">
        <w:t>,</w:t>
      </w:r>
      <w:r w:rsidRPr="0042328C">
        <w:rPr>
          <w:i/>
        </w:rPr>
        <w:t xml:space="preserve"> 30</w:t>
      </w:r>
      <w:r w:rsidRPr="0042328C">
        <w:t xml:space="preserve">(6), 619-629. </w:t>
      </w:r>
      <w:hyperlink r:id="rId262" w:history="1">
        <w:r w:rsidRPr="0042328C">
          <w:rPr>
            <w:rStyle w:val="Hyperlink"/>
          </w:rPr>
          <w:t>https://doi.org/10.1037/adb0000199</w:t>
        </w:r>
      </w:hyperlink>
      <w:r w:rsidRPr="0042328C">
        <w:t xml:space="preserve"> </w:t>
      </w:r>
    </w:p>
    <w:p w14:paraId="3C8AD655" w14:textId="38AA9FBD" w:rsidR="0042328C" w:rsidRPr="0042328C" w:rsidRDefault="0042328C" w:rsidP="0042328C">
      <w:pPr>
        <w:pStyle w:val="EndNoteBibliography"/>
        <w:ind w:left="720" w:hanging="720"/>
      </w:pPr>
      <w:r w:rsidRPr="0042328C">
        <w:t xml:space="preserve">Smith, E. J., Lui, S., &amp; Terplan, M. (2009). Pharmacologic Interventions for Pregnant Women Enrolled in Alcohol Treatment. </w:t>
      </w:r>
      <w:r w:rsidRPr="0042328C">
        <w:rPr>
          <w:i/>
        </w:rPr>
        <w:t>Cochrane Database of Systematic Reviews</w:t>
      </w:r>
      <w:r w:rsidRPr="0042328C">
        <w:t xml:space="preserve">(3). </w:t>
      </w:r>
      <w:hyperlink r:id="rId263" w:history="1">
        <w:r w:rsidRPr="0042328C">
          <w:rPr>
            <w:rStyle w:val="Hyperlink"/>
          </w:rPr>
          <w:t>https://doi.org/10.1002/14651858.CD007361.pub2</w:t>
        </w:r>
      </w:hyperlink>
      <w:r w:rsidRPr="0042328C">
        <w:t xml:space="preserve"> </w:t>
      </w:r>
    </w:p>
    <w:p w14:paraId="0329FFA0" w14:textId="0C0DA725" w:rsidR="0042328C" w:rsidRPr="0042328C" w:rsidRDefault="0042328C" w:rsidP="0042328C">
      <w:pPr>
        <w:pStyle w:val="EndNoteBibliography"/>
        <w:ind w:left="720" w:hanging="720"/>
      </w:pPr>
      <w:r w:rsidRPr="0042328C">
        <w:t xml:space="preserve">Špacírová, Z., Epstein, D., García-Mochón, L., Rovira, J., Olry de Labry Lima, A., &amp; Espín, J. (2020). A general framework for classifying costing methods for economic evaluation of health care. </w:t>
      </w:r>
      <w:r w:rsidRPr="0042328C">
        <w:rPr>
          <w:i/>
        </w:rPr>
        <w:t>The European Journal of Health Economics</w:t>
      </w:r>
      <w:r w:rsidRPr="0042328C">
        <w:t>,</w:t>
      </w:r>
      <w:r w:rsidRPr="0042328C">
        <w:rPr>
          <w:i/>
        </w:rPr>
        <w:t xml:space="preserve"> 21</w:t>
      </w:r>
      <w:r w:rsidRPr="0042328C">
        <w:t xml:space="preserve">(4), 529-542. </w:t>
      </w:r>
      <w:hyperlink r:id="rId264" w:history="1">
        <w:r w:rsidRPr="0042328C">
          <w:rPr>
            <w:rStyle w:val="Hyperlink"/>
          </w:rPr>
          <w:t>https://doi.org/10.1007/s10198-019-01157-9</w:t>
        </w:r>
      </w:hyperlink>
      <w:r w:rsidRPr="0042328C">
        <w:t xml:space="preserve"> </w:t>
      </w:r>
    </w:p>
    <w:p w14:paraId="34A4B2A4" w14:textId="2FBA559B" w:rsidR="0042328C" w:rsidRPr="0042328C" w:rsidRDefault="0042328C" w:rsidP="0042328C">
      <w:pPr>
        <w:pStyle w:val="EndNoteBibliography"/>
        <w:ind w:left="720" w:hanging="720"/>
      </w:pPr>
      <w:r w:rsidRPr="0042328C">
        <w:t xml:space="preserve">Špacírová, Z., Epstein, D., García-Mochón, L., Rovira, J., Olry de Labry Lima, A., &amp; Espín, J. (2021). Correction to: A general framework for classifying costing methods for economic evaluation of health care. </w:t>
      </w:r>
      <w:r w:rsidRPr="0042328C">
        <w:rPr>
          <w:i/>
        </w:rPr>
        <w:t>The European Journal of Health Economics</w:t>
      </w:r>
      <w:r w:rsidRPr="0042328C">
        <w:t>,</w:t>
      </w:r>
      <w:r w:rsidRPr="0042328C">
        <w:rPr>
          <w:i/>
        </w:rPr>
        <w:t xml:space="preserve"> 22</w:t>
      </w:r>
      <w:r w:rsidRPr="0042328C">
        <w:t xml:space="preserve">(5), 847-847. </w:t>
      </w:r>
      <w:hyperlink r:id="rId265" w:history="1">
        <w:r w:rsidRPr="0042328C">
          <w:rPr>
            <w:rStyle w:val="Hyperlink"/>
          </w:rPr>
          <w:t>https://doi.org/10.1007/s10198-021-01313-0</w:t>
        </w:r>
      </w:hyperlink>
      <w:r w:rsidRPr="0042328C">
        <w:t xml:space="preserve"> </w:t>
      </w:r>
    </w:p>
    <w:p w14:paraId="2F3A805E" w14:textId="373617D4" w:rsidR="0042328C" w:rsidRPr="0042328C" w:rsidRDefault="0042328C" w:rsidP="0042328C">
      <w:pPr>
        <w:pStyle w:val="EndNoteBibliography"/>
        <w:ind w:left="720" w:hanging="720"/>
      </w:pPr>
      <w:r w:rsidRPr="0042328C">
        <w:t xml:space="preserve">Staton-Tindall, M., Sprang, G., Clark, J., Walker, R., &amp; Craig, C. D. (2013). Caregiver Substance Use and Child Outcomes: A Systematic Review. </w:t>
      </w:r>
      <w:r w:rsidRPr="0042328C">
        <w:rPr>
          <w:i/>
        </w:rPr>
        <w:t>Journal of Social Work Practice in the Addictions</w:t>
      </w:r>
      <w:r w:rsidRPr="0042328C">
        <w:t>,</w:t>
      </w:r>
      <w:r w:rsidRPr="0042328C">
        <w:rPr>
          <w:i/>
        </w:rPr>
        <w:t xml:space="preserve"> 13</w:t>
      </w:r>
      <w:r w:rsidRPr="0042328C">
        <w:t xml:space="preserve">(1), 6-31. </w:t>
      </w:r>
      <w:hyperlink r:id="rId266" w:history="1">
        <w:r w:rsidRPr="0042328C">
          <w:rPr>
            <w:rStyle w:val="Hyperlink"/>
          </w:rPr>
          <w:t>https://doi.org/10.1080/1533256X.2013.752272</w:t>
        </w:r>
      </w:hyperlink>
      <w:r w:rsidRPr="0042328C">
        <w:t xml:space="preserve"> </w:t>
      </w:r>
    </w:p>
    <w:p w14:paraId="41DAC609" w14:textId="726BA40A" w:rsidR="0042328C" w:rsidRPr="0042328C" w:rsidRDefault="0042328C" w:rsidP="0042328C">
      <w:pPr>
        <w:pStyle w:val="EndNoteBibliography"/>
        <w:ind w:left="720" w:hanging="720"/>
      </w:pPr>
      <w:r w:rsidRPr="0042328C">
        <w:t xml:space="preserve">Stevens, M. (2014). The cost-effectiveness of UK parenting programmes for preventing children's behaviour problems – a review of the evidence. </w:t>
      </w:r>
      <w:r w:rsidRPr="0042328C">
        <w:rPr>
          <w:i/>
        </w:rPr>
        <w:t>Child &amp; Family Social Work</w:t>
      </w:r>
      <w:r w:rsidRPr="0042328C">
        <w:t>,</w:t>
      </w:r>
      <w:r w:rsidRPr="0042328C">
        <w:rPr>
          <w:i/>
        </w:rPr>
        <w:t xml:space="preserve"> 19</w:t>
      </w:r>
      <w:r w:rsidRPr="0042328C">
        <w:t xml:space="preserve">(1), 109-118. </w:t>
      </w:r>
      <w:hyperlink r:id="rId267" w:history="1">
        <w:r w:rsidRPr="0042328C">
          <w:rPr>
            <w:rStyle w:val="Hyperlink"/>
          </w:rPr>
          <w:t>https://doi.org/https://doi.org/10.1111/j.1365-2206.2012.00888.x</w:t>
        </w:r>
      </w:hyperlink>
      <w:r w:rsidRPr="0042328C">
        <w:t xml:space="preserve"> </w:t>
      </w:r>
    </w:p>
    <w:p w14:paraId="40B3265A" w14:textId="12536703" w:rsidR="0042328C" w:rsidRPr="0042328C" w:rsidRDefault="0042328C" w:rsidP="0042328C">
      <w:pPr>
        <w:pStyle w:val="EndNoteBibliography"/>
        <w:ind w:left="720" w:hanging="720"/>
      </w:pPr>
      <w:r w:rsidRPr="0042328C">
        <w:t xml:space="preserve">Stith, S., Liu, T., Davies, L., Boykin, E. L., Alder, M. C., Harris, J., Som, A., Mcpherson, M., &amp; Dees, J. J. (2009). Risk factors in child maltreatment: A meta-analytic review of the literature. </w:t>
      </w:r>
      <w:r w:rsidRPr="0042328C">
        <w:rPr>
          <w:i/>
        </w:rPr>
        <w:t>Aggression and Violent Behavior</w:t>
      </w:r>
      <w:r w:rsidRPr="0042328C">
        <w:t>,</w:t>
      </w:r>
      <w:r w:rsidRPr="0042328C">
        <w:rPr>
          <w:i/>
        </w:rPr>
        <w:t xml:space="preserve"> 14</w:t>
      </w:r>
      <w:r w:rsidRPr="0042328C">
        <w:t xml:space="preserve">, 13-29. </w:t>
      </w:r>
      <w:hyperlink r:id="rId268" w:history="1">
        <w:r w:rsidRPr="0042328C">
          <w:rPr>
            <w:rStyle w:val="Hyperlink"/>
          </w:rPr>
          <w:t>https://doi.org/https://doi.org/10.1016/j.avb.2006.03.006</w:t>
        </w:r>
      </w:hyperlink>
      <w:r w:rsidRPr="0042328C">
        <w:t xml:space="preserve"> </w:t>
      </w:r>
    </w:p>
    <w:p w14:paraId="27660DC1" w14:textId="5DFA8114" w:rsidR="0042328C" w:rsidRPr="0042328C" w:rsidRDefault="0042328C" w:rsidP="0042328C">
      <w:pPr>
        <w:pStyle w:val="EndNoteBibliography"/>
        <w:ind w:left="720" w:hanging="720"/>
      </w:pPr>
      <w:r w:rsidRPr="0042328C">
        <w:t>Stover, C. S. (2015). Fathers for change for substance use and intimate partner violence: initial community pilot.</w:t>
      </w:r>
      <w:r w:rsidRPr="0042328C">
        <w:rPr>
          <w:i/>
        </w:rPr>
        <w:t xml:space="preserve"> 54</w:t>
      </w:r>
      <w:r w:rsidRPr="0042328C">
        <w:t xml:space="preserve">, 600-609. </w:t>
      </w:r>
      <w:hyperlink r:id="rId269" w:history="1">
        <w:r w:rsidRPr="0042328C">
          <w:rPr>
            <w:rStyle w:val="Hyperlink"/>
          </w:rPr>
          <w:t>https://doi.org/10.1111/famp.12136</w:t>
        </w:r>
      </w:hyperlink>
      <w:r w:rsidRPr="0042328C">
        <w:t xml:space="preserve"> </w:t>
      </w:r>
    </w:p>
    <w:p w14:paraId="10DB7122" w14:textId="79192110" w:rsidR="0042328C" w:rsidRPr="0042328C" w:rsidRDefault="0042328C" w:rsidP="0042328C">
      <w:pPr>
        <w:pStyle w:val="EndNoteBibliography"/>
        <w:ind w:left="720" w:hanging="720"/>
      </w:pPr>
      <w:r w:rsidRPr="0042328C">
        <w:lastRenderedPageBreak/>
        <w:t xml:space="preserve">Stover, C. S., Carlson, M., Patel, S., &amp; Manalich, R. (2018). Where's Dad? The Importance of Integrating Fatherhood and Parenting Programming into Substance Use Treatment for Men. </w:t>
      </w:r>
      <w:r w:rsidRPr="0042328C">
        <w:rPr>
          <w:i/>
        </w:rPr>
        <w:t>Child Abuse Rev</w:t>
      </w:r>
      <w:r w:rsidRPr="0042328C">
        <w:t>,</w:t>
      </w:r>
      <w:r w:rsidRPr="0042328C">
        <w:rPr>
          <w:i/>
        </w:rPr>
        <w:t xml:space="preserve"> 27</w:t>
      </w:r>
      <w:r w:rsidRPr="0042328C">
        <w:t xml:space="preserve">(4), 280-300. </w:t>
      </w:r>
      <w:hyperlink r:id="rId270" w:history="1">
        <w:r w:rsidRPr="0042328C">
          <w:rPr>
            <w:rStyle w:val="Hyperlink"/>
          </w:rPr>
          <w:t>https://doi.org/10.1002/car.2528</w:t>
        </w:r>
      </w:hyperlink>
      <w:r w:rsidRPr="0042328C">
        <w:t xml:space="preserve"> </w:t>
      </w:r>
    </w:p>
    <w:p w14:paraId="244CD9DE" w14:textId="1099DC00" w:rsidR="0042328C" w:rsidRPr="0042328C" w:rsidRDefault="0042328C" w:rsidP="0042328C">
      <w:pPr>
        <w:pStyle w:val="EndNoteBibliography"/>
        <w:ind w:left="720" w:hanging="720"/>
      </w:pPr>
      <w:r w:rsidRPr="0042328C">
        <w:t>Stover, C. S., McMahon, T. J., &amp; Moore, K. (2019a). A randomized pilot trial of two parenting interventions for fathers in residential substance use disorder treatment.</w:t>
      </w:r>
      <w:r w:rsidRPr="0042328C">
        <w:rPr>
          <w:i/>
        </w:rPr>
        <w:t xml:space="preserve"> 104</w:t>
      </w:r>
      <w:r w:rsidRPr="0042328C">
        <w:t xml:space="preserve">, 116-127. </w:t>
      </w:r>
      <w:hyperlink r:id="rId271" w:history="1">
        <w:r w:rsidRPr="0042328C">
          <w:rPr>
            <w:rStyle w:val="Hyperlink"/>
          </w:rPr>
          <w:t>https://doi.org/10.1016/j.jsat.2019.07.003</w:t>
        </w:r>
      </w:hyperlink>
      <w:r w:rsidRPr="0042328C">
        <w:t xml:space="preserve"> </w:t>
      </w:r>
    </w:p>
    <w:p w14:paraId="62A9122F" w14:textId="23BBF8E3" w:rsidR="0042328C" w:rsidRPr="0042328C" w:rsidRDefault="0042328C" w:rsidP="0042328C">
      <w:pPr>
        <w:pStyle w:val="EndNoteBibliography"/>
        <w:ind w:left="720" w:hanging="720"/>
      </w:pPr>
      <w:r w:rsidRPr="0042328C">
        <w:t xml:space="preserve">Stover, C. S., McMahon, T. J., &amp; Moore, K. (2019b). A randomized pilot trial of two parenting interventions for fathers in residential substance use disorder treatment. </w:t>
      </w:r>
      <w:r w:rsidRPr="0042328C">
        <w:rPr>
          <w:i/>
        </w:rPr>
        <w:t>Journal of Substance Abuse Treatment</w:t>
      </w:r>
      <w:r w:rsidRPr="0042328C">
        <w:t>,</w:t>
      </w:r>
      <w:r w:rsidRPr="0042328C">
        <w:rPr>
          <w:i/>
        </w:rPr>
        <w:t xml:space="preserve"> 104</w:t>
      </w:r>
      <w:r w:rsidRPr="0042328C">
        <w:t xml:space="preserve">, 116-127. </w:t>
      </w:r>
      <w:hyperlink r:id="rId272" w:history="1">
        <w:r w:rsidRPr="0042328C">
          <w:rPr>
            <w:rStyle w:val="Hyperlink"/>
          </w:rPr>
          <w:t>https://doi.org/10.1016/j.jsat.2019.07.003</w:t>
        </w:r>
      </w:hyperlink>
      <w:r w:rsidRPr="0042328C">
        <w:t xml:space="preserve"> </w:t>
      </w:r>
    </w:p>
    <w:p w14:paraId="1D3C4DD2" w14:textId="7E918C49" w:rsidR="0042328C" w:rsidRPr="0042328C" w:rsidRDefault="0042328C" w:rsidP="0042328C">
      <w:pPr>
        <w:pStyle w:val="EndNoteBibliography"/>
        <w:ind w:left="720" w:hanging="720"/>
      </w:pPr>
      <w:r w:rsidRPr="0042328C">
        <w:t xml:space="preserve">Strang, J. (2015). Death matters: understanding heroin/opiate overdose risk and testing potential to prevent deaths. </w:t>
      </w:r>
      <w:r w:rsidRPr="0042328C">
        <w:rPr>
          <w:i/>
        </w:rPr>
        <w:t>Addiction</w:t>
      </w:r>
      <w:r w:rsidRPr="0042328C">
        <w:t>,</w:t>
      </w:r>
      <w:r w:rsidRPr="0042328C">
        <w:rPr>
          <w:i/>
        </w:rPr>
        <w:t xml:space="preserve"> 110</w:t>
      </w:r>
      <w:r w:rsidRPr="0042328C">
        <w:t xml:space="preserve">(S2), 27-35. </w:t>
      </w:r>
      <w:hyperlink r:id="rId273" w:history="1">
        <w:r w:rsidRPr="0042328C">
          <w:rPr>
            <w:rStyle w:val="Hyperlink"/>
          </w:rPr>
          <w:t>https://doi.org/https://doi.org/10.1111/add.12904</w:t>
        </w:r>
      </w:hyperlink>
      <w:r w:rsidRPr="0042328C">
        <w:t xml:space="preserve"> </w:t>
      </w:r>
    </w:p>
    <w:p w14:paraId="289F6FDB" w14:textId="6CF42421" w:rsidR="0042328C" w:rsidRPr="0042328C" w:rsidRDefault="0042328C" w:rsidP="0042328C">
      <w:pPr>
        <w:pStyle w:val="EndNoteBibliography"/>
        <w:ind w:left="720" w:hanging="720"/>
      </w:pPr>
      <w:r w:rsidRPr="0042328C">
        <w:t xml:space="preserve">Suchman, N. E., DeCoste, C., Borelli, J. L., &amp; McMahon, T. J. (2018). Does improvement in maternal attachment representations predict greater maternal sensitivity, child attachment security and lower rates of relapse to substance use? A second test of Mothering from the Inside Out treatment mechanisms. </w:t>
      </w:r>
      <w:r w:rsidRPr="0042328C">
        <w:rPr>
          <w:i/>
        </w:rPr>
        <w:t>Journal of Substance Abuse Treatment</w:t>
      </w:r>
      <w:r w:rsidRPr="0042328C">
        <w:t>,</w:t>
      </w:r>
      <w:r w:rsidRPr="0042328C">
        <w:rPr>
          <w:i/>
        </w:rPr>
        <w:t xml:space="preserve"> 85</w:t>
      </w:r>
      <w:r w:rsidRPr="0042328C">
        <w:t xml:space="preserve">, 21. </w:t>
      </w:r>
      <w:hyperlink r:id="rId274" w:history="1">
        <w:r w:rsidRPr="0042328C">
          <w:rPr>
            <w:rStyle w:val="Hyperlink"/>
          </w:rPr>
          <w:t>https://doi.org/https://doi.org/10.1016/j.jsat.2017.11.006</w:t>
        </w:r>
      </w:hyperlink>
      <w:r w:rsidRPr="0042328C">
        <w:t xml:space="preserve"> </w:t>
      </w:r>
    </w:p>
    <w:p w14:paraId="0112ACD0" w14:textId="031ACFC5" w:rsidR="0042328C" w:rsidRPr="0042328C" w:rsidRDefault="0042328C" w:rsidP="0042328C">
      <w:pPr>
        <w:pStyle w:val="EndNoteBibliography"/>
        <w:ind w:left="720" w:hanging="720"/>
      </w:pPr>
      <w:r w:rsidRPr="0042328C">
        <w:t xml:space="preserve">Suchman, N. E., DeCoste, C., Castiglioni, N., McMahon, T. J., Rounsaville, B., &amp; Mayes, L. (2010). The Mothers and Toddlers Program, an attachment-based parenting intervention for substance using women: Post-treatment results from a randomized clinical pilot. </w:t>
      </w:r>
      <w:r w:rsidRPr="0042328C">
        <w:rPr>
          <w:i/>
        </w:rPr>
        <w:t>Attachment &amp; human development</w:t>
      </w:r>
      <w:r w:rsidRPr="0042328C">
        <w:t>,</w:t>
      </w:r>
      <w:r w:rsidRPr="0042328C">
        <w:rPr>
          <w:i/>
        </w:rPr>
        <w:t xml:space="preserve"> 12</w:t>
      </w:r>
      <w:r w:rsidRPr="0042328C">
        <w:t xml:space="preserve">(5), 483-504. </w:t>
      </w:r>
      <w:hyperlink r:id="rId275" w:history="1">
        <w:r w:rsidRPr="0042328C">
          <w:rPr>
            <w:rStyle w:val="Hyperlink"/>
          </w:rPr>
          <w:t>https://doi.org/10.1080/14616734.2010.501983</w:t>
        </w:r>
      </w:hyperlink>
      <w:r w:rsidRPr="0042328C">
        <w:t xml:space="preserve"> </w:t>
      </w:r>
    </w:p>
    <w:p w14:paraId="0B75A268" w14:textId="7FEF18A3" w:rsidR="0042328C" w:rsidRPr="0042328C" w:rsidRDefault="0042328C" w:rsidP="0042328C">
      <w:pPr>
        <w:pStyle w:val="EndNoteBibliography"/>
        <w:ind w:left="720" w:hanging="720"/>
      </w:pPr>
      <w:r w:rsidRPr="0042328C">
        <w:t xml:space="preserve">Suchman, N. E., DeCoste, C. L., McMahon, T. J., Dalton, R., Mayes, L. C., &amp; Borelli, J. (2017). Mothering from the Inside Out: Results of a second randomized clinical trial testing a mentalization-based intervention for mothers in addiction treatment. </w:t>
      </w:r>
      <w:r w:rsidRPr="0042328C">
        <w:rPr>
          <w:i/>
        </w:rPr>
        <w:t>Development and Psychopathology</w:t>
      </w:r>
      <w:r w:rsidRPr="0042328C">
        <w:t>,</w:t>
      </w:r>
      <w:r w:rsidRPr="0042328C">
        <w:rPr>
          <w:i/>
        </w:rPr>
        <w:t xml:space="preserve"> 29</w:t>
      </w:r>
      <w:r w:rsidRPr="0042328C">
        <w:t xml:space="preserve">(2), 617-636. </w:t>
      </w:r>
      <w:hyperlink r:id="rId276" w:history="1">
        <w:r w:rsidRPr="0042328C">
          <w:rPr>
            <w:rStyle w:val="Hyperlink"/>
          </w:rPr>
          <w:t>https://doi.org/10.1017/S0954579417000220</w:t>
        </w:r>
      </w:hyperlink>
      <w:r w:rsidRPr="0042328C">
        <w:t xml:space="preserve"> </w:t>
      </w:r>
    </w:p>
    <w:p w14:paraId="466DD072" w14:textId="2A21B0D2" w:rsidR="0042328C" w:rsidRPr="0042328C" w:rsidRDefault="0042328C" w:rsidP="0042328C">
      <w:pPr>
        <w:pStyle w:val="EndNoteBibliography"/>
        <w:ind w:left="720" w:hanging="720"/>
      </w:pPr>
      <w:r w:rsidRPr="0042328C">
        <w:t xml:space="preserve">Svikis, D. S., Silverman, K., Haug, N. A., Stitzer, M., &amp; Keyser-Marcus, L. (2007). Behavioral Strategies to Improve Treatment Participation and Retention by Pregnant Drug-Dependent Women. </w:t>
      </w:r>
      <w:r w:rsidRPr="0042328C">
        <w:rPr>
          <w:i/>
        </w:rPr>
        <w:t>Substance Use &amp; Misuse</w:t>
      </w:r>
      <w:r w:rsidRPr="0042328C">
        <w:t>,</w:t>
      </w:r>
      <w:r w:rsidRPr="0042328C">
        <w:rPr>
          <w:i/>
        </w:rPr>
        <w:t xml:space="preserve"> 42</w:t>
      </w:r>
      <w:r w:rsidRPr="0042328C">
        <w:t xml:space="preserve">(10), 1527-1535. </w:t>
      </w:r>
      <w:hyperlink r:id="rId277" w:history="1">
        <w:r w:rsidRPr="0042328C">
          <w:rPr>
            <w:rStyle w:val="Hyperlink"/>
          </w:rPr>
          <w:t>https://doi.org/10.1080/10826080701212121</w:t>
        </w:r>
      </w:hyperlink>
      <w:r w:rsidRPr="0042328C">
        <w:t xml:space="preserve"> </w:t>
      </w:r>
    </w:p>
    <w:p w14:paraId="387D9CB1" w14:textId="2FCE6096" w:rsidR="0042328C" w:rsidRPr="0042328C" w:rsidRDefault="0042328C" w:rsidP="0042328C">
      <w:pPr>
        <w:pStyle w:val="EndNoteBibliography"/>
        <w:ind w:left="720" w:hanging="720"/>
      </w:pPr>
      <w:r w:rsidRPr="0042328C">
        <w:t xml:space="preserve">Taplin, S., &amp; Mattick, R. P. (2013). Mothers in methadone treatment and their involvement with the child protection system: A replication and extension study. </w:t>
      </w:r>
      <w:r w:rsidRPr="0042328C">
        <w:rPr>
          <w:i/>
        </w:rPr>
        <w:t>Child Abuse &amp; Neglect</w:t>
      </w:r>
      <w:r w:rsidRPr="0042328C">
        <w:t>,</w:t>
      </w:r>
      <w:r w:rsidRPr="0042328C">
        <w:rPr>
          <w:i/>
        </w:rPr>
        <w:t xml:space="preserve"> 37</w:t>
      </w:r>
      <w:r w:rsidRPr="0042328C">
        <w:t xml:space="preserve">(8), 500-510. </w:t>
      </w:r>
      <w:hyperlink r:id="rId278" w:history="1">
        <w:r w:rsidRPr="0042328C">
          <w:rPr>
            <w:rStyle w:val="Hyperlink"/>
          </w:rPr>
          <w:t>https://doi.org/https://doi.org/10.1016/j.chiabu.2013.01.003</w:t>
        </w:r>
      </w:hyperlink>
      <w:r w:rsidRPr="0042328C">
        <w:t xml:space="preserve"> </w:t>
      </w:r>
    </w:p>
    <w:p w14:paraId="49C225E4" w14:textId="72DB1DCF" w:rsidR="0042328C" w:rsidRPr="0042328C" w:rsidRDefault="0042328C" w:rsidP="0042328C">
      <w:pPr>
        <w:pStyle w:val="EndNoteBibliography"/>
        <w:ind w:left="720" w:hanging="720"/>
      </w:pPr>
      <w:r w:rsidRPr="0042328C">
        <w:t xml:space="preserve">Tavistock Institute of Human Relations. (2022, 26/08/2024). Life during COVID Times.  </w:t>
      </w:r>
      <w:hyperlink r:id="rId279" w:history="1">
        <w:r w:rsidRPr="0042328C">
          <w:rPr>
            <w:rStyle w:val="Hyperlink"/>
          </w:rPr>
          <w:t>https://www.tavinstitute.org/news/life-during-covid-times/</w:t>
        </w:r>
      </w:hyperlink>
    </w:p>
    <w:p w14:paraId="2BC7F42E" w14:textId="05336180" w:rsidR="0042328C" w:rsidRPr="0042328C" w:rsidRDefault="0042328C" w:rsidP="0042328C">
      <w:pPr>
        <w:pStyle w:val="EndNoteBibliography"/>
        <w:ind w:left="720" w:hanging="720"/>
      </w:pPr>
      <w:r w:rsidRPr="0042328C">
        <w:t xml:space="preserve">Tavistock Institute of Human Relations. (2023). Evaluation of the Children of Alcohol Dependent Parents programme innovation fund: full report. Independent Evaluation. Retrieved 04/04/2024, from </w:t>
      </w:r>
      <w:hyperlink r:id="rId280" w:history="1">
        <w:r w:rsidRPr="0042328C">
          <w:rPr>
            <w:rStyle w:val="Hyperlink"/>
          </w:rPr>
          <w:t>https://www.gov.uk/government/publications/evaluation-of-the-children-of-alcohol-dependent-parents-programme-innovation-fund/evaluation-of-the-children-of-alcohol-dependent-parents-programme-innovation-fund-full-report#conclusions-and-reflections</w:t>
        </w:r>
      </w:hyperlink>
      <w:r w:rsidRPr="0042328C">
        <w:t xml:space="preserve"> </w:t>
      </w:r>
    </w:p>
    <w:p w14:paraId="4BB0ECFC" w14:textId="24C2D9D1" w:rsidR="0042328C" w:rsidRPr="0042328C" w:rsidRDefault="0042328C" w:rsidP="0042328C">
      <w:pPr>
        <w:pStyle w:val="EndNoteBibliography"/>
        <w:ind w:left="720" w:hanging="720"/>
      </w:pPr>
      <w:r w:rsidRPr="0042328C">
        <w:t xml:space="preserve">Taylor, A., &amp; Kroll, B. (2004). Working with Parental Substance Misuse: Dilemmas for Practice. </w:t>
      </w:r>
      <w:r w:rsidRPr="0042328C">
        <w:rPr>
          <w:i/>
        </w:rPr>
        <w:t>The British Journal of Social Work</w:t>
      </w:r>
      <w:r w:rsidRPr="0042328C">
        <w:t>,</w:t>
      </w:r>
      <w:r w:rsidRPr="0042328C">
        <w:rPr>
          <w:i/>
        </w:rPr>
        <w:t xml:space="preserve"> 34</w:t>
      </w:r>
      <w:r w:rsidRPr="0042328C">
        <w:t xml:space="preserve">(8), 1115-1132. </w:t>
      </w:r>
      <w:hyperlink r:id="rId281" w:history="1">
        <w:r w:rsidRPr="0042328C">
          <w:rPr>
            <w:rStyle w:val="Hyperlink"/>
          </w:rPr>
          <w:t>http://www.jstor.org/stable/23720534</w:t>
        </w:r>
      </w:hyperlink>
      <w:r w:rsidRPr="0042328C">
        <w:t xml:space="preserve"> </w:t>
      </w:r>
    </w:p>
    <w:p w14:paraId="0765FD9A" w14:textId="0FBD61E2" w:rsidR="0042328C" w:rsidRPr="0042328C" w:rsidRDefault="0042328C" w:rsidP="0042328C">
      <w:pPr>
        <w:pStyle w:val="EndNoteBibliography"/>
        <w:ind w:left="720" w:hanging="720"/>
      </w:pPr>
      <w:r w:rsidRPr="0042328C">
        <w:lastRenderedPageBreak/>
        <w:t xml:space="preserve">Taylor, A., Toner, P., Templeton, L., &amp; Velleman, R. (2008). Parental Alcohol Misuse in Complex Families: The Implications for Engagement. </w:t>
      </w:r>
      <w:r w:rsidRPr="0042328C">
        <w:rPr>
          <w:i/>
        </w:rPr>
        <w:t>The British Journal of Social Work</w:t>
      </w:r>
      <w:r w:rsidRPr="0042328C">
        <w:t>,</w:t>
      </w:r>
      <w:r w:rsidRPr="0042328C">
        <w:rPr>
          <w:i/>
        </w:rPr>
        <w:t xml:space="preserve"> 38</w:t>
      </w:r>
      <w:r w:rsidRPr="0042328C">
        <w:t xml:space="preserve">(5), 843-864. </w:t>
      </w:r>
      <w:hyperlink r:id="rId282" w:history="1">
        <w:r w:rsidRPr="0042328C">
          <w:rPr>
            <w:rStyle w:val="Hyperlink"/>
          </w:rPr>
          <w:t>https://doi.org/10.1093/bjsw/bcl374</w:t>
        </w:r>
      </w:hyperlink>
      <w:r w:rsidRPr="0042328C">
        <w:t xml:space="preserve"> </w:t>
      </w:r>
    </w:p>
    <w:p w14:paraId="6DC7F7B2" w14:textId="73AAA003" w:rsidR="0042328C" w:rsidRPr="0042328C" w:rsidRDefault="0042328C" w:rsidP="0042328C">
      <w:pPr>
        <w:pStyle w:val="EndNoteBibliography"/>
        <w:ind w:left="720" w:hanging="720"/>
      </w:pPr>
      <w:r w:rsidRPr="0042328C">
        <w:t xml:space="preserve">Templeton, L. (2018). MPACT. Moving Parents and Children Together. Evaluation Report, 2006-2018. Retrieved 04/04/2024, from </w:t>
      </w:r>
      <w:hyperlink r:id="rId283" w:history="1">
        <w:r w:rsidRPr="0042328C">
          <w:rPr>
            <w:rStyle w:val="Hyperlink"/>
          </w:rPr>
          <w:t>https://www.actiononaddiction.org.uk/media/112/m-pact-evaluation-report-2006-18-draft-v7b.pdf?1563200966</w:t>
        </w:r>
      </w:hyperlink>
      <w:r w:rsidRPr="0042328C">
        <w:t xml:space="preserve"> </w:t>
      </w:r>
    </w:p>
    <w:p w14:paraId="1FD99BE6" w14:textId="5A596904" w:rsidR="0042328C" w:rsidRPr="0042328C" w:rsidRDefault="0042328C" w:rsidP="0042328C">
      <w:pPr>
        <w:pStyle w:val="EndNoteBibliography"/>
        <w:ind w:left="720" w:hanging="720"/>
      </w:pPr>
      <w:r w:rsidRPr="0042328C">
        <w:t xml:space="preserve">Thanh, N. X., Jonsson, E., Moffatt, J., Dennett, L., Chuck, A. W., &amp; Birchard, S. (2015). An economic evaluation of the parent-child assistance program for preventing fetal alcohol spectrum disorder in Alberta, Canada. </w:t>
      </w:r>
      <w:r w:rsidRPr="0042328C">
        <w:rPr>
          <w:i/>
        </w:rPr>
        <w:t>Administration and policy in mental health</w:t>
      </w:r>
      <w:r w:rsidRPr="0042328C">
        <w:t>,</w:t>
      </w:r>
      <w:r w:rsidRPr="0042328C">
        <w:rPr>
          <w:i/>
        </w:rPr>
        <w:t xml:space="preserve"> 42</w:t>
      </w:r>
      <w:r w:rsidRPr="0042328C">
        <w:t xml:space="preserve">(1), 10-18. </w:t>
      </w:r>
      <w:hyperlink r:id="rId284" w:history="1">
        <w:r w:rsidRPr="0042328C">
          <w:rPr>
            <w:rStyle w:val="Hyperlink"/>
          </w:rPr>
          <w:t>https://doi.org/https://dx.doi.org/10.1007/s10488-014-0537-5</w:t>
        </w:r>
      </w:hyperlink>
      <w:r w:rsidRPr="0042328C">
        <w:t xml:space="preserve"> </w:t>
      </w:r>
    </w:p>
    <w:p w14:paraId="16A92001" w14:textId="32E53291" w:rsidR="0042328C" w:rsidRPr="0042328C" w:rsidRDefault="0042328C" w:rsidP="0042328C">
      <w:pPr>
        <w:pStyle w:val="EndNoteBibliography"/>
        <w:ind w:left="720" w:hanging="720"/>
      </w:pPr>
      <w:r w:rsidRPr="0042328C">
        <w:t xml:space="preserve">The Child Safeguarding Practice Review Panel. (2021). </w:t>
      </w:r>
      <w:r w:rsidRPr="0042328C">
        <w:rPr>
          <w:i/>
        </w:rPr>
        <w:t>“The Myth of Invisible Men” Safeguarding children under 1 from non-accidental injury caused by male carers</w:t>
      </w:r>
      <w:r w:rsidRPr="0042328C">
        <w:t xml:space="preserve">. D. f. Education. </w:t>
      </w:r>
      <w:hyperlink r:id="rId285" w:history="1">
        <w:r w:rsidRPr="0042328C">
          <w:rPr>
            <w:rStyle w:val="Hyperlink"/>
          </w:rPr>
          <w:t>https://assets.publishing.service.gov.uk/government/uploads/system/uploads/attachment_data/file/1017944/The_myth_of_invisible_men_safeguarding_children_under_1_from_non-accidental_injury_caused_by_male_carers.pdf</w:t>
        </w:r>
      </w:hyperlink>
    </w:p>
    <w:p w14:paraId="35E779D2" w14:textId="77777777" w:rsidR="0042328C" w:rsidRPr="0042328C" w:rsidRDefault="0042328C" w:rsidP="0042328C">
      <w:pPr>
        <w:pStyle w:val="EndNoteBibliography"/>
        <w:ind w:left="720" w:hanging="720"/>
      </w:pPr>
      <w:r w:rsidRPr="0042328C">
        <w:t>The EuroQol Research, F. (2020). EQ-5D-5L: About. In. Rotterdam: The EuroQol Research Foundation.</w:t>
      </w:r>
    </w:p>
    <w:p w14:paraId="65CAA5C9" w14:textId="72A9CD18" w:rsidR="0042328C" w:rsidRPr="0042328C" w:rsidRDefault="0042328C" w:rsidP="0042328C">
      <w:pPr>
        <w:pStyle w:val="EndNoteBibliography"/>
        <w:ind w:left="720" w:hanging="720"/>
      </w:pPr>
      <w:r w:rsidRPr="0042328C">
        <w:t xml:space="preserve">Thompson, R. G., Alonzo, D., &amp; Hasin, D. S. (2013). Parental Divorce, Maternal-Paternal Alcohol Problems, and Adult Offspring Lifetime Alcohol Dependence. </w:t>
      </w:r>
      <w:r w:rsidRPr="0042328C">
        <w:rPr>
          <w:i/>
        </w:rPr>
        <w:t>J Soc Work Pract Addict</w:t>
      </w:r>
      <w:r w:rsidRPr="0042328C">
        <w:t>,</w:t>
      </w:r>
      <w:r w:rsidRPr="0042328C">
        <w:rPr>
          <w:i/>
        </w:rPr>
        <w:t xml:space="preserve"> 13</w:t>
      </w:r>
      <w:r w:rsidRPr="0042328C">
        <w:t xml:space="preserve">(3), 295-308. </w:t>
      </w:r>
      <w:hyperlink r:id="rId286" w:history="1">
        <w:r w:rsidRPr="0042328C">
          <w:rPr>
            <w:rStyle w:val="Hyperlink"/>
          </w:rPr>
          <w:t>https://doi.org/10.1080/1533256x.2013.812909</w:t>
        </w:r>
      </w:hyperlink>
      <w:r w:rsidRPr="0042328C">
        <w:t xml:space="preserve"> </w:t>
      </w:r>
    </w:p>
    <w:p w14:paraId="7DBA2C43" w14:textId="77777777" w:rsidR="0042328C" w:rsidRPr="0042328C" w:rsidRDefault="0042328C" w:rsidP="0042328C">
      <w:pPr>
        <w:pStyle w:val="EndNoteBibliography"/>
        <w:ind w:left="720" w:hanging="720"/>
      </w:pPr>
      <w:r w:rsidRPr="0042328C">
        <w:t xml:space="preserve">Todman, H. L. (2021). </w:t>
      </w:r>
      <w:r w:rsidRPr="0042328C">
        <w:rPr>
          <w:i/>
        </w:rPr>
        <w:t>Understanding the needs of children living with parental substance misuse: Perspectives of children and professionals</w:t>
      </w:r>
      <w:r w:rsidRPr="0042328C">
        <w:t xml:space="preserve"> Manchester Metropolitan University]. </w:t>
      </w:r>
    </w:p>
    <w:p w14:paraId="6D22C3D1" w14:textId="7C207D96" w:rsidR="0042328C" w:rsidRPr="0042328C" w:rsidRDefault="0042328C" w:rsidP="0042328C">
      <w:pPr>
        <w:pStyle w:val="EndNoteBibliography"/>
        <w:ind w:left="720" w:hanging="720"/>
      </w:pPr>
      <w:r w:rsidRPr="0042328C">
        <w:t xml:space="preserve">Torvik, F. A., Rognmo, K., Ask, H., Røysamb, E., &amp; Tambs, K. (2011). Parental alcohol use and adolescent school adjustment in the general population: Results from the HUNT study. </w:t>
      </w:r>
      <w:r w:rsidRPr="0042328C">
        <w:rPr>
          <w:i/>
        </w:rPr>
        <w:t>BMC Public Health</w:t>
      </w:r>
      <w:r w:rsidRPr="0042328C">
        <w:t>,</w:t>
      </w:r>
      <w:r w:rsidRPr="0042328C">
        <w:rPr>
          <w:i/>
        </w:rPr>
        <w:t xml:space="preserve"> 11</w:t>
      </w:r>
      <w:r w:rsidRPr="0042328C">
        <w:t xml:space="preserve">(1), 706. </w:t>
      </w:r>
      <w:hyperlink r:id="rId287" w:history="1">
        <w:r w:rsidRPr="0042328C">
          <w:rPr>
            <w:rStyle w:val="Hyperlink"/>
          </w:rPr>
          <w:t>https://doi.org/10.1186/1471-2458-11-706</w:t>
        </w:r>
      </w:hyperlink>
      <w:r w:rsidRPr="0042328C">
        <w:t xml:space="preserve"> </w:t>
      </w:r>
    </w:p>
    <w:p w14:paraId="38A64CF1" w14:textId="0ACA4FF4" w:rsidR="0042328C" w:rsidRPr="0042328C" w:rsidRDefault="0042328C" w:rsidP="0042328C">
      <w:pPr>
        <w:pStyle w:val="EndNoteBibliography"/>
        <w:ind w:left="720" w:hanging="720"/>
      </w:pPr>
      <w:r w:rsidRPr="0042328C">
        <w:t xml:space="preserve">Tuithof, M., ten Have, M., van den Brink, W., Vollebergh, W., &amp; de Graaf, R. (2014). Alcohol consumption and symptoms as predictors for relapse of DSM-5 alcohol use disorder. </w:t>
      </w:r>
      <w:r w:rsidRPr="0042328C">
        <w:rPr>
          <w:i/>
        </w:rPr>
        <w:t>Drug Alcohol Depend</w:t>
      </w:r>
      <w:r w:rsidRPr="0042328C">
        <w:t>,</w:t>
      </w:r>
      <w:r w:rsidRPr="0042328C">
        <w:rPr>
          <w:i/>
        </w:rPr>
        <w:t xml:space="preserve"> 140</w:t>
      </w:r>
      <w:r w:rsidRPr="0042328C">
        <w:t xml:space="preserve">, 85-91. </w:t>
      </w:r>
      <w:hyperlink r:id="rId288" w:history="1">
        <w:r w:rsidRPr="0042328C">
          <w:rPr>
            <w:rStyle w:val="Hyperlink"/>
          </w:rPr>
          <w:t>https://doi.org/https://doi.org/10.1016/j.drugalcdep.2014.03.035</w:t>
        </w:r>
      </w:hyperlink>
      <w:r w:rsidRPr="0042328C">
        <w:t xml:space="preserve"> </w:t>
      </w:r>
    </w:p>
    <w:p w14:paraId="1BC79491" w14:textId="74D4F98D" w:rsidR="0042328C" w:rsidRPr="0042328C" w:rsidRDefault="0042328C" w:rsidP="0042328C">
      <w:pPr>
        <w:pStyle w:val="EndNoteBibliography"/>
        <w:ind w:left="720" w:hanging="720"/>
      </w:pPr>
      <w:r w:rsidRPr="0042328C">
        <w:t xml:space="preserve">Tuten, M., Svikis, D. S., Keyser-Marcus, L., O’Grady, K. E., &amp; Jones, H. E. (2012). Lessons Learned from a Randomized Trial of Fixed and Escalating Contingency Management Schedules in Opioid-Dependent Pregnant Women. </w:t>
      </w:r>
      <w:r w:rsidRPr="0042328C">
        <w:rPr>
          <w:i/>
        </w:rPr>
        <w:t>The American Journal of Drug and Alcohol Abuse</w:t>
      </w:r>
      <w:r w:rsidRPr="0042328C">
        <w:t>,</w:t>
      </w:r>
      <w:r w:rsidRPr="0042328C">
        <w:rPr>
          <w:i/>
        </w:rPr>
        <w:t xml:space="preserve"> 38</w:t>
      </w:r>
      <w:r w:rsidRPr="0042328C">
        <w:t xml:space="preserve">(4), 286-292. </w:t>
      </w:r>
      <w:hyperlink r:id="rId289" w:history="1">
        <w:r w:rsidRPr="0042328C">
          <w:rPr>
            <w:rStyle w:val="Hyperlink"/>
          </w:rPr>
          <w:t>https://doi.org/10.3109/00952990.2011.643977</w:t>
        </w:r>
      </w:hyperlink>
      <w:r w:rsidRPr="0042328C">
        <w:t xml:space="preserve"> </w:t>
      </w:r>
    </w:p>
    <w:p w14:paraId="114EFE50" w14:textId="51DFE7E1" w:rsidR="0042328C" w:rsidRPr="0042328C" w:rsidRDefault="0042328C" w:rsidP="0042328C">
      <w:pPr>
        <w:pStyle w:val="EndNoteBibliography"/>
        <w:ind w:left="720" w:hanging="720"/>
      </w:pPr>
      <w:r w:rsidRPr="0042328C">
        <w:t xml:space="preserve">UKATT Research Team. (2005a). Cost effectiveness of treatment for alcohol problems: findings of the randomised UK alcohol treatment trial (UKATT). </w:t>
      </w:r>
      <w:r w:rsidRPr="0042328C">
        <w:rPr>
          <w:i/>
        </w:rPr>
        <w:t>BMJ</w:t>
      </w:r>
      <w:r w:rsidRPr="0042328C">
        <w:t>,</w:t>
      </w:r>
      <w:r w:rsidRPr="0042328C">
        <w:rPr>
          <w:i/>
        </w:rPr>
        <w:t xml:space="preserve"> 331</w:t>
      </w:r>
      <w:r w:rsidRPr="0042328C">
        <w:t xml:space="preserve">(7516), 544. </w:t>
      </w:r>
      <w:hyperlink r:id="rId290" w:history="1">
        <w:r w:rsidRPr="0042328C">
          <w:rPr>
            <w:rStyle w:val="Hyperlink"/>
          </w:rPr>
          <w:t>https://doi.org/10.1136/bmj.331.7516.544</w:t>
        </w:r>
      </w:hyperlink>
      <w:r w:rsidRPr="0042328C">
        <w:t xml:space="preserve"> </w:t>
      </w:r>
    </w:p>
    <w:p w14:paraId="0726C4EC" w14:textId="39224FA3" w:rsidR="0042328C" w:rsidRPr="0042328C" w:rsidRDefault="0042328C" w:rsidP="0042328C">
      <w:pPr>
        <w:pStyle w:val="EndNoteBibliography"/>
        <w:ind w:left="720" w:hanging="720"/>
      </w:pPr>
      <w:r w:rsidRPr="0042328C">
        <w:t xml:space="preserve">UKATT Research Team. (2005b). Effectiveness of treatment for alcohol problems: findings of the randomised UK alcohol treatment trial (UKATT). </w:t>
      </w:r>
      <w:r w:rsidRPr="0042328C">
        <w:rPr>
          <w:i/>
        </w:rPr>
        <w:t>BMJ</w:t>
      </w:r>
      <w:r w:rsidRPr="0042328C">
        <w:t>,</w:t>
      </w:r>
      <w:r w:rsidRPr="0042328C">
        <w:rPr>
          <w:i/>
        </w:rPr>
        <w:t xml:space="preserve"> 331</w:t>
      </w:r>
      <w:r w:rsidRPr="0042328C">
        <w:t xml:space="preserve">(7516), 541. </w:t>
      </w:r>
      <w:hyperlink r:id="rId291" w:history="1">
        <w:r w:rsidRPr="0042328C">
          <w:rPr>
            <w:rStyle w:val="Hyperlink"/>
          </w:rPr>
          <w:t>https://doi.org/10.1136/bmj.331.7516.541</w:t>
        </w:r>
      </w:hyperlink>
      <w:r w:rsidRPr="0042328C">
        <w:t xml:space="preserve"> </w:t>
      </w:r>
    </w:p>
    <w:p w14:paraId="34DED625" w14:textId="77777777" w:rsidR="0042328C" w:rsidRPr="0042328C" w:rsidRDefault="0042328C" w:rsidP="0042328C">
      <w:pPr>
        <w:pStyle w:val="EndNoteBibliography"/>
        <w:ind w:left="720" w:hanging="720"/>
      </w:pPr>
      <w:r w:rsidRPr="0042328C">
        <w:t>UNODC. (2023). Special Points of Interest. World Drug Report 2023. In: United Nations Office on Drugs and Crime.</w:t>
      </w:r>
    </w:p>
    <w:p w14:paraId="4A5D2628" w14:textId="1358B48C" w:rsidR="0042328C" w:rsidRPr="0042328C" w:rsidRDefault="0042328C" w:rsidP="0042328C">
      <w:pPr>
        <w:pStyle w:val="EndNoteBibliography"/>
        <w:ind w:left="720" w:hanging="720"/>
      </w:pPr>
      <w:r w:rsidRPr="0042328C">
        <w:lastRenderedPageBreak/>
        <w:t xml:space="preserve">VanderWeele, T. J., &amp; Ding, P. (2017). Sensitivity Analysis in Observational Research: Introducing the E-Value. </w:t>
      </w:r>
      <w:r w:rsidRPr="0042328C">
        <w:rPr>
          <w:i/>
        </w:rPr>
        <w:t>Annals of Internal Medicine</w:t>
      </w:r>
      <w:r w:rsidRPr="0042328C">
        <w:t>,</w:t>
      </w:r>
      <w:r w:rsidRPr="0042328C">
        <w:rPr>
          <w:i/>
        </w:rPr>
        <w:t xml:space="preserve"> 167</w:t>
      </w:r>
      <w:r w:rsidRPr="0042328C">
        <w:t xml:space="preserve">(4), 268-274. </w:t>
      </w:r>
      <w:hyperlink r:id="rId292" w:history="1">
        <w:r w:rsidRPr="0042328C">
          <w:rPr>
            <w:rStyle w:val="Hyperlink"/>
          </w:rPr>
          <w:t>https://doi.org/https://www.acpjournals.org/doi/10.7326/M16-2607</w:t>
        </w:r>
      </w:hyperlink>
      <w:r w:rsidRPr="0042328C">
        <w:t xml:space="preserve"> </w:t>
      </w:r>
    </w:p>
    <w:p w14:paraId="4219FAD1" w14:textId="6EFE8E80" w:rsidR="0042328C" w:rsidRPr="0042328C" w:rsidRDefault="0042328C" w:rsidP="0042328C">
      <w:pPr>
        <w:pStyle w:val="EndNoteBibliography"/>
        <w:ind w:left="720" w:hanging="720"/>
      </w:pPr>
      <w:r w:rsidRPr="0042328C">
        <w:t xml:space="preserve">Velleman, R., &amp; Orford, J. (2001). </w:t>
      </w:r>
      <w:r w:rsidRPr="0042328C">
        <w:rPr>
          <w:i/>
        </w:rPr>
        <w:t>Risk and resilience: adults who were the children of problem drinkers</w:t>
      </w:r>
      <w:r w:rsidRPr="0042328C">
        <w:t xml:space="preserve">. Routledge. </w:t>
      </w:r>
      <w:hyperlink r:id="rId293" w:history="1">
        <w:r w:rsidRPr="0042328C">
          <w:rPr>
            <w:rStyle w:val="Hyperlink"/>
          </w:rPr>
          <w:t>https://doi.org/https://doi.org/10.4324/9780203727690</w:t>
        </w:r>
      </w:hyperlink>
      <w:r w:rsidRPr="0042328C">
        <w:t xml:space="preserve"> </w:t>
      </w:r>
    </w:p>
    <w:p w14:paraId="3562689C" w14:textId="475B9D68" w:rsidR="0042328C" w:rsidRPr="0042328C" w:rsidRDefault="0042328C" w:rsidP="0042328C">
      <w:pPr>
        <w:pStyle w:val="EndNoteBibliography"/>
        <w:ind w:left="720" w:hanging="720"/>
      </w:pPr>
      <w:r w:rsidRPr="0042328C">
        <w:t xml:space="preserve">Velleman, R., &amp; Templeton, L. (2007). Understanding and modifying the impact of parents’ substance misuse on children. </w:t>
      </w:r>
      <w:r w:rsidRPr="0042328C">
        <w:rPr>
          <w:i/>
        </w:rPr>
        <w:t>Advances in Psychiatric Treatment</w:t>
      </w:r>
      <w:r w:rsidRPr="0042328C">
        <w:t>,</w:t>
      </w:r>
      <w:r w:rsidRPr="0042328C">
        <w:rPr>
          <w:i/>
        </w:rPr>
        <w:t xml:space="preserve"> 13</w:t>
      </w:r>
      <w:r w:rsidRPr="0042328C">
        <w:t xml:space="preserve">(2), 79-89. </w:t>
      </w:r>
      <w:hyperlink r:id="rId294" w:history="1">
        <w:r w:rsidRPr="0042328C">
          <w:rPr>
            <w:rStyle w:val="Hyperlink"/>
          </w:rPr>
          <w:t>https://doi.org/10.1192/apt.bp.106.002386</w:t>
        </w:r>
      </w:hyperlink>
      <w:r w:rsidRPr="0042328C">
        <w:t xml:space="preserve"> </w:t>
      </w:r>
    </w:p>
    <w:p w14:paraId="08CB0AC5" w14:textId="32CFD092" w:rsidR="0042328C" w:rsidRPr="0042328C" w:rsidRDefault="0042328C" w:rsidP="0042328C">
      <w:pPr>
        <w:pStyle w:val="EndNoteBibliography"/>
        <w:ind w:left="720" w:hanging="720"/>
      </w:pPr>
      <w:r w:rsidRPr="0042328C">
        <w:t xml:space="preserve">Velleman, R., &amp; Templeton, L. J. (2016). Impact of parents' substance misuse on children: an update. </w:t>
      </w:r>
      <w:r w:rsidRPr="0042328C">
        <w:rPr>
          <w:i/>
        </w:rPr>
        <w:t>BJPsych Advances</w:t>
      </w:r>
      <w:r w:rsidRPr="0042328C">
        <w:t>,</w:t>
      </w:r>
      <w:r w:rsidRPr="0042328C">
        <w:rPr>
          <w:i/>
        </w:rPr>
        <w:t xml:space="preserve"> 22</w:t>
      </w:r>
      <w:r w:rsidRPr="0042328C">
        <w:t xml:space="preserve">(2), 108-117. </w:t>
      </w:r>
      <w:hyperlink r:id="rId295" w:history="1">
        <w:r w:rsidRPr="0042328C">
          <w:rPr>
            <w:rStyle w:val="Hyperlink"/>
          </w:rPr>
          <w:t>https://doi.org/10.1192/apt.bp.114.014449</w:t>
        </w:r>
      </w:hyperlink>
      <w:r w:rsidRPr="0042328C">
        <w:t xml:space="preserve"> </w:t>
      </w:r>
    </w:p>
    <w:p w14:paraId="76F9E8D7" w14:textId="6BCC9047" w:rsidR="0042328C" w:rsidRPr="0042328C" w:rsidRDefault="0042328C" w:rsidP="0042328C">
      <w:pPr>
        <w:pStyle w:val="EndNoteBibliography"/>
        <w:ind w:left="720" w:hanging="720"/>
      </w:pPr>
      <w:r w:rsidRPr="0042328C">
        <w:t xml:space="preserve">von Hippel, P. T. (2018). How Many Imputations Do You Need? A Two-stage Calculation Using a Quadratic Rule. </w:t>
      </w:r>
      <w:r w:rsidRPr="0042328C">
        <w:rPr>
          <w:i/>
        </w:rPr>
        <w:t>Sociological Methods &amp; Research</w:t>
      </w:r>
      <w:r w:rsidRPr="0042328C">
        <w:t>,</w:t>
      </w:r>
      <w:r w:rsidRPr="0042328C">
        <w:rPr>
          <w:i/>
        </w:rPr>
        <w:t xml:space="preserve"> 49</w:t>
      </w:r>
      <w:r w:rsidRPr="0042328C">
        <w:t xml:space="preserve">(3), 699-718. </w:t>
      </w:r>
      <w:hyperlink r:id="rId296" w:history="1">
        <w:r w:rsidRPr="0042328C">
          <w:rPr>
            <w:rStyle w:val="Hyperlink"/>
          </w:rPr>
          <w:t>https://doi.org/10.1177/0049124117747303</w:t>
        </w:r>
      </w:hyperlink>
      <w:r w:rsidRPr="0042328C">
        <w:t xml:space="preserve"> </w:t>
      </w:r>
    </w:p>
    <w:p w14:paraId="628A2A9C" w14:textId="0F19C451" w:rsidR="0042328C" w:rsidRPr="0042328C" w:rsidRDefault="0042328C" w:rsidP="0042328C">
      <w:pPr>
        <w:pStyle w:val="EndNoteBibliography"/>
        <w:ind w:left="720" w:hanging="720"/>
      </w:pPr>
      <w:r w:rsidRPr="0042328C">
        <w:t xml:space="preserve">Welsh, J.-A., Precey, G., &amp; Lambert, P. (2008). Parents of children at risk—a multi-agency initiative to address substance misuse amongst parents whose children are at risk of neglect. </w:t>
      </w:r>
      <w:r w:rsidRPr="0042328C">
        <w:rPr>
          <w:i/>
        </w:rPr>
        <w:t>Child Abuse Review</w:t>
      </w:r>
      <w:r w:rsidRPr="0042328C">
        <w:t>,</w:t>
      </w:r>
      <w:r w:rsidRPr="0042328C">
        <w:rPr>
          <w:i/>
        </w:rPr>
        <w:t xml:space="preserve"> 17</w:t>
      </w:r>
      <w:r w:rsidRPr="0042328C">
        <w:t xml:space="preserve">(6), 454-462. </w:t>
      </w:r>
      <w:hyperlink r:id="rId297" w:history="1">
        <w:r w:rsidRPr="0042328C">
          <w:rPr>
            <w:rStyle w:val="Hyperlink"/>
          </w:rPr>
          <w:t>https://doi.org/10.1002/car.1050</w:t>
        </w:r>
      </w:hyperlink>
      <w:r w:rsidRPr="0042328C">
        <w:t xml:space="preserve"> </w:t>
      </w:r>
    </w:p>
    <w:p w14:paraId="0C5CC6AA" w14:textId="759E6C81" w:rsidR="0042328C" w:rsidRPr="0042328C" w:rsidRDefault="0042328C" w:rsidP="0042328C">
      <w:pPr>
        <w:pStyle w:val="EndNoteBibliography"/>
        <w:ind w:left="720" w:hanging="720"/>
      </w:pPr>
      <w:r w:rsidRPr="0042328C">
        <w:t>Whittaker, A., Elliott, L., Taylor, J., Dawe, S., Harnett, P., Stoddart, A., Littlewood, P., Robertson, R., Farquharson, B., &amp; Strachan, H. (2022). The Parents under Pressure parenting programme for families with fathers receiving treatment for opioid dependence: the PuP4Dads feasibility study.</w:t>
      </w:r>
      <w:r w:rsidRPr="0042328C">
        <w:rPr>
          <w:i/>
        </w:rPr>
        <w:t xml:space="preserve"> 10</w:t>
      </w:r>
      <w:r w:rsidRPr="0042328C">
        <w:t xml:space="preserve">, 3. </w:t>
      </w:r>
      <w:hyperlink r:id="rId298" w:history="1">
        <w:r w:rsidRPr="0042328C">
          <w:rPr>
            <w:rStyle w:val="Hyperlink"/>
          </w:rPr>
          <w:t>https://doi.org/10.3310/YOWK7214</w:t>
        </w:r>
      </w:hyperlink>
      <w:r w:rsidRPr="0042328C">
        <w:t xml:space="preserve"> </w:t>
      </w:r>
    </w:p>
    <w:p w14:paraId="1A604D8E" w14:textId="4058EE9E" w:rsidR="0042328C" w:rsidRPr="0042328C" w:rsidRDefault="0042328C" w:rsidP="0042328C">
      <w:pPr>
        <w:pStyle w:val="EndNoteBibliography"/>
        <w:ind w:left="720" w:hanging="720"/>
      </w:pPr>
      <w:r w:rsidRPr="0042328C">
        <w:t xml:space="preserve">Whittaker, A., Martin, F., Olsen, A., &amp; Wincup, E. (2020). Governing Parental Drug Use in the UK: What’s Hidden in “Hidden Harm?”. </w:t>
      </w:r>
      <w:r w:rsidRPr="0042328C">
        <w:rPr>
          <w:i/>
        </w:rPr>
        <w:t>Contemporary Drug Problems</w:t>
      </w:r>
      <w:r w:rsidRPr="0042328C">
        <w:t>,</w:t>
      </w:r>
      <w:r w:rsidRPr="0042328C">
        <w:rPr>
          <w:i/>
        </w:rPr>
        <w:t xml:space="preserve"> 47</w:t>
      </w:r>
      <w:r w:rsidRPr="0042328C">
        <w:t xml:space="preserve">(3), 170-187. </w:t>
      </w:r>
      <w:hyperlink r:id="rId299" w:history="1">
        <w:r w:rsidRPr="0042328C">
          <w:rPr>
            <w:rStyle w:val="Hyperlink"/>
          </w:rPr>
          <w:t>https://doi.org/10.1177/0091450920941267</w:t>
        </w:r>
      </w:hyperlink>
      <w:r w:rsidRPr="0042328C">
        <w:t xml:space="preserve"> </w:t>
      </w:r>
    </w:p>
    <w:p w14:paraId="46A29301" w14:textId="2B83D727" w:rsidR="0042328C" w:rsidRPr="0042328C" w:rsidRDefault="0042328C" w:rsidP="0042328C">
      <w:pPr>
        <w:pStyle w:val="EndNoteBibliography"/>
        <w:ind w:left="720" w:hanging="720"/>
      </w:pPr>
      <w:r w:rsidRPr="0042328C">
        <w:t xml:space="preserve">WHO. (2016). </w:t>
      </w:r>
      <w:r w:rsidRPr="0042328C">
        <w:rPr>
          <w:i/>
        </w:rPr>
        <w:t>Child maltreatment. Factsheet</w:t>
      </w:r>
      <w:r w:rsidRPr="0042328C">
        <w:t xml:space="preserve">. Retrieved 15/05/2019 from </w:t>
      </w:r>
      <w:hyperlink r:id="rId300" w:history="1">
        <w:r w:rsidRPr="0042328C">
          <w:rPr>
            <w:rStyle w:val="Hyperlink"/>
          </w:rPr>
          <w:t>https://www.who.int/en/news-room/fact-sheets/detail/child-maltreatment</w:t>
        </w:r>
      </w:hyperlink>
    </w:p>
    <w:p w14:paraId="5FB6BC25" w14:textId="76B2681C" w:rsidR="0042328C" w:rsidRPr="0042328C" w:rsidRDefault="0042328C" w:rsidP="0042328C">
      <w:pPr>
        <w:pStyle w:val="EndNoteBibliography"/>
        <w:ind w:left="720" w:hanging="720"/>
      </w:pPr>
      <w:r w:rsidRPr="0042328C">
        <w:t xml:space="preserve">WHO. (2020). </w:t>
      </w:r>
      <w:r w:rsidRPr="0042328C">
        <w:rPr>
          <w:i/>
        </w:rPr>
        <w:t>Archived: WHO Timeline - COVID-19</w:t>
      </w:r>
      <w:r w:rsidRPr="0042328C">
        <w:t xml:space="preserve">. World Health Organization. Retrieved 26/08/2024 from </w:t>
      </w:r>
      <w:hyperlink r:id="rId301" w:history="1">
        <w:r w:rsidRPr="0042328C">
          <w:rPr>
            <w:rStyle w:val="Hyperlink"/>
          </w:rPr>
          <w:t>https://www.who.int/news/item/27-04-2020-who-timeline---covid-19</w:t>
        </w:r>
      </w:hyperlink>
    </w:p>
    <w:p w14:paraId="534CD28F" w14:textId="1C58B20B" w:rsidR="0042328C" w:rsidRPr="0042328C" w:rsidRDefault="0042328C" w:rsidP="0042328C">
      <w:pPr>
        <w:pStyle w:val="EndNoteBibliography"/>
        <w:ind w:left="720" w:hanging="720"/>
      </w:pPr>
      <w:r w:rsidRPr="0042328C">
        <w:t xml:space="preserve">Willey, H., Eastwood, B., Gee, I. L., &amp; Marsden, J. (2016). Is treatment for alcohol use disorder associated with reductions in criminal offending? A national data linkage cohort study in England. </w:t>
      </w:r>
      <w:r w:rsidRPr="0042328C">
        <w:rPr>
          <w:i/>
        </w:rPr>
        <w:t>Drug Alcohol Depend</w:t>
      </w:r>
      <w:r w:rsidRPr="0042328C">
        <w:t>,</w:t>
      </w:r>
      <w:r w:rsidRPr="0042328C">
        <w:rPr>
          <w:i/>
        </w:rPr>
        <w:t xml:space="preserve"> 161</w:t>
      </w:r>
      <w:r w:rsidRPr="0042328C">
        <w:t xml:space="preserve">, 67-76. </w:t>
      </w:r>
      <w:hyperlink r:id="rId302" w:history="1">
        <w:r w:rsidRPr="0042328C">
          <w:rPr>
            <w:rStyle w:val="Hyperlink"/>
          </w:rPr>
          <w:t>https://doi.org/https://doi.org/10.1016/j.drugalcdep.2016.01.020</w:t>
        </w:r>
      </w:hyperlink>
      <w:r w:rsidRPr="0042328C">
        <w:t xml:space="preserve"> </w:t>
      </w:r>
    </w:p>
    <w:p w14:paraId="64ED5FA4" w14:textId="105A1B1B" w:rsidR="0042328C" w:rsidRPr="0042328C" w:rsidRDefault="0042328C" w:rsidP="0042328C">
      <w:pPr>
        <w:pStyle w:val="EndNoteBibliography"/>
        <w:ind w:left="720" w:hanging="720"/>
      </w:pPr>
      <w:r w:rsidRPr="0042328C">
        <w:t xml:space="preserve">Windle, M., &amp; Windle, R. C. (2018). Parental divorce and family history of alcohol disorder: Associations with young adults’ alcohol problems, marijuana use, and interpersonal relations. </w:t>
      </w:r>
      <w:r w:rsidRPr="0042328C">
        <w:rPr>
          <w:i/>
        </w:rPr>
        <w:t>Alcoholism: Clinical and Experimental Research</w:t>
      </w:r>
      <w:r w:rsidRPr="0042328C">
        <w:t>,</w:t>
      </w:r>
      <w:r w:rsidRPr="0042328C">
        <w:rPr>
          <w:i/>
        </w:rPr>
        <w:t xml:space="preserve"> 42</w:t>
      </w:r>
      <w:r w:rsidRPr="0042328C">
        <w:t xml:space="preserve">(6), 1084-1095. </w:t>
      </w:r>
      <w:hyperlink r:id="rId303" w:history="1">
        <w:r w:rsidRPr="0042328C">
          <w:rPr>
            <w:rStyle w:val="Hyperlink"/>
          </w:rPr>
          <w:t>https://doi.org/10.1111/acer.13638</w:t>
        </w:r>
      </w:hyperlink>
      <w:r w:rsidRPr="0042328C">
        <w:t xml:space="preserve"> </w:t>
      </w:r>
    </w:p>
    <w:p w14:paraId="7085AE5A" w14:textId="51EE8345" w:rsidR="0042328C" w:rsidRPr="0042328C" w:rsidRDefault="0042328C" w:rsidP="0042328C">
      <w:pPr>
        <w:pStyle w:val="EndNoteBibliography"/>
        <w:ind w:left="720" w:hanging="720"/>
      </w:pPr>
      <w:r w:rsidRPr="0042328C">
        <w:t xml:space="preserve">Winhusen, T., Kropp, F., Babcock, D., Hague, D., Erickson, S. J., Renz, C., Rau, L., Lewis, D., Leimberger, J., &amp; Somoza, E. (2008). Motivational enhancement therapy to improve treatment utilization and outcome in pregnant substance users. </w:t>
      </w:r>
      <w:r w:rsidRPr="0042328C">
        <w:rPr>
          <w:i/>
        </w:rPr>
        <w:t>Journal of Substance Abuse Treatment</w:t>
      </w:r>
      <w:r w:rsidRPr="0042328C">
        <w:t>,</w:t>
      </w:r>
      <w:r w:rsidRPr="0042328C">
        <w:rPr>
          <w:i/>
        </w:rPr>
        <w:t xml:space="preserve"> 35</w:t>
      </w:r>
      <w:r w:rsidRPr="0042328C">
        <w:t xml:space="preserve">(2), 161-173. </w:t>
      </w:r>
      <w:hyperlink r:id="rId304" w:history="1">
        <w:r w:rsidRPr="0042328C">
          <w:rPr>
            <w:rStyle w:val="Hyperlink"/>
          </w:rPr>
          <w:t>https://doi.org/10.1016/j.jsat.2007.09.006</w:t>
        </w:r>
      </w:hyperlink>
      <w:r w:rsidRPr="0042328C">
        <w:t xml:space="preserve"> </w:t>
      </w:r>
    </w:p>
    <w:p w14:paraId="140A77F6" w14:textId="39DA74AB" w:rsidR="0042328C" w:rsidRPr="0042328C" w:rsidRDefault="0042328C" w:rsidP="0042328C">
      <w:pPr>
        <w:pStyle w:val="EndNoteBibliography"/>
        <w:ind w:left="720" w:hanging="720"/>
      </w:pPr>
      <w:r w:rsidRPr="0042328C">
        <w:t xml:space="preserve">Winklbaur-Hausknost, B., Jagsch, R., Graf-Rohrmeister, K., Unger, A., Baewert, A., Langer, M., Thau, K., &amp; Fischer, G. (2013). Lessons learned from a comparison of evidence-based research in pregnant opioid-dependent women. </w:t>
      </w:r>
      <w:r w:rsidRPr="0042328C">
        <w:rPr>
          <w:i/>
        </w:rPr>
        <w:t>Human psychopharmacology</w:t>
      </w:r>
      <w:r w:rsidRPr="0042328C">
        <w:t>,</w:t>
      </w:r>
      <w:r w:rsidRPr="0042328C">
        <w:rPr>
          <w:i/>
        </w:rPr>
        <w:t xml:space="preserve"> 28</w:t>
      </w:r>
      <w:r w:rsidRPr="0042328C">
        <w:t xml:space="preserve">(1), 15-24. </w:t>
      </w:r>
      <w:hyperlink r:id="rId305" w:history="1">
        <w:r w:rsidRPr="0042328C">
          <w:rPr>
            <w:rStyle w:val="Hyperlink"/>
          </w:rPr>
          <w:t>https://doi.org/10.1002/hup.2275</w:t>
        </w:r>
      </w:hyperlink>
      <w:r w:rsidRPr="0042328C">
        <w:t xml:space="preserve"> </w:t>
      </w:r>
    </w:p>
    <w:p w14:paraId="18C81D04" w14:textId="29D5AAB2" w:rsidR="0042328C" w:rsidRPr="0042328C" w:rsidRDefault="0042328C" w:rsidP="0042328C">
      <w:pPr>
        <w:pStyle w:val="EndNoteBibliography"/>
        <w:ind w:left="720" w:hanging="720"/>
      </w:pPr>
      <w:r w:rsidRPr="0042328C">
        <w:lastRenderedPageBreak/>
        <w:t xml:space="preserve">Worcel, S. D., Furrer, C. J., Green, B. L., Burrus, S. W. M., &amp; Finigan, M. W. (2008). Effects of family treatment drug courts on substance abuse and child welfare outcomes. </w:t>
      </w:r>
      <w:r w:rsidRPr="0042328C">
        <w:rPr>
          <w:i/>
        </w:rPr>
        <w:t>Child Abuse Review</w:t>
      </w:r>
      <w:r w:rsidRPr="0042328C">
        <w:t>,</w:t>
      </w:r>
      <w:r w:rsidRPr="0042328C">
        <w:rPr>
          <w:i/>
        </w:rPr>
        <w:t xml:space="preserve"> 17</w:t>
      </w:r>
      <w:r w:rsidRPr="0042328C">
        <w:t xml:space="preserve">(6), 427-443. </w:t>
      </w:r>
      <w:hyperlink r:id="rId306" w:history="1">
        <w:r w:rsidRPr="0042328C">
          <w:rPr>
            <w:rStyle w:val="Hyperlink"/>
          </w:rPr>
          <w:t>https://doi.org/doi:10.1002/car.1045</w:t>
        </w:r>
      </w:hyperlink>
      <w:r w:rsidRPr="0042328C">
        <w:t xml:space="preserve"> </w:t>
      </w:r>
    </w:p>
    <w:p w14:paraId="27EFFF5C" w14:textId="28B8A8A5" w:rsidR="0042328C" w:rsidRPr="0042328C" w:rsidRDefault="0042328C" w:rsidP="0042328C">
      <w:pPr>
        <w:pStyle w:val="EndNoteBibliography"/>
        <w:ind w:left="720" w:hanging="720"/>
      </w:pPr>
      <w:r w:rsidRPr="0042328C">
        <w:t xml:space="preserve">Wye, L., Brangan, E., Cameron, A., Gabbay, J., Klein, J. H., &amp; Pope, C. (2015). Evidence based policy making and the ‘art’ of commissioning – how English healthcare commissioners access and use information and academic research in ‘real life’ decision-making: an empirical qualitative study [journal article]. </w:t>
      </w:r>
      <w:r w:rsidRPr="0042328C">
        <w:rPr>
          <w:i/>
        </w:rPr>
        <w:t>BMC Health Services Research</w:t>
      </w:r>
      <w:r w:rsidRPr="0042328C">
        <w:t>,</w:t>
      </w:r>
      <w:r w:rsidRPr="0042328C">
        <w:rPr>
          <w:i/>
        </w:rPr>
        <w:t xml:space="preserve"> 15</w:t>
      </w:r>
      <w:r w:rsidRPr="0042328C">
        <w:t xml:space="preserve">(1), 430. </w:t>
      </w:r>
      <w:hyperlink r:id="rId307" w:history="1">
        <w:r w:rsidRPr="0042328C">
          <w:rPr>
            <w:rStyle w:val="Hyperlink"/>
          </w:rPr>
          <w:t>https://doi.org/10.1186/s12913-015-1091-x</w:t>
        </w:r>
      </w:hyperlink>
      <w:r w:rsidRPr="0042328C">
        <w:t xml:space="preserve"> </w:t>
      </w:r>
    </w:p>
    <w:p w14:paraId="7987A50B" w14:textId="5C739E0E" w:rsidR="0042328C" w:rsidRPr="0042328C" w:rsidRDefault="0042328C" w:rsidP="0042328C">
      <w:pPr>
        <w:pStyle w:val="EndNoteBibliography"/>
        <w:ind w:left="720" w:hanging="720"/>
      </w:pPr>
      <w:r w:rsidRPr="0042328C">
        <w:t xml:space="preserve">Xu, X., Yonkers, K. A., &amp; Ruger, J. P. (2017). Economic evaluation of a behavioral intervention versus brief advice for substance use treatment in pregnant women: results from a randomized controlled trial. </w:t>
      </w:r>
      <w:r w:rsidRPr="0042328C">
        <w:rPr>
          <w:i/>
        </w:rPr>
        <w:t>BMC pregnancy and childbirth</w:t>
      </w:r>
      <w:r w:rsidRPr="0042328C">
        <w:t>,</w:t>
      </w:r>
      <w:r w:rsidRPr="0042328C">
        <w:rPr>
          <w:i/>
        </w:rPr>
        <w:t xml:space="preserve"> 17</w:t>
      </w:r>
      <w:r w:rsidRPr="0042328C">
        <w:t xml:space="preserve">(1), 83. </w:t>
      </w:r>
      <w:hyperlink r:id="rId308" w:history="1">
        <w:r w:rsidRPr="0042328C">
          <w:rPr>
            <w:rStyle w:val="Hyperlink"/>
          </w:rPr>
          <w:t>https://doi.org/https://dx.doi.org/10.1186/s12884-017-1260-5</w:t>
        </w:r>
      </w:hyperlink>
      <w:r w:rsidRPr="0042328C">
        <w:t xml:space="preserve"> </w:t>
      </w:r>
    </w:p>
    <w:p w14:paraId="6325F959" w14:textId="7DBC278C" w:rsidR="0042328C" w:rsidRPr="0042328C" w:rsidRDefault="0042328C" w:rsidP="0042328C">
      <w:pPr>
        <w:pStyle w:val="EndNoteBibliography"/>
        <w:ind w:left="720" w:hanging="720"/>
      </w:pPr>
      <w:r w:rsidRPr="0042328C">
        <w:t xml:space="preserve">Yonkers, K. A., Forray, A., Howell, H. B., Gotman, N., Kershaw, T., Rounsaville, B. J., &amp; Carroll, K. M. (2012). Motivational enhancement therapy coupled with cognitive behavioral therapy versus brief advice: a randomized trial for treatment of hazardous substance use in pregnancy and after delivery. </w:t>
      </w:r>
      <w:r w:rsidRPr="0042328C">
        <w:rPr>
          <w:i/>
        </w:rPr>
        <w:t>General Hospital Psychiatry</w:t>
      </w:r>
      <w:r w:rsidRPr="0042328C">
        <w:t>,</w:t>
      </w:r>
      <w:r w:rsidRPr="0042328C">
        <w:rPr>
          <w:i/>
        </w:rPr>
        <w:t xml:space="preserve"> 34</w:t>
      </w:r>
      <w:r w:rsidRPr="0042328C">
        <w:t xml:space="preserve">(5), 439-449. </w:t>
      </w:r>
      <w:hyperlink r:id="rId309" w:history="1">
        <w:r w:rsidRPr="0042328C">
          <w:rPr>
            <w:rStyle w:val="Hyperlink"/>
          </w:rPr>
          <w:t>https://doi.org/10.1016/j.genhosppsych.2012.06.002</w:t>
        </w:r>
      </w:hyperlink>
      <w:r w:rsidRPr="0042328C">
        <w:t xml:space="preserve"> </w:t>
      </w:r>
    </w:p>
    <w:p w14:paraId="719B8C33" w14:textId="77777777" w:rsidR="0042328C" w:rsidRPr="0042328C" w:rsidRDefault="0042328C" w:rsidP="0042328C">
      <w:pPr>
        <w:pStyle w:val="EndNoteBibliography"/>
        <w:ind w:left="720" w:hanging="720"/>
      </w:pPr>
      <w:r w:rsidRPr="0042328C">
        <w:t>Zeller, D., Hornby, H., &amp; Ferguson, A. (2007). Evaluation of Maine's Family Treatment Drug Courts: A Preliminary Analysis of Short and Long-Term Outcomes. In. Portland, ME: Hornby Zeller Associates.</w:t>
      </w:r>
    </w:p>
    <w:p w14:paraId="7EFDFE62" w14:textId="59DC08C9" w:rsidR="0042328C" w:rsidRPr="0042328C" w:rsidRDefault="0042328C" w:rsidP="0042328C">
      <w:pPr>
        <w:pStyle w:val="EndNoteBibliography"/>
        <w:ind w:left="720" w:hanging="720"/>
      </w:pPr>
      <w:r w:rsidRPr="0042328C">
        <w:t xml:space="preserve">Ziglio, E. (2017). Strengthening resilience: a priority shared by Health 2020 and the Sustainable Development Goals. Retrieved 14/06/2019, from </w:t>
      </w:r>
      <w:hyperlink r:id="rId310" w:history="1">
        <w:r w:rsidRPr="0042328C">
          <w:rPr>
            <w:rStyle w:val="Hyperlink"/>
          </w:rPr>
          <w:t>http://www.euro.who.int/__data/assets/pdf_file/0005/351284/resilience-report-20171004-h1635.pdf</w:t>
        </w:r>
      </w:hyperlink>
      <w:r w:rsidRPr="0042328C">
        <w:t xml:space="preserve"> </w:t>
      </w:r>
    </w:p>
    <w:p w14:paraId="5828A3FA" w14:textId="7DDF6A4D" w:rsidR="00842D5B" w:rsidRDefault="00160E9D" w:rsidP="00FD5FD0">
      <w:pPr>
        <w:pStyle w:val="NoSpacing"/>
      </w:pPr>
      <w:r>
        <w:fldChar w:fldCharType="end"/>
      </w:r>
    </w:p>
    <w:p w14:paraId="3F5E6E9A" w14:textId="77777777" w:rsidR="00842D5B" w:rsidRDefault="00842D5B" w:rsidP="00842D5B">
      <w:pPr>
        <w:pStyle w:val="NoSpacing"/>
      </w:pPr>
      <w:r>
        <w:br w:type="page"/>
      </w:r>
    </w:p>
    <w:p w14:paraId="24C5E7FB" w14:textId="193BA9CE" w:rsidR="00842D5B" w:rsidRDefault="00842D5B" w:rsidP="007E1B3B">
      <w:pPr>
        <w:pStyle w:val="Heading1"/>
        <w:numPr>
          <w:ilvl w:val="0"/>
          <w:numId w:val="0"/>
        </w:numPr>
        <w:ind w:left="2160" w:hanging="2160"/>
      </w:pPr>
      <w:bookmarkStart w:id="167" w:name="_Ref177027052"/>
      <w:bookmarkStart w:id="168" w:name="_Ref177030305"/>
      <w:bookmarkStart w:id="169" w:name="_Toc189229725"/>
      <w:r>
        <w:lastRenderedPageBreak/>
        <w:t xml:space="preserve">Appendix </w:t>
      </w:r>
      <w:r w:rsidR="001A19E7">
        <w:t>A</w:t>
      </w:r>
      <w:r w:rsidR="0023707F">
        <w:tab/>
        <w:t xml:space="preserve">Studies included in literature review submitted for confirmation </w:t>
      </w:r>
      <w:bookmarkEnd w:id="167"/>
      <w:r w:rsidR="00744F6D">
        <w:t>review July 2019</w:t>
      </w:r>
      <w:r w:rsidR="00AF76DB">
        <w:t xml:space="preserve"> (up</w:t>
      </w:r>
      <w:r w:rsidR="00400D80">
        <w:t>dated)</w:t>
      </w:r>
      <w:bookmarkEnd w:id="168"/>
      <w:bookmarkEnd w:id="169"/>
    </w:p>
    <w:p w14:paraId="5F6D987C" w14:textId="31FFF41D" w:rsidR="0025732F" w:rsidRDefault="0025732F" w:rsidP="0025732F">
      <w:pPr>
        <w:pStyle w:val="NoSpacing"/>
      </w:pPr>
    </w:p>
    <w:p w14:paraId="3A836D1E" w14:textId="372219AA" w:rsidR="0025732F" w:rsidRDefault="0025732F" w:rsidP="00182A88">
      <w:pPr>
        <w:pStyle w:val="Heading2"/>
        <w:spacing w:before="0" w:line="360" w:lineRule="auto"/>
      </w:pPr>
      <w:bookmarkStart w:id="170" w:name="_Toc189229726"/>
      <w:r w:rsidRPr="00F251CC">
        <w:t>Introduction</w:t>
      </w:r>
      <w:bookmarkEnd w:id="170"/>
    </w:p>
    <w:p w14:paraId="5961EC0C" w14:textId="354A52C9" w:rsidR="009F226D" w:rsidRDefault="0025732F" w:rsidP="00182A88">
      <w:pPr>
        <w:pStyle w:val="para"/>
        <w:shd w:val="clear" w:color="auto" w:fill="FFFFFF"/>
        <w:spacing w:before="0" w:beforeAutospacing="0" w:after="0" w:afterAutospacing="0" w:line="360" w:lineRule="auto"/>
        <w:rPr>
          <w:rFonts w:ascii="Arial" w:eastAsiaTheme="minorHAnsi" w:hAnsi="Arial" w:cs="Arial"/>
          <w:szCs w:val="22"/>
          <w:lang w:eastAsia="en-US"/>
        </w:rPr>
      </w:pPr>
      <w:r>
        <w:rPr>
          <w:rFonts w:ascii="Arial" w:eastAsiaTheme="minorHAnsi" w:hAnsi="Arial" w:cs="Arial"/>
          <w:szCs w:val="22"/>
          <w:lang w:eastAsia="en-US"/>
        </w:rPr>
        <w:t>T</w:t>
      </w:r>
      <w:r w:rsidRPr="00925EA9">
        <w:rPr>
          <w:rFonts w:ascii="Arial" w:eastAsiaTheme="minorHAnsi" w:hAnsi="Arial" w:cs="Arial"/>
          <w:szCs w:val="22"/>
          <w:lang w:eastAsia="en-US"/>
        </w:rPr>
        <w:t xml:space="preserve">he aim </w:t>
      </w:r>
      <w:r>
        <w:rPr>
          <w:rFonts w:ascii="Arial" w:eastAsiaTheme="minorHAnsi" w:hAnsi="Arial" w:cs="Arial"/>
          <w:szCs w:val="22"/>
          <w:lang w:eastAsia="en-US"/>
        </w:rPr>
        <w:t xml:space="preserve">of the </w:t>
      </w:r>
      <w:r w:rsidR="003E1071">
        <w:rPr>
          <w:rFonts w:ascii="Arial" w:eastAsiaTheme="minorHAnsi" w:hAnsi="Arial" w:cs="Arial"/>
          <w:szCs w:val="22"/>
          <w:lang w:eastAsia="en-US"/>
        </w:rPr>
        <w:t>r</w:t>
      </w:r>
      <w:r>
        <w:rPr>
          <w:rFonts w:ascii="Arial" w:eastAsiaTheme="minorHAnsi" w:hAnsi="Arial" w:cs="Arial"/>
          <w:szCs w:val="22"/>
          <w:lang w:eastAsia="en-US"/>
        </w:rPr>
        <w:t>eview</w:t>
      </w:r>
      <w:r w:rsidRPr="00925EA9">
        <w:rPr>
          <w:rFonts w:ascii="Arial" w:eastAsiaTheme="minorHAnsi" w:hAnsi="Arial" w:cs="Arial"/>
          <w:szCs w:val="22"/>
          <w:lang w:eastAsia="en-US"/>
        </w:rPr>
        <w:t xml:space="preserve"> </w:t>
      </w:r>
      <w:r w:rsidR="008E0052">
        <w:rPr>
          <w:rFonts w:ascii="Arial" w:eastAsiaTheme="minorHAnsi" w:hAnsi="Arial" w:cs="Arial"/>
          <w:szCs w:val="22"/>
          <w:lang w:eastAsia="en-US"/>
        </w:rPr>
        <w:t xml:space="preserve">submitted </w:t>
      </w:r>
      <w:r w:rsidR="009F226D">
        <w:rPr>
          <w:rFonts w:ascii="Arial" w:eastAsiaTheme="minorHAnsi" w:hAnsi="Arial" w:cs="Arial"/>
          <w:szCs w:val="22"/>
          <w:lang w:eastAsia="en-US"/>
        </w:rPr>
        <w:t xml:space="preserve">for confirmation review </w:t>
      </w:r>
      <w:r>
        <w:rPr>
          <w:rFonts w:ascii="Arial" w:eastAsiaTheme="minorHAnsi" w:hAnsi="Arial" w:cs="Arial"/>
          <w:szCs w:val="22"/>
          <w:lang w:eastAsia="en-US"/>
        </w:rPr>
        <w:t xml:space="preserve">was </w:t>
      </w:r>
      <w:r w:rsidRPr="00925EA9">
        <w:rPr>
          <w:rFonts w:ascii="Arial" w:eastAsiaTheme="minorHAnsi" w:hAnsi="Arial" w:cs="Arial"/>
          <w:szCs w:val="22"/>
          <w:lang w:eastAsia="en-US"/>
        </w:rPr>
        <w:t xml:space="preserve">to identify effective and cost-effective interventions </w:t>
      </w:r>
      <w:r>
        <w:rPr>
          <w:rFonts w:ascii="Arial" w:eastAsiaTheme="minorHAnsi" w:hAnsi="Arial" w:cs="Arial"/>
          <w:szCs w:val="22"/>
          <w:lang w:eastAsia="en-US"/>
        </w:rPr>
        <w:t>for parents with SUD</w:t>
      </w:r>
      <w:r w:rsidRPr="00925EA9">
        <w:rPr>
          <w:rFonts w:ascii="Arial" w:eastAsiaTheme="minorHAnsi" w:hAnsi="Arial" w:cs="Arial"/>
          <w:szCs w:val="22"/>
          <w:lang w:eastAsia="en-US"/>
        </w:rPr>
        <w:t xml:space="preserve"> that would be applicable </w:t>
      </w:r>
      <w:r>
        <w:rPr>
          <w:rFonts w:ascii="Arial" w:eastAsiaTheme="minorHAnsi" w:hAnsi="Arial" w:cs="Arial"/>
          <w:szCs w:val="22"/>
          <w:lang w:eastAsia="en-US"/>
        </w:rPr>
        <w:t>to</w:t>
      </w:r>
      <w:r w:rsidRPr="00925EA9">
        <w:rPr>
          <w:rFonts w:ascii="Arial" w:eastAsiaTheme="minorHAnsi" w:hAnsi="Arial" w:cs="Arial"/>
          <w:szCs w:val="22"/>
          <w:lang w:eastAsia="en-US"/>
        </w:rPr>
        <w:t xml:space="preserve"> England</w:t>
      </w:r>
      <w:r w:rsidR="007E1C68">
        <w:rPr>
          <w:rFonts w:ascii="Arial" w:eastAsiaTheme="minorHAnsi" w:hAnsi="Arial" w:cs="Arial"/>
          <w:szCs w:val="22"/>
          <w:lang w:eastAsia="en-US"/>
        </w:rPr>
        <w:t xml:space="preserve">, thus providing context </w:t>
      </w:r>
      <w:r w:rsidR="00542852">
        <w:rPr>
          <w:rFonts w:ascii="Arial" w:eastAsiaTheme="minorHAnsi" w:hAnsi="Arial" w:cs="Arial"/>
          <w:szCs w:val="22"/>
          <w:lang w:eastAsia="en-US"/>
        </w:rPr>
        <w:t>to my research which evaluate</w:t>
      </w:r>
      <w:r w:rsidR="003C67F7">
        <w:rPr>
          <w:rFonts w:ascii="Arial" w:eastAsiaTheme="minorHAnsi" w:hAnsi="Arial" w:cs="Arial"/>
          <w:szCs w:val="22"/>
          <w:lang w:eastAsia="en-US"/>
        </w:rPr>
        <w:t>s</w:t>
      </w:r>
      <w:r w:rsidR="00542852">
        <w:rPr>
          <w:rFonts w:ascii="Arial" w:eastAsiaTheme="minorHAnsi" w:hAnsi="Arial" w:cs="Arial"/>
          <w:szCs w:val="22"/>
          <w:lang w:eastAsia="en-US"/>
        </w:rPr>
        <w:t xml:space="preserve"> existing service provision</w:t>
      </w:r>
      <w:r w:rsidRPr="00925EA9">
        <w:rPr>
          <w:rFonts w:ascii="Arial" w:eastAsiaTheme="minorHAnsi" w:hAnsi="Arial" w:cs="Arial"/>
          <w:szCs w:val="22"/>
          <w:lang w:eastAsia="en-US"/>
        </w:rPr>
        <w:t>.</w:t>
      </w:r>
      <w:r>
        <w:rPr>
          <w:rFonts w:ascii="Arial" w:eastAsiaTheme="minorHAnsi" w:hAnsi="Arial" w:cs="Arial"/>
          <w:szCs w:val="22"/>
          <w:lang w:eastAsia="en-US"/>
        </w:rPr>
        <w:t xml:space="preserve"> Thus, the following research questions shaped the review:</w:t>
      </w:r>
    </w:p>
    <w:p w14:paraId="5085C1F1" w14:textId="77777777" w:rsidR="0025732F" w:rsidRDefault="0025732F" w:rsidP="00CA2F1C">
      <w:pPr>
        <w:pStyle w:val="para"/>
        <w:numPr>
          <w:ilvl w:val="0"/>
          <w:numId w:val="29"/>
        </w:numPr>
        <w:shd w:val="clear" w:color="auto" w:fill="FFFFFF"/>
        <w:spacing w:before="0" w:beforeAutospacing="0" w:after="0" w:afterAutospacing="0" w:line="360" w:lineRule="auto"/>
        <w:rPr>
          <w:rFonts w:ascii="Arial" w:eastAsiaTheme="minorHAnsi" w:hAnsi="Arial" w:cs="Arial"/>
          <w:szCs w:val="22"/>
          <w:lang w:eastAsia="en-US"/>
        </w:rPr>
      </w:pPr>
      <w:r>
        <w:rPr>
          <w:rFonts w:ascii="Arial" w:eastAsiaTheme="minorHAnsi" w:hAnsi="Arial" w:cs="Arial"/>
          <w:szCs w:val="22"/>
          <w:lang w:eastAsia="en-US"/>
        </w:rPr>
        <w:t>Which interventions for parents with SUD are likely to be effective in England?</w:t>
      </w:r>
    </w:p>
    <w:p w14:paraId="59D44CF7" w14:textId="60D3432E" w:rsidR="00E61B92" w:rsidRDefault="0025732F" w:rsidP="00CA2F1C">
      <w:pPr>
        <w:pStyle w:val="para"/>
        <w:numPr>
          <w:ilvl w:val="0"/>
          <w:numId w:val="29"/>
        </w:numPr>
        <w:shd w:val="clear" w:color="auto" w:fill="FFFFFF"/>
        <w:spacing w:before="0" w:beforeAutospacing="0" w:after="0" w:afterAutospacing="0" w:line="360" w:lineRule="auto"/>
        <w:rPr>
          <w:rFonts w:ascii="Arial" w:eastAsiaTheme="minorHAnsi" w:hAnsi="Arial" w:cs="Arial"/>
          <w:lang w:eastAsia="en-US"/>
        </w:rPr>
      </w:pPr>
      <w:r>
        <w:rPr>
          <w:rFonts w:ascii="Arial" w:eastAsiaTheme="minorHAnsi" w:hAnsi="Arial" w:cs="Arial"/>
          <w:szCs w:val="22"/>
          <w:lang w:eastAsia="en-US"/>
        </w:rPr>
        <w:t>Which interventions for parents with SUD are likely to be cost-effective in England?</w:t>
      </w:r>
    </w:p>
    <w:p w14:paraId="3EFAA6D8" w14:textId="3ABF575F" w:rsidR="0025732F" w:rsidRPr="00842C2E" w:rsidRDefault="0025732F" w:rsidP="00805118">
      <w:pPr>
        <w:pStyle w:val="para"/>
        <w:shd w:val="clear" w:color="auto" w:fill="FFFFFF"/>
        <w:spacing w:before="0" w:beforeAutospacing="0" w:after="360" w:afterAutospacing="0" w:line="360" w:lineRule="auto"/>
        <w:ind w:left="60"/>
        <w:rPr>
          <w:rFonts w:ascii="Arial" w:eastAsiaTheme="minorHAnsi" w:hAnsi="Arial" w:cs="Arial"/>
          <w:szCs w:val="22"/>
          <w:lang w:eastAsia="en-US"/>
        </w:rPr>
      </w:pPr>
      <w:r>
        <w:rPr>
          <w:rFonts w:ascii="Arial" w:eastAsiaTheme="minorHAnsi" w:hAnsi="Arial" w:cs="Arial"/>
          <w:lang w:eastAsia="en-US"/>
        </w:rPr>
        <w:t xml:space="preserve">Interventions were deemed to be effective if they resulted in reductions in parental substance use or abstinence. Secondary outcomes, such as reductions in child abuse potential were also considered. </w:t>
      </w:r>
      <w:r w:rsidRPr="00106414">
        <w:rPr>
          <w:rFonts w:ascii="Arial" w:eastAsiaTheme="minorHAnsi" w:hAnsi="Arial" w:cs="Arial"/>
          <w:lang w:eastAsia="en-US"/>
        </w:rPr>
        <w:t xml:space="preserve">This chapter presents </w:t>
      </w:r>
      <w:r w:rsidRPr="00D62AA1">
        <w:rPr>
          <w:rFonts w:ascii="Arial" w:eastAsiaTheme="minorHAnsi" w:hAnsi="Arial" w:cs="Arial"/>
          <w:lang w:eastAsia="en-US"/>
        </w:rPr>
        <w:t>the method for the review</w:t>
      </w:r>
      <w:r>
        <w:rPr>
          <w:rFonts w:ascii="Arial" w:eastAsiaTheme="minorHAnsi" w:hAnsi="Arial" w:cs="Arial"/>
          <w:lang w:eastAsia="en-US"/>
        </w:rPr>
        <w:t xml:space="preserve">, </w:t>
      </w:r>
      <w:r w:rsidRPr="00D62AA1">
        <w:rPr>
          <w:rFonts w:ascii="Arial" w:eastAsiaTheme="minorHAnsi" w:hAnsi="Arial" w:cs="Arial"/>
          <w:szCs w:val="22"/>
          <w:lang w:eastAsia="en-US"/>
        </w:rPr>
        <w:t>the results</w:t>
      </w:r>
      <w:r>
        <w:rPr>
          <w:rFonts w:ascii="Arial" w:eastAsiaTheme="minorHAnsi" w:hAnsi="Arial" w:cs="Arial"/>
          <w:szCs w:val="22"/>
          <w:lang w:eastAsia="en-US"/>
        </w:rPr>
        <w:t xml:space="preserve"> of the main literature search and a summary of findings</w:t>
      </w:r>
      <w:r w:rsidRPr="00D62AA1">
        <w:rPr>
          <w:rFonts w:ascii="Arial" w:eastAsiaTheme="minorHAnsi" w:hAnsi="Arial" w:cs="Arial"/>
          <w:szCs w:val="22"/>
          <w:lang w:eastAsia="en-US"/>
        </w:rPr>
        <w:t>.</w:t>
      </w:r>
      <w:r>
        <w:rPr>
          <w:rFonts w:ascii="Arial" w:eastAsiaTheme="minorHAnsi" w:hAnsi="Arial" w:cs="Arial"/>
          <w:szCs w:val="22"/>
          <w:lang w:eastAsia="en-US"/>
        </w:rPr>
        <w:t xml:space="preserve">  </w:t>
      </w:r>
    </w:p>
    <w:p w14:paraId="6431C903" w14:textId="240F2452" w:rsidR="00805118" w:rsidRDefault="0025732F" w:rsidP="00757E16">
      <w:pPr>
        <w:pStyle w:val="Heading2"/>
        <w:spacing w:line="360" w:lineRule="auto"/>
      </w:pPr>
      <w:bookmarkStart w:id="171" w:name="_Toc167810541"/>
      <w:bookmarkStart w:id="172" w:name="_Toc12604668"/>
      <w:bookmarkStart w:id="173" w:name="_Toc14441690"/>
      <w:bookmarkStart w:id="174" w:name="_Toc189229727"/>
      <w:r>
        <w:t>Methods</w:t>
      </w:r>
      <w:bookmarkEnd w:id="171"/>
      <w:bookmarkEnd w:id="174"/>
    </w:p>
    <w:p w14:paraId="309B163B" w14:textId="77777777" w:rsidR="0025732F" w:rsidRPr="009044EB" w:rsidRDefault="0025732F" w:rsidP="00805118">
      <w:pPr>
        <w:pStyle w:val="Heading3"/>
        <w:spacing w:line="360" w:lineRule="auto"/>
        <w:rPr>
          <w:rFonts w:eastAsiaTheme="minorHAnsi" w:cs="Arial"/>
          <w:szCs w:val="22"/>
        </w:rPr>
      </w:pPr>
      <w:bookmarkStart w:id="175" w:name="_Toc167810542"/>
      <w:bookmarkStart w:id="176" w:name="_Toc189229728"/>
      <w:r w:rsidRPr="00925EA9">
        <w:t>Search and eligibility criteria</w:t>
      </w:r>
      <w:bookmarkEnd w:id="172"/>
      <w:bookmarkEnd w:id="173"/>
      <w:bookmarkEnd w:id="175"/>
      <w:bookmarkEnd w:id="176"/>
    </w:p>
    <w:p w14:paraId="48B0A289" w14:textId="487BE8EA" w:rsidR="0025732F" w:rsidRDefault="0025732F" w:rsidP="00805118">
      <w:pPr>
        <w:pStyle w:val="NoSpacing"/>
        <w:spacing w:line="360" w:lineRule="auto"/>
        <w:rPr>
          <w:noProof/>
        </w:rPr>
      </w:pPr>
      <w:r w:rsidRPr="00925EA9">
        <w:t xml:space="preserve">An initial scoping review of the literature, including other reviews with </w:t>
      </w:r>
      <w:r>
        <w:t>similar</w:t>
      </w:r>
      <w:r w:rsidRPr="00925EA9">
        <w:t xml:space="preserve"> research question</w:t>
      </w:r>
      <w:r>
        <w:t>s and aims</w:t>
      </w:r>
      <w:r w:rsidRPr="00925EA9">
        <w:t xml:space="preserve"> </w:t>
      </w:r>
      <w:r w:rsidRPr="00925EA9">
        <w:fldChar w:fldCharType="begin">
          <w:fldData xml:space="preserve">PEVuZE5vdGU+PENpdGU+PEF1dGhvcj5HYWx2YW5pPC9BdXRob3I+PFllYXI+MjAxMTwvWWVhcj48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</w:fldData>
        </w:fldChar>
      </w:r>
      <w:r w:rsidR="00B9334F">
        <w:instrText xml:space="preserve"> ADDIN EN.CITE </w:instrText>
      </w:r>
      <w:r w:rsidR="00B9334F">
        <w:fldChar w:fldCharType="begin">
          <w:fldData xml:space="preserve">PEVuZE5vdGU+PENpdGU+PEF1dGhvcj5HYWx2YW5pPC9BdXRob3I+PFllYXI+MjAxMTwvWWVhcj48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</w:fldData>
        </w:fldChar>
      </w:r>
      <w:r w:rsidR="00B9334F">
        <w:instrText xml:space="preserve"> ADDIN EN.CITE.DATA </w:instrText>
      </w:r>
      <w:r w:rsidR="00B9334F">
        <w:fldChar w:fldCharType="end"/>
      </w:r>
      <w:r w:rsidRPr="00925EA9">
        <w:fldChar w:fldCharType="separate"/>
      </w:r>
      <w:r w:rsidR="003C6F70">
        <w:rPr>
          <w:noProof/>
        </w:rPr>
        <w:t>(Galvani &amp; Forrester, 2011; McGovern et al., 2017; Murphy et al., 2017)</w:t>
      </w:r>
      <w:r w:rsidRPr="00925EA9">
        <w:fldChar w:fldCharType="end"/>
      </w:r>
      <w:r w:rsidRPr="00925EA9">
        <w:t xml:space="preserve">, helped determine the search terms and parameters used. The </w:t>
      </w:r>
      <w:r w:rsidRPr="00805118">
        <w:t>full Ovid MEDLINE search strategy for the systematic review is presented in</w:t>
      </w:r>
      <w:r w:rsidR="00805118" w:rsidRPr="00805118">
        <w:rPr>
          <w:noProof/>
        </w:rPr>
        <w:t xml:space="preserve"> </w:t>
      </w:r>
      <w:r w:rsidR="00805118" w:rsidRPr="00805118">
        <w:rPr>
          <w:i/>
          <w:iCs/>
          <w:noProof/>
        </w:rPr>
        <w:fldChar w:fldCharType="begin"/>
      </w:r>
      <w:r w:rsidR="00805118" w:rsidRPr="00805118">
        <w:rPr>
          <w:i/>
          <w:iCs/>
          <w:noProof/>
        </w:rPr>
        <w:instrText xml:space="preserve"> REF _Ref177028128 \h  \* MERGEFORMAT </w:instrText>
      </w:r>
      <w:r w:rsidR="00805118" w:rsidRPr="00805118">
        <w:rPr>
          <w:i/>
          <w:iCs/>
          <w:noProof/>
        </w:rPr>
      </w:r>
      <w:r w:rsidR="00805118" w:rsidRPr="00805118">
        <w:rPr>
          <w:i/>
          <w:iCs/>
          <w:noProof/>
        </w:rPr>
        <w:fldChar w:fldCharType="separate"/>
      </w:r>
      <w:r w:rsidR="00805118" w:rsidRPr="00805118">
        <w:rPr>
          <w:i/>
          <w:iCs/>
        </w:rPr>
        <w:t>Search strategy</w:t>
      </w:r>
      <w:r w:rsidR="00805118" w:rsidRPr="00805118">
        <w:rPr>
          <w:i/>
          <w:iCs/>
          <w:noProof/>
        </w:rPr>
        <w:fldChar w:fldCharType="end"/>
      </w:r>
      <w:r w:rsidRPr="00805118">
        <w:rPr>
          <w:noProof/>
        </w:rPr>
        <w:t xml:space="preserve">. </w:t>
      </w:r>
      <w:r w:rsidR="007927A9">
        <w:rPr>
          <w:noProof/>
        </w:rPr>
        <w:t>The</w:t>
      </w:r>
      <w:r w:rsidR="007927A9">
        <w:t xml:space="preserve"> e</w:t>
      </w:r>
      <w:r w:rsidRPr="00925EA9">
        <w:t xml:space="preserve">lectronic databases of Ovid MEDLINE, PsycINFO and ASSIA were </w:t>
      </w:r>
      <w:r w:rsidR="007927A9">
        <w:t xml:space="preserve">also </w:t>
      </w:r>
      <w:r w:rsidRPr="00925EA9">
        <w:t>searched</w:t>
      </w:r>
      <w:r>
        <w:t xml:space="preserve">. </w:t>
      </w:r>
    </w:p>
    <w:p w14:paraId="3B583816" w14:textId="77777777" w:rsidR="0025732F" w:rsidRPr="009044EB" w:rsidRDefault="0025732F" w:rsidP="00805118">
      <w:pPr>
        <w:pStyle w:val="NoSpacing"/>
        <w:spacing w:line="360" w:lineRule="auto"/>
        <w:rPr>
          <w:i/>
        </w:rPr>
      </w:pPr>
    </w:p>
    <w:p w14:paraId="426C876C" w14:textId="77A7FF82" w:rsidR="0025732F" w:rsidRPr="00FB169F" w:rsidRDefault="0025732F" w:rsidP="00565207">
      <w:pPr>
        <w:pStyle w:val="NoSpacing"/>
        <w:spacing w:line="360" w:lineRule="auto"/>
      </w:pPr>
      <w:r w:rsidRPr="00CB7A3B">
        <w:t>Language of publications was restricted to English</w:t>
      </w:r>
      <w:r w:rsidR="003426F2">
        <w:t>.</w:t>
      </w:r>
      <w:r w:rsidRPr="00CB7A3B">
        <w:t xml:space="preserve"> </w:t>
      </w:r>
      <w:r w:rsidR="003426F2">
        <w:t>Papers were</w:t>
      </w:r>
      <w:r w:rsidRPr="00CB7A3B">
        <w:t xml:space="preserve"> published from January 2004 to </w:t>
      </w:r>
      <w:r w:rsidR="00F05C6C">
        <w:t>J</w:t>
      </w:r>
      <w:r w:rsidR="00E20D18">
        <w:t>une</w:t>
      </w:r>
      <w:r w:rsidR="00F05C6C">
        <w:t xml:space="preserve"> 2019</w:t>
      </w:r>
      <w:r w:rsidR="00E20D18">
        <w:t>, and for this thesis has since been updated to include studies published up to March 2024</w:t>
      </w:r>
      <w:r w:rsidRPr="00CB7A3B">
        <w:t>. Th</w:t>
      </w:r>
      <w:r>
        <w:t>is</w:t>
      </w:r>
      <w:r w:rsidRPr="00CB7A3B">
        <w:t xml:space="preserve"> window</w:t>
      </w:r>
      <w:r w:rsidRPr="00925EA9">
        <w:t xml:space="preserve"> for study inclusion </w:t>
      </w:r>
      <w:r>
        <w:t xml:space="preserve">was </w:t>
      </w:r>
      <w:r w:rsidR="00273981">
        <w:t>judged</w:t>
      </w:r>
      <w:r>
        <w:t xml:space="preserve"> to be long enough to capture as many studies as possible given the dearth of studies in this area, while </w:t>
      </w:r>
      <w:r w:rsidR="00124862">
        <w:t xml:space="preserve">capturing data </w:t>
      </w:r>
      <w:r>
        <w:t xml:space="preserve">relevant to the current </w:t>
      </w:r>
      <w:r w:rsidR="00124862">
        <w:t>context</w:t>
      </w:r>
      <w:r>
        <w:t xml:space="preserve">. </w:t>
      </w:r>
      <w:r w:rsidRPr="00925EA9">
        <w:rPr>
          <w:szCs w:val="22"/>
        </w:rPr>
        <w:t xml:space="preserve">Papers </w:t>
      </w:r>
      <w:r>
        <w:rPr>
          <w:szCs w:val="22"/>
        </w:rPr>
        <w:t xml:space="preserve">which only reported </w:t>
      </w:r>
      <w:r w:rsidRPr="00925EA9">
        <w:rPr>
          <w:szCs w:val="22"/>
        </w:rPr>
        <w:t xml:space="preserve">pharmacotherapy for substance-exposed neonates and interventions for </w:t>
      </w:r>
      <w:r>
        <w:rPr>
          <w:szCs w:val="22"/>
        </w:rPr>
        <w:lastRenderedPageBreak/>
        <w:t>children using alcohol or drugs were excluded</w:t>
      </w:r>
      <w:r w:rsidRPr="00925EA9">
        <w:rPr>
          <w:szCs w:val="22"/>
        </w:rPr>
        <w:t xml:space="preserve"> unless the intervention clearly also aimed to address parental </w:t>
      </w:r>
      <w:r>
        <w:rPr>
          <w:szCs w:val="22"/>
        </w:rPr>
        <w:t xml:space="preserve">SUD. </w:t>
      </w:r>
    </w:p>
    <w:p w14:paraId="5894157F" w14:textId="77777777" w:rsidR="0025732F" w:rsidRPr="00925EA9" w:rsidRDefault="0025732F" w:rsidP="00565207">
      <w:pPr>
        <w:spacing w:line="360" w:lineRule="auto"/>
        <w:rPr>
          <w:rFonts w:cs="Arial"/>
        </w:rPr>
      </w:pPr>
    </w:p>
    <w:p w14:paraId="44098C1E" w14:textId="3782076D" w:rsidR="0025732F" w:rsidRPr="00925EA9" w:rsidRDefault="0025732F" w:rsidP="00565207">
      <w:pPr>
        <w:pStyle w:val="Heading3"/>
        <w:spacing w:line="360" w:lineRule="auto"/>
      </w:pPr>
      <w:bookmarkStart w:id="177" w:name="_Toc14441692"/>
      <w:bookmarkStart w:id="178" w:name="_Toc167810544"/>
      <w:bookmarkStart w:id="179" w:name="_Ref167976599"/>
      <w:bookmarkStart w:id="180" w:name="_Toc189229729"/>
      <w:r>
        <w:t>Quality assessment</w:t>
      </w:r>
      <w:bookmarkEnd w:id="177"/>
      <w:bookmarkEnd w:id="178"/>
      <w:bookmarkEnd w:id="179"/>
      <w:bookmarkEnd w:id="180"/>
    </w:p>
    <w:p w14:paraId="697BF5AD" w14:textId="2023BBA2" w:rsidR="00565207" w:rsidRPr="00925EA9" w:rsidRDefault="0025732F" w:rsidP="00565207">
      <w:pPr>
        <w:pStyle w:val="NoSpacing"/>
        <w:spacing w:line="360" w:lineRule="auto"/>
      </w:pPr>
      <w:r w:rsidRPr="00925EA9">
        <w:t xml:space="preserve">There are various tools that can be used to assess the quality of research design and evidence reported in a study. UK guidance </w:t>
      </w:r>
      <w:r>
        <w:t>for government analysts is to use</w:t>
      </w:r>
      <w:r w:rsidRPr="00925EA9">
        <w:t xml:space="preserve"> the Maryland Scale of Scientific Methods </w:t>
      </w:r>
      <w:r w:rsidRPr="00925EA9">
        <w:fldChar w:fldCharType="begin"/>
      </w:r>
      <w:r w:rsidR="00B9334F">
        <w:instrText xml:space="preserve"> ADDIN EN.CITE &lt;EndNote&gt;&lt;Cite&gt;&lt;Author&gt;Sherman&lt;/Author&gt;&lt;Year&gt;1998&lt;/Year&gt;&lt;RecNum&gt;111&lt;/RecNum&gt;&lt;DisplayText&gt;(Sherman et al., 1998)&lt;/DisplayText&gt;&lt;record&gt;&lt;rec-number&gt;111&lt;/rec-number&gt;&lt;foreign-keys&gt;&lt;key app="EN" db-id="ffzvr5fstavwxoe9v04xf0wmp5t50as52da0" timestamp="1731671643" guid="020d715a-eb8c-44e9-bdeb-96ea39bd2ce5"&gt;111&lt;/key&gt;&lt;/foreign-keys&gt;&lt;ref-type name="Electronic Article"&gt;43&lt;/ref-type&gt;&lt;contributors&gt;&lt;authors&gt;&lt;author&gt;Lawrence W. Sherman&lt;/author&gt;&lt;author&gt;Denise C. Gottfredson&lt;/author&gt;&lt;author&gt;Doris L. MacKenzie&lt;/author&gt;&lt;author&gt;John Eck&lt;/author&gt;&lt;author&gt;Peter Reuter&lt;/author&gt;&lt;author&gt;Shawn D. Bushway&lt;/author&gt;&lt;/authors&gt;&lt;/contributors&gt;&lt;titles&gt;&lt;title&gt;Preventing Crime: What Works, What Doesn’t, What’s Promising&lt;/title&gt;&lt;/titles&gt;&lt;dates&gt;&lt;year&gt;1998&lt;/year&gt;&lt;pub-dates&gt;&lt;date&gt;15/04/2018&lt;/date&gt;&lt;/pub-dates&gt;&lt;/dates&gt;&lt;publisher&gt;US Department of Justice,&lt;/publisher&gt;&lt;urls&gt;&lt;related-urls&gt;&lt;url&gt;&lt;style face="underline" font="default" size="100%"&gt;https://www.ncjrs.gov/pdffiles/171676.pdf&lt;/style&gt;&lt;/url&gt;&lt;/related-urls&gt;&lt;/urls&gt;&lt;/record&gt;&lt;/Cite&gt;&lt;/EndNote&gt;</w:instrText>
      </w:r>
      <w:r w:rsidRPr="00925EA9">
        <w:fldChar w:fldCharType="separate"/>
      </w:r>
      <w:r w:rsidR="00A77498">
        <w:rPr>
          <w:noProof/>
        </w:rPr>
        <w:t>(Sherman et al., 1998)</w:t>
      </w:r>
      <w:r w:rsidRPr="00925EA9">
        <w:fldChar w:fldCharType="end"/>
      </w:r>
      <w:r w:rsidRPr="00925EA9">
        <w:t xml:space="preserve"> </w:t>
      </w:r>
      <w:r>
        <w:t xml:space="preserve">when assessing the robustness of evaluation design </w:t>
      </w:r>
      <w:r>
        <w:fldChar w:fldCharType="begin"/>
      </w:r>
      <w:r w:rsidR="00B9334F">
        <w:instrText xml:space="preserve"> ADDIN EN.CITE &lt;EndNote&gt;&lt;Cite&gt;&lt;Author&gt;HM Treasury and Evaluation Task Force&lt;/Author&gt;&lt;Year&gt;2011&lt;/Year&gt;&lt;RecNum&gt;272&lt;/RecNum&gt;&lt;DisplayText&gt;(HM Treasury and Evaluation Task Force, 2011)&lt;/DisplayText&gt;&lt;record&gt;&lt;rec-number&gt;272&lt;/rec-number&gt;&lt;foreign-keys&gt;&lt;key app="EN" db-id="ffzvr5fstavwxoe9v04xf0wmp5t50as52da0" timestamp="1731671653" guid="6a59fc79-ec41-4014-8d22-130364617d6a"&gt;272&lt;/key&gt;&lt;/foreign-keys&gt;&lt;ref-type name="Electronic Article"&gt;43&lt;/ref-type&gt;&lt;contributors&gt;&lt;authors&gt;&lt;author&gt;HM Treasury and Evaluation Task Force,&lt;/author&gt;&lt;/authors&gt;&lt;/contributors&gt;&lt;titles&gt;&lt;title&gt;Government analytical evaluation capabilities framework&lt;/title&gt;&lt;/titles&gt;&lt;dates&gt;&lt;year&gt;2011&lt;/year&gt;&lt;pub-dates&gt;&lt;date&gt;28/05/2024&lt;/date&gt;&lt;/pub-dates&gt;&lt;/dates&gt;&lt;urls&gt;&lt;related-urls&gt;&lt;url&gt;https://assets.publishing.service.gov.uk/media/5e96c443e90e071a13b0892e/Magenta_Book_supplementary_guide._Government_Analytical_Evaluation_Capabilities_Framework.pdf&lt;/url&gt;&lt;/related-urls&gt;&lt;/urls&gt;&lt;/record&gt;&lt;/Cite&gt;&lt;/EndNote&gt;</w:instrText>
      </w:r>
      <w:r>
        <w:fldChar w:fldCharType="separate"/>
      </w:r>
      <w:r w:rsidR="00A77498">
        <w:rPr>
          <w:noProof/>
        </w:rPr>
        <w:t>(HM Treasury and Evaluation Task Force, 2011)</w:t>
      </w:r>
      <w:r>
        <w:fldChar w:fldCharType="end"/>
      </w:r>
      <w:r>
        <w:t>. As this thesis is intended to evaluate current government interventions to address parental SUD and provide policymakers (and practitioners) with recommendations on how best to support families, the Maryland Scale was use</w:t>
      </w:r>
      <w:r w:rsidR="00E22770">
        <w:t xml:space="preserve">d to assess strength of design followed by </w:t>
      </w:r>
      <w:r w:rsidR="002B52A0">
        <w:t xml:space="preserve">an assessment </w:t>
      </w:r>
      <w:r w:rsidR="00597646">
        <w:t>of other quality cri</w:t>
      </w:r>
      <w:r w:rsidR="00FB072C">
        <w:t>teria</w:t>
      </w:r>
      <w:r w:rsidR="004A5268">
        <w:t>.</w:t>
      </w:r>
      <w:r w:rsidR="009E4618">
        <w:t xml:space="preserve"> </w:t>
      </w:r>
      <w:r w:rsidR="00172DA5" w:rsidRPr="00925EA9">
        <w:t>There are five levels within the Maryland Scale to evaluate the internal validity of research studies, with level one being the weakest and level five the strongest</w:t>
      </w:r>
      <w:r w:rsidR="00C12127">
        <w:t xml:space="preserve"> (</w:t>
      </w:r>
      <w:r w:rsidR="00C12127" w:rsidRPr="00C12127">
        <w:t>see</w:t>
      </w:r>
      <w:r w:rsidR="00650766">
        <w:t xml:space="preserve"> </w:t>
      </w:r>
      <w:r w:rsidR="00650766" w:rsidRPr="00D812E5">
        <w:fldChar w:fldCharType="begin"/>
      </w:r>
      <w:r w:rsidR="00650766" w:rsidRPr="00D812E5">
        <w:instrText xml:space="preserve"> REF _Ref167976442 \h  \* MERGEFORMAT </w:instrText>
      </w:r>
      <w:r w:rsidR="00650766" w:rsidRPr="00D812E5">
        <w:fldChar w:fldCharType="separate"/>
      </w:r>
      <w:r w:rsidR="00650766" w:rsidRPr="00D812E5">
        <w:rPr>
          <w:noProof/>
        </w:rPr>
        <w:fldChar w:fldCharType="begin"/>
      </w:r>
      <w:r w:rsidR="00650766" w:rsidRPr="00D812E5">
        <w:instrText xml:space="preserve"> REF _Ref177138812 \h </w:instrText>
      </w:r>
      <w:r w:rsidR="00650766" w:rsidRPr="00D812E5">
        <w:rPr>
          <w:noProof/>
        </w:rPr>
        <w:instrText xml:space="preserve"> \* MERGEFORMAT </w:instrText>
      </w:r>
      <w:r w:rsidR="00650766" w:rsidRPr="00D812E5">
        <w:rPr>
          <w:noProof/>
        </w:rPr>
      </w:r>
      <w:r w:rsidR="00650766" w:rsidRPr="00D812E5">
        <w:rPr>
          <w:noProof/>
        </w:rPr>
        <w:fldChar w:fldCharType="separate"/>
      </w:r>
      <w:r w:rsidR="00650766" w:rsidRPr="00D812E5">
        <w:t xml:space="preserve">Table </w:t>
      </w:r>
      <w:r w:rsidR="00AF4D08" w:rsidRPr="00D812E5">
        <w:t>A</w:t>
      </w:r>
      <w:r w:rsidR="00650766" w:rsidRPr="00D812E5">
        <w:noBreakHyphen/>
        <w:t>1</w:t>
      </w:r>
      <w:r w:rsidR="00650766" w:rsidRPr="00D812E5">
        <w:rPr>
          <w:noProof/>
        </w:rPr>
        <w:fldChar w:fldCharType="end"/>
      </w:r>
      <w:r w:rsidR="00650766" w:rsidRPr="00D812E5">
        <w:fldChar w:fldCharType="end"/>
      </w:r>
      <w:r w:rsidR="00C12127" w:rsidRPr="00650766">
        <w:t>)</w:t>
      </w:r>
      <w:r w:rsidR="00C12127">
        <w:t xml:space="preserve">. </w:t>
      </w:r>
      <w:r w:rsidR="004A5268" w:rsidRPr="00C12127">
        <w:t>A</w:t>
      </w:r>
      <w:r w:rsidR="009E4618" w:rsidRPr="00C12127">
        <w:t>n</w:t>
      </w:r>
      <w:r w:rsidR="009E4618">
        <w:t xml:space="preserve"> approach similar to the</w:t>
      </w:r>
      <w:r w:rsidR="009E4618" w:rsidRPr="00925EA9">
        <w:t xml:space="preserve"> Grading of Recommendations Assessment, Development and Evaluation (GRADE) </w:t>
      </w:r>
      <w:r w:rsidR="009E4618" w:rsidRPr="00925EA9">
        <w:fldChar w:fldCharType="begin">
          <w:fldData xml:space="preserve">PEVuZE5vdGU+PENpdGU+PEF1dGhvcj5HdXlhdHQ8L0F1dGhvcj48WWVhcj4yMDEwPC9ZZWFyPjxS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</w:fldData>
        </w:fldChar>
      </w:r>
      <w:r w:rsidR="00B9334F">
        <w:instrText xml:space="preserve"> ADDIN EN.CITE </w:instrText>
      </w:r>
      <w:r w:rsidR="00B9334F">
        <w:fldChar w:fldCharType="begin">
          <w:fldData xml:space="preserve">PEVuZE5vdGU+PENpdGU+PEF1dGhvcj5HdXlhdHQ8L0F1dGhvcj48WWVhcj4yMDEwPC9ZZWFyPjxS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</w:fldData>
        </w:fldChar>
      </w:r>
      <w:r w:rsidR="00B9334F">
        <w:instrText xml:space="preserve"> ADDIN EN.CITE.DATA </w:instrText>
      </w:r>
      <w:r w:rsidR="00B9334F">
        <w:fldChar w:fldCharType="end"/>
      </w:r>
      <w:r w:rsidR="009E4618" w:rsidRPr="00925EA9">
        <w:fldChar w:fldCharType="separate"/>
      </w:r>
      <w:r w:rsidR="003C6F70">
        <w:rPr>
          <w:noProof/>
        </w:rPr>
        <w:t>(Guyatt et al., 2010; Guyatt et al., 2008)</w:t>
      </w:r>
      <w:r w:rsidR="009E4618" w:rsidRPr="00925EA9">
        <w:fldChar w:fldCharType="end"/>
      </w:r>
      <w:r w:rsidR="009E4618">
        <w:t xml:space="preserve"> was used</w:t>
      </w:r>
      <w:r w:rsidR="009E4618" w:rsidRPr="00925EA9">
        <w:t xml:space="preserve">, </w:t>
      </w:r>
      <w:r w:rsidR="009E4618">
        <w:t>albeit far less stringent</w:t>
      </w:r>
      <w:r w:rsidR="00DA7DEB">
        <w:t xml:space="preserve"> one</w:t>
      </w:r>
      <w:r w:rsidR="009E4618">
        <w:t xml:space="preserve">, where </w:t>
      </w:r>
      <w:r w:rsidR="009E4618" w:rsidRPr="00925EA9">
        <w:t xml:space="preserve">evidence based on random allocation may begin at </w:t>
      </w:r>
      <w:r w:rsidR="009E4618">
        <w:t xml:space="preserve">Maryland </w:t>
      </w:r>
      <w:r w:rsidR="009E4618" w:rsidRPr="00925EA9">
        <w:t xml:space="preserve">level 5 – very high confidence in results – but may be downgraded because of </w:t>
      </w:r>
      <w:r w:rsidR="009E4618">
        <w:t xml:space="preserve">clear </w:t>
      </w:r>
      <w:r w:rsidR="009E4618" w:rsidRPr="00925EA9">
        <w:t xml:space="preserve">study limitations that decreases confidence </w:t>
      </w:r>
      <w:r w:rsidR="009E4618">
        <w:t>generalisability e.g. small sample size, high level of drop out between follow-ups or suboptimal analytic strategy</w:t>
      </w:r>
      <w:r w:rsidR="009E4618" w:rsidRPr="00925EA9">
        <w:t xml:space="preserve">. Conversely, a level 2 intervention group compared with unmatched group study design may be upgraded to a higher level of confidence if adequate control of confounding variables were employed. </w:t>
      </w:r>
    </w:p>
    <w:p w14:paraId="7F06F6CF" w14:textId="77777777" w:rsidR="00DA7DEB" w:rsidRDefault="00DA7DEB" w:rsidP="00805118">
      <w:pPr>
        <w:pStyle w:val="NoSpacing"/>
        <w:spacing w:line="360" w:lineRule="auto"/>
      </w:pPr>
    </w:p>
    <w:p w14:paraId="571C5338" w14:textId="5AC9E7F0" w:rsidR="0025732F" w:rsidRDefault="0025732F" w:rsidP="00805118">
      <w:pPr>
        <w:pStyle w:val="NoSpacing"/>
        <w:spacing w:line="360" w:lineRule="auto"/>
      </w:pPr>
      <w:r w:rsidRPr="00925EA9">
        <w:t xml:space="preserve">According to the authors of the </w:t>
      </w:r>
      <w:r w:rsidR="00172DA5">
        <w:t xml:space="preserve">Maryland </w:t>
      </w:r>
      <w:r w:rsidRPr="00925EA9">
        <w:t xml:space="preserve">scale, only levels three and above are considered to be robust enough study designs to be able to attribute outcomes to an intervention  </w:t>
      </w:r>
      <w:r w:rsidRPr="00925EA9">
        <w:fldChar w:fldCharType="begin"/>
      </w:r>
      <w:r w:rsidR="00B9334F">
        <w:instrText xml:space="preserve"> ADDIN EN.CITE &lt;EndNote&gt;&lt;Cite&gt;&lt;Author&gt;Sherman&lt;/Author&gt;&lt;Year&gt;1998&lt;/Year&gt;&lt;RecNum&gt;111&lt;/RecNum&gt;&lt;DisplayText&gt;(Sherman et al., 1998)&lt;/DisplayText&gt;&lt;record&gt;&lt;rec-number&gt;111&lt;/rec-number&gt;&lt;foreign-keys&gt;&lt;key app="EN" db-id="ffzvr5fstavwxoe9v04xf0wmp5t50as52da0" timestamp="1731671643" guid="020d715a-eb8c-44e9-bdeb-96ea39bd2ce5"&gt;111&lt;/key&gt;&lt;/foreign-keys&gt;&lt;ref-type name="Electronic Article"&gt;43&lt;/ref-type&gt;&lt;contributors&gt;&lt;authors&gt;&lt;author&gt;Lawrence W. Sherman&lt;/author&gt;&lt;author&gt;Denise C. Gottfredson&lt;/author&gt;&lt;author&gt;Doris L. MacKenzie&lt;/author&gt;&lt;author&gt;John Eck&lt;/author&gt;&lt;author&gt;Peter Reuter&lt;/author&gt;&lt;author&gt;Shawn D. Bushway&lt;/author&gt;&lt;/authors&gt;&lt;/contributors&gt;&lt;titles&gt;&lt;title&gt;Preventing Crime: What Works, What Doesn’t, What’s Promising&lt;/title&gt;&lt;/titles&gt;&lt;dates&gt;&lt;year&gt;1998&lt;/year&gt;&lt;pub-dates&gt;&lt;date&gt;15/04/2018&lt;/date&gt;&lt;/pub-dates&gt;&lt;/dates&gt;&lt;publisher&gt;US Department of Justice,&lt;/publisher&gt;&lt;urls&gt;&lt;related-urls&gt;&lt;url&gt;&lt;style face="underline" font="default" size="100%"&gt;https://www.ncjrs.gov/pdffiles/171676.pdf&lt;/style&gt;&lt;/url&gt;&lt;/related-urls&gt;&lt;/urls&gt;&lt;/record&gt;&lt;/Cite&gt;&lt;/EndNote&gt;</w:instrText>
      </w:r>
      <w:r w:rsidRPr="00925EA9">
        <w:fldChar w:fldCharType="separate"/>
      </w:r>
      <w:r w:rsidR="00A77498">
        <w:rPr>
          <w:noProof/>
        </w:rPr>
        <w:t>(Sherman et al., 1998)</w:t>
      </w:r>
      <w:r w:rsidRPr="00925EA9">
        <w:fldChar w:fldCharType="end"/>
      </w:r>
      <w:r w:rsidRPr="00925EA9">
        <w:t xml:space="preserve">, yet typically systematic reviews include only studies which would be assessed as level four and five. Given the paucity of the effectiveness and cost-effectiveness evidence it was decided that </w:t>
      </w:r>
      <w:r>
        <w:t xml:space="preserve">a similar </w:t>
      </w:r>
      <w:r w:rsidRPr="00925EA9">
        <w:t xml:space="preserve">approach </w:t>
      </w:r>
      <w:r>
        <w:t xml:space="preserve">to </w:t>
      </w:r>
      <w:r w:rsidRPr="00925EA9">
        <w:fldChar w:fldCharType="begin"/>
      </w:r>
      <w:r w:rsidR="00B9334F">
        <w:instrText xml:space="preserve"> ADDIN EN.CITE &lt;EndNote&gt;&lt;Cite AuthorYear="1"&gt;&lt;Author&gt;Galvani&lt;/Author&gt;&lt;Year&gt;2011&lt;/Year&gt;&lt;RecNum&gt;102&lt;/RecNum&gt;&lt;DisplayText&gt;Galvani and Forrester (2011)&lt;/DisplayText&gt;&lt;record&gt;&lt;rec-number&gt;102&lt;/rec-number&gt;&lt;foreign-keys&gt;&lt;key app="EN" db-id="ffzvr5fstavwxoe9v04xf0wmp5t50as52da0" timestamp="1731671642" guid="c7e08b52-00c9-45a7-9a4a-a5ee905fcd98"&gt;102&lt;/key&gt;&lt;/foreign-keys&gt;&lt;ref-type name="Electronic Article"&gt;43&lt;/ref-type&gt;&lt;contributors&gt;&lt;authors&gt;&lt;author&gt;Sarah Galvani&lt;/author&gt;&lt;author&gt;Donald Forrester&lt;/author&gt;&lt;/authors&gt;&lt;/contributors&gt;&lt;titles&gt;&lt;title&gt;Social Work Services and Recovery from Substance Misuse: A review of the evidence&lt;/title&gt;&lt;/titles&gt;&lt;dates&gt;&lt;year&gt;2011&lt;/year&gt;&lt;pub-dates&gt;&lt;date&gt;21/01/17&lt;/date&gt;&lt;/pub-dates&gt;&lt;/dates&gt;&lt;urls&gt;&lt;related-urls&gt;&lt;url&gt;&lt;style face="underline" font="default" size="100%"&gt;http://www.gov.scot/Publications/2011/03/18085806/0&lt;/style&gt;&lt;/url&gt;&lt;/related-urls&gt;&lt;/urls&gt;&lt;/record&gt;&lt;/Cite&gt;&lt;/EndNote&gt;</w:instrText>
      </w:r>
      <w:r w:rsidRPr="00925EA9">
        <w:fldChar w:fldCharType="separate"/>
      </w:r>
      <w:r w:rsidR="003C6F70">
        <w:rPr>
          <w:noProof/>
        </w:rPr>
        <w:t>Galvani and Forrester (2011)</w:t>
      </w:r>
      <w:r w:rsidRPr="00925EA9">
        <w:fldChar w:fldCharType="end"/>
      </w:r>
      <w:r w:rsidRPr="00925EA9">
        <w:t xml:space="preserve"> in their rapid evidence assessment of social work and recovery from substance use would be </w:t>
      </w:r>
      <w:r>
        <w:t>taken,</w:t>
      </w:r>
      <w:r w:rsidRPr="00925EA9">
        <w:t xml:space="preserve"> </w:t>
      </w:r>
      <w:r>
        <w:t>with</w:t>
      </w:r>
      <w:r w:rsidRPr="00925EA9">
        <w:t xml:space="preserve"> any study graded level two or above included</w:t>
      </w:r>
      <w:r>
        <w:t xml:space="preserve"> for </w:t>
      </w:r>
      <w:r w:rsidRPr="00F96F37">
        <w:t>an initial assessment</w:t>
      </w:r>
      <w:r>
        <w:t xml:space="preserve">. </w:t>
      </w:r>
    </w:p>
    <w:p w14:paraId="3FAAD329" w14:textId="77777777" w:rsidR="001A19E7" w:rsidRDefault="001A19E7" w:rsidP="004C39B4">
      <w:pPr>
        <w:pStyle w:val="Caption"/>
        <w:rPr>
          <w:rFonts w:cs="Arial"/>
        </w:rPr>
      </w:pPr>
    </w:p>
    <w:p w14:paraId="3EA4D952" w14:textId="0C68BDAD" w:rsidR="004C39B4" w:rsidRPr="003C489A" w:rsidRDefault="00650766" w:rsidP="00650766">
      <w:pPr>
        <w:pStyle w:val="Caption"/>
        <w:ind w:left="1440" w:hanging="1440"/>
        <w:rPr>
          <w:rFonts w:cs="Arial"/>
          <w:b w:val="0"/>
          <w:bCs w:val="0"/>
          <w:i/>
          <w:iCs/>
          <w:color w:val="auto"/>
          <w:sz w:val="24"/>
          <w:szCs w:val="24"/>
        </w:rPr>
      </w:pPr>
      <w:bookmarkStart w:id="181" w:name="_Ref177138812"/>
      <w:bookmarkStart w:id="182" w:name="_Toc177223493"/>
      <w:bookmarkStart w:id="183" w:name="_Toc185845003"/>
      <w:r w:rsidRPr="00650766">
        <w:rPr>
          <w:rFonts w:cs="Arial"/>
          <w:b w:val="0"/>
          <w:bCs w:val="0"/>
          <w:i/>
          <w:iCs/>
          <w:color w:val="auto"/>
          <w:sz w:val="24"/>
          <w:szCs w:val="24"/>
        </w:rPr>
        <w:lastRenderedPageBreak/>
        <w:t>Table</w:t>
      </w:r>
      <w:r w:rsidR="00AF4D08">
        <w:rPr>
          <w:rFonts w:cs="Arial"/>
          <w:b w:val="0"/>
          <w:bCs w:val="0"/>
          <w:i/>
          <w:iCs/>
          <w:color w:val="auto"/>
          <w:sz w:val="24"/>
          <w:szCs w:val="24"/>
        </w:rPr>
        <w:t xml:space="preserve"> A</w:t>
      </w:r>
      <w:r w:rsidR="00367870">
        <w:rPr>
          <w:rFonts w:cs="Arial"/>
          <w:b w:val="0"/>
          <w:bCs w:val="0"/>
          <w:i/>
          <w:iCs/>
          <w:color w:val="auto"/>
          <w:sz w:val="24"/>
          <w:szCs w:val="24"/>
        </w:rPr>
        <w:noBreakHyphen/>
      </w:r>
      <w:r w:rsidR="00367870">
        <w:rPr>
          <w:rFonts w:cs="Arial"/>
          <w:b w:val="0"/>
          <w:bCs w:val="0"/>
          <w:i/>
          <w:iCs/>
          <w:color w:val="auto"/>
          <w:sz w:val="24"/>
          <w:szCs w:val="24"/>
        </w:rPr>
        <w:fldChar w:fldCharType="begin"/>
      </w:r>
      <w:r w:rsidR="00367870">
        <w:rPr>
          <w:rFonts w:cs="Arial"/>
          <w:b w:val="0"/>
          <w:bCs w:val="0"/>
          <w:i/>
          <w:iCs/>
          <w:color w:val="auto"/>
          <w:sz w:val="24"/>
          <w:szCs w:val="24"/>
        </w:rPr>
        <w:instrText xml:space="preserve"> SEQ Table \* ARABIC \s 2 </w:instrText>
      </w:r>
      <w:r w:rsidR="00367870">
        <w:rPr>
          <w:rFonts w:cs="Arial"/>
          <w:b w:val="0"/>
          <w:bCs w:val="0"/>
          <w:i/>
          <w:iCs/>
          <w:color w:val="auto"/>
          <w:sz w:val="24"/>
          <w:szCs w:val="24"/>
        </w:rPr>
        <w:fldChar w:fldCharType="separate"/>
      </w:r>
      <w:r w:rsidR="00367870">
        <w:rPr>
          <w:rFonts w:cs="Arial"/>
          <w:b w:val="0"/>
          <w:bCs w:val="0"/>
          <w:i/>
          <w:iCs/>
          <w:noProof/>
          <w:color w:val="auto"/>
          <w:sz w:val="24"/>
          <w:szCs w:val="24"/>
        </w:rPr>
        <w:t>1</w:t>
      </w:r>
      <w:r w:rsidR="00367870">
        <w:rPr>
          <w:rFonts w:cs="Arial"/>
          <w:b w:val="0"/>
          <w:bCs w:val="0"/>
          <w:i/>
          <w:iCs/>
          <w:color w:val="auto"/>
          <w:sz w:val="24"/>
          <w:szCs w:val="24"/>
        </w:rPr>
        <w:fldChar w:fldCharType="end"/>
      </w:r>
      <w:bookmarkEnd w:id="181"/>
      <w:r w:rsidR="003C489A">
        <w:rPr>
          <w:rFonts w:cs="Arial"/>
          <w:b w:val="0"/>
          <w:bCs w:val="0"/>
          <w:i/>
          <w:iCs/>
          <w:color w:val="auto"/>
          <w:sz w:val="24"/>
          <w:szCs w:val="24"/>
        </w:rPr>
        <w:tab/>
      </w:r>
      <w:r w:rsidR="004C39B4" w:rsidRPr="003C489A">
        <w:rPr>
          <w:rFonts w:cs="Arial"/>
          <w:b w:val="0"/>
          <w:bCs w:val="0"/>
          <w:i/>
          <w:iCs/>
          <w:color w:val="auto"/>
          <w:sz w:val="24"/>
          <w:szCs w:val="24"/>
        </w:rPr>
        <w:t xml:space="preserve">Summary table of the Maryland Scale of Scientific Methods, adapted from </w:t>
      </w:r>
      <w:r w:rsidR="004C39B4" w:rsidRPr="003C489A">
        <w:rPr>
          <w:rFonts w:cs="Arial"/>
          <w:b w:val="0"/>
          <w:bCs w:val="0"/>
          <w:i/>
          <w:iCs/>
          <w:color w:val="auto"/>
          <w:sz w:val="24"/>
          <w:szCs w:val="24"/>
        </w:rPr>
        <w:fldChar w:fldCharType="begin">
          <w:fldData xml:space="preserve">PEVuZE5vdGU+PENpdGUgQXV0aG9yWWVhcj0iMSI+PEF1dGhvcj5DYW1wYmVsbDwvQXV0aG9yPjxZ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</w:fldData>
        </w:fldChar>
      </w:r>
      <w:r w:rsidR="00B9334F">
        <w:rPr>
          <w:rFonts w:cs="Arial"/>
          <w:b w:val="0"/>
          <w:bCs w:val="0"/>
          <w:i/>
          <w:iCs/>
          <w:color w:val="auto"/>
          <w:sz w:val="24"/>
          <w:szCs w:val="24"/>
        </w:rPr>
        <w:instrText xml:space="preserve"> ADDIN EN.CITE </w:instrText>
      </w:r>
      <w:r w:rsidR="00B9334F">
        <w:rPr>
          <w:rFonts w:cs="Arial"/>
          <w:b w:val="0"/>
          <w:bCs w:val="0"/>
          <w:i/>
          <w:iCs/>
          <w:color w:val="auto"/>
          <w:sz w:val="24"/>
          <w:szCs w:val="24"/>
        </w:rPr>
        <w:fldChar w:fldCharType="begin">
          <w:fldData xml:space="preserve">PEVuZE5vdGU+PENpdGUgQXV0aG9yWWVhcj0iMSI+PEF1dGhvcj5DYW1wYmVsbDwvQXV0aG9yPjxZ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</w:fldData>
        </w:fldChar>
      </w:r>
      <w:r w:rsidR="00B9334F">
        <w:rPr>
          <w:rFonts w:cs="Arial"/>
          <w:b w:val="0"/>
          <w:bCs w:val="0"/>
          <w:i/>
          <w:iCs/>
          <w:color w:val="auto"/>
          <w:sz w:val="24"/>
          <w:szCs w:val="24"/>
        </w:rPr>
        <w:instrText xml:space="preserve"> ADDIN EN.CITE.DATA </w:instrText>
      </w:r>
      <w:r w:rsidR="00B9334F">
        <w:rPr>
          <w:rFonts w:cs="Arial"/>
          <w:b w:val="0"/>
          <w:bCs w:val="0"/>
          <w:i/>
          <w:iCs/>
          <w:color w:val="auto"/>
          <w:sz w:val="24"/>
          <w:szCs w:val="24"/>
        </w:rPr>
      </w:r>
      <w:r w:rsidR="00B9334F">
        <w:rPr>
          <w:rFonts w:cs="Arial"/>
          <w:b w:val="0"/>
          <w:bCs w:val="0"/>
          <w:i/>
          <w:iCs/>
          <w:color w:val="auto"/>
          <w:sz w:val="24"/>
          <w:szCs w:val="24"/>
        </w:rPr>
        <w:fldChar w:fldCharType="end"/>
      </w:r>
      <w:r w:rsidR="004C39B4" w:rsidRPr="003C489A">
        <w:rPr>
          <w:rFonts w:cs="Arial"/>
          <w:b w:val="0"/>
          <w:bCs w:val="0"/>
          <w:i/>
          <w:iCs/>
          <w:color w:val="auto"/>
          <w:sz w:val="24"/>
          <w:szCs w:val="24"/>
        </w:rPr>
      </w:r>
      <w:r w:rsidR="004C39B4" w:rsidRPr="003C489A">
        <w:rPr>
          <w:rFonts w:cs="Arial"/>
          <w:b w:val="0"/>
          <w:bCs w:val="0"/>
          <w:i/>
          <w:iCs/>
          <w:color w:val="auto"/>
          <w:sz w:val="24"/>
          <w:szCs w:val="24"/>
        </w:rPr>
        <w:fldChar w:fldCharType="separate"/>
      </w:r>
      <w:r w:rsidR="003C6F70">
        <w:rPr>
          <w:rFonts w:cs="Arial"/>
          <w:b w:val="0"/>
          <w:bCs w:val="0"/>
          <w:i/>
          <w:iCs/>
          <w:noProof/>
          <w:color w:val="auto"/>
          <w:sz w:val="24"/>
          <w:szCs w:val="24"/>
        </w:rPr>
        <w:t>Campbell and Harper (2012); Galvani and Forrester (2011); National Audit Office (2007); Sherman et al. (1998)</w:t>
      </w:r>
      <w:bookmarkEnd w:id="182"/>
      <w:bookmarkEnd w:id="183"/>
      <w:r w:rsidR="004C39B4" w:rsidRPr="003C489A">
        <w:rPr>
          <w:rFonts w:cs="Arial"/>
          <w:b w:val="0"/>
          <w:bCs w:val="0"/>
          <w:i/>
          <w:iCs/>
          <w:color w:val="auto"/>
          <w:sz w:val="24"/>
          <w:szCs w:val="24"/>
        </w:rPr>
        <w:fldChar w:fldCharType="end"/>
      </w:r>
    </w:p>
    <w:p w14:paraId="537E596F" w14:textId="77777777" w:rsidR="0025732F" w:rsidRPr="00521C4A" w:rsidRDefault="0025732F" w:rsidP="0025732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1228"/>
        <w:gridCol w:w="2599"/>
        <w:gridCol w:w="4160"/>
      </w:tblGrid>
      <w:tr w:rsidR="00315A55" w:rsidRPr="00315A55" w14:paraId="07BACFDA" w14:textId="77777777" w:rsidTr="00565207">
        <w:trPr>
          <w:cantSplit/>
          <w:tblHeader/>
        </w:trPr>
        <w:tc>
          <w:tcPr>
            <w:tcW w:w="563" w:type="pct"/>
            <w:tcBorders>
              <w:bottom w:val="single" w:sz="4" w:space="0" w:color="auto"/>
            </w:tcBorders>
            <w:shd w:val="clear" w:color="auto" w:fill="auto"/>
          </w:tcPr>
          <w:p w14:paraId="3139DAAE" w14:textId="77777777" w:rsidR="0025732F" w:rsidRPr="00315A55" w:rsidRDefault="0025732F">
            <w:pPr>
              <w:rPr>
                <w:rFonts w:cs="Arial"/>
                <w:sz w:val="20"/>
                <w:szCs w:val="20"/>
              </w:rPr>
            </w:pPr>
            <w:r w:rsidRPr="00315A55">
              <w:rPr>
                <w:rFonts w:cs="Arial"/>
                <w:sz w:val="20"/>
                <w:szCs w:val="20"/>
              </w:rPr>
              <w:t>Maryland Scale</w:t>
            </w:r>
          </w:p>
        </w:tc>
        <w:tc>
          <w:tcPr>
            <w:tcW w:w="664" w:type="pct"/>
            <w:tcBorders>
              <w:bottom w:val="single" w:sz="4" w:space="0" w:color="auto"/>
              <w:right w:val="single" w:sz="4" w:space="0" w:color="auto"/>
            </w:tcBorders>
            <w:shd w:val="clear" w:color="auto" w:fill="auto"/>
          </w:tcPr>
          <w:p w14:paraId="13871982" w14:textId="77777777" w:rsidR="0025732F" w:rsidRPr="00315A55" w:rsidRDefault="0025732F">
            <w:pPr>
              <w:rPr>
                <w:rFonts w:cs="Arial"/>
                <w:sz w:val="20"/>
                <w:szCs w:val="20"/>
              </w:rPr>
            </w:pPr>
            <w:r w:rsidRPr="00315A55">
              <w:rPr>
                <w:rFonts w:cs="Arial"/>
                <w:sz w:val="20"/>
                <w:szCs w:val="20"/>
              </w:rPr>
              <w:t>Confidence of effect</w:t>
            </w:r>
          </w:p>
        </w:tc>
        <w:tc>
          <w:tcPr>
            <w:tcW w:w="1454" w:type="pct"/>
            <w:tcBorders>
              <w:left w:val="single" w:sz="4" w:space="0" w:color="auto"/>
              <w:bottom w:val="single" w:sz="4" w:space="0" w:color="auto"/>
            </w:tcBorders>
            <w:shd w:val="clear" w:color="auto" w:fill="auto"/>
          </w:tcPr>
          <w:p w14:paraId="40EA50F7" w14:textId="77777777" w:rsidR="0025732F" w:rsidRPr="00315A55" w:rsidRDefault="0025732F">
            <w:pPr>
              <w:rPr>
                <w:rFonts w:cs="Arial"/>
                <w:sz w:val="20"/>
                <w:szCs w:val="20"/>
              </w:rPr>
            </w:pPr>
            <w:r w:rsidRPr="00315A55">
              <w:rPr>
                <w:rFonts w:cs="Arial"/>
                <w:sz w:val="20"/>
                <w:szCs w:val="20"/>
              </w:rPr>
              <w:t>Description</w:t>
            </w:r>
          </w:p>
        </w:tc>
        <w:tc>
          <w:tcPr>
            <w:tcW w:w="2319" w:type="pct"/>
            <w:tcBorders>
              <w:bottom w:val="single" w:sz="4" w:space="0" w:color="auto"/>
            </w:tcBorders>
            <w:shd w:val="clear" w:color="auto" w:fill="auto"/>
          </w:tcPr>
          <w:p w14:paraId="7830EB2B" w14:textId="77777777" w:rsidR="0025732F" w:rsidRPr="00315A55" w:rsidRDefault="0025732F">
            <w:pPr>
              <w:rPr>
                <w:rFonts w:cs="Arial"/>
                <w:sz w:val="20"/>
                <w:szCs w:val="20"/>
              </w:rPr>
            </w:pPr>
            <w:r w:rsidRPr="00315A55">
              <w:rPr>
                <w:rFonts w:cs="Arial"/>
                <w:sz w:val="20"/>
                <w:szCs w:val="20"/>
              </w:rPr>
              <w:t>Detail</w:t>
            </w:r>
          </w:p>
        </w:tc>
      </w:tr>
      <w:tr w:rsidR="0025732F" w:rsidRPr="0090345B" w14:paraId="1924854D" w14:textId="77777777" w:rsidTr="00565207">
        <w:trPr>
          <w:cantSplit/>
        </w:trPr>
        <w:tc>
          <w:tcPr>
            <w:tcW w:w="563" w:type="pct"/>
            <w:tcBorders>
              <w:top w:val="single" w:sz="4" w:space="0" w:color="auto"/>
              <w:bottom w:val="single" w:sz="4" w:space="0" w:color="auto"/>
            </w:tcBorders>
            <w:shd w:val="clear" w:color="auto" w:fill="auto"/>
          </w:tcPr>
          <w:p w14:paraId="24C4A228" w14:textId="77777777" w:rsidR="0025732F" w:rsidRPr="0090345B" w:rsidRDefault="0025732F">
            <w:pPr>
              <w:rPr>
                <w:rFonts w:cs="Arial"/>
                <w:sz w:val="20"/>
                <w:szCs w:val="20"/>
              </w:rPr>
            </w:pPr>
            <w:r w:rsidRPr="0090345B">
              <w:rPr>
                <w:rFonts w:cs="Arial"/>
                <w:sz w:val="20"/>
                <w:szCs w:val="20"/>
              </w:rPr>
              <w:t>Level 1</w:t>
            </w:r>
          </w:p>
        </w:tc>
        <w:tc>
          <w:tcPr>
            <w:tcW w:w="664" w:type="pct"/>
            <w:tcBorders>
              <w:top w:val="single" w:sz="4" w:space="0" w:color="auto"/>
              <w:bottom w:val="single" w:sz="4" w:space="0" w:color="auto"/>
              <w:right w:val="single" w:sz="4" w:space="0" w:color="auto"/>
            </w:tcBorders>
            <w:shd w:val="clear" w:color="auto" w:fill="auto"/>
          </w:tcPr>
          <w:p w14:paraId="268DA8B5" w14:textId="77777777" w:rsidR="0025732F" w:rsidRPr="0090345B" w:rsidRDefault="0025732F">
            <w:pPr>
              <w:rPr>
                <w:rFonts w:cs="Arial"/>
                <w:sz w:val="20"/>
                <w:szCs w:val="20"/>
              </w:rPr>
            </w:pPr>
            <w:r w:rsidRPr="0090345B">
              <w:rPr>
                <w:rFonts w:cs="Arial"/>
                <w:sz w:val="20"/>
                <w:szCs w:val="20"/>
              </w:rPr>
              <w:t>Very low</w:t>
            </w:r>
          </w:p>
        </w:tc>
        <w:tc>
          <w:tcPr>
            <w:tcW w:w="1454" w:type="pct"/>
            <w:tcBorders>
              <w:top w:val="single" w:sz="4" w:space="0" w:color="auto"/>
              <w:left w:val="single" w:sz="4" w:space="0" w:color="auto"/>
              <w:bottom w:val="single" w:sz="4" w:space="0" w:color="auto"/>
            </w:tcBorders>
            <w:shd w:val="clear" w:color="auto" w:fill="auto"/>
          </w:tcPr>
          <w:p w14:paraId="238DE8DE" w14:textId="77777777" w:rsidR="0025732F" w:rsidRPr="0090345B" w:rsidRDefault="0025732F">
            <w:pPr>
              <w:rPr>
                <w:rFonts w:cs="Arial"/>
                <w:sz w:val="20"/>
                <w:szCs w:val="20"/>
              </w:rPr>
            </w:pPr>
            <w:r w:rsidRPr="0090345B">
              <w:rPr>
                <w:rFonts w:cs="Arial"/>
                <w:sz w:val="20"/>
                <w:szCs w:val="20"/>
              </w:rPr>
              <w:t>Predicted compared with actual; No comparison group</w:t>
            </w:r>
          </w:p>
        </w:tc>
        <w:tc>
          <w:tcPr>
            <w:tcW w:w="2319" w:type="pct"/>
            <w:tcBorders>
              <w:top w:val="single" w:sz="4" w:space="0" w:color="auto"/>
              <w:bottom w:val="single" w:sz="4" w:space="0" w:color="auto"/>
            </w:tcBorders>
            <w:shd w:val="clear" w:color="auto" w:fill="auto"/>
          </w:tcPr>
          <w:p w14:paraId="162B6092" w14:textId="77777777" w:rsidR="0025732F" w:rsidRPr="0090345B" w:rsidRDefault="0025732F">
            <w:pPr>
              <w:rPr>
                <w:rFonts w:cs="Arial"/>
                <w:sz w:val="20"/>
                <w:szCs w:val="20"/>
              </w:rPr>
            </w:pPr>
            <w:r w:rsidRPr="0090345B">
              <w:rPr>
                <w:rFonts w:cs="Arial"/>
                <w:sz w:val="20"/>
                <w:szCs w:val="20"/>
              </w:rPr>
              <w:t>Outcomes assessed only for those receiving the intervention at a single point in time, thereby providing a weak counterfactual estimate. Such studies provide a very low level of confidence in attributing any changes observed to the intervention. E.g. a survey conducted only at the end of treatment to measure alcohol consumption levels.</w:t>
            </w:r>
            <w:r w:rsidRPr="0090345B">
              <w:rPr>
                <w:rFonts w:cs="Arial"/>
              </w:rPr>
              <w:t xml:space="preserve"> </w:t>
            </w:r>
          </w:p>
        </w:tc>
      </w:tr>
      <w:tr w:rsidR="0025732F" w:rsidRPr="0090345B" w14:paraId="78DF4E3F" w14:textId="77777777" w:rsidTr="00565207">
        <w:trPr>
          <w:cantSplit/>
        </w:trPr>
        <w:tc>
          <w:tcPr>
            <w:tcW w:w="563" w:type="pct"/>
            <w:tcBorders>
              <w:top w:val="single" w:sz="4" w:space="0" w:color="auto"/>
              <w:bottom w:val="single" w:sz="4" w:space="0" w:color="auto"/>
            </w:tcBorders>
            <w:shd w:val="clear" w:color="auto" w:fill="auto"/>
          </w:tcPr>
          <w:p w14:paraId="291AA0A8" w14:textId="77777777" w:rsidR="0025732F" w:rsidRPr="0090345B" w:rsidRDefault="0025732F">
            <w:pPr>
              <w:rPr>
                <w:rFonts w:cs="Arial"/>
                <w:sz w:val="20"/>
                <w:szCs w:val="20"/>
              </w:rPr>
            </w:pPr>
            <w:r w:rsidRPr="0090345B">
              <w:rPr>
                <w:rFonts w:cs="Arial"/>
                <w:sz w:val="20"/>
                <w:szCs w:val="20"/>
              </w:rPr>
              <w:t>Level 2</w:t>
            </w:r>
          </w:p>
        </w:tc>
        <w:tc>
          <w:tcPr>
            <w:tcW w:w="664" w:type="pct"/>
            <w:tcBorders>
              <w:top w:val="single" w:sz="4" w:space="0" w:color="auto"/>
              <w:bottom w:val="single" w:sz="4" w:space="0" w:color="auto"/>
              <w:right w:val="single" w:sz="4" w:space="0" w:color="auto"/>
            </w:tcBorders>
            <w:shd w:val="clear" w:color="auto" w:fill="auto"/>
          </w:tcPr>
          <w:p w14:paraId="7D922405" w14:textId="77777777" w:rsidR="0025732F" w:rsidRPr="0090345B" w:rsidRDefault="0025732F">
            <w:pPr>
              <w:rPr>
                <w:rFonts w:cs="Arial"/>
                <w:sz w:val="20"/>
                <w:szCs w:val="20"/>
              </w:rPr>
            </w:pPr>
            <w:r w:rsidRPr="0090345B">
              <w:rPr>
                <w:rFonts w:cs="Arial"/>
                <w:sz w:val="20"/>
                <w:szCs w:val="20"/>
              </w:rPr>
              <w:t xml:space="preserve">Low </w:t>
            </w:r>
          </w:p>
        </w:tc>
        <w:tc>
          <w:tcPr>
            <w:tcW w:w="1454" w:type="pct"/>
            <w:tcBorders>
              <w:top w:val="single" w:sz="4" w:space="0" w:color="auto"/>
              <w:left w:val="single" w:sz="4" w:space="0" w:color="auto"/>
              <w:bottom w:val="single" w:sz="4" w:space="0" w:color="auto"/>
            </w:tcBorders>
            <w:shd w:val="clear" w:color="auto" w:fill="auto"/>
          </w:tcPr>
          <w:p w14:paraId="6A7CCF98" w14:textId="77777777" w:rsidR="0025732F" w:rsidRPr="0090345B" w:rsidRDefault="0025732F">
            <w:pPr>
              <w:rPr>
                <w:rFonts w:cs="Arial"/>
                <w:sz w:val="20"/>
                <w:szCs w:val="20"/>
              </w:rPr>
            </w:pPr>
            <w:r w:rsidRPr="0090345B">
              <w:rPr>
                <w:rFonts w:cs="Arial"/>
                <w:sz w:val="20"/>
                <w:szCs w:val="20"/>
              </w:rPr>
              <w:t xml:space="preserve">Intervention compared with unmatched </w:t>
            </w:r>
          </w:p>
        </w:tc>
        <w:tc>
          <w:tcPr>
            <w:tcW w:w="2319" w:type="pct"/>
            <w:tcBorders>
              <w:top w:val="single" w:sz="4" w:space="0" w:color="auto"/>
              <w:bottom w:val="single" w:sz="4" w:space="0" w:color="auto"/>
            </w:tcBorders>
            <w:shd w:val="clear" w:color="auto" w:fill="auto"/>
          </w:tcPr>
          <w:p w14:paraId="5134FD1E" w14:textId="77777777" w:rsidR="0025732F" w:rsidRPr="0090345B" w:rsidRDefault="0025732F">
            <w:pPr>
              <w:rPr>
                <w:rFonts w:cs="Arial"/>
                <w:sz w:val="20"/>
                <w:szCs w:val="20"/>
              </w:rPr>
            </w:pPr>
            <w:r w:rsidRPr="0090345B">
              <w:rPr>
                <w:rFonts w:cs="Arial"/>
                <w:sz w:val="20"/>
                <w:szCs w:val="20"/>
              </w:rPr>
              <w:t>Outcomes observed before and after an intervention with the inclusion of an unmatched comparison group or site, or there is no strong evidence that the intervention and comparison group have historically moved analogously to allow a quasi-experimental, level 3 design. Collectively these increase the risk of differences between the intervention and comparison group to be the results of statistical ‘noise’. E.g. a pre-post treatment evaluation of alcohol consumption levels in an urban area compared with an inner city area.</w:t>
            </w:r>
          </w:p>
        </w:tc>
      </w:tr>
      <w:tr w:rsidR="0025732F" w:rsidRPr="0090345B" w14:paraId="21CA928F" w14:textId="77777777" w:rsidTr="00565207">
        <w:trPr>
          <w:cantSplit/>
        </w:trPr>
        <w:tc>
          <w:tcPr>
            <w:tcW w:w="563" w:type="pct"/>
            <w:tcBorders>
              <w:top w:val="single" w:sz="4" w:space="0" w:color="auto"/>
              <w:bottom w:val="single" w:sz="4" w:space="0" w:color="auto"/>
            </w:tcBorders>
            <w:shd w:val="clear" w:color="auto" w:fill="auto"/>
          </w:tcPr>
          <w:p w14:paraId="29C9CBBC" w14:textId="77777777" w:rsidR="0025732F" w:rsidRPr="0090345B" w:rsidRDefault="0025732F">
            <w:pPr>
              <w:rPr>
                <w:rFonts w:cs="Arial"/>
                <w:sz w:val="20"/>
                <w:szCs w:val="20"/>
              </w:rPr>
            </w:pPr>
            <w:r w:rsidRPr="0090345B">
              <w:rPr>
                <w:rFonts w:cs="Arial"/>
                <w:sz w:val="20"/>
                <w:szCs w:val="20"/>
              </w:rPr>
              <w:t>Level 3</w:t>
            </w:r>
          </w:p>
        </w:tc>
        <w:tc>
          <w:tcPr>
            <w:tcW w:w="664" w:type="pct"/>
            <w:tcBorders>
              <w:top w:val="single" w:sz="4" w:space="0" w:color="auto"/>
              <w:bottom w:val="single" w:sz="4" w:space="0" w:color="auto"/>
              <w:right w:val="single" w:sz="4" w:space="0" w:color="auto"/>
            </w:tcBorders>
            <w:shd w:val="clear" w:color="auto" w:fill="auto"/>
          </w:tcPr>
          <w:p w14:paraId="3D99C716" w14:textId="77777777" w:rsidR="0025732F" w:rsidRPr="0090345B" w:rsidRDefault="0025732F">
            <w:pPr>
              <w:rPr>
                <w:rFonts w:cs="Arial"/>
                <w:sz w:val="20"/>
                <w:szCs w:val="20"/>
              </w:rPr>
            </w:pPr>
            <w:r w:rsidRPr="0090345B">
              <w:rPr>
                <w:rFonts w:cs="Arial"/>
                <w:sz w:val="20"/>
                <w:szCs w:val="20"/>
              </w:rPr>
              <w:t>Moderate</w:t>
            </w:r>
          </w:p>
        </w:tc>
        <w:tc>
          <w:tcPr>
            <w:tcW w:w="1454" w:type="pct"/>
            <w:tcBorders>
              <w:top w:val="single" w:sz="4" w:space="0" w:color="auto"/>
              <w:left w:val="single" w:sz="4" w:space="0" w:color="auto"/>
              <w:bottom w:val="single" w:sz="4" w:space="0" w:color="auto"/>
            </w:tcBorders>
            <w:shd w:val="clear" w:color="auto" w:fill="auto"/>
          </w:tcPr>
          <w:p w14:paraId="4F775E06" w14:textId="77777777" w:rsidR="0025732F" w:rsidRPr="0090345B" w:rsidRDefault="0025732F">
            <w:pPr>
              <w:rPr>
                <w:rFonts w:cs="Arial"/>
                <w:sz w:val="20"/>
                <w:szCs w:val="20"/>
              </w:rPr>
            </w:pPr>
            <w:r w:rsidRPr="0090345B">
              <w:rPr>
                <w:rFonts w:cs="Arial"/>
                <w:sz w:val="20"/>
                <w:szCs w:val="20"/>
              </w:rPr>
              <w:t>Quasi-experimental design: strong difference-in-difference design</w:t>
            </w:r>
          </w:p>
        </w:tc>
        <w:tc>
          <w:tcPr>
            <w:tcW w:w="2319" w:type="pct"/>
            <w:tcBorders>
              <w:top w:val="single" w:sz="4" w:space="0" w:color="auto"/>
              <w:bottom w:val="single" w:sz="4" w:space="0" w:color="auto"/>
            </w:tcBorders>
            <w:shd w:val="clear" w:color="auto" w:fill="auto"/>
          </w:tcPr>
          <w:p w14:paraId="315EED83" w14:textId="77777777" w:rsidR="0025732F" w:rsidRPr="0090345B" w:rsidRDefault="0025732F">
            <w:pPr>
              <w:rPr>
                <w:rFonts w:cs="Arial"/>
                <w:sz w:val="20"/>
                <w:szCs w:val="20"/>
              </w:rPr>
            </w:pPr>
            <w:r w:rsidRPr="0090345B">
              <w:rPr>
                <w:rFonts w:cs="Arial"/>
                <w:sz w:val="20"/>
                <w:szCs w:val="20"/>
              </w:rPr>
              <w:t>Before and after outcomes for an intervention and comparison group. There should be robust evidence that the groups have moved in parallel during the time of the study. E.g. a pre-post evaluation of alcohol consumption levels among service users commencing treatment in April 2017 in two inner London boroughs – one borough with the intervention, the other without – observed over the same time frame.</w:t>
            </w:r>
          </w:p>
        </w:tc>
      </w:tr>
      <w:tr w:rsidR="0025732F" w:rsidRPr="0090345B" w14:paraId="29AF9E55" w14:textId="77777777" w:rsidTr="00565207">
        <w:trPr>
          <w:cantSplit/>
        </w:trPr>
        <w:tc>
          <w:tcPr>
            <w:tcW w:w="563" w:type="pct"/>
            <w:tcBorders>
              <w:top w:val="single" w:sz="4" w:space="0" w:color="auto"/>
              <w:bottom w:val="single" w:sz="4" w:space="0" w:color="auto"/>
            </w:tcBorders>
            <w:shd w:val="clear" w:color="auto" w:fill="auto"/>
          </w:tcPr>
          <w:p w14:paraId="736534DD" w14:textId="77777777" w:rsidR="0025732F" w:rsidRPr="0090345B" w:rsidRDefault="0025732F">
            <w:pPr>
              <w:rPr>
                <w:rFonts w:cs="Arial"/>
                <w:sz w:val="20"/>
                <w:szCs w:val="20"/>
              </w:rPr>
            </w:pPr>
            <w:r w:rsidRPr="0090345B">
              <w:rPr>
                <w:rFonts w:cs="Arial"/>
                <w:sz w:val="20"/>
                <w:szCs w:val="20"/>
              </w:rPr>
              <w:t>Level 4</w:t>
            </w:r>
          </w:p>
        </w:tc>
        <w:tc>
          <w:tcPr>
            <w:tcW w:w="664" w:type="pct"/>
            <w:tcBorders>
              <w:top w:val="single" w:sz="4" w:space="0" w:color="auto"/>
              <w:bottom w:val="single" w:sz="4" w:space="0" w:color="auto"/>
              <w:right w:val="single" w:sz="4" w:space="0" w:color="auto"/>
            </w:tcBorders>
            <w:shd w:val="clear" w:color="auto" w:fill="auto"/>
          </w:tcPr>
          <w:p w14:paraId="0CA9F5FA" w14:textId="77777777" w:rsidR="0025732F" w:rsidRPr="0090345B" w:rsidRDefault="0025732F">
            <w:pPr>
              <w:rPr>
                <w:rFonts w:cs="Arial"/>
                <w:sz w:val="20"/>
                <w:szCs w:val="20"/>
              </w:rPr>
            </w:pPr>
            <w:r w:rsidRPr="0090345B">
              <w:rPr>
                <w:rFonts w:cs="Arial"/>
                <w:sz w:val="20"/>
                <w:szCs w:val="20"/>
              </w:rPr>
              <w:t>High</w:t>
            </w:r>
          </w:p>
        </w:tc>
        <w:tc>
          <w:tcPr>
            <w:tcW w:w="1454" w:type="pct"/>
            <w:tcBorders>
              <w:top w:val="single" w:sz="4" w:space="0" w:color="auto"/>
              <w:left w:val="single" w:sz="4" w:space="0" w:color="auto"/>
              <w:bottom w:val="single" w:sz="4" w:space="0" w:color="auto"/>
            </w:tcBorders>
            <w:shd w:val="clear" w:color="auto" w:fill="auto"/>
          </w:tcPr>
          <w:p w14:paraId="6F4E3CAD" w14:textId="77777777" w:rsidR="0025732F" w:rsidRPr="0090345B" w:rsidRDefault="0025732F">
            <w:pPr>
              <w:rPr>
                <w:rFonts w:cs="Arial"/>
                <w:sz w:val="20"/>
                <w:szCs w:val="20"/>
              </w:rPr>
            </w:pPr>
            <w:r w:rsidRPr="0090345B">
              <w:rPr>
                <w:rFonts w:cs="Arial"/>
                <w:sz w:val="20"/>
                <w:szCs w:val="20"/>
              </w:rPr>
              <w:t>Quasi-experimental design: intervention group compared with a well-matched counterfactual</w:t>
            </w:r>
          </w:p>
        </w:tc>
        <w:tc>
          <w:tcPr>
            <w:tcW w:w="2319" w:type="pct"/>
            <w:tcBorders>
              <w:top w:val="single" w:sz="4" w:space="0" w:color="auto"/>
              <w:bottom w:val="single" w:sz="4" w:space="0" w:color="auto"/>
            </w:tcBorders>
            <w:shd w:val="clear" w:color="auto" w:fill="auto"/>
          </w:tcPr>
          <w:p w14:paraId="277AB648" w14:textId="77777777" w:rsidR="0025732F" w:rsidRPr="0090345B" w:rsidRDefault="0025732F">
            <w:pPr>
              <w:rPr>
                <w:rFonts w:cs="Arial"/>
                <w:sz w:val="20"/>
                <w:szCs w:val="20"/>
              </w:rPr>
            </w:pPr>
            <w:r w:rsidRPr="0090345B">
              <w:rPr>
                <w:rFonts w:cs="Arial"/>
                <w:sz w:val="20"/>
                <w:szCs w:val="20"/>
              </w:rPr>
              <w:t>Before and after outcomes for an intervention and comparison group matched on pertinent outcome-related factors using statistical techniques, e.g.  a pre-post treatment evaluation of alcohol consumption levels in two inner London boroughs where the comparison group is selected using propensity score matching to ensure fair comparisons and control for variables that might bias results. Done correctly, differences between the two groups can only be attributed to the intervention.</w:t>
            </w:r>
          </w:p>
        </w:tc>
      </w:tr>
      <w:tr w:rsidR="0025732F" w:rsidRPr="00925EA9" w14:paraId="03B77901" w14:textId="77777777" w:rsidTr="00565207">
        <w:trPr>
          <w:cantSplit/>
        </w:trPr>
        <w:tc>
          <w:tcPr>
            <w:tcW w:w="563" w:type="pct"/>
            <w:tcBorders>
              <w:top w:val="single" w:sz="4" w:space="0" w:color="auto"/>
              <w:bottom w:val="single" w:sz="4" w:space="0" w:color="auto"/>
            </w:tcBorders>
            <w:shd w:val="clear" w:color="auto" w:fill="auto"/>
          </w:tcPr>
          <w:p w14:paraId="5159E2DE" w14:textId="77777777" w:rsidR="0025732F" w:rsidRPr="0090345B" w:rsidRDefault="0025732F">
            <w:pPr>
              <w:rPr>
                <w:rFonts w:cs="Arial"/>
                <w:sz w:val="20"/>
                <w:szCs w:val="20"/>
              </w:rPr>
            </w:pPr>
            <w:r w:rsidRPr="0090345B">
              <w:rPr>
                <w:rFonts w:cs="Arial"/>
                <w:sz w:val="20"/>
                <w:szCs w:val="20"/>
              </w:rPr>
              <w:t>Level 5</w:t>
            </w:r>
          </w:p>
        </w:tc>
        <w:tc>
          <w:tcPr>
            <w:tcW w:w="664" w:type="pct"/>
            <w:tcBorders>
              <w:top w:val="single" w:sz="4" w:space="0" w:color="auto"/>
              <w:bottom w:val="single" w:sz="4" w:space="0" w:color="auto"/>
              <w:right w:val="single" w:sz="4" w:space="0" w:color="auto"/>
            </w:tcBorders>
            <w:shd w:val="clear" w:color="auto" w:fill="auto"/>
          </w:tcPr>
          <w:p w14:paraId="00613D23" w14:textId="77777777" w:rsidR="0025732F" w:rsidRPr="0090345B" w:rsidRDefault="0025732F">
            <w:pPr>
              <w:rPr>
                <w:rFonts w:cs="Arial"/>
                <w:sz w:val="20"/>
                <w:szCs w:val="20"/>
              </w:rPr>
            </w:pPr>
            <w:r w:rsidRPr="0090345B">
              <w:rPr>
                <w:rFonts w:cs="Arial"/>
                <w:sz w:val="20"/>
                <w:szCs w:val="20"/>
              </w:rPr>
              <w:t>Very high</w:t>
            </w:r>
          </w:p>
        </w:tc>
        <w:tc>
          <w:tcPr>
            <w:tcW w:w="1454" w:type="pct"/>
            <w:tcBorders>
              <w:top w:val="single" w:sz="4" w:space="0" w:color="auto"/>
              <w:left w:val="single" w:sz="4" w:space="0" w:color="auto"/>
              <w:bottom w:val="single" w:sz="4" w:space="0" w:color="auto"/>
            </w:tcBorders>
            <w:shd w:val="clear" w:color="auto" w:fill="auto"/>
          </w:tcPr>
          <w:p w14:paraId="2D731D11" w14:textId="77777777" w:rsidR="0025732F" w:rsidRPr="0090345B" w:rsidRDefault="0025732F">
            <w:pPr>
              <w:rPr>
                <w:rFonts w:cs="Arial"/>
                <w:sz w:val="20"/>
                <w:szCs w:val="20"/>
              </w:rPr>
            </w:pPr>
            <w:r w:rsidRPr="0090345B">
              <w:rPr>
                <w:rFonts w:cs="Arial"/>
                <w:sz w:val="20"/>
                <w:szCs w:val="20"/>
              </w:rPr>
              <w:t>Random allocation/ experimental design</w:t>
            </w:r>
          </w:p>
        </w:tc>
        <w:tc>
          <w:tcPr>
            <w:tcW w:w="2319" w:type="pct"/>
            <w:tcBorders>
              <w:top w:val="single" w:sz="4" w:space="0" w:color="auto"/>
              <w:bottom w:val="single" w:sz="4" w:space="0" w:color="auto"/>
            </w:tcBorders>
            <w:shd w:val="clear" w:color="auto" w:fill="auto"/>
          </w:tcPr>
          <w:p w14:paraId="342ED53E" w14:textId="77777777" w:rsidR="0025732F" w:rsidRPr="00925EA9" w:rsidRDefault="0025732F">
            <w:pPr>
              <w:rPr>
                <w:rFonts w:cs="Arial"/>
                <w:sz w:val="20"/>
                <w:szCs w:val="20"/>
              </w:rPr>
            </w:pPr>
            <w:r w:rsidRPr="0090345B">
              <w:rPr>
                <w:rFonts w:cs="Arial"/>
                <w:sz w:val="20"/>
                <w:szCs w:val="20"/>
              </w:rPr>
              <w:t>Individuals/ groups are assigned to either the intervention or control group and their outcomes observed, e.g. a randomised control trial. Further research studies are very unlikely to change our confidence in reported effectiveness.</w:t>
            </w:r>
            <w:r w:rsidRPr="00925EA9">
              <w:rPr>
                <w:rFonts w:cs="Arial"/>
                <w:sz w:val="20"/>
                <w:szCs w:val="20"/>
              </w:rPr>
              <w:t xml:space="preserve"> </w:t>
            </w:r>
          </w:p>
        </w:tc>
      </w:tr>
    </w:tbl>
    <w:p w14:paraId="30A9C7CC" w14:textId="77777777" w:rsidR="0025732F" w:rsidRPr="00925EA9" w:rsidRDefault="0025732F" w:rsidP="0025732F">
      <w:pPr>
        <w:rPr>
          <w:rFonts w:cs="Arial"/>
        </w:rPr>
      </w:pPr>
    </w:p>
    <w:p w14:paraId="4C45CAD0" w14:textId="77777777" w:rsidR="0025732F" w:rsidRDefault="0025732F" w:rsidP="0025732F">
      <w:pPr>
        <w:pStyle w:val="NoSpacing"/>
      </w:pPr>
      <w:bookmarkStart w:id="184" w:name="_Toc12604671"/>
      <w:bookmarkStart w:id="185" w:name="_Toc14441693"/>
    </w:p>
    <w:p w14:paraId="05282BA7" w14:textId="4A6CA62D" w:rsidR="00413D67" w:rsidRPr="00413D67" w:rsidRDefault="0025732F" w:rsidP="00856C3A">
      <w:pPr>
        <w:pStyle w:val="Heading2"/>
        <w:spacing w:line="360" w:lineRule="auto"/>
      </w:pPr>
      <w:bookmarkStart w:id="186" w:name="_Toc167810545"/>
      <w:bookmarkStart w:id="187" w:name="_Toc189229730"/>
      <w:r w:rsidRPr="00934827">
        <w:lastRenderedPageBreak/>
        <w:t>Results</w:t>
      </w:r>
      <w:bookmarkStart w:id="188" w:name="_Toc14441694"/>
      <w:bookmarkEnd w:id="184"/>
      <w:bookmarkEnd w:id="185"/>
      <w:bookmarkEnd w:id="186"/>
      <w:bookmarkEnd w:id="187"/>
    </w:p>
    <w:p w14:paraId="6E1E16D0" w14:textId="62FD982E" w:rsidR="0025732F" w:rsidRPr="00934827" w:rsidRDefault="00883A80" w:rsidP="00691479">
      <w:pPr>
        <w:pStyle w:val="Heading3"/>
      </w:pPr>
      <w:bookmarkStart w:id="189" w:name="_Toc189229731"/>
      <w:bookmarkEnd w:id="188"/>
      <w:r>
        <w:t>Characteristics of studies</w:t>
      </w:r>
      <w:bookmarkEnd w:id="189"/>
    </w:p>
    <w:p w14:paraId="7C0CF4F3" w14:textId="20553B7E" w:rsidR="00276087" w:rsidRDefault="0025732F" w:rsidP="00276087">
      <w:pPr>
        <w:pStyle w:val="NoSpacing"/>
        <w:spacing w:line="360" w:lineRule="auto"/>
      </w:pPr>
      <w:r w:rsidRPr="00925EA9">
        <w:t xml:space="preserve">The </w:t>
      </w:r>
      <w:r>
        <w:t xml:space="preserve">original </w:t>
      </w:r>
      <w:r w:rsidRPr="00925EA9">
        <w:t>search produced 1,652 records</w:t>
      </w:r>
      <w:r>
        <w:t xml:space="preserve"> (see </w:t>
      </w:r>
      <w:r w:rsidR="003544A3" w:rsidRPr="00C82356">
        <w:fldChar w:fldCharType="begin"/>
      </w:r>
      <w:r w:rsidR="003544A3" w:rsidRPr="00C82356">
        <w:instrText xml:space="preserve"> REF _Ref177138660 \h  \* MERGEFORMAT </w:instrText>
      </w:r>
      <w:r w:rsidR="003544A3" w:rsidRPr="00C82356">
        <w:fldChar w:fldCharType="separate"/>
      </w:r>
      <w:r w:rsidR="003544A3" w:rsidRPr="00C82356">
        <w:t xml:space="preserve">Figure </w:t>
      </w:r>
      <w:r w:rsidR="00AF4D08" w:rsidRPr="00C82356">
        <w:t>A</w:t>
      </w:r>
      <w:r w:rsidR="003544A3" w:rsidRPr="00C82356">
        <w:noBreakHyphen/>
        <w:t>1</w:t>
      </w:r>
      <w:r w:rsidR="003544A3" w:rsidRPr="00C82356">
        <w:fldChar w:fldCharType="end"/>
      </w:r>
      <w:r w:rsidR="003544A3" w:rsidRPr="00C82356">
        <w:t>)</w:t>
      </w:r>
      <w:r w:rsidRPr="00925EA9">
        <w:t xml:space="preserve">. Additional records were found through searches of </w:t>
      </w:r>
      <w:r>
        <w:t>the British Journal of Social Work and Social Care Online, a</w:t>
      </w:r>
      <w:r w:rsidRPr="00925EA9">
        <w:t xml:space="preserve">s well as </w:t>
      </w:r>
      <w:r w:rsidRPr="002B0BF2">
        <w:t xml:space="preserve">backward and forward citation searching on papers included in the </w:t>
      </w:r>
      <w:r w:rsidRPr="004F42F3">
        <w:t>study. Duplicates were subsequently removed, and 1,502 papers were initially screened. 121 studies were assessed for eligibility and a total of 5</w:t>
      </w:r>
      <w:r w:rsidR="00481EC0" w:rsidRPr="004F42F3">
        <w:t>1</w:t>
      </w:r>
      <w:r w:rsidRPr="004F42F3">
        <w:t xml:space="preserve"> studies analysed. Reasons for exclusion from the review during assessment for eligibility included studies being </w:t>
      </w:r>
      <w:r w:rsidR="00C75CC7" w:rsidRPr="004F42F3">
        <w:t>judged</w:t>
      </w:r>
      <w:r w:rsidRPr="004F42F3">
        <w:t xml:space="preserve"> low</w:t>
      </w:r>
      <w:r w:rsidR="00C75CC7" w:rsidRPr="004F42F3">
        <w:t xml:space="preserve"> or </w:t>
      </w:r>
      <w:r w:rsidRPr="004F42F3">
        <w:t>very low using the criteria specified above (n=</w:t>
      </w:r>
      <w:r w:rsidR="004F42F3" w:rsidRPr="004F42F3">
        <w:t>41</w:t>
      </w:r>
      <w:r w:rsidRPr="004F42F3">
        <w:t>), parental SUD outcomes not being reported (n=</w:t>
      </w:r>
      <w:r w:rsidR="004F42F3" w:rsidRPr="004F42F3">
        <w:t>7</w:t>
      </w:r>
      <w:r w:rsidRPr="004F42F3">
        <w:t>) or not being relevant to the research questions (n=</w:t>
      </w:r>
      <w:r w:rsidR="004F42F3" w:rsidRPr="004F42F3">
        <w:t>22</w:t>
      </w:r>
      <w:r w:rsidRPr="004F42F3">
        <w:t>).</w:t>
      </w:r>
      <w:r>
        <w:t xml:space="preserve"> </w:t>
      </w:r>
      <w:r w:rsidR="00276087">
        <w:t xml:space="preserve"> </w:t>
      </w:r>
    </w:p>
    <w:p w14:paraId="349F165D" w14:textId="47E85FB4" w:rsidR="0025732F" w:rsidRPr="00276087" w:rsidRDefault="0025732F" w:rsidP="00A6488B">
      <w:pPr>
        <w:pStyle w:val="NoSpacing"/>
        <w:keepNext/>
        <w:spacing w:line="360" w:lineRule="auto"/>
      </w:pPr>
    </w:p>
    <w:p w14:paraId="2B68766F" w14:textId="00D8199C" w:rsidR="00CE3373" w:rsidRPr="00CE3373" w:rsidRDefault="003544A3" w:rsidP="003544A3">
      <w:pPr>
        <w:pStyle w:val="Caption"/>
        <w:rPr>
          <w:b w:val="0"/>
          <w:bCs w:val="0"/>
          <w:i/>
          <w:iCs/>
          <w:color w:val="auto"/>
          <w:sz w:val="24"/>
          <w:szCs w:val="24"/>
        </w:rPr>
      </w:pPr>
      <w:bookmarkStart w:id="190" w:name="_Ref177138660"/>
      <w:bookmarkStart w:id="191" w:name="_Ref177031470"/>
      <w:bookmarkStart w:id="192" w:name="_Toc185845015"/>
      <w:r w:rsidRPr="003544A3">
        <w:rPr>
          <w:rFonts w:cs="Arial"/>
          <w:b w:val="0"/>
          <w:bCs w:val="0"/>
          <w:i/>
          <w:iCs/>
          <w:color w:val="auto"/>
          <w:sz w:val="24"/>
          <w:szCs w:val="24"/>
        </w:rPr>
        <w:t xml:space="preserve">Figure </w:t>
      </w:r>
      <w:r w:rsidR="00AF4D08">
        <w:rPr>
          <w:rFonts w:cs="Arial"/>
          <w:b w:val="0"/>
          <w:bCs w:val="0"/>
          <w:i/>
          <w:iCs/>
          <w:color w:val="auto"/>
          <w:sz w:val="24"/>
          <w:szCs w:val="24"/>
        </w:rPr>
        <w:t>A</w:t>
      </w:r>
      <w:r w:rsidR="002B1FB9">
        <w:rPr>
          <w:rFonts w:cs="Arial"/>
          <w:b w:val="0"/>
          <w:bCs w:val="0"/>
          <w:i/>
          <w:iCs/>
          <w:color w:val="auto"/>
          <w:sz w:val="24"/>
          <w:szCs w:val="24"/>
        </w:rPr>
        <w:noBreakHyphen/>
      </w:r>
      <w:r w:rsidR="002B1FB9">
        <w:rPr>
          <w:rFonts w:cs="Arial"/>
          <w:b w:val="0"/>
          <w:bCs w:val="0"/>
          <w:i/>
          <w:iCs/>
          <w:color w:val="auto"/>
          <w:sz w:val="24"/>
          <w:szCs w:val="24"/>
        </w:rPr>
        <w:fldChar w:fldCharType="begin"/>
      </w:r>
      <w:r w:rsidR="002B1FB9">
        <w:rPr>
          <w:rFonts w:cs="Arial"/>
          <w:b w:val="0"/>
          <w:bCs w:val="0"/>
          <w:i/>
          <w:iCs/>
          <w:color w:val="auto"/>
          <w:sz w:val="24"/>
          <w:szCs w:val="24"/>
        </w:rPr>
        <w:instrText xml:space="preserve"> SEQ Figure \* ARABIC \s 2 </w:instrText>
      </w:r>
      <w:r w:rsidR="002B1FB9">
        <w:rPr>
          <w:rFonts w:cs="Arial"/>
          <w:b w:val="0"/>
          <w:bCs w:val="0"/>
          <w:i/>
          <w:iCs/>
          <w:color w:val="auto"/>
          <w:sz w:val="24"/>
          <w:szCs w:val="24"/>
        </w:rPr>
        <w:fldChar w:fldCharType="separate"/>
      </w:r>
      <w:r w:rsidR="002B1FB9">
        <w:rPr>
          <w:rFonts w:cs="Arial"/>
          <w:b w:val="0"/>
          <w:bCs w:val="0"/>
          <w:i/>
          <w:iCs/>
          <w:noProof/>
          <w:color w:val="auto"/>
          <w:sz w:val="24"/>
          <w:szCs w:val="24"/>
        </w:rPr>
        <w:t>1</w:t>
      </w:r>
      <w:r w:rsidR="002B1FB9">
        <w:rPr>
          <w:rFonts w:cs="Arial"/>
          <w:b w:val="0"/>
          <w:bCs w:val="0"/>
          <w:i/>
          <w:iCs/>
          <w:color w:val="auto"/>
          <w:sz w:val="24"/>
          <w:szCs w:val="24"/>
        </w:rPr>
        <w:fldChar w:fldCharType="end"/>
      </w:r>
      <w:bookmarkEnd w:id="190"/>
      <w:r w:rsidR="00A6488B">
        <w:rPr>
          <w:b w:val="0"/>
          <w:bCs w:val="0"/>
          <w:i/>
          <w:iCs/>
          <w:color w:val="auto"/>
          <w:sz w:val="24"/>
          <w:szCs w:val="24"/>
        </w:rPr>
        <w:tab/>
      </w:r>
      <w:r w:rsidR="00A6488B" w:rsidRPr="00A6488B">
        <w:rPr>
          <w:rFonts w:cs="Arial"/>
          <w:b w:val="0"/>
          <w:bCs w:val="0"/>
          <w:i/>
          <w:iCs/>
          <w:color w:val="auto"/>
          <w:sz w:val="24"/>
          <w:szCs w:val="24"/>
        </w:rPr>
        <w:t>Review PRISMA diagram</w:t>
      </w:r>
      <w:bookmarkStart w:id="193" w:name="_Toc14441695"/>
      <w:bookmarkEnd w:id="191"/>
      <w:bookmarkEnd w:id="192"/>
    </w:p>
    <w:p w14:paraId="61945C69" w14:textId="4EFD1459" w:rsidR="00CE3373" w:rsidRPr="00F206F2" w:rsidRDefault="00CE3373" w:rsidP="00CE3373">
      <w:pPr>
        <w:rPr>
          <w:rFonts w:cs="Arial"/>
          <w:szCs w:val="24"/>
        </w:rPr>
      </w:pPr>
      <w:r>
        <w:rPr>
          <w:rFonts w:cs="Arial"/>
          <w:noProof/>
          <w:szCs w:val="24"/>
        </w:rPr>
        <mc:AlternateContent>
          <mc:Choice Requires="wps">
            <w:drawing>
              <wp:anchor distT="36576" distB="36576" distL="36576" distR="36576" simplePos="0" relativeHeight="251707392" behindDoc="0" locked="0" layoutInCell="1" allowOverlap="1" wp14:anchorId="295ABA98" wp14:editId="496E046E">
                <wp:simplePos x="0" y="0"/>
                <wp:positionH relativeFrom="column">
                  <wp:posOffset>2628900</wp:posOffset>
                </wp:positionH>
                <wp:positionV relativeFrom="paragraph">
                  <wp:posOffset>974725</wp:posOffset>
                </wp:positionV>
                <wp:extent cx="0" cy="457200"/>
                <wp:effectExtent l="57150" t="12700" r="57150" b="15875"/>
                <wp:wrapNone/>
                <wp:docPr id="149058363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117106" id="Straight Arrow Connector 15" o:spid="_x0000_s1026" type="#_x0000_t32" style="position:absolute;margin-left:207pt;margin-top:76.75pt;width:0;height:36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">
                <v:stroke endarrow="block"/>
                <v:shadow color="#ccc"/>
              </v:shape>
            </w:pict>
          </mc:Fallback>
        </mc:AlternateContent>
      </w:r>
      <w:r>
        <w:rPr>
          <w:rFonts w:cs="Arial"/>
          <w:noProof/>
          <w:szCs w:val="24"/>
        </w:rPr>
        <mc:AlternateContent>
          <mc:Choice Requires="wps">
            <w:drawing>
              <wp:anchor distT="36576" distB="36576" distL="36576" distR="36576" simplePos="0" relativeHeight="251704320" behindDoc="0" locked="0" layoutInCell="1" allowOverlap="1" wp14:anchorId="18B50F65" wp14:editId="26466290">
                <wp:simplePos x="0" y="0"/>
                <wp:positionH relativeFrom="column">
                  <wp:posOffset>342900</wp:posOffset>
                </wp:positionH>
                <wp:positionV relativeFrom="paragraph">
                  <wp:posOffset>974725</wp:posOffset>
                </wp:positionV>
                <wp:extent cx="0" cy="457200"/>
                <wp:effectExtent l="57150" t="12700" r="57150" b="15875"/>
                <wp:wrapNone/>
                <wp:docPr id="40860141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C3AF6F" id="Straight Arrow Connector 14" o:spid="_x0000_s1026" type="#_x0000_t32" style="position:absolute;margin-left:27pt;margin-top:76.75pt;width:0;height:3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">
                <v:stroke endarrow="block"/>
                <v:shadow color="#ccc"/>
              </v:shape>
            </w:pict>
          </mc:Fallback>
        </mc:AlternateContent>
      </w:r>
      <w:r>
        <w:rPr>
          <w:rFonts w:cs="Arial"/>
          <w:noProof/>
          <w:szCs w:val="24"/>
        </w:rPr>
        <mc:AlternateContent>
          <mc:Choice Requires="wps">
            <w:drawing>
              <wp:anchor distT="0" distB="0" distL="114300" distR="114300" simplePos="0" relativeHeight="251713536" behindDoc="0" locked="0" layoutInCell="1" allowOverlap="1" wp14:anchorId="751C55AD" wp14:editId="61BA9248">
                <wp:simplePos x="0" y="0"/>
                <wp:positionH relativeFrom="column">
                  <wp:posOffset>99695</wp:posOffset>
                </wp:positionH>
                <wp:positionV relativeFrom="paragraph">
                  <wp:posOffset>1431925</wp:posOffset>
                </wp:positionV>
                <wp:extent cx="2771775" cy="571500"/>
                <wp:effectExtent l="13970" t="12700" r="5080" b="6350"/>
                <wp:wrapNone/>
                <wp:docPr id="15315189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26C0F9B5" w14:textId="77777777" w:rsidR="00CE3373" w:rsidRDefault="00CE3373" w:rsidP="00CE3373">
                            <w:pPr>
                              <w:jc w:val="center"/>
                              <w:rPr>
                                <w:rFonts w:ascii="Calibri" w:hAnsi="Calibri"/>
                                <w:sz w:val="22"/>
                                <w:lang w:val="en"/>
                              </w:rPr>
                            </w:pPr>
                            <w:r>
                              <w:rPr>
                                <w:rFonts w:ascii="Calibri" w:hAnsi="Calibri"/>
                                <w:sz w:val="22"/>
                              </w:rPr>
                              <w:t>Records after duplicates removed</w:t>
                            </w:r>
                            <w:r>
                              <w:rPr>
                                <w:rFonts w:ascii="Calibri" w:hAnsi="Calibri"/>
                                <w:sz w:val="22"/>
                              </w:rPr>
                              <w:br/>
                              <w:t>(n = 1,502)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C55AD" id="Rectangle 13" o:spid="_x0000_s1092" style="position:absolute;margin-left:7.85pt;margin-top:112.75pt;width:218.25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">
                <v:textbox inset=",7.2pt,,7.2pt">
                  <w:txbxContent>
                    <w:p w14:paraId="26C0F9B5" w14:textId="77777777" w:rsidR="00CE3373" w:rsidRDefault="00CE3373" w:rsidP="00CE3373">
                      <w:pPr>
                        <w:jc w:val="center"/>
                        <w:rPr>
                          <w:rFonts w:ascii="Calibri" w:hAnsi="Calibri"/>
                          <w:sz w:val="22"/>
                          <w:lang w:val="en"/>
                        </w:rPr>
                      </w:pPr>
                      <w:r>
                        <w:rPr>
                          <w:rFonts w:ascii="Calibri" w:hAnsi="Calibri"/>
                          <w:sz w:val="22"/>
                        </w:rPr>
                        <w:t>Records after duplicates removed</w:t>
                      </w:r>
                      <w:r>
                        <w:rPr>
                          <w:rFonts w:ascii="Calibri" w:hAnsi="Calibri"/>
                          <w:sz w:val="22"/>
                        </w:rPr>
                        <w:br/>
                        <w:t>(n = 1,502)</w:t>
                      </w:r>
                    </w:p>
                  </w:txbxContent>
                </v:textbox>
              </v:rect>
            </w:pict>
          </mc:Fallback>
        </mc:AlternateContent>
      </w:r>
      <w:r>
        <w:rPr>
          <w:rFonts w:cs="Arial"/>
          <w:noProof/>
          <w:szCs w:val="24"/>
        </w:rPr>
        <mc:AlternateContent>
          <mc:Choice Requires="wps">
            <w:drawing>
              <wp:anchor distT="0" distB="0" distL="114300" distR="114300" simplePos="0" relativeHeight="251710464" behindDoc="0" locked="0" layoutInCell="1" allowOverlap="1" wp14:anchorId="5B0FD2B2" wp14:editId="5F338F4C">
                <wp:simplePos x="0" y="0"/>
                <wp:positionH relativeFrom="column">
                  <wp:posOffset>1657350</wp:posOffset>
                </wp:positionH>
                <wp:positionV relativeFrom="paragraph">
                  <wp:posOffset>288925</wp:posOffset>
                </wp:positionV>
                <wp:extent cx="2228850" cy="685800"/>
                <wp:effectExtent l="9525" t="12700" r="9525" b="6350"/>
                <wp:wrapNone/>
                <wp:docPr id="1674171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5800"/>
                        </a:xfrm>
                        <a:prstGeom prst="rect">
                          <a:avLst/>
                        </a:prstGeom>
                        <a:solidFill>
                          <a:srgbClr val="FFFFFF"/>
                        </a:solidFill>
                        <a:ln w="9525">
                          <a:solidFill>
                            <a:srgbClr val="000000"/>
                          </a:solidFill>
                          <a:miter lim="800000"/>
                          <a:headEnd/>
                          <a:tailEnd/>
                        </a:ln>
                      </wps:spPr>
                      <wps:txbx>
                        <w:txbxContent>
                          <w:p w14:paraId="0EB9424B" w14:textId="77777777" w:rsidR="00CE3373" w:rsidRDefault="00CE3373" w:rsidP="00CE3373">
                            <w:pPr>
                              <w:jc w:val="center"/>
                              <w:rPr>
                                <w:rFonts w:ascii="Calibri" w:hAnsi="Calibri"/>
                                <w:sz w:val="22"/>
                                <w:lang w:val="en"/>
                              </w:rPr>
                            </w:pPr>
                            <w:r>
                              <w:rPr>
                                <w:rFonts w:ascii="Calibri" w:hAnsi="Calibri"/>
                                <w:sz w:val="22"/>
                              </w:rPr>
                              <w:t>Additional records identified through other sources</w:t>
                            </w:r>
                            <w:r>
                              <w:rPr>
                                <w:rFonts w:ascii="Calibri" w:hAnsi="Calibri"/>
                                <w:sz w:val="22"/>
                              </w:rPr>
                              <w:br/>
                              <w:t>(n = 46)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D2B2" id="Rectangle 12" o:spid="_x0000_s1093" style="position:absolute;margin-left:130.5pt;margin-top:22.75pt;width:175.5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">
                <v:textbox inset=",7.2pt,,7.2pt">
                  <w:txbxContent>
                    <w:p w14:paraId="0EB9424B" w14:textId="77777777" w:rsidR="00CE3373" w:rsidRDefault="00CE3373" w:rsidP="00CE3373">
                      <w:pPr>
                        <w:jc w:val="center"/>
                        <w:rPr>
                          <w:rFonts w:ascii="Calibri" w:hAnsi="Calibri"/>
                          <w:sz w:val="22"/>
                          <w:lang w:val="en"/>
                        </w:rPr>
                      </w:pPr>
                      <w:r>
                        <w:rPr>
                          <w:rFonts w:ascii="Calibri" w:hAnsi="Calibri"/>
                          <w:sz w:val="22"/>
                        </w:rPr>
                        <w:t>Additional records identified through other sources</w:t>
                      </w:r>
                      <w:r>
                        <w:rPr>
                          <w:rFonts w:ascii="Calibri" w:hAnsi="Calibri"/>
                          <w:sz w:val="22"/>
                        </w:rPr>
                        <w:br/>
                        <w:t>(n = 46)</w:t>
                      </w:r>
                    </w:p>
                  </w:txbxContent>
                </v:textbox>
              </v:rect>
            </w:pict>
          </mc:Fallback>
        </mc:AlternateContent>
      </w:r>
    </w:p>
    <w:p w14:paraId="13AA0B0E" w14:textId="5E027C1D" w:rsidR="00CE3373" w:rsidRPr="00F206F2" w:rsidRDefault="004F42F3" w:rsidP="00CE3373">
      <w:pPr>
        <w:rPr>
          <w:rFonts w:cs="Arial"/>
          <w:szCs w:val="24"/>
        </w:rPr>
      </w:pPr>
      <w:r>
        <w:rPr>
          <w:rFonts w:cs="Arial"/>
          <w:noProof/>
          <w:szCs w:val="24"/>
        </w:rPr>
        <mc:AlternateContent>
          <mc:Choice Requires="wps">
            <w:drawing>
              <wp:anchor distT="0" distB="0" distL="114300" distR="114300" simplePos="0" relativeHeight="251701248" behindDoc="0" locked="0" layoutInCell="1" allowOverlap="1" wp14:anchorId="0912D274" wp14:editId="30D744A5">
                <wp:simplePos x="0" y="0"/>
                <wp:positionH relativeFrom="column">
                  <wp:posOffset>-659958</wp:posOffset>
                </wp:positionH>
                <wp:positionV relativeFrom="paragraph">
                  <wp:posOffset>113665</wp:posOffset>
                </wp:positionV>
                <wp:extent cx="2228850" cy="682625"/>
                <wp:effectExtent l="9525" t="12700" r="9525" b="9525"/>
                <wp:wrapNone/>
                <wp:docPr id="56583346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2625"/>
                        </a:xfrm>
                        <a:prstGeom prst="rect">
                          <a:avLst/>
                        </a:prstGeom>
                        <a:solidFill>
                          <a:srgbClr val="FFFFFF"/>
                        </a:solidFill>
                        <a:ln w="9525">
                          <a:solidFill>
                            <a:srgbClr val="000000"/>
                          </a:solidFill>
                          <a:miter lim="800000"/>
                          <a:headEnd/>
                          <a:tailEnd/>
                        </a:ln>
                      </wps:spPr>
                      <wps:txbx>
                        <w:txbxContent>
                          <w:p w14:paraId="1330D250" w14:textId="77777777" w:rsidR="00CE3373" w:rsidRDefault="00CE3373" w:rsidP="00CE3373">
                            <w:pPr>
                              <w:jc w:val="center"/>
                              <w:rPr>
                                <w:rFonts w:ascii="Calibri" w:hAnsi="Calibri"/>
                                <w:sz w:val="22"/>
                                <w:lang w:val="en"/>
                              </w:rPr>
                            </w:pPr>
                            <w:r>
                              <w:rPr>
                                <w:rFonts w:ascii="Calibri" w:hAnsi="Calibri"/>
                                <w:sz w:val="22"/>
                              </w:rPr>
                              <w:t>Records identified through database searching</w:t>
                            </w:r>
                            <w:r>
                              <w:rPr>
                                <w:rFonts w:ascii="Calibri" w:hAnsi="Calibri"/>
                                <w:sz w:val="22"/>
                              </w:rPr>
                              <w:br/>
                              <w:t>(n = 1,652)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2D274" id="Rectangle 11" o:spid="_x0000_s1094" style="position:absolute;margin-left:-51.95pt;margin-top:8.95pt;width:175.5pt;height:5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">
                <v:textbox inset=",7.2pt,,7.2pt">
                  <w:txbxContent>
                    <w:p w14:paraId="1330D250" w14:textId="77777777" w:rsidR="00CE3373" w:rsidRDefault="00CE3373" w:rsidP="00CE3373">
                      <w:pPr>
                        <w:jc w:val="center"/>
                        <w:rPr>
                          <w:rFonts w:ascii="Calibri" w:hAnsi="Calibri"/>
                          <w:sz w:val="22"/>
                          <w:lang w:val="en"/>
                        </w:rPr>
                      </w:pPr>
                      <w:r>
                        <w:rPr>
                          <w:rFonts w:ascii="Calibri" w:hAnsi="Calibri"/>
                          <w:sz w:val="22"/>
                        </w:rPr>
                        <w:t>Records identified through database searching</w:t>
                      </w:r>
                      <w:r>
                        <w:rPr>
                          <w:rFonts w:ascii="Calibri" w:hAnsi="Calibri"/>
                          <w:sz w:val="22"/>
                        </w:rPr>
                        <w:br/>
                        <w:t>(n = 1,652)</w:t>
                      </w:r>
                    </w:p>
                  </w:txbxContent>
                </v:textbox>
              </v:rect>
            </w:pict>
          </mc:Fallback>
        </mc:AlternateContent>
      </w:r>
    </w:p>
    <w:p w14:paraId="7D76C291" w14:textId="1F45FB2E" w:rsidR="00CE3373" w:rsidRPr="00F206F2" w:rsidRDefault="00CE3373" w:rsidP="00CE3373">
      <w:pPr>
        <w:rPr>
          <w:rFonts w:cs="Arial"/>
          <w:szCs w:val="24"/>
        </w:rPr>
      </w:pPr>
    </w:p>
    <w:p w14:paraId="50133481" w14:textId="77777777" w:rsidR="00CE3373" w:rsidRPr="00F206F2" w:rsidRDefault="00CE3373" w:rsidP="00CE3373">
      <w:pPr>
        <w:rPr>
          <w:rFonts w:cs="Arial"/>
          <w:szCs w:val="24"/>
        </w:rPr>
      </w:pPr>
    </w:p>
    <w:p w14:paraId="0BD20E36" w14:textId="77777777" w:rsidR="00CE3373" w:rsidRPr="00F206F2" w:rsidRDefault="00CE3373" w:rsidP="00CE3373">
      <w:pPr>
        <w:rPr>
          <w:rFonts w:cs="Arial"/>
          <w:szCs w:val="24"/>
        </w:rPr>
      </w:pPr>
    </w:p>
    <w:p w14:paraId="1477DCD3" w14:textId="77777777" w:rsidR="00CE3373" w:rsidRPr="00F206F2" w:rsidRDefault="00CE3373" w:rsidP="00CE3373">
      <w:pPr>
        <w:rPr>
          <w:rFonts w:cs="Arial"/>
          <w:szCs w:val="24"/>
        </w:rPr>
      </w:pPr>
    </w:p>
    <w:p w14:paraId="555F4EC3" w14:textId="77777777" w:rsidR="00CE3373" w:rsidRPr="00F206F2" w:rsidRDefault="00CE3373" w:rsidP="00CE3373">
      <w:pPr>
        <w:rPr>
          <w:rFonts w:cs="Arial"/>
          <w:szCs w:val="24"/>
        </w:rPr>
      </w:pPr>
    </w:p>
    <w:p w14:paraId="445D6CF3" w14:textId="77777777" w:rsidR="00CE3373" w:rsidRPr="00F206F2" w:rsidRDefault="00CE3373" w:rsidP="00CE3373">
      <w:pPr>
        <w:rPr>
          <w:rFonts w:cs="Arial"/>
          <w:szCs w:val="24"/>
        </w:rPr>
      </w:pPr>
    </w:p>
    <w:p w14:paraId="4F298583" w14:textId="77777777" w:rsidR="00CE3373" w:rsidRPr="00F206F2" w:rsidRDefault="00CE3373" w:rsidP="00CE3373">
      <w:pPr>
        <w:rPr>
          <w:rFonts w:cs="Arial"/>
          <w:szCs w:val="24"/>
        </w:rPr>
      </w:pPr>
    </w:p>
    <w:p w14:paraId="06F3C743" w14:textId="77777777" w:rsidR="00CE3373" w:rsidRPr="00F206F2" w:rsidRDefault="00CE3373" w:rsidP="00CE3373">
      <w:pPr>
        <w:rPr>
          <w:rFonts w:cs="Arial"/>
          <w:szCs w:val="24"/>
        </w:rPr>
      </w:pPr>
    </w:p>
    <w:p w14:paraId="5130128E" w14:textId="77777777" w:rsidR="00CE3373" w:rsidRPr="00F206F2" w:rsidRDefault="00CE3373" w:rsidP="00CE3373">
      <w:pPr>
        <w:rPr>
          <w:rFonts w:cs="Arial"/>
          <w:szCs w:val="24"/>
        </w:rPr>
      </w:pPr>
    </w:p>
    <w:p w14:paraId="3C44BAC9" w14:textId="3E9AD8E7" w:rsidR="00CE3373" w:rsidRPr="00F206F2" w:rsidRDefault="00CE3373" w:rsidP="00CE3373">
      <w:pPr>
        <w:rPr>
          <w:rFonts w:cs="Arial"/>
          <w:szCs w:val="24"/>
        </w:rPr>
      </w:pPr>
      <w:r>
        <w:rPr>
          <w:rFonts w:cs="Arial"/>
          <w:noProof/>
          <w:szCs w:val="24"/>
        </w:rPr>
        <mc:AlternateContent>
          <mc:Choice Requires="wps">
            <w:drawing>
              <wp:anchor distT="0" distB="0" distL="114300" distR="114300" simplePos="0" relativeHeight="251716608" behindDoc="0" locked="0" layoutInCell="1" allowOverlap="1" wp14:anchorId="3220732C" wp14:editId="69DF8269">
                <wp:simplePos x="0" y="0"/>
                <wp:positionH relativeFrom="column">
                  <wp:posOffset>650875</wp:posOffset>
                </wp:positionH>
                <wp:positionV relativeFrom="paragraph">
                  <wp:posOffset>603885</wp:posOffset>
                </wp:positionV>
                <wp:extent cx="1670050" cy="571500"/>
                <wp:effectExtent l="12700" t="13335" r="12700" b="5715"/>
                <wp:wrapNone/>
                <wp:docPr id="84556360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6A7830B2" w14:textId="77777777" w:rsidR="00CE3373" w:rsidRDefault="00CE3373" w:rsidP="00CE3373">
                            <w:pPr>
                              <w:jc w:val="center"/>
                              <w:rPr>
                                <w:rFonts w:ascii="Calibri" w:hAnsi="Calibri"/>
                                <w:sz w:val="22"/>
                                <w:lang w:val="en"/>
                              </w:rPr>
                            </w:pPr>
                            <w:r>
                              <w:rPr>
                                <w:rFonts w:ascii="Calibri" w:hAnsi="Calibri"/>
                                <w:sz w:val="22"/>
                              </w:rPr>
                              <w:t>Records screened</w:t>
                            </w:r>
                            <w:r>
                              <w:rPr>
                                <w:rFonts w:ascii="Calibri" w:hAnsi="Calibri"/>
                                <w:sz w:val="22"/>
                              </w:rPr>
                              <w:br/>
                              <w:t>(n = 1,502)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0732C" id="Rectangle 10" o:spid="_x0000_s1095" style="position:absolute;margin-left:51.25pt;margin-top:47.55pt;width:131.5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">
                <v:textbox inset=",7.2pt,,7.2pt">
                  <w:txbxContent>
                    <w:p w14:paraId="6A7830B2" w14:textId="77777777" w:rsidR="00CE3373" w:rsidRDefault="00CE3373" w:rsidP="00CE3373">
                      <w:pPr>
                        <w:jc w:val="center"/>
                        <w:rPr>
                          <w:rFonts w:ascii="Calibri" w:hAnsi="Calibri"/>
                          <w:sz w:val="22"/>
                          <w:lang w:val="en"/>
                        </w:rPr>
                      </w:pPr>
                      <w:r>
                        <w:rPr>
                          <w:rFonts w:ascii="Calibri" w:hAnsi="Calibri"/>
                          <w:sz w:val="22"/>
                        </w:rPr>
                        <w:t>Records screened</w:t>
                      </w:r>
                      <w:r>
                        <w:rPr>
                          <w:rFonts w:ascii="Calibri" w:hAnsi="Calibri"/>
                          <w:sz w:val="22"/>
                        </w:rPr>
                        <w:br/>
                        <w:t>(n = 1,502)</w:t>
                      </w:r>
                    </w:p>
                  </w:txbxContent>
                </v:textbox>
              </v:rect>
            </w:pict>
          </mc:Fallback>
        </mc:AlternateContent>
      </w:r>
      <w:r>
        <w:rPr>
          <w:rFonts w:cs="Arial"/>
          <w:noProof/>
          <w:szCs w:val="24"/>
        </w:rPr>
        <mc:AlternateContent>
          <mc:Choice Requires="wps">
            <w:drawing>
              <wp:anchor distT="36576" distB="36576" distL="36576" distR="36576" simplePos="0" relativeHeight="251731968" behindDoc="0" locked="0" layoutInCell="1" allowOverlap="1" wp14:anchorId="21EF4052" wp14:editId="2AB3A493">
                <wp:simplePos x="0" y="0"/>
                <wp:positionH relativeFrom="column">
                  <wp:posOffset>1485900</wp:posOffset>
                </wp:positionH>
                <wp:positionV relativeFrom="paragraph">
                  <wp:posOffset>75565</wp:posOffset>
                </wp:positionV>
                <wp:extent cx="0" cy="528320"/>
                <wp:effectExtent l="57150" t="8890" r="57150" b="15240"/>
                <wp:wrapNone/>
                <wp:docPr id="94166106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12D04F" id="Straight Arrow Connector 9" o:spid="_x0000_s1026" type="#_x0000_t32" style="position:absolute;margin-left:117pt;margin-top:5.95pt;width:0;height:41.6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">
                <v:stroke endarrow="block"/>
                <v:shadow color="#ccc"/>
              </v:shape>
            </w:pict>
          </mc:Fallback>
        </mc:AlternateContent>
      </w:r>
    </w:p>
    <w:p w14:paraId="33BE8BC2" w14:textId="77777777" w:rsidR="00CE3373" w:rsidRPr="00F206F2" w:rsidRDefault="00CE3373" w:rsidP="00CE3373">
      <w:pPr>
        <w:rPr>
          <w:rFonts w:cs="Arial"/>
          <w:szCs w:val="24"/>
        </w:rPr>
      </w:pPr>
    </w:p>
    <w:p w14:paraId="30046A0B" w14:textId="77777777" w:rsidR="00CE3373" w:rsidRPr="00F206F2" w:rsidRDefault="00CE3373" w:rsidP="00CE3373">
      <w:pPr>
        <w:rPr>
          <w:rFonts w:cs="Arial"/>
          <w:szCs w:val="24"/>
        </w:rPr>
      </w:pPr>
    </w:p>
    <w:p w14:paraId="3464F64C" w14:textId="28E0E82D" w:rsidR="00CE3373" w:rsidRPr="00F206F2" w:rsidRDefault="00CE3373" w:rsidP="00CE3373">
      <w:pPr>
        <w:rPr>
          <w:rFonts w:cs="Arial"/>
          <w:szCs w:val="24"/>
        </w:rPr>
      </w:pPr>
      <w:r>
        <w:rPr>
          <w:rFonts w:cs="Arial"/>
          <w:noProof/>
          <w:szCs w:val="24"/>
        </w:rPr>
        <mc:AlternateContent>
          <mc:Choice Requires="wps">
            <w:drawing>
              <wp:anchor distT="0" distB="0" distL="114300" distR="114300" simplePos="0" relativeHeight="251719680" behindDoc="0" locked="0" layoutInCell="1" allowOverlap="1" wp14:anchorId="72833B64" wp14:editId="578BCA68">
                <wp:simplePos x="0" y="0"/>
                <wp:positionH relativeFrom="column">
                  <wp:posOffset>3124200</wp:posOffset>
                </wp:positionH>
                <wp:positionV relativeFrom="paragraph">
                  <wp:posOffset>78105</wp:posOffset>
                </wp:positionV>
                <wp:extent cx="1714500" cy="571500"/>
                <wp:effectExtent l="9525" t="11430" r="9525" b="7620"/>
                <wp:wrapNone/>
                <wp:docPr id="17954222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7CFC2433" w14:textId="77777777" w:rsidR="00CE3373" w:rsidRDefault="00CE3373" w:rsidP="00CE3373">
                            <w:pPr>
                              <w:jc w:val="center"/>
                              <w:rPr>
                                <w:rFonts w:ascii="Calibri" w:hAnsi="Calibri"/>
                                <w:sz w:val="22"/>
                                <w:lang w:val="en"/>
                              </w:rPr>
                            </w:pPr>
                            <w:r w:rsidRPr="002D1FC4">
                              <w:rPr>
                                <w:rFonts w:ascii="Calibri" w:hAnsi="Calibri"/>
                                <w:sz w:val="22"/>
                              </w:rPr>
                              <w:t>Records excluded</w:t>
                            </w:r>
                            <w:r w:rsidRPr="002D1FC4">
                              <w:rPr>
                                <w:rFonts w:ascii="Calibri" w:hAnsi="Calibri"/>
                                <w:sz w:val="22"/>
                              </w:rPr>
                              <w:br/>
                              <w:t>(n = 1,381)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33B64" id="Rectangle 8" o:spid="_x0000_s1096" style="position:absolute;margin-left:246pt;margin-top:6.15pt;width:13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">
                <v:textbox inset=",7.2pt,,7.2pt">
                  <w:txbxContent>
                    <w:p w14:paraId="7CFC2433" w14:textId="77777777" w:rsidR="00CE3373" w:rsidRDefault="00CE3373" w:rsidP="00CE3373">
                      <w:pPr>
                        <w:jc w:val="center"/>
                        <w:rPr>
                          <w:rFonts w:ascii="Calibri" w:hAnsi="Calibri"/>
                          <w:sz w:val="22"/>
                          <w:lang w:val="en"/>
                        </w:rPr>
                      </w:pPr>
                      <w:r w:rsidRPr="002D1FC4">
                        <w:rPr>
                          <w:rFonts w:ascii="Calibri" w:hAnsi="Calibri"/>
                          <w:sz w:val="22"/>
                        </w:rPr>
                        <w:t>Records excluded</w:t>
                      </w:r>
                      <w:r w:rsidRPr="002D1FC4">
                        <w:rPr>
                          <w:rFonts w:ascii="Calibri" w:hAnsi="Calibri"/>
                          <w:sz w:val="22"/>
                        </w:rPr>
                        <w:br/>
                        <w:t>(n = 1,381)</w:t>
                      </w:r>
                    </w:p>
                  </w:txbxContent>
                </v:textbox>
              </v:rect>
            </w:pict>
          </mc:Fallback>
        </mc:AlternateContent>
      </w:r>
      <w:r>
        <w:rPr>
          <w:rFonts w:cs="Arial"/>
          <w:noProof/>
          <w:szCs w:val="24"/>
        </w:rPr>
        <mc:AlternateContent>
          <mc:Choice Requires="wps">
            <w:drawing>
              <wp:anchor distT="36576" distB="36576" distL="36576" distR="36576" simplePos="0" relativeHeight="251738112" behindDoc="0" locked="0" layoutInCell="1" allowOverlap="1" wp14:anchorId="2F8A4E9C" wp14:editId="0BB54300">
                <wp:simplePos x="0" y="0"/>
                <wp:positionH relativeFrom="column">
                  <wp:posOffset>2320925</wp:posOffset>
                </wp:positionH>
                <wp:positionV relativeFrom="paragraph">
                  <wp:posOffset>363855</wp:posOffset>
                </wp:positionV>
                <wp:extent cx="803275" cy="0"/>
                <wp:effectExtent l="6350" t="59055" r="19050" b="55245"/>
                <wp:wrapNone/>
                <wp:docPr id="212745947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2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C38032" id="Straight Arrow Connector 7" o:spid="_x0000_s1026" type="#_x0000_t32" style="position:absolute;margin-left:182.75pt;margin-top:28.65pt;width:63.25pt;height:0;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">
                <v:stroke endarrow="block"/>
                <v:shadow color="#ccc"/>
              </v:shape>
            </w:pict>
          </mc:Fallback>
        </mc:AlternateContent>
      </w:r>
    </w:p>
    <w:p w14:paraId="20499455" w14:textId="77777777" w:rsidR="00CE3373" w:rsidRPr="00F206F2" w:rsidRDefault="00CE3373" w:rsidP="00CE3373">
      <w:pPr>
        <w:rPr>
          <w:rFonts w:cs="Arial"/>
          <w:szCs w:val="24"/>
        </w:rPr>
      </w:pPr>
    </w:p>
    <w:p w14:paraId="41CC48BC" w14:textId="77777777" w:rsidR="00CE3373" w:rsidRDefault="00CE3373" w:rsidP="00CE3373">
      <w:pPr>
        <w:rPr>
          <w:rFonts w:cs="Arial"/>
          <w:szCs w:val="24"/>
        </w:rPr>
      </w:pPr>
    </w:p>
    <w:p w14:paraId="550F358E" w14:textId="77777777" w:rsidR="00CE3373" w:rsidRDefault="00CE3373" w:rsidP="00CE3373">
      <w:pPr>
        <w:rPr>
          <w:rFonts w:cs="Arial"/>
          <w:szCs w:val="24"/>
        </w:rPr>
      </w:pPr>
      <w:r>
        <w:rPr>
          <w:rFonts w:cs="Arial"/>
          <w:noProof/>
          <w:szCs w:val="24"/>
          <w:lang w:eastAsia="en-GB"/>
        </w:rPr>
        <mc:AlternateContent>
          <mc:Choice Requires="wps">
            <w:drawing>
              <wp:anchor distT="36576" distB="36576" distL="36576" distR="36576" simplePos="0" relativeHeight="251744256" behindDoc="0" locked="0" layoutInCell="1" allowOverlap="1" wp14:anchorId="14279088" wp14:editId="4CE07E5B">
                <wp:simplePos x="0" y="0"/>
                <wp:positionH relativeFrom="column">
                  <wp:posOffset>1476375</wp:posOffset>
                </wp:positionH>
                <wp:positionV relativeFrom="paragraph">
                  <wp:posOffset>106680</wp:posOffset>
                </wp:positionV>
                <wp:extent cx="0" cy="457200"/>
                <wp:effectExtent l="57150" t="11430" r="57150" b="17145"/>
                <wp:wrapNone/>
                <wp:docPr id="1896124825" name="Straight Arrow Connector 1896124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202616" id="Straight Arrow Connector 1896124825" o:spid="_x0000_s1026" type="#_x0000_t32" style="position:absolute;margin-left:116.25pt;margin-top:8.4pt;width:0;height:36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">
                <v:stroke endarrow="block"/>
                <v:shadow color="#ccc"/>
              </v:shape>
            </w:pict>
          </mc:Fallback>
        </mc:AlternateContent>
      </w:r>
    </w:p>
    <w:p w14:paraId="43865995" w14:textId="53FCBC83" w:rsidR="00CE3373" w:rsidRPr="00F206F2" w:rsidRDefault="00CE3373" w:rsidP="00CE3373">
      <w:pPr>
        <w:jc w:val="center"/>
        <w:rPr>
          <w:rFonts w:cs="Arial"/>
          <w:szCs w:val="24"/>
        </w:rPr>
      </w:pPr>
      <w:r>
        <w:rPr>
          <w:rFonts w:cs="Arial"/>
          <w:noProof/>
          <w:szCs w:val="24"/>
        </w:rPr>
        <mc:AlternateContent>
          <mc:Choice Requires="wps">
            <w:drawing>
              <wp:anchor distT="0" distB="0" distL="114300" distR="114300" simplePos="0" relativeHeight="251725824" behindDoc="0" locked="0" layoutInCell="1" allowOverlap="1" wp14:anchorId="67F68412" wp14:editId="6708B460">
                <wp:simplePos x="0" y="0"/>
                <wp:positionH relativeFrom="column">
                  <wp:posOffset>2978150</wp:posOffset>
                </wp:positionH>
                <wp:positionV relativeFrom="paragraph">
                  <wp:posOffset>215265</wp:posOffset>
                </wp:positionV>
                <wp:extent cx="1952625" cy="1045845"/>
                <wp:effectExtent l="6350" t="5715" r="12700" b="5715"/>
                <wp:wrapNone/>
                <wp:docPr id="20454706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045845"/>
                        </a:xfrm>
                        <a:prstGeom prst="rect">
                          <a:avLst/>
                        </a:prstGeom>
                        <a:solidFill>
                          <a:srgbClr val="FFFFFF"/>
                        </a:solidFill>
                        <a:ln w="9525">
                          <a:solidFill>
                            <a:srgbClr val="000000"/>
                          </a:solidFill>
                          <a:miter lim="800000"/>
                          <a:headEnd/>
                          <a:tailEnd/>
                        </a:ln>
                      </wps:spPr>
                      <wps:txbx>
                        <w:txbxContent>
                          <w:p w14:paraId="275026E3" w14:textId="77777777" w:rsidR="00CE3373" w:rsidRDefault="00CE3373" w:rsidP="00CE3373">
                            <w:pPr>
                              <w:jc w:val="center"/>
                              <w:rPr>
                                <w:rFonts w:ascii="Calibri" w:hAnsi="Calibri"/>
                                <w:sz w:val="22"/>
                              </w:rPr>
                            </w:pPr>
                            <w:r w:rsidRPr="002D1FC4">
                              <w:rPr>
                                <w:rFonts w:ascii="Calibri" w:hAnsi="Calibri"/>
                                <w:sz w:val="22"/>
                              </w:rPr>
                              <w:t>Full-text articles excluded,</w:t>
                            </w:r>
                          </w:p>
                          <w:p w14:paraId="48F0A735" w14:textId="77777777" w:rsidR="00CE3373" w:rsidRDefault="00CE3373" w:rsidP="00CE3373">
                            <w:pPr>
                              <w:jc w:val="center"/>
                              <w:rPr>
                                <w:rFonts w:ascii="Calibri" w:hAnsi="Calibri"/>
                                <w:sz w:val="22"/>
                              </w:rPr>
                            </w:pPr>
                            <w:r>
                              <w:rPr>
                                <w:rFonts w:ascii="Calibri" w:hAnsi="Calibri"/>
                                <w:sz w:val="22"/>
                              </w:rPr>
                              <w:t>(very low-quality n = 41;</w:t>
                            </w:r>
                          </w:p>
                          <w:p w14:paraId="534B86CD" w14:textId="77777777" w:rsidR="00CE3373" w:rsidRPr="00677BC6" w:rsidRDefault="00CE3373" w:rsidP="00CE3373">
                            <w:pPr>
                              <w:jc w:val="center"/>
                              <w:rPr>
                                <w:rFonts w:ascii="Calibri" w:hAnsi="Calibri"/>
                                <w:sz w:val="22"/>
                              </w:rPr>
                            </w:pPr>
                            <w:r>
                              <w:rPr>
                                <w:rFonts w:ascii="Calibri" w:hAnsi="Calibri"/>
                                <w:sz w:val="22"/>
                              </w:rPr>
                              <w:t>Parent outcome not reported n=7; not relevant to research question n=22)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68412" id="Rectangle 6" o:spid="_x0000_s1097" style="position:absolute;left:0;text-align:left;margin-left:234.5pt;margin-top:16.95pt;width:153.75pt;height:82.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">
                <v:textbox inset=",7.2pt,,7.2pt">
                  <w:txbxContent>
                    <w:p w14:paraId="275026E3" w14:textId="77777777" w:rsidR="00CE3373" w:rsidRDefault="00CE3373" w:rsidP="00CE3373">
                      <w:pPr>
                        <w:jc w:val="center"/>
                        <w:rPr>
                          <w:rFonts w:ascii="Calibri" w:hAnsi="Calibri"/>
                          <w:sz w:val="22"/>
                        </w:rPr>
                      </w:pPr>
                      <w:r w:rsidRPr="002D1FC4">
                        <w:rPr>
                          <w:rFonts w:ascii="Calibri" w:hAnsi="Calibri"/>
                          <w:sz w:val="22"/>
                        </w:rPr>
                        <w:t>Full-text articles excluded,</w:t>
                      </w:r>
                    </w:p>
                    <w:p w14:paraId="48F0A735" w14:textId="77777777" w:rsidR="00CE3373" w:rsidRDefault="00CE3373" w:rsidP="00CE3373">
                      <w:pPr>
                        <w:jc w:val="center"/>
                        <w:rPr>
                          <w:rFonts w:ascii="Calibri" w:hAnsi="Calibri"/>
                          <w:sz w:val="22"/>
                        </w:rPr>
                      </w:pPr>
                      <w:r>
                        <w:rPr>
                          <w:rFonts w:ascii="Calibri" w:hAnsi="Calibri"/>
                          <w:sz w:val="22"/>
                        </w:rPr>
                        <w:t>(very low-quality n = 41;</w:t>
                      </w:r>
                    </w:p>
                    <w:p w14:paraId="534B86CD" w14:textId="77777777" w:rsidR="00CE3373" w:rsidRPr="00677BC6" w:rsidRDefault="00CE3373" w:rsidP="00CE3373">
                      <w:pPr>
                        <w:jc w:val="center"/>
                        <w:rPr>
                          <w:rFonts w:ascii="Calibri" w:hAnsi="Calibri"/>
                          <w:sz w:val="22"/>
                        </w:rPr>
                      </w:pPr>
                      <w:r>
                        <w:rPr>
                          <w:rFonts w:ascii="Calibri" w:hAnsi="Calibri"/>
                          <w:sz w:val="22"/>
                        </w:rPr>
                        <w:t>Parent outcome not reported n=7; not relevant to research question n=22)</w:t>
                      </w:r>
                    </w:p>
                  </w:txbxContent>
                </v:textbox>
              </v:rect>
            </w:pict>
          </mc:Fallback>
        </mc:AlternateContent>
      </w:r>
      <w:r>
        <w:rPr>
          <w:rFonts w:cs="Arial"/>
          <w:noProof/>
          <w:szCs w:val="24"/>
        </w:rPr>
        <mc:AlternateContent>
          <mc:Choice Requires="wps">
            <w:drawing>
              <wp:anchor distT="36576" distB="36576" distL="36576" distR="36576" simplePos="0" relativeHeight="251741184" behindDoc="0" locked="0" layoutInCell="1" allowOverlap="1" wp14:anchorId="773598BA" wp14:editId="132E9F81">
                <wp:simplePos x="0" y="0"/>
                <wp:positionH relativeFrom="column">
                  <wp:posOffset>2298700</wp:posOffset>
                </wp:positionH>
                <wp:positionV relativeFrom="paragraph">
                  <wp:posOffset>652780</wp:posOffset>
                </wp:positionV>
                <wp:extent cx="679450" cy="635"/>
                <wp:effectExtent l="12700" t="52705" r="22225" b="60960"/>
                <wp:wrapNone/>
                <wp:docPr id="164432090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9BAFAD" id="Straight Arrow Connector 5" o:spid="_x0000_s1026" type="#_x0000_t32" style="position:absolute;margin-left:181pt;margin-top:51.4pt;width:53.5pt;height:.0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">
                <v:stroke endarrow="block"/>
                <v:shadow color="#ccc"/>
              </v:shape>
            </w:pict>
          </mc:Fallback>
        </mc:AlternateContent>
      </w:r>
      <w:r>
        <w:rPr>
          <w:rFonts w:cs="Arial"/>
          <w:noProof/>
          <w:szCs w:val="24"/>
        </w:rPr>
        <mc:AlternateContent>
          <mc:Choice Requires="wps">
            <w:drawing>
              <wp:anchor distT="0" distB="0" distL="114300" distR="114300" simplePos="0" relativeHeight="251722752" behindDoc="0" locked="0" layoutInCell="1" allowOverlap="1" wp14:anchorId="5E3110E1" wp14:editId="14649506">
                <wp:simplePos x="0" y="0"/>
                <wp:positionH relativeFrom="column">
                  <wp:posOffset>584200</wp:posOffset>
                </wp:positionH>
                <wp:positionV relativeFrom="paragraph">
                  <wp:posOffset>377190</wp:posOffset>
                </wp:positionV>
                <wp:extent cx="1714500" cy="685800"/>
                <wp:effectExtent l="12700" t="5715" r="6350" b="13335"/>
                <wp:wrapNone/>
                <wp:docPr id="18598913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15823B57" w14:textId="77777777" w:rsidR="00CE3373" w:rsidRDefault="00CE3373" w:rsidP="00CE3373">
                            <w:pPr>
                              <w:jc w:val="center"/>
                              <w:rPr>
                                <w:rFonts w:ascii="Calibri" w:hAnsi="Calibri"/>
                                <w:sz w:val="22"/>
                                <w:lang w:val="en"/>
                              </w:rPr>
                            </w:pPr>
                            <w:r>
                              <w:rPr>
                                <w:rFonts w:ascii="Calibri" w:hAnsi="Calibri"/>
                                <w:sz w:val="22"/>
                              </w:rPr>
                              <w:t>Full-text articles assessed for eligibility</w:t>
                            </w:r>
                            <w:r>
                              <w:rPr>
                                <w:rFonts w:ascii="Calibri" w:hAnsi="Calibri"/>
                                <w:sz w:val="22"/>
                              </w:rPr>
                              <w:br/>
                              <w:t>(n = 121)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110E1" id="Rectangle 4" o:spid="_x0000_s1098" style="position:absolute;left:0;text-align:left;margin-left:46pt;margin-top:29.7pt;width:135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">
                <v:textbox inset=",7.2pt,,7.2pt">
                  <w:txbxContent>
                    <w:p w14:paraId="15823B57" w14:textId="77777777" w:rsidR="00CE3373" w:rsidRDefault="00CE3373" w:rsidP="00CE3373">
                      <w:pPr>
                        <w:jc w:val="center"/>
                        <w:rPr>
                          <w:rFonts w:ascii="Calibri" w:hAnsi="Calibri"/>
                          <w:sz w:val="22"/>
                          <w:lang w:val="en"/>
                        </w:rPr>
                      </w:pPr>
                      <w:r>
                        <w:rPr>
                          <w:rFonts w:ascii="Calibri" w:hAnsi="Calibri"/>
                          <w:sz w:val="22"/>
                        </w:rPr>
                        <w:t>Full-text articles assessed for eligibility</w:t>
                      </w:r>
                      <w:r>
                        <w:rPr>
                          <w:rFonts w:ascii="Calibri" w:hAnsi="Calibri"/>
                          <w:sz w:val="22"/>
                        </w:rPr>
                        <w:br/>
                        <w:t>(n = 121)</w:t>
                      </w:r>
                    </w:p>
                  </w:txbxContent>
                </v:textbox>
              </v:rect>
            </w:pict>
          </mc:Fallback>
        </mc:AlternateContent>
      </w:r>
      <w:r>
        <w:rPr>
          <w:rFonts w:cs="Arial"/>
          <w:noProof/>
          <w:szCs w:val="24"/>
        </w:rPr>
        <mc:AlternateContent>
          <mc:Choice Requires="wps">
            <w:drawing>
              <wp:anchor distT="0" distB="0" distL="114300" distR="114300" simplePos="0" relativeHeight="251728896" behindDoc="0" locked="0" layoutInCell="1" allowOverlap="1" wp14:anchorId="1B616494" wp14:editId="2FFA817D">
                <wp:simplePos x="0" y="0"/>
                <wp:positionH relativeFrom="column">
                  <wp:posOffset>606425</wp:posOffset>
                </wp:positionH>
                <wp:positionV relativeFrom="paragraph">
                  <wp:posOffset>1482090</wp:posOffset>
                </wp:positionV>
                <wp:extent cx="1714500" cy="550545"/>
                <wp:effectExtent l="6350" t="5715" r="12700" b="5715"/>
                <wp:wrapNone/>
                <wp:docPr id="6719271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50545"/>
                        </a:xfrm>
                        <a:prstGeom prst="rect">
                          <a:avLst/>
                        </a:prstGeom>
                        <a:solidFill>
                          <a:srgbClr val="FFFFFF"/>
                        </a:solidFill>
                        <a:ln w="9525">
                          <a:solidFill>
                            <a:srgbClr val="000000"/>
                          </a:solidFill>
                          <a:miter lim="800000"/>
                          <a:headEnd/>
                          <a:tailEnd/>
                        </a:ln>
                      </wps:spPr>
                      <wps:txbx>
                        <w:txbxContent>
                          <w:p w14:paraId="528EFB94" w14:textId="77777777" w:rsidR="00CE3373" w:rsidRDefault="00CE3373" w:rsidP="00CE3373">
                            <w:pPr>
                              <w:jc w:val="center"/>
                              <w:rPr>
                                <w:rFonts w:ascii="Calibri" w:hAnsi="Calibri"/>
                                <w:sz w:val="22"/>
                                <w:lang w:val="en"/>
                              </w:rPr>
                            </w:pPr>
                            <w:r w:rsidRPr="00256278">
                              <w:rPr>
                                <w:rFonts w:ascii="Calibri" w:hAnsi="Calibri"/>
                                <w:sz w:val="22"/>
                              </w:rPr>
                              <w:t xml:space="preserve">Studies included </w:t>
                            </w:r>
                            <w:r w:rsidRPr="00256278">
                              <w:rPr>
                                <w:rFonts w:ascii="Calibri" w:hAnsi="Calibri"/>
                                <w:sz w:val="22"/>
                              </w:rPr>
                              <w:br/>
                              <w:t>(n = 5</w:t>
                            </w:r>
                            <w:r>
                              <w:rPr>
                                <w:rFonts w:ascii="Calibri" w:hAnsi="Calibri"/>
                                <w:sz w:val="22"/>
                              </w:rPr>
                              <w:t>1</w:t>
                            </w:r>
                            <w:r w:rsidRPr="00256278">
                              <w:rPr>
                                <w:rFonts w:ascii="Calibri" w:hAnsi="Calibri"/>
                                <w:sz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16494" id="Rectangle 3" o:spid="_x0000_s1099" style="position:absolute;left:0;text-align:left;margin-left:47.75pt;margin-top:116.7pt;width:135pt;height:4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">
                <v:textbox inset=",7.2pt,,7.2pt">
                  <w:txbxContent>
                    <w:p w14:paraId="528EFB94" w14:textId="77777777" w:rsidR="00CE3373" w:rsidRDefault="00CE3373" w:rsidP="00CE3373">
                      <w:pPr>
                        <w:jc w:val="center"/>
                        <w:rPr>
                          <w:rFonts w:ascii="Calibri" w:hAnsi="Calibri"/>
                          <w:sz w:val="22"/>
                          <w:lang w:val="en"/>
                        </w:rPr>
                      </w:pPr>
                      <w:r w:rsidRPr="00256278">
                        <w:rPr>
                          <w:rFonts w:ascii="Calibri" w:hAnsi="Calibri"/>
                          <w:sz w:val="22"/>
                        </w:rPr>
                        <w:t xml:space="preserve">Studies included </w:t>
                      </w:r>
                      <w:r w:rsidRPr="00256278">
                        <w:rPr>
                          <w:rFonts w:ascii="Calibri" w:hAnsi="Calibri"/>
                          <w:sz w:val="22"/>
                        </w:rPr>
                        <w:br/>
                        <w:t>(n = 5</w:t>
                      </w:r>
                      <w:r>
                        <w:rPr>
                          <w:rFonts w:ascii="Calibri" w:hAnsi="Calibri"/>
                          <w:sz w:val="22"/>
                        </w:rPr>
                        <w:t>1</w:t>
                      </w:r>
                      <w:r w:rsidRPr="00256278">
                        <w:rPr>
                          <w:rFonts w:ascii="Calibri" w:hAnsi="Calibri"/>
                          <w:sz w:val="22"/>
                        </w:rPr>
                        <w:t>)</w:t>
                      </w:r>
                    </w:p>
                  </w:txbxContent>
                </v:textbox>
              </v:rect>
            </w:pict>
          </mc:Fallback>
        </mc:AlternateContent>
      </w:r>
      <w:r>
        <w:rPr>
          <w:rFonts w:cs="Arial"/>
          <w:noProof/>
          <w:szCs w:val="24"/>
        </w:rPr>
        <mc:AlternateContent>
          <mc:Choice Requires="wps">
            <w:drawing>
              <wp:anchor distT="36576" distB="36576" distL="36576" distR="36576" simplePos="0" relativeHeight="251735040" behindDoc="0" locked="0" layoutInCell="1" allowOverlap="1" wp14:anchorId="025C3745" wp14:editId="20320CD7">
                <wp:simplePos x="0" y="0"/>
                <wp:positionH relativeFrom="column">
                  <wp:posOffset>1442085</wp:posOffset>
                </wp:positionH>
                <wp:positionV relativeFrom="paragraph">
                  <wp:posOffset>1062990</wp:posOffset>
                </wp:positionV>
                <wp:extent cx="0" cy="419100"/>
                <wp:effectExtent l="60960" t="5715" r="53340" b="22860"/>
                <wp:wrapNone/>
                <wp:docPr id="110141310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9D54F1" id="Straight Arrow Connector 2" o:spid="_x0000_s1026" type="#_x0000_t32" style="position:absolute;margin-left:113.55pt;margin-top:83.7pt;width:0;height:33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">
                <v:stroke endarrow="block"/>
                <v:shadow color="#ccc"/>
              </v:shape>
            </w:pict>
          </mc:Fallback>
        </mc:AlternateContent>
      </w:r>
    </w:p>
    <w:p w14:paraId="5629BE7B" w14:textId="7BE55E2C" w:rsidR="0025732F" w:rsidRPr="00167FCF" w:rsidRDefault="0025732F" w:rsidP="00167FCF">
      <w:pPr>
        <w:pStyle w:val="para"/>
        <w:shd w:val="clear" w:color="auto" w:fill="FFFFFF"/>
        <w:spacing w:before="0" w:beforeAutospacing="0" w:after="360" w:afterAutospacing="0" w:line="360" w:lineRule="auto"/>
        <w:rPr>
          <w:rFonts w:ascii="Arial" w:eastAsiaTheme="minorHAnsi" w:hAnsi="Arial" w:cs="Arial"/>
          <w:szCs w:val="22"/>
          <w:lang w:eastAsia="en-US"/>
        </w:rPr>
      </w:pPr>
    </w:p>
    <w:p w14:paraId="09986008" w14:textId="77777777" w:rsidR="00CE3373" w:rsidRDefault="00CE3373" w:rsidP="00A665D7">
      <w:pPr>
        <w:pStyle w:val="NoSpacing"/>
        <w:spacing w:line="360" w:lineRule="auto"/>
      </w:pPr>
      <w:bookmarkStart w:id="194" w:name="_Ref529006435"/>
      <w:bookmarkEnd w:id="193"/>
    </w:p>
    <w:p w14:paraId="252BC228" w14:textId="77777777" w:rsidR="00CE3373" w:rsidRDefault="00CE3373" w:rsidP="00A665D7">
      <w:pPr>
        <w:pStyle w:val="NoSpacing"/>
        <w:spacing w:line="360" w:lineRule="auto"/>
      </w:pPr>
    </w:p>
    <w:p w14:paraId="76B5EDE8" w14:textId="77777777" w:rsidR="00CE3373" w:rsidRDefault="00CE3373" w:rsidP="00A665D7">
      <w:pPr>
        <w:pStyle w:val="NoSpacing"/>
        <w:spacing w:line="360" w:lineRule="auto"/>
      </w:pPr>
    </w:p>
    <w:p w14:paraId="0CBA73B8" w14:textId="77777777" w:rsidR="00CE3373" w:rsidRDefault="00CE3373" w:rsidP="00A665D7">
      <w:pPr>
        <w:pStyle w:val="NoSpacing"/>
        <w:spacing w:line="360" w:lineRule="auto"/>
      </w:pPr>
    </w:p>
    <w:p w14:paraId="0F21DD16" w14:textId="77777777" w:rsidR="00D01FB2" w:rsidRDefault="00D01FB2" w:rsidP="00A665D7">
      <w:pPr>
        <w:pStyle w:val="NoSpacing"/>
        <w:spacing w:line="360" w:lineRule="auto"/>
      </w:pPr>
    </w:p>
    <w:p w14:paraId="5DE9BE95" w14:textId="13A6454E" w:rsidR="00276087" w:rsidRDefault="00276087" w:rsidP="00A665D7">
      <w:pPr>
        <w:pStyle w:val="NoSpacing"/>
        <w:spacing w:line="360" w:lineRule="auto"/>
      </w:pPr>
      <w:r w:rsidRPr="00EE652C">
        <w:lastRenderedPageBreak/>
        <w:t xml:space="preserve">After reviewing the literature, three clear intervention options were identified for families experiencing parental </w:t>
      </w:r>
      <w:r>
        <w:t xml:space="preserve">SUD: 1) specialist treatment for parents with SUD 2) specialist treatment for parents with SUD plus a parenting intervention and 3) specialist treatment for SUD </w:t>
      </w:r>
      <w:r w:rsidR="00545D7B">
        <w:t>plus</w:t>
      </w:r>
      <w:r>
        <w:t xml:space="preserve"> statutory child welfare, including parenting interventions. Results for these will be presented in turn.</w:t>
      </w:r>
    </w:p>
    <w:p w14:paraId="57D4F2D6" w14:textId="77777777" w:rsidR="0025732F" w:rsidRDefault="0025732F" w:rsidP="0094121C">
      <w:pPr>
        <w:pStyle w:val="NoSpacing"/>
        <w:spacing w:line="240" w:lineRule="auto"/>
      </w:pPr>
    </w:p>
    <w:p w14:paraId="1F74E8FD" w14:textId="540E2BFB" w:rsidR="0025732F" w:rsidRDefault="0025732F" w:rsidP="00A665D7">
      <w:pPr>
        <w:pStyle w:val="Heading4"/>
        <w:spacing w:line="360" w:lineRule="auto"/>
      </w:pPr>
      <w:r>
        <w:t xml:space="preserve">Specialist treatment </w:t>
      </w:r>
    </w:p>
    <w:p w14:paraId="105A7D97" w14:textId="385553D7" w:rsidR="004B39CD" w:rsidRDefault="0025732F" w:rsidP="00A665D7">
      <w:pPr>
        <w:pStyle w:val="NoSpacing"/>
        <w:spacing w:line="360" w:lineRule="auto"/>
      </w:pPr>
      <w:r w:rsidRPr="00DF68A6">
        <w:t>Specialist treatment for parents with SUD addresses the clinical and social needs</w:t>
      </w:r>
      <w:r w:rsidRPr="00EE652C">
        <w:t xml:space="preserve"> of the parent and so </w:t>
      </w:r>
      <w:r w:rsidR="001D5E68" w:rsidRPr="001D5E68">
        <w:t>may plausibly also impact on children of parents receiving the intervention</w:t>
      </w:r>
      <w:r>
        <w:t xml:space="preserve">. </w:t>
      </w:r>
      <w:bookmarkEnd w:id="194"/>
      <w:r>
        <w:t xml:space="preserve">Outcomes typically focus on treatment retention and treatment completion measured using administrative datasets and reductions in substance use measured by urinalysis and/or validated questionnaires such as the Addiction Severity Index </w:t>
      </w:r>
      <w:r>
        <w:fldChar w:fldCharType="begin"/>
      </w:r>
      <w:r w:rsidR="00B9334F">
        <w:instrText xml:space="preserve"> ADDIN EN.CITE &lt;EndNote&gt;&lt;Cite&gt;&lt;Author&gt;McLellan&lt;/Author&gt;&lt;Year&gt;1992&lt;/Year&gt;&lt;RecNum&gt;257&lt;/RecNum&gt;&lt;DisplayText&gt;(McLellan et al., 1992)&lt;/DisplayText&gt;&lt;record&gt;&lt;rec-number&gt;257&lt;/rec-number&gt;&lt;foreign-keys&gt;&lt;key app="EN" db-id="ffzvr5fstavwxoe9v04xf0wmp5t50as52da0" timestamp="1731671652" guid="ab336f03-ff96-40b0-baa2-4146feccf3e4"&gt;257&lt;/key&gt;&lt;/foreign-keys&gt;&lt;ref-type name="Journal Article"&gt;17&lt;/ref-type&gt;&lt;contributors&gt;&lt;authors&gt;&lt;author&gt;McLellan, A. Thomas&lt;/author&gt;&lt;author&gt;Kushner, Harvey&lt;/author&gt;&lt;author&gt;Metzger, David&lt;/author&gt;&lt;author&gt;Peters, Roger&lt;/author&gt;&lt;author&gt;Smith, Iris&lt;/author&gt;&lt;author&gt;Grissom, Grant&lt;/author&gt;&lt;author&gt;Pettinati, Helen&lt;/author&gt;&lt;author&gt;Argeriou, Milton&lt;/author&gt;&lt;/authors&gt;&lt;/contributors&gt;&lt;titles&gt;&lt;title&gt;The fifth edition of the addiction severity index&lt;/title&gt;&lt;secondary-title&gt;Journal of Substance Abuse Treatment&lt;/secondary-title&gt;&lt;/titles&gt;&lt;periodical&gt;&lt;full-title&gt;Journal of Substance Abuse Treatment&lt;/full-title&gt;&lt;/periodical&gt;&lt;pages&gt;199-213&lt;/pages&gt;&lt;volume&gt;9&lt;/volume&gt;&lt;number&gt;3&lt;/number&gt;&lt;keywords&gt;&lt;keyword&gt;alcohol abuse&lt;/keyword&gt;&lt;keyword&gt;drug abuse&lt;/keyword&gt;&lt;keyword&gt;evaluation&lt;/keyword&gt;&lt;keyword&gt;treatment&lt;/keyword&gt;&lt;/keywords&gt;&lt;dates&gt;&lt;year&gt;1992&lt;/year&gt;&lt;pub-dates&gt;&lt;date&gt;1992/06/01/&lt;/date&gt;&lt;/pub-dates&gt;&lt;/dates&gt;&lt;isbn&gt;0740-5472&lt;/isbn&gt;&lt;urls&gt;&lt;related-urls&gt;&lt;url&gt;https://www.sciencedirect.com/science/article/pii/074054729290062S&lt;/url&gt;&lt;/related-urls&gt;&lt;/urls&gt;&lt;electronic-resource-num&gt;https://doi.org/10.1016/0740-5472(92)90062-S&lt;/electronic-resource-num&gt;&lt;/record&gt;&lt;/Cite&gt;&lt;/EndNote&gt;</w:instrText>
      </w:r>
      <w:r>
        <w:fldChar w:fldCharType="separate"/>
      </w:r>
      <w:r w:rsidR="00A77498">
        <w:rPr>
          <w:noProof/>
        </w:rPr>
        <w:t>(McLellan et al., 1992)</w:t>
      </w:r>
      <w:r>
        <w:fldChar w:fldCharType="end"/>
      </w:r>
      <w:r>
        <w:t>.</w:t>
      </w:r>
      <w:r w:rsidR="001509CD">
        <w:t xml:space="preserve"> </w:t>
      </w:r>
      <w:r>
        <w:t>Fourteen</w:t>
      </w:r>
      <w:r w:rsidRPr="00BB2491">
        <w:t xml:space="preserve"> papers on specialist treatment were included in the review. A</w:t>
      </w:r>
      <w:r>
        <w:t xml:space="preserve">ll </w:t>
      </w:r>
      <w:r w:rsidRPr="00BB2491">
        <w:t xml:space="preserve">studies focused on pregnant women, except for </w:t>
      </w:r>
      <w:r w:rsidRPr="00BB2491">
        <w:fldChar w:fldCharType="begin">
          <w:fldData xml:space="preserve">PEVuZE5vdGU+PENpdGUgQXV0aG9yWWVhcj0iMSI+PEF1dGhvcj5TY2hvdHRlbmZlbGQ8L0F1dGhv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</w:fldData>
        </w:fldChar>
      </w:r>
      <w:r w:rsidR="00B9334F">
        <w:instrText xml:space="preserve"> ADDIN EN.CITE </w:instrText>
      </w:r>
      <w:r w:rsidR="00B9334F">
        <w:fldChar w:fldCharType="begin">
          <w:fldData xml:space="preserve">PEVuZE5vdGU+PENpdGUgQXV0aG9yWWVhcj0iMSI+PEF1dGhvcj5TY2hvdHRlbmZlbGQ8L0F1dGhv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</w:fldData>
        </w:fldChar>
      </w:r>
      <w:r w:rsidR="00B9334F">
        <w:instrText xml:space="preserve"> ADDIN EN.CITE.DATA </w:instrText>
      </w:r>
      <w:r w:rsidR="00B9334F">
        <w:fldChar w:fldCharType="end"/>
      </w:r>
      <w:r w:rsidRPr="00BB2491">
        <w:fldChar w:fldCharType="separate"/>
      </w:r>
      <w:r w:rsidR="00A77498">
        <w:rPr>
          <w:noProof/>
        </w:rPr>
        <w:t>Schottenfeld et al. (2011)</w:t>
      </w:r>
      <w:r w:rsidRPr="00BB2491">
        <w:fldChar w:fldCharType="end"/>
      </w:r>
      <w:r w:rsidRPr="00BB2491">
        <w:t xml:space="preserve"> who examined effectiveness of interventions for both pregnant women and mothers with cocaine use disorder, and </w:t>
      </w:r>
      <w:r w:rsidRPr="00BB2491">
        <w:fldChar w:fldCharType="begin">
          <w:fldData xml:space="preserve">PEVuZE5vdGU+PENpdGUgQXV0aG9yWWVhcj0iMSI+PEF1dGhvcj5TbGVzbmljazwvQXV0aG9yPjxZ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==
</w:fldData>
        </w:fldChar>
      </w:r>
      <w:r w:rsidR="00B9334F">
        <w:instrText xml:space="preserve"> ADDIN EN.CITE </w:instrText>
      </w:r>
      <w:r w:rsidR="00B9334F">
        <w:fldChar w:fldCharType="begin">
          <w:fldData xml:space="preserve">PEVuZE5vdGU+PENpdGUgQXV0aG9yWWVhcj0iMSI+PEF1dGhvcj5TbGVzbmljazwvQXV0aG9yPjxZ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==
</w:fldData>
        </w:fldChar>
      </w:r>
      <w:r w:rsidR="00B9334F">
        <w:instrText xml:space="preserve"> ADDIN EN.CITE.DATA </w:instrText>
      </w:r>
      <w:r w:rsidR="00B9334F">
        <w:fldChar w:fldCharType="end"/>
      </w:r>
      <w:r w:rsidRPr="00BB2491">
        <w:fldChar w:fldCharType="separate"/>
      </w:r>
      <w:r w:rsidRPr="00BB2491">
        <w:rPr>
          <w:noProof/>
        </w:rPr>
        <w:t>Slesnick and Erdem (2013)</w:t>
      </w:r>
      <w:r w:rsidRPr="00BB2491">
        <w:fldChar w:fldCharType="end"/>
      </w:r>
      <w:r w:rsidRPr="00BB2491">
        <w:t xml:space="preserve"> who examined effectiveness of interventions for homeless mothers with SUD. As</w:t>
      </w:r>
      <w:r w:rsidR="001D5E68">
        <w:t xml:space="preserve"> </w:t>
      </w:r>
      <w:r w:rsidR="00650766" w:rsidRPr="00D812E5">
        <w:t xml:space="preserve">Tables </w:t>
      </w:r>
      <w:r w:rsidR="00AF4D08" w:rsidRPr="00D812E5">
        <w:t>A</w:t>
      </w:r>
      <w:r w:rsidR="00650766" w:rsidRPr="00D812E5">
        <w:t xml:space="preserve">-2 and </w:t>
      </w:r>
      <w:r w:rsidR="00AF4D08" w:rsidRPr="00D812E5">
        <w:t>A</w:t>
      </w:r>
      <w:r w:rsidR="00650766" w:rsidRPr="00D812E5">
        <w:t>-3</w:t>
      </w:r>
      <w:r w:rsidR="00650766">
        <w:t xml:space="preserve"> </w:t>
      </w:r>
      <w:r w:rsidRPr="00155109">
        <w:t>s</w:t>
      </w:r>
      <w:r w:rsidRPr="00BB2491">
        <w:t xml:space="preserve">how, most of the studies on treatment </w:t>
      </w:r>
      <w:r>
        <w:t xml:space="preserve">were in </w:t>
      </w:r>
      <w:r w:rsidR="00151B51">
        <w:t>the</w:t>
      </w:r>
      <w:r w:rsidRPr="00BB2491">
        <w:t xml:space="preserve"> </w:t>
      </w:r>
      <w:r w:rsidR="00151B51">
        <w:t>moderate</w:t>
      </w:r>
      <w:r w:rsidRPr="00BB2491">
        <w:t xml:space="preserve"> </w:t>
      </w:r>
      <w:r w:rsidR="00151B51">
        <w:t xml:space="preserve">quality </w:t>
      </w:r>
      <w:r w:rsidRPr="00BB2491">
        <w:t>and almost all were</w:t>
      </w:r>
      <w:r>
        <w:t xml:space="preserve"> from the US</w:t>
      </w:r>
      <w:r w:rsidRPr="00BB2491">
        <w:t>. No study achieved a quality rating of 5 (very high) owing mainly to generalisability concerns from small sample sizes, insufficient follow-up periods or studies occurring only on one site.</w:t>
      </w:r>
      <w:r>
        <w:t xml:space="preserve"> </w:t>
      </w:r>
    </w:p>
    <w:p w14:paraId="6A42FA1C" w14:textId="77777777" w:rsidR="0094121C" w:rsidRDefault="0094121C" w:rsidP="0094121C">
      <w:pPr>
        <w:pStyle w:val="NoSpacing"/>
        <w:spacing w:line="240" w:lineRule="auto"/>
      </w:pPr>
    </w:p>
    <w:p w14:paraId="08EBA18D" w14:textId="5DE4ECE9" w:rsidR="0094121C" w:rsidRPr="00650766" w:rsidRDefault="00650766" w:rsidP="00650766">
      <w:pPr>
        <w:pStyle w:val="Caption"/>
        <w:keepNext/>
      </w:pPr>
      <w:bookmarkStart w:id="195" w:name="_Ref177032296"/>
      <w:r w:rsidRPr="00650766">
        <w:rPr>
          <w:b w:val="0"/>
          <w:bCs w:val="0"/>
          <w:i/>
          <w:iCs/>
          <w:color w:val="auto"/>
          <w:sz w:val="24"/>
          <w:szCs w:val="24"/>
        </w:rPr>
        <w:t xml:space="preserve">Table </w:t>
      </w:r>
      <w:r w:rsidR="00AF4D08">
        <w:rPr>
          <w:b w:val="0"/>
          <w:bCs w:val="0"/>
          <w:i/>
          <w:iCs/>
          <w:color w:val="auto"/>
          <w:sz w:val="24"/>
          <w:szCs w:val="24"/>
        </w:rPr>
        <w:t>A</w:t>
      </w:r>
      <w:r w:rsidR="00367870">
        <w:rPr>
          <w:b w:val="0"/>
          <w:bCs w:val="0"/>
          <w:i/>
          <w:iCs/>
          <w:color w:val="auto"/>
          <w:sz w:val="24"/>
          <w:szCs w:val="24"/>
        </w:rPr>
        <w:noBreakHyphen/>
      </w:r>
      <w:bookmarkEnd w:id="195"/>
      <w:r w:rsidR="00881915">
        <w:rPr>
          <w:b w:val="0"/>
          <w:bCs w:val="0"/>
          <w:i/>
          <w:iCs/>
          <w:color w:val="auto"/>
          <w:sz w:val="24"/>
          <w:szCs w:val="24"/>
        </w:rPr>
        <w:t>2</w:t>
      </w:r>
      <w:r w:rsidR="004B39CD">
        <w:rPr>
          <w:b w:val="0"/>
          <w:bCs w:val="0"/>
          <w:i/>
          <w:iCs/>
          <w:color w:val="auto"/>
          <w:sz w:val="24"/>
          <w:szCs w:val="24"/>
        </w:rPr>
        <w:tab/>
      </w:r>
      <w:r w:rsidR="001D5E68">
        <w:rPr>
          <w:b w:val="0"/>
          <w:bCs w:val="0"/>
          <w:i/>
          <w:iCs/>
          <w:color w:val="auto"/>
          <w:sz w:val="24"/>
          <w:szCs w:val="24"/>
        </w:rPr>
        <w:t>Overview</w:t>
      </w:r>
      <w:r w:rsidR="004B39CD" w:rsidRPr="00591A2A">
        <w:rPr>
          <w:b w:val="0"/>
          <w:bCs w:val="0"/>
          <w:i/>
          <w:iCs/>
          <w:color w:val="auto"/>
          <w:sz w:val="24"/>
          <w:szCs w:val="24"/>
        </w:rPr>
        <w:t xml:space="preserve"> of studies on specialist treatment (n=14)</w:t>
      </w:r>
    </w:p>
    <w:p w14:paraId="1A7EAD7B" w14:textId="526A18C4" w:rsidR="009A1010" w:rsidRPr="009A1010" w:rsidRDefault="009A1010" w:rsidP="009A1010">
      <w:pPr>
        <w:rPr>
          <w:sz w:val="16"/>
          <w:szCs w:val="16"/>
        </w:rPr>
      </w:pPr>
    </w:p>
    <w:p w14:paraId="2424AD85" w14:textId="77777777" w:rsidR="0094121C" w:rsidRPr="0094121C" w:rsidRDefault="0094121C" w:rsidP="0094121C">
      <w:pPr>
        <w:rPr>
          <w:sz w:val="8"/>
          <w:szCs w:val="8"/>
        </w:rPr>
      </w:pPr>
    </w:p>
    <w:tbl>
      <w:tblPr>
        <w:tblStyle w:val="TableGrid"/>
        <w:tblW w:w="0" w:type="auto"/>
        <w:tblLook w:val="04A0" w:firstRow="1" w:lastRow="0" w:firstColumn="1" w:lastColumn="0" w:noHBand="0" w:noVBand="1"/>
      </w:tblPr>
      <w:tblGrid>
        <w:gridCol w:w="1212"/>
        <w:gridCol w:w="2601"/>
        <w:gridCol w:w="2601"/>
        <w:gridCol w:w="2602"/>
      </w:tblGrid>
      <w:tr w:rsidR="004B39CD" w:rsidRPr="00925EA9" w14:paraId="762CAC24" w14:textId="77777777">
        <w:trPr>
          <w:trHeight w:val="727"/>
        </w:trPr>
        <w:tc>
          <w:tcPr>
            <w:tcW w:w="0" w:type="auto"/>
            <w:shd w:val="clear" w:color="auto" w:fill="44546A" w:themeFill="text2"/>
          </w:tcPr>
          <w:p w14:paraId="314BE43C" w14:textId="77777777" w:rsidR="004B39CD" w:rsidRPr="00925EA9" w:rsidRDefault="004B39CD">
            <w:pPr>
              <w:rPr>
                <w:rFonts w:cs="Arial"/>
                <w:color w:val="FFFFFF" w:themeColor="background1"/>
                <w:sz w:val="20"/>
                <w:szCs w:val="20"/>
              </w:rPr>
            </w:pPr>
            <w:r w:rsidRPr="00925EA9">
              <w:rPr>
                <w:rFonts w:cs="Arial"/>
                <w:color w:val="FFFFFF" w:themeColor="background1"/>
                <w:sz w:val="20"/>
                <w:szCs w:val="20"/>
              </w:rPr>
              <w:t>Quality rating</w:t>
            </w:r>
          </w:p>
        </w:tc>
        <w:tc>
          <w:tcPr>
            <w:tcW w:w="2601" w:type="dxa"/>
            <w:shd w:val="clear" w:color="auto" w:fill="44546A" w:themeFill="text2"/>
          </w:tcPr>
          <w:p w14:paraId="477FA51E" w14:textId="77777777" w:rsidR="004B39CD" w:rsidRPr="00925EA9" w:rsidRDefault="004B39CD">
            <w:pPr>
              <w:rPr>
                <w:rFonts w:cs="Arial"/>
                <w:color w:val="FFFFFF" w:themeColor="background1"/>
                <w:sz w:val="20"/>
                <w:szCs w:val="20"/>
              </w:rPr>
            </w:pPr>
            <w:r w:rsidRPr="00925EA9">
              <w:rPr>
                <w:rFonts w:cs="Arial"/>
                <w:color w:val="FFFFFF" w:themeColor="background1"/>
                <w:sz w:val="20"/>
                <w:szCs w:val="20"/>
              </w:rPr>
              <w:t>Intervention</w:t>
            </w:r>
          </w:p>
        </w:tc>
        <w:tc>
          <w:tcPr>
            <w:tcW w:w="2601" w:type="dxa"/>
            <w:shd w:val="clear" w:color="auto" w:fill="44546A" w:themeFill="text2"/>
          </w:tcPr>
          <w:p w14:paraId="06EE4924" w14:textId="77777777" w:rsidR="004B39CD" w:rsidRPr="00925EA9" w:rsidRDefault="004B39CD">
            <w:pPr>
              <w:rPr>
                <w:rFonts w:cs="Arial"/>
                <w:color w:val="FFFFFF" w:themeColor="background1"/>
                <w:sz w:val="20"/>
                <w:szCs w:val="20"/>
              </w:rPr>
            </w:pPr>
            <w:r>
              <w:rPr>
                <w:rFonts w:cs="Arial"/>
                <w:color w:val="FFFFFF" w:themeColor="background1"/>
                <w:sz w:val="20"/>
                <w:szCs w:val="20"/>
              </w:rPr>
              <w:t>Outcomes</w:t>
            </w:r>
            <w:r w:rsidRPr="00925EA9">
              <w:rPr>
                <w:rFonts w:cs="Arial"/>
                <w:color w:val="FFFFFF" w:themeColor="background1"/>
                <w:sz w:val="20"/>
                <w:szCs w:val="20"/>
              </w:rPr>
              <w:t xml:space="preserve"> </w:t>
            </w:r>
          </w:p>
        </w:tc>
        <w:tc>
          <w:tcPr>
            <w:tcW w:w="2602" w:type="dxa"/>
            <w:shd w:val="clear" w:color="auto" w:fill="44546A" w:themeFill="text2"/>
          </w:tcPr>
          <w:p w14:paraId="7E78AA5D" w14:textId="77777777" w:rsidR="004B39CD" w:rsidRPr="00925EA9" w:rsidRDefault="004B39CD">
            <w:pPr>
              <w:rPr>
                <w:rFonts w:cs="Arial"/>
                <w:color w:val="FFFFFF" w:themeColor="background1"/>
                <w:sz w:val="20"/>
                <w:szCs w:val="20"/>
              </w:rPr>
            </w:pPr>
            <w:r w:rsidRPr="00925EA9">
              <w:rPr>
                <w:rFonts w:cs="Arial"/>
                <w:color w:val="FFFFFF" w:themeColor="background1"/>
                <w:sz w:val="20"/>
                <w:szCs w:val="20"/>
              </w:rPr>
              <w:t>Additional comments</w:t>
            </w:r>
          </w:p>
        </w:tc>
      </w:tr>
      <w:tr w:rsidR="004B39CD" w:rsidRPr="00925EA9" w14:paraId="33F1C3BA" w14:textId="77777777">
        <w:trPr>
          <w:trHeight w:val="1285"/>
        </w:trPr>
        <w:tc>
          <w:tcPr>
            <w:tcW w:w="0" w:type="auto"/>
          </w:tcPr>
          <w:p w14:paraId="0CAA377E" w14:textId="77777777" w:rsidR="004B39CD" w:rsidRPr="00925EA9" w:rsidRDefault="004B39CD">
            <w:pPr>
              <w:rPr>
                <w:rFonts w:cs="Arial"/>
                <w:sz w:val="20"/>
                <w:szCs w:val="20"/>
              </w:rPr>
            </w:pPr>
            <w:r w:rsidRPr="00925EA9">
              <w:rPr>
                <w:rFonts w:cs="Arial"/>
                <w:sz w:val="20"/>
                <w:szCs w:val="20"/>
              </w:rPr>
              <w:t>2 (Low)</w:t>
            </w:r>
          </w:p>
        </w:tc>
        <w:tc>
          <w:tcPr>
            <w:tcW w:w="2601" w:type="dxa"/>
          </w:tcPr>
          <w:p w14:paraId="791F848F" w14:textId="77777777" w:rsidR="004B39CD" w:rsidRPr="00D36D01" w:rsidRDefault="004B39CD">
            <w:pPr>
              <w:rPr>
                <w:rFonts w:cs="Arial"/>
                <w:sz w:val="20"/>
                <w:szCs w:val="20"/>
              </w:rPr>
            </w:pPr>
            <w:r>
              <w:rPr>
                <w:rFonts w:cs="Arial"/>
                <w:sz w:val="20"/>
                <w:szCs w:val="20"/>
              </w:rPr>
              <w:t xml:space="preserve">Pharmacological (n=2), </w:t>
            </w:r>
          </w:p>
        </w:tc>
        <w:tc>
          <w:tcPr>
            <w:tcW w:w="2601" w:type="dxa"/>
            <w:vMerge w:val="restart"/>
          </w:tcPr>
          <w:p w14:paraId="492D4D19" w14:textId="77777777" w:rsidR="004B39CD" w:rsidRPr="000D2D8B" w:rsidRDefault="004B39CD">
            <w:pPr>
              <w:rPr>
                <w:rFonts w:cs="Arial"/>
                <w:sz w:val="20"/>
                <w:szCs w:val="20"/>
              </w:rPr>
            </w:pPr>
            <w:r w:rsidRPr="000D2D8B">
              <w:rPr>
                <w:rFonts w:cs="Arial"/>
                <w:sz w:val="20"/>
                <w:szCs w:val="20"/>
              </w:rPr>
              <w:t xml:space="preserve">Pharmacological treatment may be effective for pregnant women. </w:t>
            </w:r>
          </w:p>
          <w:p w14:paraId="69F38854" w14:textId="77777777" w:rsidR="004B39CD" w:rsidRPr="000D2D8B" w:rsidRDefault="004B39CD">
            <w:pPr>
              <w:rPr>
                <w:rFonts w:cs="Arial"/>
                <w:sz w:val="20"/>
                <w:szCs w:val="20"/>
              </w:rPr>
            </w:pPr>
          </w:p>
          <w:p w14:paraId="3EC1ECF6" w14:textId="77777777" w:rsidR="004B39CD" w:rsidRDefault="004B39CD">
            <w:pPr>
              <w:rPr>
                <w:rFonts w:cs="Arial"/>
                <w:sz w:val="20"/>
                <w:szCs w:val="20"/>
              </w:rPr>
            </w:pPr>
          </w:p>
          <w:p w14:paraId="30AC692B" w14:textId="77777777" w:rsidR="004B39CD" w:rsidRPr="00256CC6" w:rsidRDefault="004B39CD">
            <w:pPr>
              <w:rPr>
                <w:rFonts w:cs="Arial"/>
                <w:sz w:val="20"/>
                <w:szCs w:val="20"/>
                <w:highlight w:val="yellow"/>
              </w:rPr>
            </w:pPr>
            <w:r w:rsidRPr="00256CC6">
              <w:rPr>
                <w:rFonts w:cs="Arial"/>
                <w:sz w:val="20"/>
                <w:szCs w:val="20"/>
              </w:rPr>
              <w:t>Inconclusive results on MET and RBT. CM may be effective for pregnant women and ICM for cocaine using women postpartum.</w:t>
            </w:r>
          </w:p>
        </w:tc>
        <w:tc>
          <w:tcPr>
            <w:tcW w:w="2602" w:type="dxa"/>
            <w:vMerge w:val="restart"/>
          </w:tcPr>
          <w:p w14:paraId="614B5B41" w14:textId="77777777" w:rsidR="004B39CD" w:rsidRDefault="004B39CD">
            <w:pPr>
              <w:rPr>
                <w:rFonts w:cs="Arial"/>
                <w:sz w:val="20"/>
                <w:szCs w:val="20"/>
              </w:rPr>
            </w:pPr>
            <w:r w:rsidRPr="00925EA9">
              <w:rPr>
                <w:rFonts w:cs="Arial"/>
                <w:sz w:val="20"/>
                <w:szCs w:val="20"/>
              </w:rPr>
              <w:t>0 UK studies (1</w:t>
            </w:r>
            <w:r>
              <w:rPr>
                <w:rFonts w:cs="Arial"/>
                <w:sz w:val="20"/>
                <w:szCs w:val="20"/>
              </w:rPr>
              <w:t>3</w:t>
            </w:r>
            <w:r w:rsidRPr="00925EA9">
              <w:rPr>
                <w:rFonts w:cs="Arial"/>
                <w:sz w:val="20"/>
                <w:szCs w:val="20"/>
              </w:rPr>
              <w:t xml:space="preserve"> US</w:t>
            </w:r>
            <w:r>
              <w:rPr>
                <w:rFonts w:cs="Arial"/>
                <w:sz w:val="20"/>
                <w:szCs w:val="20"/>
              </w:rPr>
              <w:t xml:space="preserve"> </w:t>
            </w:r>
            <w:r w:rsidRPr="00925EA9">
              <w:rPr>
                <w:rFonts w:cs="Arial"/>
                <w:sz w:val="20"/>
                <w:szCs w:val="20"/>
              </w:rPr>
              <w:t>and 1 Austrian).</w:t>
            </w:r>
            <w:r>
              <w:rPr>
                <w:rFonts w:cs="Arial"/>
                <w:sz w:val="20"/>
                <w:szCs w:val="20"/>
              </w:rPr>
              <w:t xml:space="preserve"> </w:t>
            </w:r>
          </w:p>
          <w:p w14:paraId="22F8B524" w14:textId="77777777" w:rsidR="004B39CD" w:rsidRPr="00D52D62" w:rsidRDefault="004B39CD">
            <w:pPr>
              <w:pStyle w:val="NoSpacing"/>
              <w:spacing w:line="240" w:lineRule="auto"/>
            </w:pPr>
          </w:p>
          <w:p w14:paraId="3A49E877" w14:textId="77777777" w:rsidR="004B39CD" w:rsidRDefault="004B39CD">
            <w:pPr>
              <w:pStyle w:val="NoSpacing"/>
              <w:spacing w:line="240" w:lineRule="auto"/>
              <w:rPr>
                <w:sz w:val="20"/>
                <w:szCs w:val="20"/>
              </w:rPr>
            </w:pPr>
            <w:r>
              <w:rPr>
                <w:sz w:val="20"/>
                <w:szCs w:val="20"/>
              </w:rPr>
              <w:t>Most studies were of pregnant women. T</w:t>
            </w:r>
            <w:r w:rsidRPr="000D2D8B">
              <w:rPr>
                <w:sz w:val="20"/>
                <w:szCs w:val="20"/>
              </w:rPr>
              <w:t>he body of evidence is too small to be confident in the interpretation of results.</w:t>
            </w:r>
          </w:p>
          <w:p w14:paraId="4067F486" w14:textId="77777777" w:rsidR="004B39CD" w:rsidRDefault="004B39CD">
            <w:pPr>
              <w:pStyle w:val="NoSpacing"/>
              <w:spacing w:line="240" w:lineRule="auto"/>
              <w:rPr>
                <w:sz w:val="20"/>
                <w:szCs w:val="20"/>
              </w:rPr>
            </w:pPr>
          </w:p>
          <w:p w14:paraId="6F1C839B" w14:textId="77777777" w:rsidR="004B39CD" w:rsidRPr="00301507" w:rsidRDefault="004B39CD">
            <w:pPr>
              <w:pStyle w:val="NoSpacing"/>
              <w:spacing w:line="240" w:lineRule="auto"/>
              <w:rPr>
                <w:sz w:val="20"/>
                <w:szCs w:val="20"/>
              </w:rPr>
            </w:pPr>
            <w:r>
              <w:rPr>
                <w:sz w:val="20"/>
                <w:szCs w:val="20"/>
              </w:rPr>
              <w:t>No cost-effectiveness papers were found.</w:t>
            </w:r>
          </w:p>
        </w:tc>
      </w:tr>
      <w:tr w:rsidR="004B39CD" w:rsidRPr="00925EA9" w14:paraId="3141DFDE" w14:textId="77777777">
        <w:trPr>
          <w:trHeight w:val="727"/>
        </w:trPr>
        <w:tc>
          <w:tcPr>
            <w:tcW w:w="0" w:type="auto"/>
          </w:tcPr>
          <w:p w14:paraId="5CEE7822" w14:textId="77777777" w:rsidR="004B39CD" w:rsidRPr="00925EA9" w:rsidRDefault="004B39CD">
            <w:pPr>
              <w:rPr>
                <w:rFonts w:cs="Arial"/>
                <w:sz w:val="20"/>
                <w:szCs w:val="20"/>
              </w:rPr>
            </w:pPr>
            <w:r w:rsidRPr="00925EA9">
              <w:rPr>
                <w:rFonts w:cs="Arial"/>
                <w:sz w:val="20"/>
                <w:szCs w:val="20"/>
              </w:rPr>
              <w:t>3 (Moderate)</w:t>
            </w:r>
          </w:p>
        </w:tc>
        <w:tc>
          <w:tcPr>
            <w:tcW w:w="2601" w:type="dxa"/>
          </w:tcPr>
          <w:p w14:paraId="438387B8" w14:textId="77777777" w:rsidR="004B39CD" w:rsidRPr="00D36D01" w:rsidRDefault="004B39CD">
            <w:pPr>
              <w:rPr>
                <w:rFonts w:cs="Arial"/>
                <w:sz w:val="20"/>
                <w:szCs w:val="20"/>
              </w:rPr>
            </w:pPr>
            <w:r>
              <w:rPr>
                <w:rFonts w:cs="Arial"/>
                <w:sz w:val="20"/>
                <w:szCs w:val="20"/>
              </w:rPr>
              <w:t>Pharmacological (n=2), Motivational enhancement therapy (MET, n=2), contingency management (CM, n=1), reinforcement-therapies (RBT, n=2), intensive case management (ICM, n=1), RBT and CM (n=1)</w:t>
            </w:r>
          </w:p>
        </w:tc>
        <w:tc>
          <w:tcPr>
            <w:tcW w:w="2601" w:type="dxa"/>
            <w:vMerge/>
          </w:tcPr>
          <w:p w14:paraId="27FA6FBE" w14:textId="77777777" w:rsidR="004B39CD" w:rsidRPr="00925EA9" w:rsidRDefault="004B39CD">
            <w:pPr>
              <w:rPr>
                <w:rFonts w:cs="Arial"/>
                <w:sz w:val="20"/>
                <w:szCs w:val="20"/>
              </w:rPr>
            </w:pPr>
          </w:p>
        </w:tc>
        <w:tc>
          <w:tcPr>
            <w:tcW w:w="2602" w:type="dxa"/>
            <w:vMerge/>
          </w:tcPr>
          <w:p w14:paraId="4D9D93F4" w14:textId="77777777" w:rsidR="004B39CD" w:rsidRPr="00925EA9" w:rsidRDefault="004B39CD">
            <w:pPr>
              <w:rPr>
                <w:rFonts w:cs="Arial"/>
                <w:b/>
                <w:sz w:val="20"/>
                <w:szCs w:val="20"/>
              </w:rPr>
            </w:pPr>
          </w:p>
        </w:tc>
      </w:tr>
      <w:tr w:rsidR="004B39CD" w:rsidRPr="00925EA9" w14:paraId="366D716A" w14:textId="77777777">
        <w:trPr>
          <w:trHeight w:val="357"/>
        </w:trPr>
        <w:tc>
          <w:tcPr>
            <w:tcW w:w="0" w:type="auto"/>
          </w:tcPr>
          <w:p w14:paraId="47361486" w14:textId="77777777" w:rsidR="004B39CD" w:rsidRPr="00925EA9" w:rsidRDefault="004B39CD">
            <w:pPr>
              <w:rPr>
                <w:rFonts w:cs="Arial"/>
                <w:sz w:val="20"/>
                <w:szCs w:val="20"/>
              </w:rPr>
            </w:pPr>
            <w:r w:rsidRPr="00925EA9">
              <w:rPr>
                <w:rFonts w:cs="Arial"/>
                <w:sz w:val="20"/>
                <w:szCs w:val="20"/>
              </w:rPr>
              <w:t>4 (High)</w:t>
            </w:r>
          </w:p>
        </w:tc>
        <w:tc>
          <w:tcPr>
            <w:tcW w:w="2601" w:type="dxa"/>
          </w:tcPr>
          <w:p w14:paraId="00BE4076" w14:textId="77777777" w:rsidR="004B39CD" w:rsidRPr="00D36D01" w:rsidRDefault="004B39CD">
            <w:pPr>
              <w:rPr>
                <w:rFonts w:cs="Arial"/>
                <w:sz w:val="20"/>
                <w:szCs w:val="20"/>
              </w:rPr>
            </w:pPr>
            <w:r>
              <w:rPr>
                <w:rFonts w:cs="Arial"/>
                <w:sz w:val="20"/>
                <w:szCs w:val="20"/>
              </w:rPr>
              <w:t xml:space="preserve">MET (n=2), CM (n=1). </w:t>
            </w:r>
          </w:p>
        </w:tc>
        <w:tc>
          <w:tcPr>
            <w:tcW w:w="2601" w:type="dxa"/>
            <w:vMerge/>
          </w:tcPr>
          <w:p w14:paraId="1DBB91F0" w14:textId="77777777" w:rsidR="004B39CD" w:rsidRPr="00925EA9" w:rsidRDefault="004B39CD">
            <w:pPr>
              <w:rPr>
                <w:rFonts w:cs="Arial"/>
                <w:sz w:val="20"/>
                <w:szCs w:val="20"/>
              </w:rPr>
            </w:pPr>
          </w:p>
        </w:tc>
        <w:tc>
          <w:tcPr>
            <w:tcW w:w="2602" w:type="dxa"/>
            <w:vMerge/>
          </w:tcPr>
          <w:p w14:paraId="3FDA57F7" w14:textId="77777777" w:rsidR="004B39CD" w:rsidRPr="00925EA9" w:rsidRDefault="004B39CD">
            <w:pPr>
              <w:rPr>
                <w:rFonts w:cs="Arial"/>
                <w:b/>
                <w:sz w:val="20"/>
                <w:szCs w:val="20"/>
              </w:rPr>
            </w:pPr>
          </w:p>
        </w:tc>
      </w:tr>
    </w:tbl>
    <w:p w14:paraId="587931AF" w14:textId="77777777" w:rsidR="0025732F" w:rsidRDefault="0025732F" w:rsidP="0025732F">
      <w:pPr>
        <w:pStyle w:val="NoSpacing"/>
        <w:spacing w:line="240" w:lineRule="auto"/>
        <w:rPr>
          <w:b/>
          <w:bCs/>
          <w:sz w:val="20"/>
          <w:szCs w:val="20"/>
        </w:rPr>
        <w:sectPr w:rsidR="0025732F" w:rsidSect="0025732F">
          <w:footerReference w:type="default" r:id="rId311"/>
          <w:pgSz w:w="11906" w:h="16838"/>
          <w:pgMar w:top="1440" w:right="1440" w:bottom="1440" w:left="1440" w:header="709" w:footer="709" w:gutter="0"/>
          <w:cols w:space="708"/>
          <w:docGrid w:linePitch="360"/>
        </w:sectPr>
      </w:pPr>
      <w:bookmarkStart w:id="196" w:name="_Ref167977082"/>
      <w:bookmarkStart w:id="197" w:name="_Ref168045287"/>
      <w:bookmarkStart w:id="198" w:name="_Toc168049315"/>
      <w:bookmarkStart w:id="199" w:name="_Toc168049326"/>
    </w:p>
    <w:bookmarkEnd w:id="196"/>
    <w:p w14:paraId="4771B1C7" w14:textId="410F0BB6" w:rsidR="0025732F" w:rsidRDefault="00D21896" w:rsidP="0094121C">
      <w:pPr>
        <w:pStyle w:val="Caption"/>
        <w:rPr>
          <w:b w:val="0"/>
          <w:bCs w:val="0"/>
          <w:i/>
          <w:iCs/>
          <w:color w:val="auto"/>
          <w:sz w:val="24"/>
          <w:szCs w:val="24"/>
        </w:rPr>
      </w:pPr>
      <w:r w:rsidRPr="00650766">
        <w:rPr>
          <w:b w:val="0"/>
          <w:bCs w:val="0"/>
          <w:i/>
          <w:iCs/>
          <w:color w:val="auto"/>
          <w:sz w:val="24"/>
          <w:szCs w:val="24"/>
        </w:rPr>
        <w:lastRenderedPageBreak/>
        <w:t xml:space="preserve">Table </w:t>
      </w:r>
      <w:r w:rsidR="00AF4D08">
        <w:rPr>
          <w:b w:val="0"/>
          <w:bCs w:val="0"/>
          <w:i/>
          <w:iCs/>
          <w:color w:val="auto"/>
          <w:sz w:val="24"/>
          <w:szCs w:val="24"/>
        </w:rPr>
        <w:t>A</w:t>
      </w:r>
      <w:r w:rsidR="00367870">
        <w:rPr>
          <w:b w:val="0"/>
          <w:bCs w:val="0"/>
          <w:i/>
          <w:iCs/>
          <w:color w:val="auto"/>
          <w:sz w:val="24"/>
          <w:szCs w:val="24"/>
        </w:rPr>
        <w:noBreakHyphen/>
      </w:r>
      <w:r w:rsidR="00881915">
        <w:rPr>
          <w:b w:val="0"/>
          <w:bCs w:val="0"/>
          <w:i/>
          <w:iCs/>
          <w:color w:val="auto"/>
          <w:sz w:val="24"/>
          <w:szCs w:val="24"/>
        </w:rPr>
        <w:t>3</w:t>
      </w:r>
      <w:r w:rsidR="00591A2A">
        <w:rPr>
          <w:b w:val="0"/>
          <w:bCs w:val="0"/>
          <w:i/>
          <w:iCs/>
          <w:color w:val="auto"/>
          <w:sz w:val="24"/>
          <w:szCs w:val="24"/>
        </w:rPr>
        <w:tab/>
      </w:r>
      <w:r w:rsidR="0025732F" w:rsidRPr="00591A2A">
        <w:rPr>
          <w:b w:val="0"/>
          <w:bCs w:val="0"/>
          <w:i/>
          <w:iCs/>
          <w:color w:val="auto"/>
          <w:sz w:val="24"/>
          <w:szCs w:val="24"/>
        </w:rPr>
        <w:t>Data extracts of studies on specialist treatment (n=14)</w:t>
      </w:r>
      <w:bookmarkEnd w:id="197"/>
      <w:bookmarkEnd w:id="198"/>
      <w:bookmarkEnd w:id="199"/>
    </w:p>
    <w:p w14:paraId="321D4E32" w14:textId="77777777" w:rsidR="0094121C" w:rsidRPr="0094121C" w:rsidRDefault="0094121C" w:rsidP="0094121C"/>
    <w:tbl>
      <w:tblPr>
        <w:tblStyle w:val="TableGrid"/>
        <w:tblW w:w="0" w:type="auto"/>
        <w:tblLook w:val="04A0" w:firstRow="1" w:lastRow="0" w:firstColumn="1" w:lastColumn="0" w:noHBand="0" w:noVBand="1"/>
      </w:tblPr>
      <w:tblGrid>
        <w:gridCol w:w="3114"/>
        <w:gridCol w:w="10773"/>
      </w:tblGrid>
      <w:tr w:rsidR="0025732F" w:rsidRPr="00925EA9" w14:paraId="2F98F38A" w14:textId="77777777">
        <w:tc>
          <w:tcPr>
            <w:tcW w:w="3114" w:type="dxa"/>
            <w:shd w:val="clear" w:color="auto" w:fill="D9E2F3" w:themeFill="accent1" w:themeFillTint="33"/>
          </w:tcPr>
          <w:p w14:paraId="6FBE0904" w14:textId="77777777" w:rsidR="0025732F" w:rsidRPr="00925EA9" w:rsidRDefault="0025732F">
            <w:pPr>
              <w:pStyle w:val="NoSpacing"/>
              <w:spacing w:line="240" w:lineRule="auto"/>
              <w:rPr>
                <w:sz w:val="20"/>
                <w:szCs w:val="20"/>
              </w:rPr>
            </w:pPr>
            <w:r w:rsidRPr="00925EA9">
              <w:rPr>
                <w:sz w:val="20"/>
                <w:szCs w:val="20"/>
              </w:rPr>
              <w:t>Reference</w:t>
            </w:r>
          </w:p>
        </w:tc>
        <w:tc>
          <w:tcPr>
            <w:tcW w:w="10773" w:type="dxa"/>
            <w:shd w:val="clear" w:color="auto" w:fill="D9E2F3" w:themeFill="accent1" w:themeFillTint="33"/>
          </w:tcPr>
          <w:p w14:paraId="686CC39B" w14:textId="5663BB0C" w:rsidR="0025732F" w:rsidRPr="00925EA9" w:rsidRDefault="0025732F">
            <w:pPr>
              <w:pStyle w:val="NoSpacing"/>
              <w:spacing w:line="240" w:lineRule="auto"/>
              <w:rPr>
                <w:sz w:val="20"/>
                <w:szCs w:val="20"/>
              </w:rPr>
            </w:pPr>
            <w:r w:rsidRPr="00925EA9">
              <w:rPr>
                <w:sz w:val="20"/>
                <w:szCs w:val="20"/>
              </w:rPr>
              <w:fldChar w:fldCharType="begin">
                <w:fldData xml:space="preserve">PEVuZE5vdGU+PENpdGUgQXV0aG9yWWVhcj0iMSI+PEF1dGhvcj5GaXNjaGVyPC9BdXRob3I+PFll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</w:fldData>
              </w:fldChar>
            </w:r>
            <w:r w:rsidR="00B9334F">
              <w:rPr>
                <w:sz w:val="20"/>
                <w:szCs w:val="20"/>
              </w:rPr>
              <w:instrText xml:space="preserve"> ADDIN EN.CITE </w:instrText>
            </w:r>
            <w:r w:rsidR="00B9334F">
              <w:rPr>
                <w:sz w:val="20"/>
                <w:szCs w:val="20"/>
              </w:rPr>
              <w:fldChar w:fldCharType="begin">
                <w:fldData xml:space="preserve">PEVuZE5vdGU+PENpdGUgQXV0aG9yWWVhcj0iMSI+PEF1dGhvcj5GaXNjaGVyPC9BdXRob3I+PFll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</w:fldData>
              </w:fldChar>
            </w:r>
            <w:r w:rsidR="00B9334F">
              <w:rPr>
                <w:sz w:val="20"/>
                <w:szCs w:val="20"/>
              </w:rPr>
              <w:instrText xml:space="preserve"> ADDIN EN.CITE.DATA </w:instrText>
            </w:r>
            <w:r w:rsidR="00B9334F">
              <w:rPr>
                <w:sz w:val="20"/>
                <w:szCs w:val="20"/>
              </w:rPr>
            </w:r>
            <w:r w:rsidR="00B9334F">
              <w:rPr>
                <w:sz w:val="20"/>
                <w:szCs w:val="20"/>
              </w:rPr>
              <w:fldChar w:fldCharType="end"/>
            </w:r>
            <w:r w:rsidRPr="00925EA9">
              <w:rPr>
                <w:sz w:val="20"/>
                <w:szCs w:val="20"/>
              </w:rPr>
            </w:r>
            <w:r w:rsidRPr="00925EA9">
              <w:rPr>
                <w:sz w:val="20"/>
                <w:szCs w:val="20"/>
              </w:rPr>
              <w:fldChar w:fldCharType="separate"/>
            </w:r>
            <w:r w:rsidR="00A77498">
              <w:rPr>
                <w:noProof/>
                <w:sz w:val="20"/>
                <w:szCs w:val="20"/>
              </w:rPr>
              <w:t>Fischer et al. (2006)</w:t>
            </w:r>
            <w:r w:rsidRPr="00925EA9">
              <w:rPr>
                <w:sz w:val="20"/>
                <w:szCs w:val="20"/>
              </w:rPr>
              <w:fldChar w:fldCharType="end"/>
            </w:r>
            <w:r w:rsidRPr="00925EA9">
              <w:rPr>
                <w:sz w:val="20"/>
                <w:szCs w:val="20"/>
              </w:rPr>
              <w:t xml:space="preserve"> </w:t>
            </w:r>
          </w:p>
        </w:tc>
      </w:tr>
      <w:tr w:rsidR="0025732F" w:rsidRPr="00925EA9" w14:paraId="45949A0D" w14:textId="77777777">
        <w:tc>
          <w:tcPr>
            <w:tcW w:w="3114" w:type="dxa"/>
          </w:tcPr>
          <w:p w14:paraId="19C3D3FF" w14:textId="77777777" w:rsidR="0025732F" w:rsidRPr="00925EA9" w:rsidRDefault="0025732F">
            <w:pPr>
              <w:pStyle w:val="NoSpacing"/>
              <w:spacing w:line="240" w:lineRule="auto"/>
              <w:rPr>
                <w:sz w:val="20"/>
                <w:szCs w:val="20"/>
              </w:rPr>
            </w:pPr>
            <w:r w:rsidRPr="00925EA9">
              <w:rPr>
                <w:sz w:val="20"/>
                <w:szCs w:val="20"/>
              </w:rPr>
              <w:t>Aims</w:t>
            </w:r>
          </w:p>
        </w:tc>
        <w:tc>
          <w:tcPr>
            <w:tcW w:w="10773" w:type="dxa"/>
          </w:tcPr>
          <w:p w14:paraId="08A88F78" w14:textId="77777777" w:rsidR="0025732F" w:rsidRPr="00925EA9" w:rsidRDefault="0025732F">
            <w:pPr>
              <w:pStyle w:val="NoSpacing"/>
              <w:spacing w:line="240" w:lineRule="auto"/>
              <w:rPr>
                <w:sz w:val="20"/>
                <w:szCs w:val="20"/>
              </w:rPr>
            </w:pPr>
            <w:r w:rsidRPr="00925EA9">
              <w:rPr>
                <w:sz w:val="20"/>
                <w:szCs w:val="20"/>
                <w:shd w:val="clear" w:color="auto" w:fill="FFFFFF"/>
              </w:rPr>
              <w:t>To evaluate the effectiveness and safety of methadone compared with buprenorphine treatment in opioid</w:t>
            </w:r>
            <w:r w:rsidRPr="00925EA9">
              <w:rPr>
                <w:rFonts w:ascii="Cambria Math" w:hAnsi="Cambria Math" w:cs="Cambria Math"/>
                <w:sz w:val="20"/>
                <w:szCs w:val="20"/>
                <w:shd w:val="clear" w:color="auto" w:fill="FFFFFF"/>
              </w:rPr>
              <w:t>‐</w:t>
            </w:r>
            <w:r w:rsidRPr="00925EA9">
              <w:rPr>
                <w:sz w:val="20"/>
                <w:szCs w:val="20"/>
                <w:shd w:val="clear" w:color="auto" w:fill="FFFFFF"/>
              </w:rPr>
              <w:t>dependent pregnant women on treatment retention, drug use and neonatal abstinence syndrome (NAS).</w:t>
            </w:r>
          </w:p>
        </w:tc>
      </w:tr>
      <w:tr w:rsidR="0025732F" w:rsidRPr="00925EA9" w14:paraId="5CA2F067" w14:textId="77777777">
        <w:tc>
          <w:tcPr>
            <w:tcW w:w="3114" w:type="dxa"/>
          </w:tcPr>
          <w:p w14:paraId="70E6CC0C" w14:textId="77777777" w:rsidR="0025732F" w:rsidRPr="00925EA9" w:rsidRDefault="0025732F">
            <w:pPr>
              <w:pStyle w:val="NoSpacing"/>
              <w:spacing w:line="240" w:lineRule="auto"/>
              <w:rPr>
                <w:sz w:val="20"/>
                <w:szCs w:val="20"/>
              </w:rPr>
            </w:pPr>
            <w:r w:rsidRPr="00925EA9">
              <w:rPr>
                <w:sz w:val="20"/>
                <w:szCs w:val="20"/>
              </w:rPr>
              <w:t>Design</w:t>
            </w:r>
          </w:p>
        </w:tc>
        <w:tc>
          <w:tcPr>
            <w:tcW w:w="10773" w:type="dxa"/>
          </w:tcPr>
          <w:p w14:paraId="612ED4B4" w14:textId="77777777" w:rsidR="0025732F" w:rsidRPr="00925EA9" w:rsidRDefault="0025732F">
            <w:pPr>
              <w:pStyle w:val="NoSpacing"/>
              <w:spacing w:line="240" w:lineRule="auto"/>
              <w:rPr>
                <w:sz w:val="20"/>
                <w:szCs w:val="20"/>
                <w:shd w:val="clear" w:color="auto" w:fill="FFFFFF"/>
              </w:rPr>
            </w:pPr>
            <w:r w:rsidRPr="00925EA9">
              <w:rPr>
                <w:sz w:val="20"/>
                <w:szCs w:val="20"/>
              </w:rPr>
              <w:t>RCT</w:t>
            </w:r>
            <w:r w:rsidRPr="00925EA9">
              <w:rPr>
                <w:sz w:val="20"/>
                <w:szCs w:val="20"/>
                <w:shd w:val="clear" w:color="auto" w:fill="FFFFFF"/>
              </w:rPr>
              <w:t>, flexible</w:t>
            </w:r>
            <w:r w:rsidRPr="00925EA9">
              <w:rPr>
                <w:rFonts w:ascii="Cambria Math" w:hAnsi="Cambria Math" w:cs="Cambria Math"/>
                <w:sz w:val="20"/>
                <w:szCs w:val="20"/>
                <w:shd w:val="clear" w:color="auto" w:fill="FFFFFF"/>
              </w:rPr>
              <w:t>‐</w:t>
            </w:r>
            <w:r w:rsidRPr="00925EA9">
              <w:rPr>
                <w:sz w:val="20"/>
                <w:szCs w:val="20"/>
                <w:shd w:val="clear" w:color="auto" w:fill="FFFFFF"/>
              </w:rPr>
              <w:t xml:space="preserve">dosing comparison study. Hospital clinical data was analysed. The severity and duration of NAS was measured using the Finnegan Scale, the severity of parental dependence was measured using the ASI. </w:t>
            </w:r>
          </w:p>
        </w:tc>
      </w:tr>
      <w:tr w:rsidR="0025732F" w:rsidRPr="00925EA9" w14:paraId="5B4BCBF5" w14:textId="77777777">
        <w:tc>
          <w:tcPr>
            <w:tcW w:w="3114" w:type="dxa"/>
          </w:tcPr>
          <w:p w14:paraId="71ED98A6" w14:textId="77777777" w:rsidR="0025732F" w:rsidRPr="00925EA9" w:rsidRDefault="0025732F">
            <w:pPr>
              <w:pStyle w:val="NoSpacing"/>
              <w:spacing w:line="240" w:lineRule="auto"/>
              <w:rPr>
                <w:sz w:val="20"/>
                <w:szCs w:val="20"/>
              </w:rPr>
            </w:pPr>
            <w:r w:rsidRPr="00925EA9">
              <w:rPr>
                <w:sz w:val="20"/>
                <w:szCs w:val="20"/>
              </w:rPr>
              <w:t>Population</w:t>
            </w:r>
          </w:p>
        </w:tc>
        <w:tc>
          <w:tcPr>
            <w:tcW w:w="10773" w:type="dxa"/>
          </w:tcPr>
          <w:p w14:paraId="43061476" w14:textId="77777777" w:rsidR="0025732F" w:rsidRPr="00925EA9" w:rsidRDefault="0025732F">
            <w:pPr>
              <w:pStyle w:val="NoSpacing"/>
              <w:spacing w:line="240" w:lineRule="auto"/>
              <w:rPr>
                <w:sz w:val="20"/>
                <w:szCs w:val="20"/>
              </w:rPr>
            </w:pPr>
            <w:r w:rsidRPr="00925EA9">
              <w:rPr>
                <w:sz w:val="20"/>
                <w:szCs w:val="20"/>
                <w:shd w:val="clear" w:color="auto" w:fill="FFFFFF"/>
              </w:rPr>
              <w:t>18 women were assigned randomly to methadone (</w:t>
            </w:r>
            <w:r w:rsidRPr="00925EA9">
              <w:rPr>
                <w:iCs/>
                <w:sz w:val="20"/>
                <w:szCs w:val="20"/>
                <w:shd w:val="clear" w:color="auto" w:fill="FFFFFF"/>
              </w:rPr>
              <w:t>n</w:t>
            </w:r>
            <w:r w:rsidRPr="00925EA9">
              <w:rPr>
                <w:sz w:val="20"/>
                <w:szCs w:val="20"/>
                <w:shd w:val="clear" w:color="auto" w:fill="FFFFFF"/>
              </w:rPr>
              <w:t>=9) or buprenorphine (</w:t>
            </w:r>
            <w:r w:rsidRPr="00925EA9">
              <w:rPr>
                <w:iCs/>
                <w:sz w:val="20"/>
                <w:szCs w:val="20"/>
                <w:shd w:val="clear" w:color="auto" w:fill="FFFFFF"/>
              </w:rPr>
              <w:t>n</w:t>
            </w:r>
            <w:r w:rsidRPr="00925EA9">
              <w:rPr>
                <w:sz w:val="20"/>
                <w:szCs w:val="20"/>
                <w:shd w:val="clear" w:color="auto" w:fill="FFFFFF"/>
              </w:rPr>
              <w:t xml:space="preserve">=9) at weeks 24–29 gestation. </w:t>
            </w:r>
          </w:p>
        </w:tc>
      </w:tr>
      <w:tr w:rsidR="0025732F" w:rsidRPr="00925EA9" w14:paraId="6AC9811B" w14:textId="77777777">
        <w:tc>
          <w:tcPr>
            <w:tcW w:w="3114" w:type="dxa"/>
          </w:tcPr>
          <w:p w14:paraId="05DC4EB9" w14:textId="77777777" w:rsidR="0025732F" w:rsidRPr="00925EA9" w:rsidRDefault="0025732F">
            <w:pPr>
              <w:pStyle w:val="NoSpacing"/>
              <w:spacing w:line="240" w:lineRule="auto"/>
              <w:rPr>
                <w:sz w:val="20"/>
                <w:szCs w:val="20"/>
              </w:rPr>
            </w:pPr>
            <w:r w:rsidRPr="00925EA9">
              <w:rPr>
                <w:sz w:val="20"/>
                <w:szCs w:val="20"/>
              </w:rPr>
              <w:t>Intervention</w:t>
            </w:r>
          </w:p>
        </w:tc>
        <w:tc>
          <w:tcPr>
            <w:tcW w:w="10773" w:type="dxa"/>
          </w:tcPr>
          <w:p w14:paraId="6FC4C514" w14:textId="77777777" w:rsidR="0025732F" w:rsidRPr="00925EA9" w:rsidRDefault="0025732F">
            <w:pPr>
              <w:pStyle w:val="NoSpacing"/>
              <w:spacing w:line="240" w:lineRule="auto"/>
              <w:rPr>
                <w:sz w:val="20"/>
                <w:szCs w:val="20"/>
              </w:rPr>
            </w:pPr>
            <w:r w:rsidRPr="00925EA9">
              <w:rPr>
                <w:sz w:val="20"/>
                <w:szCs w:val="20"/>
              </w:rPr>
              <w:t xml:space="preserve">MAT in the form of opioid substation therapy provided by hospital pharmacy. </w:t>
            </w:r>
            <w:r w:rsidRPr="00925EA9">
              <w:rPr>
                <w:sz w:val="20"/>
                <w:szCs w:val="20"/>
                <w:shd w:val="clear" w:color="auto" w:fill="FFFFFF"/>
              </w:rPr>
              <w:t>Participants were admitted to a clinic for at least three days when starting the trial to receive 24</w:t>
            </w:r>
            <w:r w:rsidRPr="00925EA9">
              <w:rPr>
                <w:rFonts w:ascii="Cambria Math" w:hAnsi="Cambria Math" w:cs="Cambria Math"/>
                <w:sz w:val="20"/>
                <w:szCs w:val="20"/>
                <w:shd w:val="clear" w:color="auto" w:fill="FFFFFF"/>
              </w:rPr>
              <w:t>‐</w:t>
            </w:r>
            <w:r w:rsidRPr="00925EA9">
              <w:rPr>
                <w:sz w:val="20"/>
                <w:szCs w:val="20"/>
                <w:shd w:val="clear" w:color="auto" w:fill="FFFFFF"/>
              </w:rPr>
              <w:t>hour monitoring and care. Gynaecological examinations occurred on day 1, then again at weeks 28, 32, 36 and 38 of gestation, and finally at delivery. Postpartum, participants were investigated for congenital problems. Neonates were observed for at least 10 days in the hospital.</w:t>
            </w:r>
          </w:p>
        </w:tc>
      </w:tr>
      <w:tr w:rsidR="0025732F" w:rsidRPr="00925EA9" w14:paraId="50564807" w14:textId="77777777">
        <w:tc>
          <w:tcPr>
            <w:tcW w:w="3114" w:type="dxa"/>
          </w:tcPr>
          <w:p w14:paraId="4F6AD7ED" w14:textId="77777777" w:rsidR="0025732F" w:rsidRPr="00925EA9" w:rsidRDefault="0025732F">
            <w:pPr>
              <w:pStyle w:val="NoSpacing"/>
              <w:spacing w:line="240" w:lineRule="auto"/>
              <w:rPr>
                <w:sz w:val="20"/>
                <w:szCs w:val="20"/>
              </w:rPr>
            </w:pPr>
            <w:r w:rsidRPr="00925EA9">
              <w:rPr>
                <w:sz w:val="20"/>
                <w:szCs w:val="20"/>
              </w:rPr>
              <w:t>Country</w:t>
            </w:r>
          </w:p>
        </w:tc>
        <w:tc>
          <w:tcPr>
            <w:tcW w:w="10773" w:type="dxa"/>
          </w:tcPr>
          <w:p w14:paraId="50EA8752" w14:textId="77777777" w:rsidR="0025732F" w:rsidRPr="00925EA9" w:rsidRDefault="0025732F">
            <w:pPr>
              <w:pStyle w:val="NoSpacing"/>
              <w:spacing w:line="240" w:lineRule="auto"/>
              <w:rPr>
                <w:sz w:val="20"/>
                <w:szCs w:val="20"/>
              </w:rPr>
            </w:pPr>
            <w:r w:rsidRPr="00925EA9">
              <w:rPr>
                <w:sz w:val="20"/>
                <w:szCs w:val="20"/>
              </w:rPr>
              <w:t>Austria (Vienna).</w:t>
            </w:r>
          </w:p>
        </w:tc>
      </w:tr>
      <w:tr w:rsidR="0025732F" w:rsidRPr="00925EA9" w14:paraId="150B217C" w14:textId="77777777">
        <w:tc>
          <w:tcPr>
            <w:tcW w:w="3114" w:type="dxa"/>
          </w:tcPr>
          <w:p w14:paraId="19161C52" w14:textId="77777777" w:rsidR="0025732F" w:rsidRPr="00925EA9" w:rsidRDefault="0025732F">
            <w:pPr>
              <w:pStyle w:val="NoSpacing"/>
              <w:spacing w:line="240" w:lineRule="auto"/>
              <w:rPr>
                <w:sz w:val="20"/>
                <w:szCs w:val="20"/>
              </w:rPr>
            </w:pPr>
            <w:r>
              <w:rPr>
                <w:sz w:val="20"/>
                <w:szCs w:val="20"/>
              </w:rPr>
              <w:t>O</w:t>
            </w:r>
            <w:r w:rsidRPr="00925EA9">
              <w:rPr>
                <w:sz w:val="20"/>
                <w:szCs w:val="20"/>
              </w:rPr>
              <w:t>utcomes</w:t>
            </w:r>
          </w:p>
        </w:tc>
        <w:tc>
          <w:tcPr>
            <w:tcW w:w="10773" w:type="dxa"/>
          </w:tcPr>
          <w:p w14:paraId="00493F39" w14:textId="77777777" w:rsidR="0025732F" w:rsidRPr="00925EA9" w:rsidRDefault="0025732F">
            <w:pPr>
              <w:pStyle w:val="NoSpacing"/>
              <w:spacing w:line="240" w:lineRule="auto"/>
              <w:rPr>
                <w:sz w:val="20"/>
                <w:szCs w:val="20"/>
                <w:shd w:val="clear" w:color="auto" w:fill="FFFFFF"/>
              </w:rPr>
            </w:pPr>
            <w:r w:rsidRPr="00925EA9">
              <w:rPr>
                <w:sz w:val="20"/>
                <w:szCs w:val="20"/>
                <w:shd w:val="clear" w:color="auto" w:fill="FFFFFF"/>
              </w:rPr>
              <w:t>The buprenorphine group were more likely to be retained in treatment, but the methadone group were significantly more likely to reduce their use of opioids on top of what they were prescribed (</w:t>
            </w:r>
            <w:r w:rsidRPr="00925EA9">
              <w:rPr>
                <w:iCs/>
                <w:sz w:val="20"/>
                <w:szCs w:val="20"/>
                <w:shd w:val="clear" w:color="auto" w:fill="FFFFFF"/>
              </w:rPr>
              <w:t>p</w:t>
            </w:r>
            <w:r w:rsidRPr="00925EA9">
              <w:rPr>
                <w:sz w:val="20"/>
                <w:szCs w:val="20"/>
                <w:shd w:val="clear" w:color="auto" w:fill="FFFFFF"/>
              </w:rPr>
              <w:t>=0.047). 43% of neonates did not need treatment for NAS. However, new-borns in the methadone group began to exhibit NAS symptoms earlier than the buprenorphine group (mean = 60 hours vs. 72 hours after last medication</w:t>
            </w:r>
            <w:r>
              <w:rPr>
                <w:sz w:val="20"/>
                <w:szCs w:val="20"/>
                <w:shd w:val="clear" w:color="auto" w:fill="FFFFFF"/>
              </w:rPr>
              <w:t>).</w:t>
            </w:r>
          </w:p>
        </w:tc>
      </w:tr>
      <w:tr w:rsidR="0025732F" w:rsidRPr="00925EA9" w14:paraId="0E67098E" w14:textId="77777777">
        <w:tc>
          <w:tcPr>
            <w:tcW w:w="3114" w:type="dxa"/>
          </w:tcPr>
          <w:p w14:paraId="6710593A" w14:textId="77777777" w:rsidR="0025732F" w:rsidRPr="00925EA9" w:rsidRDefault="0025732F">
            <w:pPr>
              <w:pStyle w:val="NoSpacing"/>
              <w:spacing w:line="240" w:lineRule="auto"/>
              <w:rPr>
                <w:sz w:val="20"/>
                <w:szCs w:val="20"/>
              </w:rPr>
            </w:pPr>
            <w:r w:rsidRPr="00925EA9">
              <w:rPr>
                <w:sz w:val="20"/>
                <w:szCs w:val="20"/>
              </w:rPr>
              <w:t>Cost-benefit/ cost-effectiveness</w:t>
            </w:r>
          </w:p>
        </w:tc>
        <w:tc>
          <w:tcPr>
            <w:tcW w:w="10773" w:type="dxa"/>
          </w:tcPr>
          <w:p w14:paraId="793C03B4" w14:textId="77777777" w:rsidR="0025732F" w:rsidRPr="00925EA9" w:rsidRDefault="0025732F">
            <w:pPr>
              <w:pStyle w:val="NoSpacing"/>
              <w:spacing w:line="240" w:lineRule="auto"/>
              <w:rPr>
                <w:sz w:val="20"/>
                <w:szCs w:val="20"/>
              </w:rPr>
            </w:pPr>
            <w:r w:rsidRPr="00925EA9">
              <w:rPr>
                <w:sz w:val="20"/>
                <w:szCs w:val="20"/>
              </w:rPr>
              <w:t>N/A.</w:t>
            </w:r>
          </w:p>
        </w:tc>
      </w:tr>
      <w:tr w:rsidR="0025732F" w:rsidRPr="00925EA9" w14:paraId="28B04567" w14:textId="77777777">
        <w:tc>
          <w:tcPr>
            <w:tcW w:w="3114" w:type="dxa"/>
            <w:tcBorders>
              <w:bottom w:val="single" w:sz="4" w:space="0" w:color="auto"/>
            </w:tcBorders>
          </w:tcPr>
          <w:p w14:paraId="21E63520" w14:textId="77777777" w:rsidR="0025732F" w:rsidRPr="00925EA9" w:rsidRDefault="0025732F">
            <w:pPr>
              <w:pStyle w:val="NoSpacing"/>
              <w:spacing w:line="240" w:lineRule="auto"/>
              <w:rPr>
                <w:sz w:val="20"/>
                <w:szCs w:val="20"/>
              </w:rPr>
            </w:pPr>
            <w:r w:rsidRPr="00925EA9">
              <w:rPr>
                <w:sz w:val="20"/>
                <w:szCs w:val="20"/>
              </w:rPr>
              <w:t>Overall quality rating</w:t>
            </w:r>
          </w:p>
        </w:tc>
        <w:tc>
          <w:tcPr>
            <w:tcW w:w="10773" w:type="dxa"/>
            <w:tcBorders>
              <w:bottom w:val="single" w:sz="4" w:space="0" w:color="auto"/>
            </w:tcBorders>
          </w:tcPr>
          <w:p w14:paraId="1790CA5E" w14:textId="77777777" w:rsidR="0025732F" w:rsidRPr="00925EA9" w:rsidRDefault="0025732F">
            <w:pPr>
              <w:pStyle w:val="NoSpacing"/>
              <w:spacing w:line="240" w:lineRule="auto"/>
              <w:rPr>
                <w:sz w:val="20"/>
                <w:szCs w:val="20"/>
              </w:rPr>
            </w:pPr>
            <w:r>
              <w:rPr>
                <w:sz w:val="20"/>
                <w:szCs w:val="20"/>
              </w:rPr>
              <w:t>Low</w:t>
            </w:r>
            <w:r w:rsidRPr="00925EA9">
              <w:rPr>
                <w:sz w:val="20"/>
                <w:szCs w:val="20"/>
              </w:rPr>
              <w:t>.</w:t>
            </w:r>
          </w:p>
        </w:tc>
      </w:tr>
      <w:tr w:rsidR="0025732F" w:rsidRPr="00F022D5" w14:paraId="271EDB7B" w14:textId="77777777">
        <w:tc>
          <w:tcPr>
            <w:tcW w:w="3114" w:type="dxa"/>
            <w:shd w:val="clear" w:color="auto" w:fill="D9E2F3" w:themeFill="accent1" w:themeFillTint="33"/>
          </w:tcPr>
          <w:p w14:paraId="0D633E50" w14:textId="77777777" w:rsidR="0025732F" w:rsidRPr="00F022D5" w:rsidRDefault="0025732F">
            <w:pPr>
              <w:rPr>
                <w:rFonts w:cs="Arial"/>
                <w:sz w:val="20"/>
                <w:szCs w:val="20"/>
              </w:rPr>
            </w:pPr>
            <w:r w:rsidRPr="00F022D5">
              <w:rPr>
                <w:rFonts w:cs="Arial"/>
                <w:sz w:val="20"/>
                <w:szCs w:val="20"/>
              </w:rPr>
              <w:t>Reference</w:t>
            </w:r>
          </w:p>
        </w:tc>
        <w:tc>
          <w:tcPr>
            <w:tcW w:w="10773" w:type="dxa"/>
            <w:shd w:val="clear" w:color="auto" w:fill="D9E2F3" w:themeFill="accent1" w:themeFillTint="33"/>
          </w:tcPr>
          <w:p w14:paraId="335A37E3" w14:textId="28F2BD7C" w:rsidR="0025732F" w:rsidRPr="00F022D5" w:rsidRDefault="0025732F">
            <w:pPr>
              <w:rPr>
                <w:rFonts w:cs="Arial"/>
                <w:sz w:val="20"/>
                <w:szCs w:val="20"/>
              </w:rPr>
            </w:pPr>
            <w:r w:rsidRPr="00F022D5">
              <w:rPr>
                <w:rFonts w:cs="Arial"/>
                <w:sz w:val="20"/>
                <w:szCs w:val="20"/>
              </w:rPr>
              <w:fldChar w:fldCharType="begin"/>
            </w:r>
            <w:r w:rsidR="00B9334F">
              <w:rPr>
                <w:rFonts w:cs="Arial"/>
                <w:sz w:val="20"/>
                <w:szCs w:val="20"/>
              </w:rPr>
              <w:instrText xml:space="preserve"> ADDIN EN.CITE &lt;EndNote&gt;&lt;Cite AuthorYear="1"&gt;&lt;Author&gt;Jansson&lt;/Author&gt;&lt;Year&gt;2005&lt;/Year&gt;&lt;RecNum&gt;137&lt;/RecNum&gt;&lt;DisplayText&gt;Jansson et al. (2005)&lt;/DisplayText&gt;&lt;record&gt;&lt;rec-number&gt;137&lt;/rec-number&gt;&lt;foreign-keys&gt;&lt;key app="EN" db-id="ffzvr5fstavwxoe9v04xf0wmp5t50as52da0" timestamp="1731671644" guid="65c3afcb-7fc8-4a59-bd27-faa9da01dd16"&gt;137&lt;/key&gt;&lt;/foreign-keys&gt;&lt;ref-type name="Journal Article"&gt;17&lt;/ref-type&gt;&lt;contributors&gt;&lt;authors&gt;&lt;author&gt;Jansson, L. M.&lt;/author&gt;&lt;author&gt;Svikis, D. S.&lt;/author&gt;&lt;author&gt;Breon, D.&lt;/author&gt;&lt;author&gt;Cieslak, R.&lt;/author&gt;&lt;/authors&gt;&lt;/contributors&gt;&lt;titles&gt;&lt;title&gt;Intensity of Case Management Services: Does More Equal Better for Drug Dependent Women and Their Children?&lt;/title&gt;&lt;secondary-title&gt;Social Work in Mental Health&lt;/secondary-title&gt;&lt;/titles&gt;&lt;periodical&gt;&lt;full-title&gt;Social Work in Mental Health&lt;/full-title&gt;&lt;/periodical&gt;&lt;pages&gt;63-78&lt;/pages&gt;&lt;volume&gt;3&lt;/volume&gt;&lt;number&gt;4&lt;/number&gt;&lt;dates&gt;&lt;year&gt;2005&lt;/year&gt;&lt;pub-dates&gt;&lt;date&gt;2005/07/15&lt;/date&gt;&lt;/pub-dates&gt;&lt;/dates&gt;&lt;publisher&gt;Routledge&lt;/publisher&gt;&lt;isbn&gt;1533-2985&lt;/isbn&gt;&lt;urls&gt;&lt;related-urls&gt;&lt;url&gt;&lt;style face="underline" font="default" size="100%"&gt;https://doi.org/10.1300/J200v03n04_04&lt;/style&gt;&lt;/url&gt;&lt;/related-urls&gt;&lt;/urls&gt;&lt;electronic-resource-num&gt;10.1300/J200v03n04_04&lt;/electronic-resource-num&gt;&lt;/record&gt;&lt;/Cite&gt;&lt;/EndNote&gt;</w:instrText>
            </w:r>
            <w:r w:rsidRPr="00F022D5">
              <w:rPr>
                <w:rFonts w:cs="Arial"/>
                <w:sz w:val="20"/>
                <w:szCs w:val="20"/>
              </w:rPr>
              <w:fldChar w:fldCharType="separate"/>
            </w:r>
            <w:r w:rsidR="00A77498">
              <w:rPr>
                <w:rFonts w:cs="Arial"/>
                <w:noProof/>
                <w:sz w:val="20"/>
                <w:szCs w:val="20"/>
              </w:rPr>
              <w:t>Jansson et al. (2005)</w:t>
            </w:r>
            <w:r w:rsidRPr="00F022D5">
              <w:rPr>
                <w:rFonts w:cs="Arial"/>
                <w:sz w:val="20"/>
                <w:szCs w:val="20"/>
              </w:rPr>
              <w:fldChar w:fldCharType="end"/>
            </w:r>
          </w:p>
        </w:tc>
      </w:tr>
      <w:tr w:rsidR="0025732F" w:rsidRPr="00F022D5" w14:paraId="567B8001" w14:textId="77777777">
        <w:tc>
          <w:tcPr>
            <w:tcW w:w="3114" w:type="dxa"/>
          </w:tcPr>
          <w:p w14:paraId="65D6B341" w14:textId="77777777" w:rsidR="0025732F" w:rsidRPr="00F022D5" w:rsidRDefault="0025732F">
            <w:pPr>
              <w:rPr>
                <w:rFonts w:cs="Arial"/>
                <w:sz w:val="20"/>
                <w:szCs w:val="20"/>
              </w:rPr>
            </w:pPr>
            <w:r w:rsidRPr="00F022D5">
              <w:rPr>
                <w:rFonts w:cs="Arial"/>
                <w:sz w:val="20"/>
                <w:szCs w:val="20"/>
              </w:rPr>
              <w:t>Aims</w:t>
            </w:r>
          </w:p>
        </w:tc>
        <w:tc>
          <w:tcPr>
            <w:tcW w:w="10773" w:type="dxa"/>
          </w:tcPr>
          <w:p w14:paraId="78A7BFF1" w14:textId="77777777" w:rsidR="0025732F" w:rsidRPr="00F022D5" w:rsidRDefault="0025732F">
            <w:pPr>
              <w:autoSpaceDE w:val="0"/>
              <w:autoSpaceDN w:val="0"/>
              <w:adjustRightInd w:val="0"/>
              <w:rPr>
                <w:rFonts w:cs="Arial"/>
                <w:sz w:val="20"/>
                <w:szCs w:val="20"/>
              </w:rPr>
            </w:pPr>
            <w:r w:rsidRPr="00F022D5">
              <w:rPr>
                <w:rFonts w:cs="Arial"/>
                <w:sz w:val="20"/>
                <w:szCs w:val="20"/>
              </w:rPr>
              <w:t>To analyse the effectiveness of ICM compared with regular care management for postpartum drug dependent women on treatment retention and abstinence.</w:t>
            </w:r>
          </w:p>
        </w:tc>
      </w:tr>
      <w:tr w:rsidR="0025732F" w:rsidRPr="00F022D5" w14:paraId="7B8BCF3B" w14:textId="77777777">
        <w:tc>
          <w:tcPr>
            <w:tcW w:w="3114" w:type="dxa"/>
          </w:tcPr>
          <w:p w14:paraId="5AEA7F27" w14:textId="77777777" w:rsidR="0025732F" w:rsidRPr="00F022D5" w:rsidRDefault="0025732F">
            <w:pPr>
              <w:rPr>
                <w:rFonts w:cs="Arial"/>
                <w:sz w:val="20"/>
                <w:szCs w:val="20"/>
              </w:rPr>
            </w:pPr>
            <w:r w:rsidRPr="00F022D5">
              <w:rPr>
                <w:rFonts w:cs="Arial"/>
                <w:sz w:val="20"/>
                <w:szCs w:val="20"/>
              </w:rPr>
              <w:t>Design</w:t>
            </w:r>
          </w:p>
        </w:tc>
        <w:tc>
          <w:tcPr>
            <w:tcW w:w="10773" w:type="dxa"/>
          </w:tcPr>
          <w:p w14:paraId="711CDE5F" w14:textId="77777777" w:rsidR="0025732F" w:rsidRPr="00F022D5" w:rsidRDefault="0025732F">
            <w:pPr>
              <w:rPr>
                <w:rFonts w:cs="Arial"/>
                <w:sz w:val="20"/>
                <w:szCs w:val="20"/>
              </w:rPr>
            </w:pPr>
            <w:r w:rsidRPr="00F022D5">
              <w:rPr>
                <w:rFonts w:cs="Arial"/>
                <w:sz w:val="20"/>
                <w:szCs w:val="20"/>
              </w:rPr>
              <w:t>RCT, with four-month postpartum follow-up of women giving birth in a community hospital between March and November 1998. Data came from medical records and patient questionnaires.</w:t>
            </w:r>
          </w:p>
        </w:tc>
      </w:tr>
      <w:tr w:rsidR="0025732F" w:rsidRPr="00F022D5" w14:paraId="0EA47638" w14:textId="77777777">
        <w:tc>
          <w:tcPr>
            <w:tcW w:w="3114" w:type="dxa"/>
          </w:tcPr>
          <w:p w14:paraId="3D99F9DA" w14:textId="77777777" w:rsidR="0025732F" w:rsidRPr="00F022D5" w:rsidRDefault="0025732F">
            <w:pPr>
              <w:rPr>
                <w:rFonts w:cs="Arial"/>
                <w:sz w:val="20"/>
                <w:szCs w:val="20"/>
              </w:rPr>
            </w:pPr>
            <w:r w:rsidRPr="00F022D5">
              <w:rPr>
                <w:rFonts w:cs="Arial"/>
                <w:sz w:val="20"/>
                <w:szCs w:val="20"/>
              </w:rPr>
              <w:t>Population</w:t>
            </w:r>
          </w:p>
        </w:tc>
        <w:tc>
          <w:tcPr>
            <w:tcW w:w="10773" w:type="dxa"/>
          </w:tcPr>
          <w:p w14:paraId="5712FDEE" w14:textId="77777777" w:rsidR="0025732F" w:rsidRPr="00F022D5" w:rsidRDefault="0025732F">
            <w:pPr>
              <w:rPr>
                <w:rFonts w:cs="Arial"/>
                <w:sz w:val="20"/>
                <w:szCs w:val="20"/>
              </w:rPr>
            </w:pPr>
            <w:r w:rsidRPr="00F022D5">
              <w:rPr>
                <w:rFonts w:cs="Arial"/>
                <w:sz w:val="20"/>
                <w:szCs w:val="20"/>
              </w:rPr>
              <w:t xml:space="preserve">Intervention (n=22) and comparison (n=34) mothers who had engaged with a comprehensive drug treatment service and were dependent on opioids and/or cocaine. </w:t>
            </w:r>
          </w:p>
        </w:tc>
      </w:tr>
      <w:tr w:rsidR="0025732F" w:rsidRPr="00F022D5" w14:paraId="4FB7CE3C" w14:textId="77777777">
        <w:tc>
          <w:tcPr>
            <w:tcW w:w="3114" w:type="dxa"/>
          </w:tcPr>
          <w:p w14:paraId="56580541" w14:textId="77777777" w:rsidR="0025732F" w:rsidRPr="00F022D5" w:rsidRDefault="0025732F">
            <w:pPr>
              <w:rPr>
                <w:rFonts w:cs="Arial"/>
                <w:sz w:val="20"/>
                <w:szCs w:val="20"/>
              </w:rPr>
            </w:pPr>
            <w:r w:rsidRPr="00F022D5">
              <w:rPr>
                <w:rFonts w:cs="Arial"/>
                <w:sz w:val="20"/>
                <w:szCs w:val="20"/>
              </w:rPr>
              <w:t>Intervention</w:t>
            </w:r>
          </w:p>
        </w:tc>
        <w:tc>
          <w:tcPr>
            <w:tcW w:w="10773" w:type="dxa"/>
          </w:tcPr>
          <w:p w14:paraId="09CE7053" w14:textId="77777777" w:rsidR="0025732F" w:rsidRPr="00F022D5" w:rsidRDefault="0025732F">
            <w:pPr>
              <w:autoSpaceDE w:val="0"/>
              <w:autoSpaceDN w:val="0"/>
              <w:adjustRightInd w:val="0"/>
              <w:rPr>
                <w:rFonts w:cs="Arial"/>
                <w:sz w:val="20"/>
                <w:szCs w:val="20"/>
              </w:rPr>
            </w:pPr>
            <w:r w:rsidRPr="00F022D5">
              <w:rPr>
                <w:rFonts w:cs="Arial"/>
                <w:sz w:val="20"/>
                <w:szCs w:val="20"/>
              </w:rPr>
              <w:t>Both treatment arms engaged with the comprehensive drug treatment programme which provided transport, child care and various support services to drug-dependent mothers in a single location. The comparison group were scheduled routine paediatric care at 2 weeks, a month, two months and four months postpartum. The intervention group received the same plus fortnightly care management via phone or face to face (at the treatment service or at home).</w:t>
            </w:r>
          </w:p>
        </w:tc>
      </w:tr>
      <w:tr w:rsidR="0025732F" w:rsidRPr="00F022D5" w14:paraId="0E569726" w14:textId="77777777">
        <w:tc>
          <w:tcPr>
            <w:tcW w:w="3114" w:type="dxa"/>
          </w:tcPr>
          <w:p w14:paraId="596FA278" w14:textId="77777777" w:rsidR="0025732F" w:rsidRPr="00F022D5" w:rsidRDefault="0025732F">
            <w:pPr>
              <w:rPr>
                <w:rFonts w:cs="Arial"/>
                <w:sz w:val="20"/>
                <w:szCs w:val="20"/>
              </w:rPr>
            </w:pPr>
            <w:r w:rsidRPr="00F022D5">
              <w:rPr>
                <w:rFonts w:cs="Arial"/>
                <w:sz w:val="20"/>
                <w:szCs w:val="20"/>
              </w:rPr>
              <w:t>Country</w:t>
            </w:r>
          </w:p>
        </w:tc>
        <w:tc>
          <w:tcPr>
            <w:tcW w:w="10773" w:type="dxa"/>
          </w:tcPr>
          <w:p w14:paraId="2AB8CB28" w14:textId="77777777" w:rsidR="0025732F" w:rsidRPr="00F022D5" w:rsidRDefault="0025732F">
            <w:pPr>
              <w:rPr>
                <w:rFonts w:cs="Arial"/>
                <w:sz w:val="20"/>
                <w:szCs w:val="20"/>
              </w:rPr>
            </w:pPr>
            <w:r w:rsidRPr="00F022D5">
              <w:rPr>
                <w:rFonts w:cs="Arial"/>
                <w:sz w:val="20"/>
                <w:szCs w:val="20"/>
              </w:rPr>
              <w:t>USA (a community hospital in East Baltimore).</w:t>
            </w:r>
          </w:p>
        </w:tc>
      </w:tr>
      <w:tr w:rsidR="0025732F" w:rsidRPr="00F022D5" w14:paraId="718877D8" w14:textId="77777777">
        <w:tc>
          <w:tcPr>
            <w:tcW w:w="3114" w:type="dxa"/>
          </w:tcPr>
          <w:p w14:paraId="2AF14993" w14:textId="77777777" w:rsidR="0025732F" w:rsidRPr="00F022D5" w:rsidRDefault="0025732F">
            <w:pPr>
              <w:rPr>
                <w:rFonts w:cs="Arial"/>
                <w:sz w:val="20"/>
                <w:szCs w:val="20"/>
              </w:rPr>
            </w:pPr>
            <w:r w:rsidRPr="00F022D5">
              <w:rPr>
                <w:rFonts w:cs="Arial"/>
                <w:sz w:val="20"/>
                <w:szCs w:val="20"/>
              </w:rPr>
              <w:t>Outcomes</w:t>
            </w:r>
          </w:p>
        </w:tc>
        <w:tc>
          <w:tcPr>
            <w:tcW w:w="10773" w:type="dxa"/>
          </w:tcPr>
          <w:p w14:paraId="05A04BCC" w14:textId="77777777" w:rsidR="0025732F" w:rsidRPr="00F022D5" w:rsidRDefault="0025732F">
            <w:pPr>
              <w:autoSpaceDE w:val="0"/>
              <w:autoSpaceDN w:val="0"/>
              <w:adjustRightInd w:val="0"/>
              <w:rPr>
                <w:rFonts w:cs="Arial"/>
                <w:sz w:val="20"/>
                <w:szCs w:val="20"/>
              </w:rPr>
            </w:pPr>
            <w:r w:rsidRPr="00F022D5">
              <w:rPr>
                <w:rFonts w:cs="Arial"/>
                <w:sz w:val="20"/>
                <w:szCs w:val="20"/>
              </w:rPr>
              <w:t>In both the intervention and comparison group, the frequency of case management visits was positively correlated with treatment retention, however mothers who received ICM stayed in treatment significantly longer on average (mean) (45 vs. 32 days, p &lt; .013). There was no significant difference in likely drop out rates or methadone maintenance between the two groups at final four-month follow-up. Mothers assigned to the comparison group had a significantly higher likelihood of testing positive for cocaine in urine analysis than those assigned to ICM (17% vs. 0%, p &lt; .05).</w:t>
            </w:r>
          </w:p>
        </w:tc>
      </w:tr>
      <w:tr w:rsidR="0025732F" w:rsidRPr="00F022D5" w14:paraId="5461C00F" w14:textId="77777777">
        <w:tc>
          <w:tcPr>
            <w:tcW w:w="3114" w:type="dxa"/>
          </w:tcPr>
          <w:p w14:paraId="1B6A9627" w14:textId="77777777" w:rsidR="0025732F" w:rsidRPr="00F022D5" w:rsidRDefault="0025732F">
            <w:pPr>
              <w:rPr>
                <w:rFonts w:cs="Arial"/>
                <w:sz w:val="20"/>
                <w:szCs w:val="20"/>
              </w:rPr>
            </w:pPr>
            <w:r w:rsidRPr="00F022D5">
              <w:rPr>
                <w:rFonts w:cs="Arial"/>
                <w:sz w:val="20"/>
                <w:szCs w:val="20"/>
              </w:rPr>
              <w:t>Cost-benefit/ cost-effectiveness</w:t>
            </w:r>
          </w:p>
        </w:tc>
        <w:tc>
          <w:tcPr>
            <w:tcW w:w="10773" w:type="dxa"/>
          </w:tcPr>
          <w:p w14:paraId="630F133C" w14:textId="77777777" w:rsidR="0025732F" w:rsidRPr="00F022D5" w:rsidRDefault="0025732F">
            <w:pPr>
              <w:rPr>
                <w:rFonts w:cs="Arial"/>
                <w:sz w:val="20"/>
                <w:szCs w:val="20"/>
              </w:rPr>
            </w:pPr>
            <w:r w:rsidRPr="00F022D5">
              <w:rPr>
                <w:rFonts w:cs="Arial"/>
                <w:sz w:val="20"/>
                <w:szCs w:val="20"/>
              </w:rPr>
              <w:t>N/A.</w:t>
            </w:r>
          </w:p>
        </w:tc>
      </w:tr>
      <w:tr w:rsidR="0025732F" w:rsidRPr="00F022D5" w14:paraId="5C0840A3" w14:textId="77777777">
        <w:tc>
          <w:tcPr>
            <w:tcW w:w="3114" w:type="dxa"/>
          </w:tcPr>
          <w:p w14:paraId="4511E26E" w14:textId="77777777" w:rsidR="0025732F" w:rsidRPr="00F022D5" w:rsidRDefault="0025732F">
            <w:pPr>
              <w:rPr>
                <w:rFonts w:cs="Arial"/>
                <w:sz w:val="20"/>
                <w:szCs w:val="20"/>
              </w:rPr>
            </w:pPr>
            <w:r w:rsidRPr="00F022D5">
              <w:rPr>
                <w:rFonts w:cs="Arial"/>
                <w:sz w:val="20"/>
                <w:szCs w:val="20"/>
              </w:rPr>
              <w:lastRenderedPageBreak/>
              <w:t>Overall quality rating</w:t>
            </w:r>
          </w:p>
        </w:tc>
        <w:tc>
          <w:tcPr>
            <w:tcW w:w="10773" w:type="dxa"/>
          </w:tcPr>
          <w:p w14:paraId="5A286DC7" w14:textId="77777777" w:rsidR="0025732F" w:rsidRPr="00F022D5" w:rsidRDefault="0025732F">
            <w:pPr>
              <w:rPr>
                <w:rFonts w:cs="Arial"/>
                <w:sz w:val="20"/>
                <w:szCs w:val="20"/>
              </w:rPr>
            </w:pPr>
            <w:r w:rsidRPr="00F022D5">
              <w:rPr>
                <w:rFonts w:cs="Arial"/>
                <w:sz w:val="20"/>
                <w:szCs w:val="20"/>
              </w:rPr>
              <w:t>Moderate.</w:t>
            </w:r>
          </w:p>
        </w:tc>
      </w:tr>
      <w:tr w:rsidR="0025732F" w:rsidRPr="00F022D5" w14:paraId="657C5919" w14:textId="77777777">
        <w:tc>
          <w:tcPr>
            <w:tcW w:w="3114" w:type="dxa"/>
            <w:shd w:val="clear" w:color="auto" w:fill="D9E2F3" w:themeFill="accent1" w:themeFillTint="33"/>
          </w:tcPr>
          <w:p w14:paraId="43A482C8" w14:textId="77777777" w:rsidR="0025732F" w:rsidRPr="00F022D5" w:rsidRDefault="0025732F">
            <w:pPr>
              <w:pStyle w:val="NoSpacing"/>
              <w:spacing w:line="240" w:lineRule="auto"/>
              <w:rPr>
                <w:sz w:val="20"/>
                <w:szCs w:val="20"/>
              </w:rPr>
            </w:pPr>
            <w:r w:rsidRPr="00F022D5">
              <w:rPr>
                <w:sz w:val="20"/>
                <w:szCs w:val="20"/>
              </w:rPr>
              <w:t>Reference</w:t>
            </w:r>
          </w:p>
        </w:tc>
        <w:tc>
          <w:tcPr>
            <w:tcW w:w="10773" w:type="dxa"/>
            <w:shd w:val="clear" w:color="auto" w:fill="D9E2F3" w:themeFill="accent1" w:themeFillTint="33"/>
          </w:tcPr>
          <w:p w14:paraId="193A1D22" w14:textId="43E43799" w:rsidR="0025732F" w:rsidRPr="00F022D5" w:rsidRDefault="0025732F">
            <w:pPr>
              <w:pStyle w:val="NoSpacing"/>
              <w:spacing w:line="240" w:lineRule="auto"/>
              <w:rPr>
                <w:sz w:val="20"/>
                <w:szCs w:val="20"/>
              </w:rPr>
            </w:pPr>
            <w:r w:rsidRPr="00F022D5">
              <w:rPr>
                <w:sz w:val="20"/>
                <w:szCs w:val="20"/>
              </w:rPr>
              <w:fldChar w:fldCharType="begin">
                <w:fldData xml:space="preserve">PEVuZE5vdGU+PENpdGUgQXV0aG9yWWVhcj0iMSI+PEF1dGhvcj5Kb25lczwvQXV0aG9yPjxZZWFy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</w:fldData>
              </w:fldChar>
            </w:r>
            <w:r w:rsidR="00B9334F">
              <w:rPr>
                <w:sz w:val="20"/>
                <w:szCs w:val="20"/>
              </w:rPr>
              <w:instrText xml:space="preserve"> ADDIN EN.CITE </w:instrText>
            </w:r>
            <w:r w:rsidR="00B9334F">
              <w:rPr>
                <w:sz w:val="20"/>
                <w:szCs w:val="20"/>
              </w:rPr>
              <w:fldChar w:fldCharType="begin">
                <w:fldData xml:space="preserve">PEVuZE5vdGU+PENpdGUgQXV0aG9yWWVhcj0iMSI+PEF1dGhvcj5Kb25lczwvQXV0aG9yPjxZZWFy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</w:fldData>
              </w:fldChar>
            </w:r>
            <w:r w:rsidR="00B9334F">
              <w:rPr>
                <w:sz w:val="20"/>
                <w:szCs w:val="20"/>
              </w:rPr>
              <w:instrText xml:space="preserve"> ADDIN EN.CITE.DATA </w:instrText>
            </w:r>
            <w:r w:rsidR="00B9334F">
              <w:rPr>
                <w:sz w:val="20"/>
                <w:szCs w:val="20"/>
              </w:rPr>
            </w:r>
            <w:r w:rsidR="00B9334F">
              <w:rPr>
                <w:sz w:val="20"/>
                <w:szCs w:val="20"/>
              </w:rPr>
              <w:fldChar w:fldCharType="end"/>
            </w:r>
            <w:r w:rsidRPr="00F022D5">
              <w:rPr>
                <w:sz w:val="20"/>
                <w:szCs w:val="20"/>
              </w:rPr>
            </w:r>
            <w:r w:rsidRPr="00F022D5">
              <w:rPr>
                <w:sz w:val="20"/>
                <w:szCs w:val="20"/>
              </w:rPr>
              <w:fldChar w:fldCharType="separate"/>
            </w:r>
            <w:r w:rsidR="00A77498">
              <w:rPr>
                <w:noProof/>
                <w:sz w:val="20"/>
                <w:szCs w:val="20"/>
              </w:rPr>
              <w:t>Jones et al. (2005)</w:t>
            </w:r>
            <w:r w:rsidRPr="00F022D5">
              <w:rPr>
                <w:sz w:val="20"/>
                <w:szCs w:val="20"/>
              </w:rPr>
              <w:fldChar w:fldCharType="end"/>
            </w:r>
          </w:p>
        </w:tc>
      </w:tr>
      <w:tr w:rsidR="0025732F" w:rsidRPr="00F022D5" w14:paraId="0A9A5F74" w14:textId="77777777">
        <w:tc>
          <w:tcPr>
            <w:tcW w:w="3114" w:type="dxa"/>
          </w:tcPr>
          <w:p w14:paraId="6E72F350" w14:textId="77777777" w:rsidR="0025732F" w:rsidRPr="00F022D5" w:rsidRDefault="0025732F">
            <w:pPr>
              <w:pStyle w:val="NoSpacing"/>
              <w:spacing w:line="240" w:lineRule="auto"/>
              <w:rPr>
                <w:sz w:val="20"/>
                <w:szCs w:val="20"/>
              </w:rPr>
            </w:pPr>
            <w:r w:rsidRPr="00F022D5">
              <w:rPr>
                <w:sz w:val="20"/>
                <w:szCs w:val="20"/>
              </w:rPr>
              <w:t>Aims</w:t>
            </w:r>
          </w:p>
        </w:tc>
        <w:tc>
          <w:tcPr>
            <w:tcW w:w="10773" w:type="dxa"/>
          </w:tcPr>
          <w:p w14:paraId="4AED3F18" w14:textId="77777777" w:rsidR="0025732F" w:rsidRPr="00F022D5" w:rsidRDefault="0025732F">
            <w:pPr>
              <w:pStyle w:val="NoSpacing"/>
              <w:spacing w:line="240" w:lineRule="auto"/>
              <w:rPr>
                <w:sz w:val="20"/>
                <w:szCs w:val="20"/>
              </w:rPr>
            </w:pPr>
            <w:r w:rsidRPr="00F022D5">
              <w:rPr>
                <w:sz w:val="20"/>
                <w:szCs w:val="20"/>
              </w:rPr>
              <w:t xml:space="preserve">To compare effectiveness of methadone and buprenorphine on neonatal abstinence syndrome (NAS) outcomes. </w:t>
            </w:r>
          </w:p>
        </w:tc>
      </w:tr>
      <w:tr w:rsidR="0025732F" w:rsidRPr="00F022D5" w14:paraId="0A3EFA29" w14:textId="77777777">
        <w:tc>
          <w:tcPr>
            <w:tcW w:w="3114" w:type="dxa"/>
          </w:tcPr>
          <w:p w14:paraId="5F4C8F8C" w14:textId="77777777" w:rsidR="0025732F" w:rsidRPr="00F022D5" w:rsidRDefault="0025732F">
            <w:pPr>
              <w:pStyle w:val="NoSpacing"/>
              <w:spacing w:line="240" w:lineRule="auto"/>
              <w:rPr>
                <w:sz w:val="20"/>
                <w:szCs w:val="20"/>
              </w:rPr>
            </w:pPr>
            <w:r w:rsidRPr="00F022D5">
              <w:rPr>
                <w:sz w:val="20"/>
                <w:szCs w:val="20"/>
              </w:rPr>
              <w:t>Design</w:t>
            </w:r>
          </w:p>
        </w:tc>
        <w:tc>
          <w:tcPr>
            <w:tcW w:w="10773" w:type="dxa"/>
          </w:tcPr>
          <w:p w14:paraId="172BE6B9" w14:textId="77777777" w:rsidR="0025732F" w:rsidRPr="00F022D5" w:rsidRDefault="0025732F">
            <w:pPr>
              <w:pStyle w:val="NoSpacing"/>
              <w:spacing w:line="240" w:lineRule="auto"/>
              <w:rPr>
                <w:sz w:val="20"/>
                <w:szCs w:val="20"/>
              </w:rPr>
            </w:pPr>
            <w:r w:rsidRPr="00F022D5">
              <w:rPr>
                <w:sz w:val="20"/>
                <w:szCs w:val="20"/>
              </w:rPr>
              <w:t>RCT, double-blind, double-dummy, flexible dosing, parallel-group</w:t>
            </w:r>
          </w:p>
        </w:tc>
      </w:tr>
      <w:tr w:rsidR="0025732F" w:rsidRPr="00F022D5" w14:paraId="7867A798" w14:textId="77777777">
        <w:tc>
          <w:tcPr>
            <w:tcW w:w="3114" w:type="dxa"/>
          </w:tcPr>
          <w:p w14:paraId="2D0FBE27" w14:textId="77777777" w:rsidR="0025732F" w:rsidRPr="00F022D5" w:rsidRDefault="0025732F">
            <w:pPr>
              <w:pStyle w:val="NoSpacing"/>
              <w:spacing w:line="240" w:lineRule="auto"/>
              <w:rPr>
                <w:sz w:val="20"/>
                <w:szCs w:val="20"/>
              </w:rPr>
            </w:pPr>
            <w:r w:rsidRPr="00F022D5">
              <w:rPr>
                <w:sz w:val="20"/>
                <w:szCs w:val="20"/>
              </w:rPr>
              <w:t>Population</w:t>
            </w:r>
          </w:p>
        </w:tc>
        <w:tc>
          <w:tcPr>
            <w:tcW w:w="10773" w:type="dxa"/>
          </w:tcPr>
          <w:p w14:paraId="4FFEAE0A" w14:textId="77777777" w:rsidR="0025732F" w:rsidRPr="00F022D5" w:rsidRDefault="0025732F">
            <w:pPr>
              <w:pStyle w:val="NoSpacing"/>
              <w:spacing w:line="240" w:lineRule="auto"/>
              <w:rPr>
                <w:sz w:val="20"/>
                <w:szCs w:val="20"/>
              </w:rPr>
            </w:pPr>
            <w:r w:rsidRPr="00F022D5">
              <w:rPr>
                <w:sz w:val="20"/>
                <w:szCs w:val="20"/>
              </w:rPr>
              <w:t>Buprenorphine prescribed pregnant women (n=10) and methadone prescribed pregnant women (n=11).</w:t>
            </w:r>
          </w:p>
        </w:tc>
      </w:tr>
      <w:tr w:rsidR="0025732F" w:rsidRPr="00F022D5" w14:paraId="2B017241" w14:textId="77777777">
        <w:tc>
          <w:tcPr>
            <w:tcW w:w="3114" w:type="dxa"/>
          </w:tcPr>
          <w:p w14:paraId="3B957CFD" w14:textId="77777777" w:rsidR="0025732F" w:rsidRPr="00F022D5" w:rsidRDefault="0025732F">
            <w:pPr>
              <w:pStyle w:val="NoSpacing"/>
              <w:spacing w:line="240" w:lineRule="auto"/>
              <w:rPr>
                <w:sz w:val="20"/>
                <w:szCs w:val="20"/>
              </w:rPr>
            </w:pPr>
            <w:r w:rsidRPr="00F022D5">
              <w:rPr>
                <w:sz w:val="20"/>
                <w:szCs w:val="20"/>
              </w:rPr>
              <w:t>Intervention</w:t>
            </w:r>
          </w:p>
        </w:tc>
        <w:tc>
          <w:tcPr>
            <w:tcW w:w="10773" w:type="dxa"/>
          </w:tcPr>
          <w:p w14:paraId="70E8B8AB" w14:textId="77777777" w:rsidR="0025732F" w:rsidRPr="00F022D5" w:rsidRDefault="0025732F">
            <w:pPr>
              <w:pStyle w:val="NoSpacing"/>
              <w:spacing w:line="240" w:lineRule="auto"/>
              <w:rPr>
                <w:sz w:val="20"/>
                <w:szCs w:val="20"/>
              </w:rPr>
            </w:pPr>
            <w:r w:rsidRPr="00F022D5">
              <w:rPr>
                <w:sz w:val="20"/>
                <w:szCs w:val="20"/>
              </w:rPr>
              <w:t xml:space="preserve">Methadone and buprenorphine, plus contingency management. </w:t>
            </w:r>
          </w:p>
        </w:tc>
      </w:tr>
      <w:tr w:rsidR="0025732F" w:rsidRPr="00F022D5" w14:paraId="3505E0BB" w14:textId="77777777">
        <w:tc>
          <w:tcPr>
            <w:tcW w:w="3114" w:type="dxa"/>
          </w:tcPr>
          <w:p w14:paraId="71890472" w14:textId="77777777" w:rsidR="0025732F" w:rsidRPr="00F022D5" w:rsidRDefault="0025732F">
            <w:pPr>
              <w:pStyle w:val="NoSpacing"/>
              <w:spacing w:line="240" w:lineRule="auto"/>
              <w:rPr>
                <w:sz w:val="20"/>
                <w:szCs w:val="20"/>
              </w:rPr>
            </w:pPr>
            <w:r w:rsidRPr="00F022D5">
              <w:rPr>
                <w:sz w:val="20"/>
                <w:szCs w:val="20"/>
              </w:rPr>
              <w:t>Country</w:t>
            </w:r>
          </w:p>
        </w:tc>
        <w:tc>
          <w:tcPr>
            <w:tcW w:w="10773" w:type="dxa"/>
          </w:tcPr>
          <w:p w14:paraId="307C8BA4" w14:textId="77777777" w:rsidR="0025732F" w:rsidRPr="00F022D5" w:rsidRDefault="0025732F">
            <w:pPr>
              <w:pStyle w:val="NoSpacing"/>
              <w:spacing w:line="240" w:lineRule="auto"/>
              <w:rPr>
                <w:sz w:val="20"/>
                <w:szCs w:val="20"/>
              </w:rPr>
            </w:pPr>
            <w:r w:rsidRPr="00F022D5">
              <w:rPr>
                <w:sz w:val="20"/>
                <w:szCs w:val="20"/>
              </w:rPr>
              <w:t>USA</w:t>
            </w:r>
          </w:p>
        </w:tc>
      </w:tr>
      <w:tr w:rsidR="0025732F" w:rsidRPr="00F022D5" w14:paraId="5DAE920F" w14:textId="77777777">
        <w:tc>
          <w:tcPr>
            <w:tcW w:w="3114" w:type="dxa"/>
          </w:tcPr>
          <w:p w14:paraId="3D8B2AB8" w14:textId="77777777" w:rsidR="0025732F" w:rsidRPr="00F022D5" w:rsidRDefault="0025732F">
            <w:pPr>
              <w:pStyle w:val="NoSpacing"/>
              <w:spacing w:line="240" w:lineRule="auto"/>
              <w:rPr>
                <w:sz w:val="20"/>
                <w:szCs w:val="20"/>
              </w:rPr>
            </w:pPr>
            <w:r w:rsidRPr="00F022D5">
              <w:rPr>
                <w:sz w:val="20"/>
                <w:szCs w:val="20"/>
              </w:rPr>
              <w:t>Outcomes</w:t>
            </w:r>
          </w:p>
        </w:tc>
        <w:tc>
          <w:tcPr>
            <w:tcW w:w="10773" w:type="dxa"/>
          </w:tcPr>
          <w:p w14:paraId="1EF2A4F2" w14:textId="77777777" w:rsidR="0025732F" w:rsidRPr="00F022D5" w:rsidRDefault="0025732F">
            <w:pPr>
              <w:pStyle w:val="NoSpacing"/>
              <w:spacing w:line="240" w:lineRule="auto"/>
              <w:rPr>
                <w:sz w:val="20"/>
                <w:szCs w:val="20"/>
              </w:rPr>
            </w:pPr>
            <w:r w:rsidRPr="00F022D5">
              <w:rPr>
                <w:sz w:val="20"/>
                <w:szCs w:val="20"/>
              </w:rPr>
              <w:t>Results suggest that buprenorphine and methadone are comparable in terms of neonatal outcomes. The buprenorphine group were more likely to be retained in treatment, the methadone group were significantly more likely to reduce their illicit (i.e. non-prescribed) opioid use.</w:t>
            </w:r>
          </w:p>
        </w:tc>
      </w:tr>
      <w:tr w:rsidR="0025732F" w:rsidRPr="00F022D5" w14:paraId="406FF69A" w14:textId="77777777">
        <w:tc>
          <w:tcPr>
            <w:tcW w:w="3114" w:type="dxa"/>
          </w:tcPr>
          <w:p w14:paraId="0D26217E" w14:textId="77777777" w:rsidR="0025732F" w:rsidRPr="00F022D5" w:rsidRDefault="0025732F">
            <w:pPr>
              <w:pStyle w:val="NoSpacing"/>
              <w:spacing w:line="240" w:lineRule="auto"/>
              <w:rPr>
                <w:sz w:val="20"/>
                <w:szCs w:val="20"/>
              </w:rPr>
            </w:pPr>
            <w:r w:rsidRPr="00F022D5">
              <w:rPr>
                <w:sz w:val="20"/>
                <w:szCs w:val="20"/>
              </w:rPr>
              <w:t>Cost-benefit/ cost-effectiveness</w:t>
            </w:r>
          </w:p>
        </w:tc>
        <w:tc>
          <w:tcPr>
            <w:tcW w:w="10773" w:type="dxa"/>
          </w:tcPr>
          <w:p w14:paraId="0ADFA2A9" w14:textId="77777777" w:rsidR="0025732F" w:rsidRPr="00F022D5" w:rsidRDefault="0025732F">
            <w:pPr>
              <w:pStyle w:val="NoSpacing"/>
              <w:spacing w:line="240" w:lineRule="auto"/>
              <w:rPr>
                <w:sz w:val="20"/>
                <w:szCs w:val="20"/>
              </w:rPr>
            </w:pPr>
            <w:r w:rsidRPr="00F022D5">
              <w:rPr>
                <w:sz w:val="20"/>
                <w:szCs w:val="20"/>
              </w:rPr>
              <w:t>n/a.</w:t>
            </w:r>
          </w:p>
        </w:tc>
      </w:tr>
      <w:tr w:rsidR="0025732F" w:rsidRPr="00F022D5" w14:paraId="084AB2C3" w14:textId="77777777">
        <w:tc>
          <w:tcPr>
            <w:tcW w:w="3114" w:type="dxa"/>
          </w:tcPr>
          <w:p w14:paraId="2254372E" w14:textId="77777777" w:rsidR="0025732F" w:rsidRPr="00F022D5" w:rsidRDefault="0025732F">
            <w:pPr>
              <w:pStyle w:val="NoSpacing"/>
              <w:spacing w:line="240" w:lineRule="auto"/>
              <w:rPr>
                <w:sz w:val="20"/>
                <w:szCs w:val="20"/>
              </w:rPr>
            </w:pPr>
            <w:r w:rsidRPr="00F022D5">
              <w:rPr>
                <w:sz w:val="20"/>
                <w:szCs w:val="20"/>
              </w:rPr>
              <w:t>Overall quality rating</w:t>
            </w:r>
          </w:p>
        </w:tc>
        <w:tc>
          <w:tcPr>
            <w:tcW w:w="10773" w:type="dxa"/>
          </w:tcPr>
          <w:p w14:paraId="13D5B342" w14:textId="77777777" w:rsidR="0025732F" w:rsidRPr="00F022D5" w:rsidRDefault="0025732F">
            <w:pPr>
              <w:pStyle w:val="NoSpacing"/>
              <w:spacing w:line="240" w:lineRule="auto"/>
              <w:rPr>
                <w:sz w:val="20"/>
                <w:szCs w:val="20"/>
              </w:rPr>
            </w:pPr>
            <w:r w:rsidRPr="00F022D5">
              <w:rPr>
                <w:sz w:val="20"/>
                <w:szCs w:val="20"/>
              </w:rPr>
              <w:t>Low.</w:t>
            </w:r>
          </w:p>
        </w:tc>
      </w:tr>
      <w:tr w:rsidR="0025732F" w:rsidRPr="00F022D5" w14:paraId="52D1DAD1" w14:textId="77777777">
        <w:tc>
          <w:tcPr>
            <w:tcW w:w="3114" w:type="dxa"/>
            <w:shd w:val="clear" w:color="auto" w:fill="D9E2F3" w:themeFill="accent1" w:themeFillTint="33"/>
          </w:tcPr>
          <w:p w14:paraId="34B896C4" w14:textId="77777777" w:rsidR="0025732F" w:rsidRPr="00F022D5" w:rsidRDefault="0025732F">
            <w:pPr>
              <w:pStyle w:val="NoSpacing"/>
              <w:spacing w:line="240" w:lineRule="auto"/>
              <w:rPr>
                <w:sz w:val="20"/>
                <w:szCs w:val="20"/>
              </w:rPr>
            </w:pPr>
            <w:r w:rsidRPr="00F022D5">
              <w:rPr>
                <w:sz w:val="20"/>
                <w:szCs w:val="20"/>
              </w:rPr>
              <w:t>Reference</w:t>
            </w:r>
          </w:p>
        </w:tc>
        <w:tc>
          <w:tcPr>
            <w:tcW w:w="10773" w:type="dxa"/>
            <w:shd w:val="clear" w:color="auto" w:fill="D9E2F3" w:themeFill="accent1" w:themeFillTint="33"/>
          </w:tcPr>
          <w:p w14:paraId="287CB253" w14:textId="7250F474" w:rsidR="0025732F" w:rsidRPr="00F022D5" w:rsidRDefault="0025732F">
            <w:pPr>
              <w:pStyle w:val="NoSpacing"/>
              <w:spacing w:line="240" w:lineRule="auto"/>
              <w:rPr>
                <w:sz w:val="20"/>
                <w:szCs w:val="20"/>
              </w:rPr>
            </w:pPr>
            <w:r w:rsidRPr="00F022D5">
              <w:rPr>
                <w:sz w:val="20"/>
                <w:szCs w:val="20"/>
              </w:rPr>
              <w:fldChar w:fldCharType="begin"/>
            </w:r>
            <w:r w:rsidR="00B9334F">
              <w:rPr>
                <w:sz w:val="20"/>
                <w:szCs w:val="20"/>
              </w:rPr>
              <w:instrText xml:space="preserve"> ADDIN EN.CITE &lt;EndNote&gt;&lt;Cite AuthorYear="1"&gt;&lt;Author&gt;Jones&lt;/Author&gt;&lt;Year&gt;2011&lt;/Year&gt;&lt;RecNum&gt;121&lt;/RecNum&gt;&lt;DisplayText&gt;Jones et al. (2011)&lt;/DisplayText&gt;&lt;record&gt;&lt;rec-number&gt;121&lt;/rec-number&gt;&lt;foreign-keys&gt;&lt;key app="EN" db-id="ffzvr5fstavwxoe9v04xf0wmp5t50as52da0" timestamp="1731671643" guid="d04c1873-8d96-403b-a110-80abef3ec0e0"&gt;121&lt;/key&gt;&lt;/foreign-keys&gt;&lt;ref-type name="Journal Article"&gt;17&lt;/ref-type&gt;&lt;contributors&gt;&lt;authors&gt;&lt;author&gt;Jones, Hendrée E.&lt;/author&gt;&lt;author&gt;O’Grady, Kevin E.&lt;/author&gt;&lt;author&gt;Tuten, Michelle&lt;/author&gt;&lt;/authors&gt;&lt;/contributors&gt;&lt;titles&gt;&lt;title&gt;Reinforcement-Based Treatment Improves the Maternal Treatment and Neonatal Outcomes of Pregnant Patients Enrolled in Comprehensive Care Treatment&lt;/title&gt;&lt;secondary-title&gt;The American Journal on Addictions&lt;/secondary-title&gt;&lt;/titles&gt;&lt;periodical&gt;&lt;full-title&gt;The American Journal on Addictions&lt;/full-title&gt;&lt;/periodical&gt;&lt;pages&gt;196-204&lt;/pages&gt;&lt;volume&gt;20&lt;/volume&gt;&lt;number&gt;3&lt;/number&gt;&lt;dates&gt;&lt;year&gt;2011&lt;/year&gt;&lt;/dates&gt;&lt;urls&gt;&lt;related-urls&gt;&lt;url&gt;https://onlinelibrary.wiley.com/doi/abs/10.1111/j.1521-0391.2011.00119.x&lt;/url&gt;&lt;/related-urls&gt;&lt;/urls&gt;&lt;electronic-resource-num&gt;doi:10.1111/j.1521-0391.2011.00119.x&lt;/electronic-resource-num&gt;&lt;/record&gt;&lt;/Cite&gt;&lt;/EndNote&gt;</w:instrText>
            </w:r>
            <w:r w:rsidRPr="00F022D5">
              <w:rPr>
                <w:sz w:val="20"/>
                <w:szCs w:val="20"/>
              </w:rPr>
              <w:fldChar w:fldCharType="separate"/>
            </w:r>
            <w:r w:rsidR="00A77498">
              <w:rPr>
                <w:noProof/>
                <w:sz w:val="20"/>
                <w:szCs w:val="20"/>
              </w:rPr>
              <w:t>Jones et al. (2011)</w:t>
            </w:r>
            <w:r w:rsidRPr="00F022D5">
              <w:rPr>
                <w:sz w:val="20"/>
                <w:szCs w:val="20"/>
              </w:rPr>
              <w:fldChar w:fldCharType="end"/>
            </w:r>
          </w:p>
        </w:tc>
      </w:tr>
      <w:tr w:rsidR="0025732F" w:rsidRPr="00F022D5" w14:paraId="29162B6F" w14:textId="77777777">
        <w:tc>
          <w:tcPr>
            <w:tcW w:w="3114" w:type="dxa"/>
          </w:tcPr>
          <w:p w14:paraId="57C45466" w14:textId="77777777" w:rsidR="0025732F" w:rsidRPr="00F022D5" w:rsidRDefault="0025732F">
            <w:pPr>
              <w:pStyle w:val="NoSpacing"/>
              <w:spacing w:line="240" w:lineRule="auto"/>
              <w:rPr>
                <w:sz w:val="20"/>
                <w:szCs w:val="20"/>
              </w:rPr>
            </w:pPr>
            <w:r w:rsidRPr="00F022D5">
              <w:rPr>
                <w:sz w:val="20"/>
                <w:szCs w:val="20"/>
              </w:rPr>
              <w:t>Aims</w:t>
            </w:r>
          </w:p>
        </w:tc>
        <w:tc>
          <w:tcPr>
            <w:tcW w:w="10773" w:type="dxa"/>
          </w:tcPr>
          <w:p w14:paraId="21E6AA0B" w14:textId="77777777" w:rsidR="0025732F" w:rsidRPr="00F022D5" w:rsidRDefault="0025732F">
            <w:pPr>
              <w:pStyle w:val="NoSpacing"/>
              <w:spacing w:line="240" w:lineRule="auto"/>
              <w:rPr>
                <w:sz w:val="20"/>
                <w:szCs w:val="20"/>
              </w:rPr>
            </w:pPr>
            <w:r w:rsidRPr="00F022D5">
              <w:rPr>
                <w:sz w:val="20"/>
                <w:szCs w:val="20"/>
              </w:rPr>
              <w:t xml:space="preserve">To evaluate the effectiveness of Reinforcement-Based Treatment (RBT) in addition to usual care on treatment, maternal delivery and neonatal outcomes among pregnant women misusing opioids and/ or cocaine. </w:t>
            </w:r>
          </w:p>
        </w:tc>
      </w:tr>
      <w:tr w:rsidR="0025732F" w:rsidRPr="00F022D5" w14:paraId="784C0826" w14:textId="77777777">
        <w:tc>
          <w:tcPr>
            <w:tcW w:w="3114" w:type="dxa"/>
          </w:tcPr>
          <w:p w14:paraId="528D0715" w14:textId="77777777" w:rsidR="0025732F" w:rsidRPr="00F022D5" w:rsidRDefault="0025732F">
            <w:pPr>
              <w:pStyle w:val="NoSpacing"/>
              <w:spacing w:line="240" w:lineRule="auto"/>
              <w:rPr>
                <w:sz w:val="20"/>
                <w:szCs w:val="20"/>
              </w:rPr>
            </w:pPr>
            <w:r w:rsidRPr="00F022D5">
              <w:rPr>
                <w:sz w:val="20"/>
                <w:szCs w:val="20"/>
              </w:rPr>
              <w:t>Design</w:t>
            </w:r>
          </w:p>
        </w:tc>
        <w:tc>
          <w:tcPr>
            <w:tcW w:w="10773" w:type="dxa"/>
          </w:tcPr>
          <w:p w14:paraId="07558E98" w14:textId="77777777" w:rsidR="0025732F" w:rsidRPr="00F022D5" w:rsidRDefault="0025732F">
            <w:pPr>
              <w:pStyle w:val="NoSpacing"/>
              <w:spacing w:line="240" w:lineRule="auto"/>
              <w:rPr>
                <w:sz w:val="20"/>
                <w:szCs w:val="20"/>
              </w:rPr>
            </w:pPr>
            <w:r w:rsidRPr="00F022D5">
              <w:rPr>
                <w:sz w:val="20"/>
                <w:szCs w:val="20"/>
              </w:rPr>
              <w:t>RCT comparing TAU with TAU enhanced with RBT. All mothers had completed a week long inpatient stay on an assisted living unit, and were prepared to live in recovery or other drug-free housing. Outcomes were measured 1-month after being randomised and again after giving birth using standardised validated instruments and administrative datasets.</w:t>
            </w:r>
          </w:p>
        </w:tc>
      </w:tr>
      <w:tr w:rsidR="0025732F" w:rsidRPr="00F022D5" w14:paraId="3F6EE7F6" w14:textId="77777777">
        <w:tc>
          <w:tcPr>
            <w:tcW w:w="3114" w:type="dxa"/>
          </w:tcPr>
          <w:p w14:paraId="17E19D15" w14:textId="77777777" w:rsidR="0025732F" w:rsidRPr="00F022D5" w:rsidRDefault="0025732F">
            <w:pPr>
              <w:pStyle w:val="NoSpacing"/>
              <w:spacing w:line="240" w:lineRule="auto"/>
              <w:rPr>
                <w:sz w:val="20"/>
                <w:szCs w:val="20"/>
              </w:rPr>
            </w:pPr>
            <w:r w:rsidRPr="00F022D5">
              <w:rPr>
                <w:sz w:val="20"/>
                <w:szCs w:val="20"/>
              </w:rPr>
              <w:t>Population</w:t>
            </w:r>
          </w:p>
        </w:tc>
        <w:tc>
          <w:tcPr>
            <w:tcW w:w="10773" w:type="dxa"/>
          </w:tcPr>
          <w:p w14:paraId="4553EB19" w14:textId="77777777" w:rsidR="0025732F" w:rsidRPr="00F022D5" w:rsidRDefault="0025732F">
            <w:pPr>
              <w:pStyle w:val="NoSpacing"/>
              <w:spacing w:line="240" w:lineRule="auto"/>
              <w:rPr>
                <w:sz w:val="20"/>
                <w:szCs w:val="20"/>
              </w:rPr>
            </w:pPr>
            <w:r w:rsidRPr="00F022D5">
              <w:rPr>
                <w:sz w:val="20"/>
                <w:szCs w:val="20"/>
              </w:rPr>
              <w:t xml:space="preserve">Intervention (n=47) and comparison (n=42). </w:t>
            </w:r>
          </w:p>
        </w:tc>
      </w:tr>
      <w:tr w:rsidR="0025732F" w:rsidRPr="00F022D5" w14:paraId="6E0DB805" w14:textId="77777777">
        <w:tc>
          <w:tcPr>
            <w:tcW w:w="3114" w:type="dxa"/>
          </w:tcPr>
          <w:p w14:paraId="1CC5A5F5" w14:textId="77777777" w:rsidR="0025732F" w:rsidRPr="00F022D5" w:rsidRDefault="0025732F">
            <w:pPr>
              <w:pStyle w:val="NoSpacing"/>
              <w:spacing w:line="240" w:lineRule="auto"/>
              <w:rPr>
                <w:sz w:val="20"/>
                <w:szCs w:val="20"/>
              </w:rPr>
            </w:pPr>
            <w:r w:rsidRPr="00F022D5">
              <w:rPr>
                <w:sz w:val="20"/>
                <w:szCs w:val="20"/>
              </w:rPr>
              <w:t>Intervention</w:t>
            </w:r>
          </w:p>
        </w:tc>
        <w:tc>
          <w:tcPr>
            <w:tcW w:w="10773" w:type="dxa"/>
          </w:tcPr>
          <w:p w14:paraId="657C5675" w14:textId="77777777" w:rsidR="0025732F" w:rsidRPr="00F022D5" w:rsidRDefault="0025732F">
            <w:pPr>
              <w:pStyle w:val="NoSpacing"/>
              <w:spacing w:line="240" w:lineRule="auto"/>
              <w:rPr>
                <w:sz w:val="20"/>
                <w:szCs w:val="20"/>
              </w:rPr>
            </w:pPr>
            <w:r w:rsidRPr="00F022D5">
              <w:rPr>
                <w:sz w:val="20"/>
                <w:szCs w:val="20"/>
              </w:rPr>
              <w:t xml:space="preserve">RBT is an intensive behavioural intervention, with sessions two to three time a week, integrating behavioural techniques (positive reinforcement and social learning) with motivational interviewing, tailored treatment plans and care management.  </w:t>
            </w:r>
          </w:p>
        </w:tc>
      </w:tr>
      <w:tr w:rsidR="0025732F" w:rsidRPr="00F022D5" w14:paraId="7C76DD22" w14:textId="77777777">
        <w:tc>
          <w:tcPr>
            <w:tcW w:w="3114" w:type="dxa"/>
          </w:tcPr>
          <w:p w14:paraId="1F5978C7" w14:textId="77777777" w:rsidR="0025732F" w:rsidRPr="00F022D5" w:rsidRDefault="0025732F">
            <w:pPr>
              <w:pStyle w:val="NoSpacing"/>
              <w:spacing w:line="240" w:lineRule="auto"/>
              <w:rPr>
                <w:sz w:val="20"/>
                <w:szCs w:val="20"/>
              </w:rPr>
            </w:pPr>
            <w:r w:rsidRPr="00F022D5">
              <w:rPr>
                <w:sz w:val="20"/>
                <w:szCs w:val="20"/>
              </w:rPr>
              <w:t>Country</w:t>
            </w:r>
          </w:p>
        </w:tc>
        <w:tc>
          <w:tcPr>
            <w:tcW w:w="10773" w:type="dxa"/>
          </w:tcPr>
          <w:p w14:paraId="467B1F91" w14:textId="77777777" w:rsidR="0025732F" w:rsidRPr="00F022D5" w:rsidRDefault="0025732F">
            <w:pPr>
              <w:pStyle w:val="NoSpacing"/>
              <w:spacing w:line="240" w:lineRule="auto"/>
              <w:rPr>
                <w:sz w:val="20"/>
                <w:szCs w:val="20"/>
              </w:rPr>
            </w:pPr>
            <w:r w:rsidRPr="00F022D5">
              <w:rPr>
                <w:sz w:val="20"/>
                <w:szCs w:val="20"/>
              </w:rPr>
              <w:t>USA.</w:t>
            </w:r>
          </w:p>
        </w:tc>
      </w:tr>
      <w:tr w:rsidR="0025732F" w:rsidRPr="00F022D5" w14:paraId="6608F054" w14:textId="77777777">
        <w:tc>
          <w:tcPr>
            <w:tcW w:w="3114" w:type="dxa"/>
          </w:tcPr>
          <w:p w14:paraId="770E4AEC" w14:textId="77777777" w:rsidR="0025732F" w:rsidRPr="00F022D5" w:rsidRDefault="0025732F">
            <w:pPr>
              <w:pStyle w:val="NoSpacing"/>
              <w:spacing w:line="240" w:lineRule="auto"/>
              <w:rPr>
                <w:sz w:val="20"/>
                <w:szCs w:val="20"/>
              </w:rPr>
            </w:pPr>
            <w:r w:rsidRPr="00F022D5">
              <w:rPr>
                <w:sz w:val="20"/>
                <w:szCs w:val="20"/>
              </w:rPr>
              <w:t>Outcomes</w:t>
            </w:r>
          </w:p>
        </w:tc>
        <w:tc>
          <w:tcPr>
            <w:tcW w:w="10773" w:type="dxa"/>
          </w:tcPr>
          <w:p w14:paraId="7A5D3D63" w14:textId="77777777" w:rsidR="0025732F" w:rsidRPr="00F022D5" w:rsidRDefault="0025732F">
            <w:pPr>
              <w:pStyle w:val="NoSpacing"/>
              <w:spacing w:line="240" w:lineRule="auto"/>
              <w:rPr>
                <w:iCs/>
                <w:sz w:val="20"/>
                <w:szCs w:val="20"/>
              </w:rPr>
            </w:pPr>
            <w:r w:rsidRPr="00F022D5">
              <w:rPr>
                <w:iCs/>
                <w:sz w:val="20"/>
                <w:szCs w:val="20"/>
              </w:rPr>
              <w:t>Intervention mothers were significantly more likely to spend longer in treatment (average 33 days, p &lt; .001) and six times longer in recovery housing than the comparison group. There were no statistical differences in the likelihood of testing positive for illicit substance. There was no significant difference observed in neonatal outcomes between the two groups, with the exception of length of stay in hospital after birth with intervention neonates spending 1.3 fewer days than comparison new-borns (X</w:t>
            </w:r>
            <w:r w:rsidRPr="00F022D5">
              <w:rPr>
                <w:iCs/>
                <w:sz w:val="20"/>
                <w:szCs w:val="20"/>
                <w:vertAlign w:val="superscript"/>
              </w:rPr>
              <w:t>2</w:t>
            </w:r>
            <w:r w:rsidRPr="00F022D5">
              <w:rPr>
                <w:sz w:val="20"/>
                <w:szCs w:val="20"/>
                <w:vertAlign w:val="superscript"/>
              </w:rPr>
              <w:t xml:space="preserve"> </w:t>
            </w:r>
            <w:r w:rsidRPr="00F022D5">
              <w:rPr>
                <w:sz w:val="20"/>
                <w:szCs w:val="20"/>
              </w:rPr>
              <w:t xml:space="preserve">(1) = 4.7, </w:t>
            </w:r>
            <w:r w:rsidRPr="00F022D5">
              <w:rPr>
                <w:iCs/>
                <w:sz w:val="20"/>
                <w:szCs w:val="20"/>
              </w:rPr>
              <w:t>p=</w:t>
            </w:r>
            <w:r w:rsidRPr="00F022D5">
              <w:rPr>
                <w:sz w:val="20"/>
                <w:szCs w:val="20"/>
              </w:rPr>
              <w:t>.03).</w:t>
            </w:r>
          </w:p>
        </w:tc>
      </w:tr>
      <w:tr w:rsidR="0025732F" w:rsidRPr="00F022D5" w14:paraId="11653130" w14:textId="77777777">
        <w:tc>
          <w:tcPr>
            <w:tcW w:w="3114" w:type="dxa"/>
          </w:tcPr>
          <w:p w14:paraId="7FF8BFF9" w14:textId="77777777" w:rsidR="0025732F" w:rsidRPr="00F022D5" w:rsidRDefault="0025732F">
            <w:pPr>
              <w:pStyle w:val="NoSpacing"/>
              <w:spacing w:line="240" w:lineRule="auto"/>
              <w:rPr>
                <w:sz w:val="20"/>
                <w:szCs w:val="20"/>
              </w:rPr>
            </w:pPr>
            <w:r w:rsidRPr="00F022D5">
              <w:rPr>
                <w:sz w:val="20"/>
                <w:szCs w:val="20"/>
              </w:rPr>
              <w:t>Cost-benefit/ cost-effectiveness</w:t>
            </w:r>
          </w:p>
        </w:tc>
        <w:tc>
          <w:tcPr>
            <w:tcW w:w="10773" w:type="dxa"/>
          </w:tcPr>
          <w:p w14:paraId="04E99E29" w14:textId="77777777" w:rsidR="0025732F" w:rsidRPr="00F022D5" w:rsidRDefault="0025732F">
            <w:pPr>
              <w:pStyle w:val="NoSpacing"/>
              <w:spacing w:line="240" w:lineRule="auto"/>
              <w:rPr>
                <w:sz w:val="20"/>
                <w:szCs w:val="20"/>
              </w:rPr>
            </w:pPr>
            <w:r w:rsidRPr="00F022D5">
              <w:rPr>
                <w:sz w:val="20"/>
                <w:szCs w:val="20"/>
              </w:rPr>
              <w:t xml:space="preserve">N/A. </w:t>
            </w:r>
          </w:p>
        </w:tc>
      </w:tr>
      <w:tr w:rsidR="0025732F" w:rsidRPr="00F022D5" w14:paraId="5DB787D8" w14:textId="77777777">
        <w:tc>
          <w:tcPr>
            <w:tcW w:w="3114" w:type="dxa"/>
          </w:tcPr>
          <w:p w14:paraId="721CAAF1" w14:textId="77777777" w:rsidR="0025732F" w:rsidRPr="00F022D5" w:rsidRDefault="0025732F">
            <w:pPr>
              <w:pStyle w:val="NoSpacing"/>
              <w:spacing w:line="240" w:lineRule="auto"/>
              <w:rPr>
                <w:sz w:val="20"/>
                <w:szCs w:val="20"/>
              </w:rPr>
            </w:pPr>
            <w:r w:rsidRPr="00F022D5">
              <w:rPr>
                <w:sz w:val="20"/>
                <w:szCs w:val="20"/>
              </w:rPr>
              <w:t>Overall quality rating</w:t>
            </w:r>
          </w:p>
        </w:tc>
        <w:tc>
          <w:tcPr>
            <w:tcW w:w="10773" w:type="dxa"/>
          </w:tcPr>
          <w:p w14:paraId="50D6DBB5" w14:textId="77777777" w:rsidR="0025732F" w:rsidRPr="00F022D5" w:rsidRDefault="0025732F">
            <w:pPr>
              <w:pStyle w:val="NoSpacing"/>
              <w:spacing w:line="240" w:lineRule="auto"/>
              <w:rPr>
                <w:sz w:val="20"/>
                <w:szCs w:val="20"/>
              </w:rPr>
            </w:pPr>
            <w:r w:rsidRPr="00F022D5">
              <w:rPr>
                <w:sz w:val="20"/>
                <w:szCs w:val="20"/>
              </w:rPr>
              <w:t xml:space="preserve">Moderate. </w:t>
            </w:r>
          </w:p>
        </w:tc>
      </w:tr>
      <w:tr w:rsidR="0025732F" w:rsidRPr="00F022D5" w14:paraId="21C6848B" w14:textId="77777777">
        <w:tc>
          <w:tcPr>
            <w:tcW w:w="3114" w:type="dxa"/>
            <w:shd w:val="clear" w:color="auto" w:fill="D9E2F3" w:themeFill="accent1" w:themeFillTint="33"/>
          </w:tcPr>
          <w:p w14:paraId="64E3422F" w14:textId="77777777" w:rsidR="0025732F" w:rsidRPr="00F022D5" w:rsidRDefault="0025732F">
            <w:pPr>
              <w:pStyle w:val="NoSpacing"/>
              <w:spacing w:line="240" w:lineRule="auto"/>
              <w:rPr>
                <w:sz w:val="20"/>
                <w:szCs w:val="20"/>
              </w:rPr>
            </w:pPr>
            <w:r w:rsidRPr="00F022D5">
              <w:rPr>
                <w:sz w:val="20"/>
                <w:szCs w:val="20"/>
              </w:rPr>
              <w:t>Reference</w:t>
            </w:r>
          </w:p>
        </w:tc>
        <w:tc>
          <w:tcPr>
            <w:tcW w:w="10773" w:type="dxa"/>
            <w:shd w:val="clear" w:color="auto" w:fill="D9E2F3" w:themeFill="accent1" w:themeFillTint="33"/>
          </w:tcPr>
          <w:p w14:paraId="7D6EE14F" w14:textId="2B437504" w:rsidR="0025732F" w:rsidRPr="00F022D5" w:rsidRDefault="0025732F">
            <w:pPr>
              <w:pStyle w:val="NoSpacing"/>
              <w:spacing w:line="240" w:lineRule="auto"/>
              <w:rPr>
                <w:sz w:val="20"/>
                <w:szCs w:val="20"/>
              </w:rPr>
            </w:pPr>
            <w:r w:rsidRPr="00F022D5">
              <w:rPr>
                <w:sz w:val="20"/>
                <w:szCs w:val="20"/>
              </w:rPr>
              <w:fldChar w:fldCharType="begin"/>
            </w:r>
            <w:r w:rsidR="00B9334F">
              <w:rPr>
                <w:sz w:val="20"/>
                <w:szCs w:val="20"/>
              </w:rPr>
              <w:instrText xml:space="preserve"> ADDIN EN.CITE &lt;EndNote&gt;&lt;Cite AuthorYear="1"&gt;&lt;Author&gt;Lander&lt;/Author&gt;&lt;Year&gt;2015&lt;/Year&gt;&lt;RecNum&gt;702&lt;/RecNum&gt;&lt;DisplayText&gt;Lander et al. (2015)&lt;/DisplayText&gt;&lt;record&gt;&lt;rec-number&gt;702&lt;/rec-number&gt;&lt;foreign-keys&gt;&lt;key app="EN" db-id="ffzvr5fstavwxoe9v04xf0wmp5t50as52da0" timestamp="1731671738" guid="789f0197-31e2-40a1-a32a-c5eec82e82f0"&gt;702&lt;/key&gt;&lt;/foreign-keys&gt;&lt;ref-type name="Journal Article"&gt;17&lt;/ref-type&gt;&lt;contributors&gt;&lt;authors&gt;&lt;author&gt;Lander, Laura R.&lt;/author&gt;&lt;author&gt;Gurka, Kelly K.&lt;/author&gt;&lt;author&gt;Marshalek, Patrick J.&lt;/author&gt;&lt;author&gt;Riffon, Mark&lt;/author&gt;&lt;author&gt;Sullivan, Carl R.&lt;/author&gt;&lt;/authors&gt;&lt;/contributors&gt;&lt;titles&gt;&lt;title&gt;A Comparison of Pregnancy-Only versus Mixed-Gender Group Therapy among Pregnant Women with Opioid Use Disorder&lt;/title&gt;&lt;secondary-title&gt;Social Work Research&lt;/secondary-title&gt;&lt;/titles&gt;&lt;periodical&gt;&lt;full-title&gt;Social Work Research&lt;/full-title&gt;&lt;/periodical&gt;&lt;pages&gt;235&lt;/pages&gt;&lt;volume&gt;39&lt;/volume&gt;&lt;number&gt;4&lt;/number&gt;&lt;keywords&gt;&lt;keyword&gt;Sociology&lt;/keyword&gt;&lt;keyword&gt;Drug abuse&lt;/keyword&gt;&lt;keyword&gt;Prenatal care&lt;/keyword&gt;&lt;keyword&gt;Pregnancy&lt;/keyword&gt;&lt;keyword&gt;Womens health&lt;/keyword&gt;&lt;keyword&gt;Mental health care&lt;/keyword&gt;&lt;keyword&gt;Comparative analysis&lt;/keyword&gt;&lt;/keywords&gt;&lt;dates&gt;&lt;year&gt;2015&lt;/year&gt;&lt;pub-dates&gt;&lt;date&gt;Dec 2015&amp;#xD;2017-11-22&lt;/date&gt;&lt;/pub-dates&gt;&lt;/dates&gt;&lt;pub-location&gt;Oxford&lt;/pub-location&gt;&lt;publisher&gt;Oxford University Press&lt;/publisher&gt;&lt;isbn&gt;10705309&lt;/isbn&gt;&lt;accession-num&gt;1744734721&lt;/accession-num&gt;&lt;urls&gt;&lt;/urls&gt;&lt;remote-database-name&gt;Applied Social Sciences Index &amp;amp; Abstracts (ASSIA)&lt;/remote-database-name&gt;&lt;language&gt;English&lt;/language&gt;&lt;/record&gt;&lt;/Cite&gt;&lt;/EndNote&gt;</w:instrText>
            </w:r>
            <w:r w:rsidRPr="00F022D5">
              <w:rPr>
                <w:sz w:val="20"/>
                <w:szCs w:val="20"/>
              </w:rPr>
              <w:fldChar w:fldCharType="separate"/>
            </w:r>
            <w:r w:rsidR="00A77498">
              <w:rPr>
                <w:noProof/>
                <w:sz w:val="20"/>
                <w:szCs w:val="20"/>
              </w:rPr>
              <w:t>Lander et al. (2015)</w:t>
            </w:r>
            <w:r w:rsidRPr="00F022D5">
              <w:rPr>
                <w:sz w:val="20"/>
                <w:szCs w:val="20"/>
              </w:rPr>
              <w:fldChar w:fldCharType="end"/>
            </w:r>
          </w:p>
        </w:tc>
      </w:tr>
      <w:tr w:rsidR="0025732F" w:rsidRPr="00F022D5" w14:paraId="16703154" w14:textId="77777777">
        <w:tc>
          <w:tcPr>
            <w:tcW w:w="3114" w:type="dxa"/>
          </w:tcPr>
          <w:p w14:paraId="57D79140" w14:textId="77777777" w:rsidR="0025732F" w:rsidRPr="00F022D5" w:rsidRDefault="0025732F">
            <w:pPr>
              <w:pStyle w:val="NoSpacing"/>
              <w:spacing w:line="240" w:lineRule="auto"/>
              <w:rPr>
                <w:sz w:val="20"/>
                <w:szCs w:val="20"/>
              </w:rPr>
            </w:pPr>
            <w:r w:rsidRPr="00F022D5">
              <w:rPr>
                <w:sz w:val="20"/>
                <w:szCs w:val="20"/>
              </w:rPr>
              <w:t>Aims</w:t>
            </w:r>
          </w:p>
        </w:tc>
        <w:tc>
          <w:tcPr>
            <w:tcW w:w="10773" w:type="dxa"/>
          </w:tcPr>
          <w:p w14:paraId="03EC2C68" w14:textId="77777777" w:rsidR="0025732F" w:rsidRPr="00F022D5" w:rsidRDefault="0025732F">
            <w:pPr>
              <w:pStyle w:val="NoSpacing"/>
              <w:spacing w:line="240" w:lineRule="auto"/>
              <w:rPr>
                <w:sz w:val="20"/>
                <w:szCs w:val="20"/>
              </w:rPr>
            </w:pPr>
            <w:r w:rsidRPr="00F022D5">
              <w:rPr>
                <w:sz w:val="20"/>
                <w:szCs w:val="20"/>
              </w:rPr>
              <w:t>To evaluate the relative effectiveness of pregnancy-only and mixed-gender therapy groups (TAU) on outcomes for pregnant women receiving mono-buprenorphine.</w:t>
            </w:r>
            <w:r w:rsidRPr="00F022D5">
              <w:rPr>
                <w:sz w:val="20"/>
                <w:szCs w:val="20"/>
                <w:shd w:val="clear" w:color="auto" w:fill="EFF2F7"/>
              </w:rPr>
              <w:t> </w:t>
            </w:r>
          </w:p>
        </w:tc>
      </w:tr>
      <w:tr w:rsidR="0025732F" w:rsidRPr="00F022D5" w14:paraId="3C94CFF4" w14:textId="77777777">
        <w:tc>
          <w:tcPr>
            <w:tcW w:w="3114" w:type="dxa"/>
          </w:tcPr>
          <w:p w14:paraId="6921290C" w14:textId="77777777" w:rsidR="0025732F" w:rsidRPr="00F022D5" w:rsidRDefault="0025732F">
            <w:pPr>
              <w:pStyle w:val="NoSpacing"/>
              <w:spacing w:line="240" w:lineRule="auto"/>
              <w:rPr>
                <w:sz w:val="20"/>
                <w:szCs w:val="20"/>
              </w:rPr>
            </w:pPr>
            <w:r w:rsidRPr="00F022D5">
              <w:rPr>
                <w:sz w:val="20"/>
                <w:szCs w:val="20"/>
              </w:rPr>
              <w:t>Design</w:t>
            </w:r>
          </w:p>
        </w:tc>
        <w:tc>
          <w:tcPr>
            <w:tcW w:w="10773" w:type="dxa"/>
          </w:tcPr>
          <w:p w14:paraId="3830A0C7" w14:textId="77777777" w:rsidR="0025732F" w:rsidRPr="00F022D5" w:rsidRDefault="0025732F">
            <w:pPr>
              <w:pStyle w:val="NoSpacing"/>
              <w:spacing w:line="240" w:lineRule="auto"/>
              <w:rPr>
                <w:sz w:val="20"/>
                <w:szCs w:val="20"/>
              </w:rPr>
            </w:pPr>
            <w:r w:rsidRPr="00F022D5">
              <w:rPr>
                <w:sz w:val="20"/>
                <w:szCs w:val="20"/>
              </w:rPr>
              <w:t>RCT, with four-week postpartum follow-up reliant on self-reported data.</w:t>
            </w:r>
          </w:p>
        </w:tc>
      </w:tr>
      <w:tr w:rsidR="0025732F" w:rsidRPr="00F022D5" w14:paraId="44C9C29B" w14:textId="77777777">
        <w:tc>
          <w:tcPr>
            <w:tcW w:w="3114" w:type="dxa"/>
          </w:tcPr>
          <w:p w14:paraId="33FA9F6E" w14:textId="77777777" w:rsidR="0025732F" w:rsidRPr="00F022D5" w:rsidRDefault="0025732F">
            <w:pPr>
              <w:pStyle w:val="NoSpacing"/>
              <w:spacing w:line="240" w:lineRule="auto"/>
              <w:rPr>
                <w:sz w:val="20"/>
                <w:szCs w:val="20"/>
              </w:rPr>
            </w:pPr>
            <w:r w:rsidRPr="00F022D5">
              <w:rPr>
                <w:sz w:val="20"/>
                <w:szCs w:val="20"/>
              </w:rPr>
              <w:t>Population</w:t>
            </w:r>
          </w:p>
        </w:tc>
        <w:tc>
          <w:tcPr>
            <w:tcW w:w="10773" w:type="dxa"/>
          </w:tcPr>
          <w:p w14:paraId="30C305FF" w14:textId="77777777" w:rsidR="0025732F" w:rsidRPr="00F022D5" w:rsidRDefault="0025732F">
            <w:pPr>
              <w:pStyle w:val="NoSpacing"/>
              <w:spacing w:line="240" w:lineRule="auto"/>
              <w:rPr>
                <w:sz w:val="20"/>
                <w:szCs w:val="20"/>
              </w:rPr>
            </w:pPr>
            <w:r w:rsidRPr="00F022D5">
              <w:rPr>
                <w:sz w:val="20"/>
                <w:szCs w:val="20"/>
                <w:shd w:val="clear" w:color="auto" w:fill="FFFFFF"/>
              </w:rPr>
              <w:t>Intervention (n=27) and comparison (n=18) women who presented to an opioid treatment service between six and 30 weeks gestation.</w:t>
            </w:r>
          </w:p>
        </w:tc>
      </w:tr>
      <w:tr w:rsidR="0025732F" w:rsidRPr="00F022D5" w14:paraId="2702DF72" w14:textId="77777777">
        <w:tc>
          <w:tcPr>
            <w:tcW w:w="3114" w:type="dxa"/>
          </w:tcPr>
          <w:p w14:paraId="0B3B8C47" w14:textId="77777777" w:rsidR="0025732F" w:rsidRPr="00F022D5" w:rsidRDefault="0025732F">
            <w:pPr>
              <w:pStyle w:val="NoSpacing"/>
              <w:spacing w:line="240" w:lineRule="auto"/>
              <w:rPr>
                <w:sz w:val="20"/>
                <w:szCs w:val="20"/>
              </w:rPr>
            </w:pPr>
            <w:r w:rsidRPr="00F022D5">
              <w:rPr>
                <w:sz w:val="20"/>
                <w:szCs w:val="20"/>
              </w:rPr>
              <w:lastRenderedPageBreak/>
              <w:t>Intervention</w:t>
            </w:r>
          </w:p>
        </w:tc>
        <w:tc>
          <w:tcPr>
            <w:tcW w:w="10773" w:type="dxa"/>
          </w:tcPr>
          <w:p w14:paraId="06813CB7" w14:textId="77777777" w:rsidR="0025732F" w:rsidRPr="00F022D5" w:rsidRDefault="0025732F">
            <w:pPr>
              <w:pStyle w:val="NoSpacing"/>
              <w:spacing w:line="240" w:lineRule="auto"/>
              <w:rPr>
                <w:sz w:val="20"/>
                <w:szCs w:val="20"/>
              </w:rPr>
            </w:pPr>
            <w:r w:rsidRPr="00F022D5">
              <w:rPr>
                <w:sz w:val="20"/>
                <w:szCs w:val="20"/>
                <w:shd w:val="clear" w:color="auto" w:fill="FFFFFF"/>
              </w:rPr>
              <w:t>The TAU group therapy comprised CBT, learning of the disease model of addiction, relapse prevention skills, and 12-step facilitation. The intervention group included the above as well as buprenorphine and group therapy in a pregnancy-only group and focused discussions on pregnancy- and birth-related topics. Both groups had to attend NA or AA.</w:t>
            </w:r>
          </w:p>
        </w:tc>
      </w:tr>
      <w:tr w:rsidR="0025732F" w:rsidRPr="00F022D5" w14:paraId="31B9ED86" w14:textId="77777777">
        <w:tc>
          <w:tcPr>
            <w:tcW w:w="3114" w:type="dxa"/>
          </w:tcPr>
          <w:p w14:paraId="3442DD46" w14:textId="77777777" w:rsidR="0025732F" w:rsidRPr="00F022D5" w:rsidRDefault="0025732F">
            <w:pPr>
              <w:pStyle w:val="NoSpacing"/>
              <w:spacing w:line="240" w:lineRule="auto"/>
              <w:rPr>
                <w:sz w:val="20"/>
                <w:szCs w:val="20"/>
              </w:rPr>
            </w:pPr>
            <w:r w:rsidRPr="00F022D5">
              <w:rPr>
                <w:sz w:val="20"/>
                <w:szCs w:val="20"/>
              </w:rPr>
              <w:t>Country</w:t>
            </w:r>
          </w:p>
        </w:tc>
        <w:tc>
          <w:tcPr>
            <w:tcW w:w="10773" w:type="dxa"/>
          </w:tcPr>
          <w:p w14:paraId="042F9D80" w14:textId="77777777" w:rsidR="0025732F" w:rsidRPr="00F022D5" w:rsidRDefault="0025732F">
            <w:pPr>
              <w:pStyle w:val="NoSpacing"/>
              <w:spacing w:line="240" w:lineRule="auto"/>
              <w:rPr>
                <w:sz w:val="20"/>
                <w:szCs w:val="20"/>
              </w:rPr>
            </w:pPr>
            <w:r w:rsidRPr="00F022D5">
              <w:rPr>
                <w:sz w:val="20"/>
                <w:szCs w:val="20"/>
              </w:rPr>
              <w:t>USA.</w:t>
            </w:r>
          </w:p>
        </w:tc>
      </w:tr>
      <w:tr w:rsidR="0025732F" w:rsidRPr="00F022D5" w14:paraId="6292C960" w14:textId="77777777">
        <w:tc>
          <w:tcPr>
            <w:tcW w:w="3114" w:type="dxa"/>
          </w:tcPr>
          <w:p w14:paraId="44DA0618" w14:textId="77777777" w:rsidR="0025732F" w:rsidRPr="00F022D5" w:rsidRDefault="0025732F">
            <w:pPr>
              <w:pStyle w:val="NoSpacing"/>
              <w:spacing w:line="240" w:lineRule="auto"/>
              <w:rPr>
                <w:sz w:val="20"/>
                <w:szCs w:val="20"/>
              </w:rPr>
            </w:pPr>
            <w:r w:rsidRPr="00F022D5">
              <w:rPr>
                <w:sz w:val="20"/>
                <w:szCs w:val="20"/>
              </w:rPr>
              <w:t>Outcomes</w:t>
            </w:r>
          </w:p>
        </w:tc>
        <w:tc>
          <w:tcPr>
            <w:tcW w:w="10773" w:type="dxa"/>
          </w:tcPr>
          <w:p w14:paraId="7B28AD71" w14:textId="77777777" w:rsidR="0025732F" w:rsidRPr="00F022D5" w:rsidRDefault="0025732F">
            <w:pPr>
              <w:pStyle w:val="NoSpacing"/>
              <w:spacing w:line="240" w:lineRule="auto"/>
              <w:rPr>
                <w:sz w:val="20"/>
                <w:szCs w:val="20"/>
              </w:rPr>
            </w:pPr>
            <w:r w:rsidRPr="00F022D5">
              <w:rPr>
                <w:sz w:val="20"/>
                <w:szCs w:val="20"/>
              </w:rPr>
              <w:t>There were no significant observed differences in relapse rates, treatment retention or other outcomes. Both groups were comparably satisfied with their experiences, however the intervention group rated topic relevance during therapy sessions significantly better than the comparison group. Neonatal abstinence syndrome was observed in 23% of cases, however there was no significant difference between groups.</w:t>
            </w:r>
          </w:p>
        </w:tc>
      </w:tr>
      <w:tr w:rsidR="0025732F" w:rsidRPr="00F022D5" w14:paraId="171673B2" w14:textId="77777777">
        <w:tc>
          <w:tcPr>
            <w:tcW w:w="3114" w:type="dxa"/>
          </w:tcPr>
          <w:p w14:paraId="3444557F" w14:textId="77777777" w:rsidR="0025732F" w:rsidRPr="00F022D5" w:rsidRDefault="0025732F">
            <w:pPr>
              <w:pStyle w:val="NoSpacing"/>
              <w:spacing w:line="240" w:lineRule="auto"/>
              <w:rPr>
                <w:sz w:val="20"/>
                <w:szCs w:val="20"/>
              </w:rPr>
            </w:pPr>
            <w:r w:rsidRPr="00F022D5">
              <w:rPr>
                <w:sz w:val="20"/>
                <w:szCs w:val="20"/>
              </w:rPr>
              <w:t>Cost-benefit/ cost-effectiveness</w:t>
            </w:r>
          </w:p>
        </w:tc>
        <w:tc>
          <w:tcPr>
            <w:tcW w:w="10773" w:type="dxa"/>
          </w:tcPr>
          <w:p w14:paraId="3C90B903" w14:textId="77777777" w:rsidR="0025732F" w:rsidRPr="00F022D5" w:rsidRDefault="0025732F">
            <w:pPr>
              <w:pStyle w:val="NoSpacing"/>
              <w:spacing w:line="240" w:lineRule="auto"/>
              <w:rPr>
                <w:sz w:val="20"/>
                <w:szCs w:val="20"/>
              </w:rPr>
            </w:pPr>
            <w:r w:rsidRPr="00F022D5">
              <w:rPr>
                <w:sz w:val="20"/>
                <w:szCs w:val="20"/>
              </w:rPr>
              <w:t>N/A.</w:t>
            </w:r>
          </w:p>
        </w:tc>
      </w:tr>
      <w:tr w:rsidR="0025732F" w:rsidRPr="00F022D5" w14:paraId="2BA62EB9" w14:textId="77777777">
        <w:tc>
          <w:tcPr>
            <w:tcW w:w="3114" w:type="dxa"/>
          </w:tcPr>
          <w:p w14:paraId="536131B4" w14:textId="77777777" w:rsidR="0025732F" w:rsidRPr="00F022D5" w:rsidRDefault="0025732F">
            <w:pPr>
              <w:pStyle w:val="NoSpacing"/>
              <w:spacing w:line="240" w:lineRule="auto"/>
              <w:rPr>
                <w:sz w:val="20"/>
                <w:szCs w:val="20"/>
              </w:rPr>
            </w:pPr>
            <w:r w:rsidRPr="00F022D5">
              <w:rPr>
                <w:sz w:val="20"/>
                <w:szCs w:val="20"/>
              </w:rPr>
              <w:t>Overall quality rating</w:t>
            </w:r>
          </w:p>
        </w:tc>
        <w:tc>
          <w:tcPr>
            <w:tcW w:w="10773" w:type="dxa"/>
          </w:tcPr>
          <w:p w14:paraId="52BCAF84" w14:textId="77777777" w:rsidR="0025732F" w:rsidRPr="00F022D5" w:rsidRDefault="0025732F">
            <w:pPr>
              <w:pStyle w:val="NoSpacing"/>
              <w:spacing w:line="240" w:lineRule="auto"/>
              <w:rPr>
                <w:sz w:val="20"/>
                <w:szCs w:val="20"/>
              </w:rPr>
            </w:pPr>
            <w:r w:rsidRPr="00F022D5">
              <w:rPr>
                <w:sz w:val="20"/>
                <w:szCs w:val="20"/>
              </w:rPr>
              <w:t>Moderate.</w:t>
            </w:r>
          </w:p>
        </w:tc>
      </w:tr>
      <w:tr w:rsidR="0025732F" w:rsidRPr="00F022D5" w14:paraId="05D67B25" w14:textId="77777777">
        <w:tc>
          <w:tcPr>
            <w:tcW w:w="3114" w:type="dxa"/>
            <w:shd w:val="clear" w:color="auto" w:fill="D9E2F3" w:themeFill="accent1" w:themeFillTint="33"/>
          </w:tcPr>
          <w:p w14:paraId="215B4BE5" w14:textId="77777777" w:rsidR="0025732F" w:rsidRPr="00F022D5" w:rsidRDefault="0025732F">
            <w:pPr>
              <w:rPr>
                <w:rFonts w:cs="Arial"/>
                <w:sz w:val="20"/>
                <w:szCs w:val="20"/>
              </w:rPr>
            </w:pPr>
            <w:r w:rsidRPr="00F022D5">
              <w:rPr>
                <w:rFonts w:cs="Arial"/>
                <w:sz w:val="20"/>
                <w:szCs w:val="20"/>
              </w:rPr>
              <w:t>Reference</w:t>
            </w:r>
          </w:p>
        </w:tc>
        <w:tc>
          <w:tcPr>
            <w:tcW w:w="10773" w:type="dxa"/>
            <w:shd w:val="clear" w:color="auto" w:fill="D9E2F3" w:themeFill="accent1" w:themeFillTint="33"/>
          </w:tcPr>
          <w:p w14:paraId="467B5E1E" w14:textId="0778C4FE" w:rsidR="0025732F" w:rsidRPr="00F022D5" w:rsidRDefault="0025732F">
            <w:pPr>
              <w:rPr>
                <w:rFonts w:cs="Arial"/>
                <w:sz w:val="20"/>
                <w:szCs w:val="20"/>
              </w:rPr>
            </w:pPr>
            <w:r w:rsidRPr="00F022D5">
              <w:rPr>
                <w:rFonts w:cs="Arial"/>
                <w:sz w:val="20"/>
                <w:szCs w:val="20"/>
              </w:rPr>
              <w:fldChar w:fldCharType="begin">
                <w:fldData xml:space="preserve">PEVuZE5vdGU+PENpdGUgQXV0aG9yWWVhcj0iMSI+PEF1dGhvcj5TY2hvdHRlbmZlbGQ8L0F1dGhv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</w:fldData>
              </w:fldChar>
            </w:r>
            <w:r w:rsidR="00B9334F">
              <w:rPr>
                <w:rFonts w:cs="Arial"/>
                <w:sz w:val="20"/>
                <w:szCs w:val="20"/>
              </w:rPr>
              <w:instrText xml:space="preserve"> ADDIN EN.CITE </w:instrText>
            </w:r>
            <w:r w:rsidR="00B9334F">
              <w:rPr>
                <w:rFonts w:cs="Arial"/>
                <w:sz w:val="20"/>
                <w:szCs w:val="20"/>
              </w:rPr>
              <w:fldChar w:fldCharType="begin">
                <w:fldData xml:space="preserve">PEVuZE5vdGU+PENpdGUgQXV0aG9yWWVhcj0iMSI+PEF1dGhvcj5TY2hvdHRlbmZlbGQ8L0F1dGhv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</w:fldData>
              </w:fldChar>
            </w:r>
            <w:r w:rsidR="00B9334F">
              <w:rPr>
                <w:rFonts w:cs="Arial"/>
                <w:sz w:val="20"/>
                <w:szCs w:val="20"/>
              </w:rPr>
              <w:instrText xml:space="preserve"> ADDIN EN.CITE.DATA </w:instrText>
            </w:r>
            <w:r w:rsidR="00B9334F">
              <w:rPr>
                <w:rFonts w:cs="Arial"/>
                <w:sz w:val="20"/>
                <w:szCs w:val="20"/>
              </w:rPr>
            </w:r>
            <w:r w:rsidR="00B9334F">
              <w:rPr>
                <w:rFonts w:cs="Arial"/>
                <w:sz w:val="20"/>
                <w:szCs w:val="20"/>
              </w:rPr>
              <w:fldChar w:fldCharType="end"/>
            </w:r>
            <w:r w:rsidRPr="00F022D5">
              <w:rPr>
                <w:rFonts w:cs="Arial"/>
                <w:sz w:val="20"/>
                <w:szCs w:val="20"/>
              </w:rPr>
            </w:r>
            <w:r w:rsidRPr="00F022D5">
              <w:rPr>
                <w:rFonts w:cs="Arial"/>
                <w:sz w:val="20"/>
                <w:szCs w:val="20"/>
              </w:rPr>
              <w:fldChar w:fldCharType="separate"/>
            </w:r>
            <w:r w:rsidR="00A77498">
              <w:rPr>
                <w:rFonts w:cs="Arial"/>
                <w:noProof/>
                <w:sz w:val="20"/>
                <w:szCs w:val="20"/>
              </w:rPr>
              <w:t>Schottenfeld et al. (2011)</w:t>
            </w:r>
            <w:r w:rsidRPr="00F022D5">
              <w:rPr>
                <w:rFonts w:cs="Arial"/>
                <w:sz w:val="20"/>
                <w:szCs w:val="20"/>
              </w:rPr>
              <w:fldChar w:fldCharType="end"/>
            </w:r>
          </w:p>
        </w:tc>
      </w:tr>
      <w:tr w:rsidR="0025732F" w:rsidRPr="00F022D5" w14:paraId="39D9538F" w14:textId="77777777">
        <w:tc>
          <w:tcPr>
            <w:tcW w:w="3114" w:type="dxa"/>
          </w:tcPr>
          <w:p w14:paraId="103EF08B" w14:textId="77777777" w:rsidR="0025732F" w:rsidRPr="00F022D5" w:rsidRDefault="0025732F">
            <w:pPr>
              <w:rPr>
                <w:rFonts w:cs="Arial"/>
                <w:sz w:val="20"/>
                <w:szCs w:val="20"/>
              </w:rPr>
            </w:pPr>
            <w:r w:rsidRPr="00F022D5">
              <w:rPr>
                <w:rFonts w:cs="Arial"/>
                <w:sz w:val="20"/>
                <w:szCs w:val="20"/>
              </w:rPr>
              <w:t>Aims</w:t>
            </w:r>
          </w:p>
        </w:tc>
        <w:tc>
          <w:tcPr>
            <w:tcW w:w="10773" w:type="dxa"/>
          </w:tcPr>
          <w:p w14:paraId="599EBD84" w14:textId="77777777" w:rsidR="0025732F" w:rsidRPr="00F022D5" w:rsidRDefault="0025732F">
            <w:pPr>
              <w:autoSpaceDE w:val="0"/>
              <w:autoSpaceDN w:val="0"/>
              <w:adjustRightInd w:val="0"/>
              <w:rPr>
                <w:rFonts w:cs="Arial"/>
                <w:sz w:val="20"/>
                <w:szCs w:val="20"/>
              </w:rPr>
            </w:pPr>
            <w:r w:rsidRPr="00F022D5">
              <w:rPr>
                <w:rFonts w:cs="Arial"/>
                <w:sz w:val="20"/>
                <w:szCs w:val="20"/>
              </w:rPr>
              <w:t xml:space="preserve">To evaluate the effectiveness of various interventions for cocaine using pregnant women/mothers.  </w:t>
            </w:r>
          </w:p>
        </w:tc>
      </w:tr>
      <w:tr w:rsidR="0025732F" w:rsidRPr="00F022D5" w14:paraId="650BF149" w14:textId="77777777">
        <w:tc>
          <w:tcPr>
            <w:tcW w:w="3114" w:type="dxa"/>
          </w:tcPr>
          <w:p w14:paraId="61677049" w14:textId="77777777" w:rsidR="0025732F" w:rsidRPr="00F022D5" w:rsidRDefault="0025732F">
            <w:pPr>
              <w:rPr>
                <w:rFonts w:cs="Arial"/>
                <w:sz w:val="20"/>
                <w:szCs w:val="20"/>
              </w:rPr>
            </w:pPr>
            <w:r w:rsidRPr="00F022D5">
              <w:rPr>
                <w:rFonts w:cs="Arial"/>
                <w:sz w:val="20"/>
                <w:szCs w:val="20"/>
              </w:rPr>
              <w:t>Design</w:t>
            </w:r>
          </w:p>
        </w:tc>
        <w:tc>
          <w:tcPr>
            <w:tcW w:w="10773" w:type="dxa"/>
          </w:tcPr>
          <w:p w14:paraId="584B8A78" w14:textId="77777777" w:rsidR="0025732F" w:rsidRPr="00F022D5" w:rsidRDefault="0025732F">
            <w:pPr>
              <w:autoSpaceDE w:val="0"/>
              <w:autoSpaceDN w:val="0"/>
              <w:adjustRightInd w:val="0"/>
              <w:rPr>
                <w:rFonts w:cs="Arial"/>
                <w:sz w:val="20"/>
                <w:szCs w:val="20"/>
              </w:rPr>
            </w:pPr>
            <w:r w:rsidRPr="00F022D5">
              <w:rPr>
                <w:rFonts w:cs="Arial"/>
                <w:sz w:val="20"/>
                <w:szCs w:val="20"/>
              </w:rPr>
              <w:t>RCT, 2X2 design. 12 months follow-up.</w:t>
            </w:r>
          </w:p>
        </w:tc>
      </w:tr>
      <w:tr w:rsidR="0025732F" w:rsidRPr="00F022D5" w14:paraId="3EC31824" w14:textId="77777777">
        <w:tc>
          <w:tcPr>
            <w:tcW w:w="3114" w:type="dxa"/>
          </w:tcPr>
          <w:p w14:paraId="1634799B" w14:textId="77777777" w:rsidR="0025732F" w:rsidRPr="00F022D5" w:rsidRDefault="0025732F">
            <w:pPr>
              <w:rPr>
                <w:rFonts w:cs="Arial"/>
                <w:sz w:val="20"/>
                <w:szCs w:val="20"/>
              </w:rPr>
            </w:pPr>
            <w:r w:rsidRPr="00F022D5">
              <w:rPr>
                <w:rFonts w:cs="Arial"/>
                <w:sz w:val="20"/>
                <w:szCs w:val="20"/>
              </w:rPr>
              <w:t>Population</w:t>
            </w:r>
          </w:p>
        </w:tc>
        <w:tc>
          <w:tcPr>
            <w:tcW w:w="10773" w:type="dxa"/>
          </w:tcPr>
          <w:p w14:paraId="7629DAFD" w14:textId="77777777" w:rsidR="0025732F" w:rsidRPr="00F022D5" w:rsidRDefault="0025732F">
            <w:pPr>
              <w:autoSpaceDE w:val="0"/>
              <w:autoSpaceDN w:val="0"/>
              <w:adjustRightInd w:val="0"/>
              <w:rPr>
                <w:rFonts w:cs="Arial"/>
                <w:sz w:val="20"/>
                <w:szCs w:val="20"/>
              </w:rPr>
            </w:pPr>
            <w:r w:rsidRPr="00F022D5">
              <w:rPr>
                <w:rFonts w:cs="Arial"/>
                <w:sz w:val="20"/>
                <w:szCs w:val="20"/>
              </w:rPr>
              <w:t>Participants were 145 cocaine dependent women who were either pregnant (</w:t>
            </w:r>
            <w:r w:rsidRPr="00F022D5">
              <w:rPr>
                <w:rFonts w:cs="Arial"/>
                <w:i/>
                <w:iCs/>
                <w:sz w:val="20"/>
                <w:szCs w:val="20"/>
              </w:rPr>
              <w:t>n</w:t>
            </w:r>
            <w:r w:rsidRPr="00F022D5">
              <w:rPr>
                <w:rFonts w:cs="Arial"/>
                <w:sz w:val="20"/>
                <w:szCs w:val="20"/>
              </w:rPr>
              <w:t> = 64) or had custody of a child (</w:t>
            </w:r>
            <w:r w:rsidRPr="00F022D5">
              <w:rPr>
                <w:rFonts w:cs="Arial"/>
                <w:i/>
                <w:iCs/>
                <w:sz w:val="20"/>
                <w:szCs w:val="20"/>
              </w:rPr>
              <w:t>n</w:t>
            </w:r>
            <w:r w:rsidRPr="00F022D5">
              <w:rPr>
                <w:rFonts w:cs="Arial"/>
                <w:sz w:val="20"/>
                <w:szCs w:val="20"/>
              </w:rPr>
              <w:t> = 81). 36 were assigned to community reinforcement and contingency management, 35 were assigned to community reinforcement and voucher control, 37 were assigned to twelve</w:t>
            </w:r>
            <w:r w:rsidRPr="00F022D5">
              <w:rPr>
                <w:rFonts w:ascii="Cambria Math" w:hAnsi="Cambria Math" w:cs="Cambria Math"/>
                <w:sz w:val="20"/>
                <w:szCs w:val="20"/>
              </w:rPr>
              <w:t>‐</w:t>
            </w:r>
            <w:r w:rsidRPr="00F022D5">
              <w:rPr>
                <w:rFonts w:cs="Arial"/>
                <w:sz w:val="20"/>
                <w:szCs w:val="20"/>
              </w:rPr>
              <w:t>step facilitation and contingency management and 37 assigned to twelve</w:t>
            </w:r>
            <w:r w:rsidRPr="00F022D5">
              <w:rPr>
                <w:rFonts w:ascii="Cambria Math" w:hAnsi="Cambria Math" w:cs="Cambria Math"/>
                <w:sz w:val="20"/>
                <w:szCs w:val="20"/>
              </w:rPr>
              <w:t>‐</w:t>
            </w:r>
            <w:r w:rsidRPr="00F022D5">
              <w:rPr>
                <w:rFonts w:cs="Arial"/>
                <w:sz w:val="20"/>
                <w:szCs w:val="20"/>
              </w:rPr>
              <w:t xml:space="preserve">step facilitation and voucher control. </w:t>
            </w:r>
          </w:p>
        </w:tc>
      </w:tr>
      <w:tr w:rsidR="0025732F" w:rsidRPr="00F022D5" w14:paraId="339AA934" w14:textId="77777777">
        <w:tc>
          <w:tcPr>
            <w:tcW w:w="3114" w:type="dxa"/>
          </w:tcPr>
          <w:p w14:paraId="5D81FD36" w14:textId="77777777" w:rsidR="0025732F" w:rsidRPr="00F022D5" w:rsidRDefault="0025732F">
            <w:pPr>
              <w:rPr>
                <w:rFonts w:cs="Arial"/>
                <w:sz w:val="20"/>
                <w:szCs w:val="20"/>
              </w:rPr>
            </w:pPr>
            <w:r w:rsidRPr="00F022D5">
              <w:rPr>
                <w:rFonts w:cs="Arial"/>
                <w:sz w:val="20"/>
                <w:szCs w:val="20"/>
              </w:rPr>
              <w:t>Intervention</w:t>
            </w:r>
          </w:p>
        </w:tc>
        <w:tc>
          <w:tcPr>
            <w:tcW w:w="10773" w:type="dxa"/>
          </w:tcPr>
          <w:p w14:paraId="5EDBDC2E" w14:textId="77777777" w:rsidR="0025732F" w:rsidRPr="00F022D5" w:rsidRDefault="0025732F">
            <w:pPr>
              <w:pStyle w:val="NoSpacing"/>
              <w:spacing w:line="240" w:lineRule="auto"/>
              <w:rPr>
                <w:sz w:val="20"/>
                <w:szCs w:val="20"/>
              </w:rPr>
            </w:pPr>
            <w:r w:rsidRPr="00F022D5">
              <w:rPr>
                <w:sz w:val="20"/>
                <w:szCs w:val="20"/>
              </w:rPr>
              <w:t xml:space="preserve">See population. community reinforcement approach (CRA) incorporates components of CBT and uses structured behavioural techniques. </w:t>
            </w:r>
          </w:p>
        </w:tc>
      </w:tr>
      <w:tr w:rsidR="0025732F" w:rsidRPr="00925EA9" w14:paraId="204A14B5" w14:textId="77777777">
        <w:tc>
          <w:tcPr>
            <w:tcW w:w="3114" w:type="dxa"/>
          </w:tcPr>
          <w:p w14:paraId="4F59F739" w14:textId="77777777" w:rsidR="0025732F" w:rsidRPr="00F022D5" w:rsidRDefault="0025732F">
            <w:pPr>
              <w:rPr>
                <w:rFonts w:cs="Arial"/>
                <w:sz w:val="20"/>
                <w:szCs w:val="20"/>
              </w:rPr>
            </w:pPr>
            <w:r w:rsidRPr="00F022D5">
              <w:rPr>
                <w:rFonts w:cs="Arial"/>
                <w:sz w:val="20"/>
                <w:szCs w:val="20"/>
              </w:rPr>
              <w:t>Country</w:t>
            </w:r>
          </w:p>
        </w:tc>
        <w:tc>
          <w:tcPr>
            <w:tcW w:w="10773" w:type="dxa"/>
          </w:tcPr>
          <w:p w14:paraId="496E1C8C" w14:textId="77777777" w:rsidR="0025732F" w:rsidRPr="00925EA9" w:rsidRDefault="0025732F">
            <w:pPr>
              <w:rPr>
                <w:rFonts w:cs="Arial"/>
                <w:sz w:val="20"/>
                <w:szCs w:val="20"/>
              </w:rPr>
            </w:pPr>
            <w:r w:rsidRPr="00F022D5">
              <w:rPr>
                <w:rFonts w:cs="Arial"/>
                <w:sz w:val="20"/>
                <w:szCs w:val="20"/>
              </w:rPr>
              <w:t>USA (unspecified urban area).</w:t>
            </w:r>
            <w:r>
              <w:rPr>
                <w:rFonts w:cs="Arial"/>
                <w:sz w:val="20"/>
                <w:szCs w:val="20"/>
              </w:rPr>
              <w:t xml:space="preserve"> </w:t>
            </w:r>
          </w:p>
        </w:tc>
      </w:tr>
      <w:tr w:rsidR="0025732F" w:rsidRPr="00925EA9" w14:paraId="304BBD3C" w14:textId="77777777">
        <w:tc>
          <w:tcPr>
            <w:tcW w:w="3114" w:type="dxa"/>
          </w:tcPr>
          <w:p w14:paraId="5509222B"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5A70B139" w14:textId="77777777" w:rsidR="0025732F" w:rsidRPr="00A04EE5" w:rsidRDefault="0025732F">
            <w:pPr>
              <w:shd w:val="clear" w:color="auto" w:fill="FFFFFF"/>
              <w:spacing w:after="150"/>
              <w:contextualSpacing w:val="0"/>
              <w:rPr>
                <w:rFonts w:cs="Arial"/>
                <w:sz w:val="20"/>
                <w:szCs w:val="20"/>
              </w:rPr>
            </w:pPr>
            <w:r w:rsidRPr="000F1C08">
              <w:rPr>
                <w:rFonts w:cs="Arial"/>
                <w:sz w:val="20"/>
                <w:szCs w:val="20"/>
              </w:rPr>
              <w:t xml:space="preserve">CM was associated with significantly greater </w:t>
            </w:r>
            <w:r w:rsidRPr="00A04EE5">
              <w:rPr>
                <w:rFonts w:cs="Arial"/>
                <w:sz w:val="20"/>
                <w:szCs w:val="20"/>
              </w:rPr>
              <w:t>cocaine abstinence</w:t>
            </w:r>
            <w:r w:rsidRPr="000F1C08">
              <w:rPr>
                <w:rFonts w:cs="Arial"/>
                <w:sz w:val="20"/>
                <w:szCs w:val="20"/>
              </w:rPr>
              <w:t xml:space="preserve"> (p&lt;.01), negative urin</w:t>
            </w:r>
            <w:r w:rsidRPr="00A04EE5">
              <w:rPr>
                <w:rFonts w:cs="Arial"/>
                <w:sz w:val="20"/>
                <w:szCs w:val="20"/>
              </w:rPr>
              <w:t>alysis</w:t>
            </w:r>
            <w:r w:rsidRPr="000F1C08">
              <w:rPr>
                <w:rFonts w:cs="Arial"/>
                <w:sz w:val="20"/>
                <w:szCs w:val="20"/>
              </w:rPr>
              <w:t xml:space="preserve"> (p&lt;0.01), and higher proportion of documented abstinence across </w:t>
            </w:r>
            <w:r w:rsidRPr="00A04EE5">
              <w:rPr>
                <w:rFonts w:cs="Arial"/>
                <w:sz w:val="20"/>
                <w:szCs w:val="20"/>
              </w:rPr>
              <w:t>follow-up</w:t>
            </w:r>
            <w:r w:rsidRPr="000F1C08">
              <w:rPr>
                <w:rFonts w:cs="Arial"/>
                <w:sz w:val="20"/>
                <w:szCs w:val="20"/>
              </w:rPr>
              <w:t xml:space="preserve"> assessments (p&lt;0.05), compared to VC. The differences between CRA and TSF were not significant</w:t>
            </w:r>
            <w:r w:rsidRPr="00A04EE5">
              <w:rPr>
                <w:rFonts w:cs="Arial"/>
                <w:sz w:val="20"/>
                <w:szCs w:val="20"/>
              </w:rPr>
              <w:t>.</w:t>
            </w:r>
          </w:p>
        </w:tc>
      </w:tr>
      <w:tr w:rsidR="0025732F" w:rsidRPr="00925EA9" w14:paraId="5341F2F7" w14:textId="77777777">
        <w:tc>
          <w:tcPr>
            <w:tcW w:w="3114" w:type="dxa"/>
          </w:tcPr>
          <w:p w14:paraId="64A7855B"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09B3D6BE" w14:textId="77777777" w:rsidR="0025732F" w:rsidRPr="00925EA9" w:rsidRDefault="0025732F">
            <w:pPr>
              <w:rPr>
                <w:rFonts w:cs="Arial"/>
                <w:sz w:val="20"/>
                <w:szCs w:val="20"/>
              </w:rPr>
            </w:pPr>
            <w:r>
              <w:rPr>
                <w:rFonts w:cs="Arial"/>
                <w:sz w:val="20"/>
                <w:szCs w:val="20"/>
              </w:rPr>
              <w:t xml:space="preserve">N/A. </w:t>
            </w:r>
          </w:p>
        </w:tc>
      </w:tr>
      <w:tr w:rsidR="0025732F" w:rsidRPr="00925EA9" w14:paraId="31DA3704" w14:textId="77777777">
        <w:tc>
          <w:tcPr>
            <w:tcW w:w="3114" w:type="dxa"/>
            <w:tcBorders>
              <w:bottom w:val="single" w:sz="4" w:space="0" w:color="auto"/>
            </w:tcBorders>
          </w:tcPr>
          <w:p w14:paraId="2412D38F" w14:textId="77777777" w:rsidR="0025732F" w:rsidRPr="00925EA9" w:rsidRDefault="0025732F">
            <w:pPr>
              <w:pStyle w:val="NoSpacing"/>
              <w:spacing w:line="240" w:lineRule="auto"/>
              <w:rPr>
                <w:sz w:val="20"/>
                <w:szCs w:val="20"/>
              </w:rPr>
            </w:pPr>
            <w:r w:rsidRPr="00925EA9">
              <w:rPr>
                <w:sz w:val="20"/>
                <w:szCs w:val="20"/>
              </w:rPr>
              <w:t>Overall quality rating</w:t>
            </w:r>
          </w:p>
        </w:tc>
        <w:tc>
          <w:tcPr>
            <w:tcW w:w="10773" w:type="dxa"/>
            <w:tcBorders>
              <w:bottom w:val="single" w:sz="4" w:space="0" w:color="auto"/>
            </w:tcBorders>
          </w:tcPr>
          <w:p w14:paraId="014AE906" w14:textId="77777777" w:rsidR="0025732F" w:rsidRPr="00925EA9" w:rsidRDefault="0025732F">
            <w:pPr>
              <w:pStyle w:val="NoSpacing"/>
              <w:spacing w:line="240" w:lineRule="auto"/>
              <w:rPr>
                <w:sz w:val="20"/>
                <w:szCs w:val="20"/>
              </w:rPr>
            </w:pPr>
            <w:r>
              <w:rPr>
                <w:sz w:val="20"/>
                <w:szCs w:val="20"/>
              </w:rPr>
              <w:t>Moderate.</w:t>
            </w:r>
          </w:p>
        </w:tc>
      </w:tr>
      <w:tr w:rsidR="0025732F" w:rsidRPr="00925EA9" w14:paraId="062CFC5A" w14:textId="77777777">
        <w:tc>
          <w:tcPr>
            <w:tcW w:w="3114" w:type="dxa"/>
            <w:shd w:val="clear" w:color="auto" w:fill="D9E2F3" w:themeFill="accent1" w:themeFillTint="33"/>
          </w:tcPr>
          <w:p w14:paraId="1B7D51E6" w14:textId="77777777" w:rsidR="0025732F" w:rsidRPr="00925EA9" w:rsidRDefault="0025732F">
            <w:pPr>
              <w:pStyle w:val="NoSpacing"/>
              <w:spacing w:line="240" w:lineRule="auto"/>
              <w:rPr>
                <w:sz w:val="20"/>
                <w:szCs w:val="20"/>
              </w:rPr>
            </w:pPr>
            <w:r w:rsidRPr="00925EA9">
              <w:rPr>
                <w:sz w:val="20"/>
                <w:szCs w:val="20"/>
              </w:rPr>
              <w:t>Reference</w:t>
            </w:r>
          </w:p>
        </w:tc>
        <w:tc>
          <w:tcPr>
            <w:tcW w:w="10773" w:type="dxa"/>
            <w:shd w:val="clear" w:color="auto" w:fill="D9E2F3" w:themeFill="accent1" w:themeFillTint="33"/>
          </w:tcPr>
          <w:p w14:paraId="31BBA16F" w14:textId="7FE2EF17" w:rsidR="0025732F" w:rsidRPr="00925EA9" w:rsidRDefault="0025732F">
            <w:pPr>
              <w:pStyle w:val="NoSpacing"/>
              <w:spacing w:line="240" w:lineRule="auto"/>
              <w:rPr>
                <w:sz w:val="20"/>
                <w:szCs w:val="20"/>
              </w:rPr>
            </w:pPr>
            <w:r>
              <w:rPr>
                <w:sz w:val="20"/>
                <w:szCs w:val="20"/>
              </w:rPr>
              <w:fldChar w:fldCharType="begin">
                <w:fldData xml:space="preserve">PEVuZE5vdGU+PENpdGUgQXV0aG9yWWVhcj0iMSI+PEF1dGhvcj5TbGVzbmljazwvQXV0aG9yPjxZ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==
</w:fldData>
              </w:fldChar>
            </w:r>
            <w:r w:rsidR="00B9334F">
              <w:rPr>
                <w:sz w:val="20"/>
                <w:szCs w:val="20"/>
              </w:rPr>
              <w:instrText xml:space="preserve"> ADDIN EN.CITE </w:instrText>
            </w:r>
            <w:r w:rsidR="00B9334F">
              <w:rPr>
                <w:sz w:val="20"/>
                <w:szCs w:val="20"/>
              </w:rPr>
              <w:fldChar w:fldCharType="begin">
                <w:fldData xml:space="preserve">PEVuZE5vdGU+PENpdGUgQXV0aG9yWWVhcj0iMSI+PEF1dGhvcj5TbGVzbmljazwvQXV0aG9yPjxZ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==
</w:fldData>
              </w:fldChar>
            </w:r>
            <w:r w:rsidR="00B9334F">
              <w:rPr>
                <w:sz w:val="20"/>
                <w:szCs w:val="20"/>
              </w:rPr>
              <w:instrText xml:space="preserve"> ADDIN EN.CITE.DATA </w:instrText>
            </w:r>
            <w:r w:rsidR="00B9334F">
              <w:rPr>
                <w:sz w:val="20"/>
                <w:szCs w:val="20"/>
              </w:rPr>
            </w:r>
            <w:r w:rsidR="00B9334F">
              <w:rPr>
                <w:sz w:val="20"/>
                <w:szCs w:val="20"/>
              </w:rPr>
              <w:fldChar w:fldCharType="end"/>
            </w:r>
            <w:r>
              <w:rPr>
                <w:sz w:val="20"/>
                <w:szCs w:val="20"/>
              </w:rPr>
            </w:r>
            <w:r>
              <w:rPr>
                <w:sz w:val="20"/>
                <w:szCs w:val="20"/>
              </w:rPr>
              <w:fldChar w:fldCharType="separate"/>
            </w:r>
            <w:r w:rsidR="003C6F70">
              <w:rPr>
                <w:noProof/>
                <w:sz w:val="20"/>
                <w:szCs w:val="20"/>
              </w:rPr>
              <w:t>Slesnick and Erdem (2013)</w:t>
            </w:r>
            <w:r>
              <w:rPr>
                <w:sz w:val="20"/>
                <w:szCs w:val="20"/>
              </w:rPr>
              <w:fldChar w:fldCharType="end"/>
            </w:r>
          </w:p>
        </w:tc>
      </w:tr>
      <w:tr w:rsidR="0025732F" w:rsidRPr="00925EA9" w14:paraId="39803A0A" w14:textId="77777777">
        <w:tc>
          <w:tcPr>
            <w:tcW w:w="3114" w:type="dxa"/>
          </w:tcPr>
          <w:p w14:paraId="06D9BC70" w14:textId="77777777" w:rsidR="0025732F" w:rsidRPr="00925EA9" w:rsidRDefault="0025732F">
            <w:pPr>
              <w:pStyle w:val="NoSpacing"/>
              <w:spacing w:line="240" w:lineRule="auto"/>
              <w:rPr>
                <w:sz w:val="20"/>
                <w:szCs w:val="20"/>
              </w:rPr>
            </w:pPr>
            <w:r w:rsidRPr="00925EA9">
              <w:rPr>
                <w:sz w:val="20"/>
                <w:szCs w:val="20"/>
              </w:rPr>
              <w:t>Aims</w:t>
            </w:r>
          </w:p>
        </w:tc>
        <w:tc>
          <w:tcPr>
            <w:tcW w:w="10773" w:type="dxa"/>
          </w:tcPr>
          <w:p w14:paraId="6A1EC534" w14:textId="77777777" w:rsidR="0025732F" w:rsidRPr="00925EA9" w:rsidRDefault="0025732F">
            <w:pPr>
              <w:pStyle w:val="NoSpacing"/>
              <w:spacing w:line="240" w:lineRule="auto"/>
              <w:rPr>
                <w:sz w:val="20"/>
                <w:szCs w:val="20"/>
              </w:rPr>
            </w:pPr>
            <w:r>
              <w:rPr>
                <w:sz w:val="20"/>
                <w:szCs w:val="20"/>
              </w:rPr>
              <w:t>To test the effectiveness of an e</w:t>
            </w:r>
            <w:r w:rsidRPr="00E6538C">
              <w:rPr>
                <w:sz w:val="20"/>
                <w:szCs w:val="20"/>
              </w:rPr>
              <w:t xml:space="preserve">cologically-based treatment compared with usual care for homeless women with SUD and young children (aged 2-6 years old) in their care. </w:t>
            </w:r>
          </w:p>
        </w:tc>
      </w:tr>
      <w:tr w:rsidR="0025732F" w:rsidRPr="00925EA9" w14:paraId="619098DB" w14:textId="77777777">
        <w:tc>
          <w:tcPr>
            <w:tcW w:w="3114" w:type="dxa"/>
          </w:tcPr>
          <w:p w14:paraId="073F6136" w14:textId="77777777" w:rsidR="0025732F" w:rsidRPr="00925EA9" w:rsidRDefault="0025732F">
            <w:pPr>
              <w:pStyle w:val="NoSpacing"/>
              <w:spacing w:line="240" w:lineRule="auto"/>
              <w:rPr>
                <w:sz w:val="20"/>
                <w:szCs w:val="20"/>
              </w:rPr>
            </w:pPr>
            <w:r w:rsidRPr="00925EA9">
              <w:rPr>
                <w:sz w:val="20"/>
                <w:szCs w:val="20"/>
              </w:rPr>
              <w:t>Design</w:t>
            </w:r>
          </w:p>
        </w:tc>
        <w:tc>
          <w:tcPr>
            <w:tcW w:w="10773" w:type="dxa"/>
          </w:tcPr>
          <w:p w14:paraId="25810459" w14:textId="77777777" w:rsidR="0025732F" w:rsidRPr="00925EA9" w:rsidRDefault="0025732F">
            <w:pPr>
              <w:pStyle w:val="NoSpacing"/>
              <w:spacing w:line="240" w:lineRule="auto"/>
              <w:rPr>
                <w:sz w:val="20"/>
                <w:szCs w:val="20"/>
              </w:rPr>
            </w:pPr>
            <w:r w:rsidRPr="00E6538C">
              <w:rPr>
                <w:sz w:val="20"/>
                <w:szCs w:val="20"/>
              </w:rPr>
              <w:t>RCT, 3, 6, and 9 months post-baseline follow ups.</w:t>
            </w:r>
          </w:p>
        </w:tc>
      </w:tr>
      <w:tr w:rsidR="0025732F" w:rsidRPr="00925EA9" w14:paraId="2C8381D8" w14:textId="77777777">
        <w:tc>
          <w:tcPr>
            <w:tcW w:w="3114" w:type="dxa"/>
          </w:tcPr>
          <w:p w14:paraId="0344F130" w14:textId="77777777" w:rsidR="0025732F" w:rsidRPr="00925EA9" w:rsidRDefault="0025732F">
            <w:pPr>
              <w:pStyle w:val="NoSpacing"/>
              <w:spacing w:line="240" w:lineRule="auto"/>
              <w:rPr>
                <w:sz w:val="20"/>
                <w:szCs w:val="20"/>
              </w:rPr>
            </w:pPr>
            <w:r w:rsidRPr="00925EA9">
              <w:rPr>
                <w:sz w:val="20"/>
                <w:szCs w:val="20"/>
              </w:rPr>
              <w:t>Population</w:t>
            </w:r>
          </w:p>
        </w:tc>
        <w:tc>
          <w:tcPr>
            <w:tcW w:w="10773" w:type="dxa"/>
          </w:tcPr>
          <w:p w14:paraId="06E579EF" w14:textId="77777777" w:rsidR="0025732F" w:rsidRPr="00E6538C" w:rsidRDefault="0025732F">
            <w:pPr>
              <w:pStyle w:val="NoSpacing"/>
              <w:spacing w:line="240" w:lineRule="auto"/>
              <w:rPr>
                <w:sz w:val="20"/>
                <w:szCs w:val="20"/>
              </w:rPr>
            </w:pPr>
            <w:r w:rsidRPr="00E6538C">
              <w:rPr>
                <w:sz w:val="20"/>
                <w:szCs w:val="20"/>
              </w:rPr>
              <w:t>Intervention (n=30) and comparison (n=30) groups</w:t>
            </w:r>
          </w:p>
        </w:tc>
      </w:tr>
      <w:tr w:rsidR="0025732F" w:rsidRPr="00F022D5" w14:paraId="2A9E0471" w14:textId="77777777">
        <w:tc>
          <w:tcPr>
            <w:tcW w:w="3114" w:type="dxa"/>
          </w:tcPr>
          <w:p w14:paraId="4C1918E5" w14:textId="77777777" w:rsidR="0025732F" w:rsidRPr="00F022D5" w:rsidRDefault="0025732F">
            <w:pPr>
              <w:pStyle w:val="NoSpacing"/>
              <w:spacing w:line="240" w:lineRule="auto"/>
              <w:rPr>
                <w:sz w:val="20"/>
                <w:szCs w:val="20"/>
              </w:rPr>
            </w:pPr>
            <w:r w:rsidRPr="00F022D5">
              <w:rPr>
                <w:sz w:val="20"/>
                <w:szCs w:val="20"/>
              </w:rPr>
              <w:t>Intervention</w:t>
            </w:r>
          </w:p>
        </w:tc>
        <w:tc>
          <w:tcPr>
            <w:tcW w:w="10773" w:type="dxa"/>
          </w:tcPr>
          <w:p w14:paraId="79DCE730" w14:textId="77777777" w:rsidR="0025732F" w:rsidRPr="00F022D5" w:rsidRDefault="0025732F">
            <w:pPr>
              <w:pStyle w:val="NoSpacing"/>
              <w:spacing w:line="240" w:lineRule="auto"/>
              <w:rPr>
                <w:sz w:val="20"/>
                <w:szCs w:val="20"/>
              </w:rPr>
            </w:pPr>
            <w:r w:rsidRPr="00F022D5">
              <w:rPr>
                <w:sz w:val="20"/>
                <w:szCs w:val="20"/>
              </w:rPr>
              <w:t>The intervention group received community reinforcement approach therapy, as well as 3 months of help with rent and utility bills and care management. The comparison group received housing and services through the family shelter and community housing programs.</w:t>
            </w:r>
          </w:p>
        </w:tc>
      </w:tr>
      <w:tr w:rsidR="0025732F" w:rsidRPr="00F022D5" w14:paraId="5386B94F" w14:textId="77777777">
        <w:tc>
          <w:tcPr>
            <w:tcW w:w="3114" w:type="dxa"/>
          </w:tcPr>
          <w:p w14:paraId="0B1D1B07" w14:textId="77777777" w:rsidR="0025732F" w:rsidRPr="00F022D5" w:rsidRDefault="0025732F">
            <w:pPr>
              <w:pStyle w:val="NoSpacing"/>
              <w:spacing w:line="240" w:lineRule="auto"/>
              <w:rPr>
                <w:sz w:val="20"/>
                <w:szCs w:val="20"/>
              </w:rPr>
            </w:pPr>
            <w:r w:rsidRPr="00F022D5">
              <w:rPr>
                <w:sz w:val="20"/>
                <w:szCs w:val="20"/>
              </w:rPr>
              <w:t>Country</w:t>
            </w:r>
          </w:p>
        </w:tc>
        <w:tc>
          <w:tcPr>
            <w:tcW w:w="10773" w:type="dxa"/>
          </w:tcPr>
          <w:p w14:paraId="76A282F4" w14:textId="77777777" w:rsidR="0025732F" w:rsidRPr="00F022D5" w:rsidRDefault="0025732F">
            <w:pPr>
              <w:pStyle w:val="NoSpacing"/>
              <w:spacing w:line="240" w:lineRule="auto"/>
              <w:rPr>
                <w:sz w:val="20"/>
                <w:szCs w:val="20"/>
              </w:rPr>
            </w:pPr>
            <w:r w:rsidRPr="00F022D5">
              <w:rPr>
                <w:sz w:val="20"/>
                <w:szCs w:val="20"/>
              </w:rPr>
              <w:t>USA (unspecified location).</w:t>
            </w:r>
          </w:p>
        </w:tc>
      </w:tr>
      <w:tr w:rsidR="0025732F" w:rsidRPr="00F022D5" w14:paraId="00D50C44" w14:textId="77777777">
        <w:tc>
          <w:tcPr>
            <w:tcW w:w="3114" w:type="dxa"/>
          </w:tcPr>
          <w:p w14:paraId="727FF07A" w14:textId="77777777" w:rsidR="0025732F" w:rsidRPr="00F022D5" w:rsidRDefault="0025732F">
            <w:pPr>
              <w:pStyle w:val="NoSpacing"/>
              <w:spacing w:line="240" w:lineRule="auto"/>
              <w:rPr>
                <w:sz w:val="20"/>
                <w:szCs w:val="20"/>
              </w:rPr>
            </w:pPr>
            <w:r w:rsidRPr="00F022D5">
              <w:rPr>
                <w:sz w:val="20"/>
                <w:szCs w:val="20"/>
              </w:rPr>
              <w:t>Outcomes</w:t>
            </w:r>
          </w:p>
        </w:tc>
        <w:tc>
          <w:tcPr>
            <w:tcW w:w="10773" w:type="dxa"/>
          </w:tcPr>
          <w:p w14:paraId="31395DED" w14:textId="77777777" w:rsidR="0025732F" w:rsidRPr="00F022D5" w:rsidRDefault="0025732F">
            <w:pPr>
              <w:pStyle w:val="NoSpacing"/>
              <w:spacing w:line="240" w:lineRule="auto"/>
              <w:rPr>
                <w:sz w:val="20"/>
                <w:szCs w:val="20"/>
              </w:rPr>
            </w:pPr>
            <w:r w:rsidRPr="00F022D5">
              <w:rPr>
                <w:sz w:val="20"/>
                <w:szCs w:val="20"/>
              </w:rPr>
              <w:t xml:space="preserve">Intervention mothers showed a quicker reduction in alcohol use and increase in housing stability. However, by 9 months there were no significant differences. </w:t>
            </w:r>
          </w:p>
        </w:tc>
      </w:tr>
      <w:tr w:rsidR="0025732F" w:rsidRPr="00F022D5" w14:paraId="2273019B" w14:textId="77777777">
        <w:tc>
          <w:tcPr>
            <w:tcW w:w="3114" w:type="dxa"/>
          </w:tcPr>
          <w:p w14:paraId="084444E7" w14:textId="77777777" w:rsidR="0025732F" w:rsidRPr="00F022D5" w:rsidRDefault="0025732F">
            <w:pPr>
              <w:pStyle w:val="NoSpacing"/>
              <w:spacing w:line="240" w:lineRule="auto"/>
              <w:rPr>
                <w:sz w:val="20"/>
                <w:szCs w:val="20"/>
              </w:rPr>
            </w:pPr>
            <w:r w:rsidRPr="00F022D5">
              <w:rPr>
                <w:sz w:val="20"/>
                <w:szCs w:val="20"/>
              </w:rPr>
              <w:lastRenderedPageBreak/>
              <w:t>Cost-benefit/ cost-effectiveness</w:t>
            </w:r>
          </w:p>
        </w:tc>
        <w:tc>
          <w:tcPr>
            <w:tcW w:w="10773" w:type="dxa"/>
          </w:tcPr>
          <w:p w14:paraId="3E140E3D" w14:textId="77777777" w:rsidR="0025732F" w:rsidRPr="00F022D5" w:rsidRDefault="0025732F">
            <w:pPr>
              <w:pStyle w:val="NoSpacing"/>
              <w:spacing w:line="240" w:lineRule="auto"/>
              <w:rPr>
                <w:sz w:val="20"/>
                <w:szCs w:val="20"/>
              </w:rPr>
            </w:pPr>
            <w:r w:rsidRPr="00F022D5">
              <w:rPr>
                <w:sz w:val="20"/>
                <w:szCs w:val="20"/>
              </w:rPr>
              <w:t>N/A.</w:t>
            </w:r>
          </w:p>
        </w:tc>
      </w:tr>
      <w:tr w:rsidR="0025732F" w:rsidRPr="00F022D5" w14:paraId="453A80E0" w14:textId="77777777">
        <w:tc>
          <w:tcPr>
            <w:tcW w:w="3114" w:type="dxa"/>
            <w:tcBorders>
              <w:bottom w:val="single" w:sz="4" w:space="0" w:color="auto"/>
            </w:tcBorders>
          </w:tcPr>
          <w:p w14:paraId="31116563" w14:textId="77777777" w:rsidR="0025732F" w:rsidRPr="00F022D5" w:rsidRDefault="0025732F">
            <w:pPr>
              <w:pStyle w:val="NoSpacing"/>
              <w:spacing w:line="240" w:lineRule="auto"/>
              <w:rPr>
                <w:sz w:val="20"/>
                <w:szCs w:val="20"/>
              </w:rPr>
            </w:pPr>
            <w:r w:rsidRPr="00F022D5">
              <w:rPr>
                <w:sz w:val="20"/>
                <w:szCs w:val="20"/>
              </w:rPr>
              <w:t>Overall quality rating</w:t>
            </w:r>
          </w:p>
        </w:tc>
        <w:tc>
          <w:tcPr>
            <w:tcW w:w="10773" w:type="dxa"/>
            <w:tcBorders>
              <w:bottom w:val="single" w:sz="4" w:space="0" w:color="auto"/>
            </w:tcBorders>
          </w:tcPr>
          <w:p w14:paraId="036B44C9" w14:textId="77777777" w:rsidR="0025732F" w:rsidRPr="00F022D5" w:rsidRDefault="0025732F">
            <w:pPr>
              <w:pStyle w:val="NoSpacing"/>
              <w:spacing w:line="240" w:lineRule="auto"/>
              <w:rPr>
                <w:sz w:val="20"/>
                <w:szCs w:val="20"/>
              </w:rPr>
            </w:pPr>
            <w:r w:rsidRPr="00F022D5">
              <w:rPr>
                <w:sz w:val="20"/>
                <w:szCs w:val="20"/>
              </w:rPr>
              <w:t>Moderate.</w:t>
            </w:r>
          </w:p>
        </w:tc>
      </w:tr>
      <w:tr w:rsidR="0025732F" w:rsidRPr="00F022D5" w14:paraId="40B69506" w14:textId="77777777">
        <w:tc>
          <w:tcPr>
            <w:tcW w:w="3114" w:type="dxa"/>
            <w:shd w:val="clear" w:color="auto" w:fill="D9E2F3" w:themeFill="accent1" w:themeFillTint="33"/>
          </w:tcPr>
          <w:p w14:paraId="706EF181" w14:textId="77777777" w:rsidR="0025732F" w:rsidRPr="00F022D5" w:rsidRDefault="0025732F">
            <w:pPr>
              <w:pStyle w:val="NoSpacing"/>
              <w:spacing w:line="240" w:lineRule="auto"/>
              <w:rPr>
                <w:sz w:val="20"/>
                <w:szCs w:val="20"/>
              </w:rPr>
            </w:pPr>
            <w:r w:rsidRPr="00F022D5">
              <w:rPr>
                <w:sz w:val="20"/>
                <w:szCs w:val="20"/>
              </w:rPr>
              <w:t>Reference</w:t>
            </w:r>
          </w:p>
        </w:tc>
        <w:tc>
          <w:tcPr>
            <w:tcW w:w="10773" w:type="dxa"/>
            <w:shd w:val="clear" w:color="auto" w:fill="D9E2F3" w:themeFill="accent1" w:themeFillTint="33"/>
          </w:tcPr>
          <w:p w14:paraId="6B33E3C9" w14:textId="4151D8EF" w:rsidR="0025732F" w:rsidRPr="00F022D5" w:rsidRDefault="0025732F">
            <w:pPr>
              <w:pStyle w:val="NoSpacing"/>
              <w:spacing w:line="240" w:lineRule="auto"/>
              <w:rPr>
                <w:sz w:val="20"/>
                <w:szCs w:val="20"/>
              </w:rPr>
            </w:pPr>
            <w:r w:rsidRPr="00F022D5">
              <w:rPr>
                <w:sz w:val="20"/>
                <w:szCs w:val="20"/>
              </w:rPr>
              <w:fldChar w:fldCharType="begin"/>
            </w:r>
            <w:r w:rsidR="00B9334F">
              <w:rPr>
                <w:sz w:val="20"/>
                <w:szCs w:val="20"/>
              </w:rPr>
              <w:instrText xml:space="preserve"> ADDIN EN.CITE &lt;EndNote&gt;&lt;Cite AuthorYear="1"&gt;&lt;Author&gt;Svikis&lt;/Author&gt;&lt;Year&gt;2007&lt;/Year&gt;&lt;RecNum&gt;127&lt;/RecNum&gt;&lt;DisplayText&gt;Svikis et al. (2007)&lt;/DisplayText&gt;&lt;record&gt;&lt;rec-number&gt;127&lt;/rec-number&gt;&lt;foreign-keys&gt;&lt;key app="EN" db-id="ffzvr5fstavwxoe9v04xf0wmp5t50as52da0" timestamp="1731671643" guid="223b5ce3-d886-4eb0-b4a9-4d322c5cc115"&gt;127&lt;/key&gt;&lt;/foreign-keys&gt;&lt;ref-type name="Journal Article"&gt;17&lt;/ref-type&gt;&lt;contributors&gt;&lt;authors&gt;&lt;author&gt;Svikis, Dace S.&lt;/author&gt;&lt;author&gt;Silverman, Kenneth&lt;/author&gt;&lt;author&gt;Haug, Nancy A.&lt;/author&gt;&lt;author&gt;Stitzer, Maxine&lt;/author&gt;&lt;author&gt;Keyser-Marcus, Lori&lt;/author&gt;&lt;/authors&gt;&lt;/contributors&gt;&lt;titles&gt;&lt;title&gt;Behavioral Strategies to Improve Treatment Participation and Retention by Pregnant Drug-Dependent Women&lt;/title&gt;&lt;secondary-title&gt;Substance Use &amp;amp; Misuse&lt;/secondary-title&gt;&lt;/titles&gt;&lt;periodical&gt;&lt;full-title&gt;Substance Use &amp;amp; Misuse&lt;/full-title&gt;&lt;/periodical&gt;&lt;pages&gt;1527-1535&lt;/pages&gt;&lt;volume&gt;42&lt;/volume&gt;&lt;number&gt;10&lt;/number&gt;&lt;keywords&gt;&lt;keyword&gt;Behavioral&lt;/keyword&gt;&lt;keyword&gt;Incentives&lt;/keyword&gt;&lt;keyword&gt;Pregnant&lt;/keyword&gt;&lt;keyword&gt;Retention&lt;/keyword&gt;&lt;keyword&gt;Treatment&lt;/keyword&gt;&lt;keyword&gt;Voucher&lt;/keyword&gt;&lt;/keywords&gt;&lt;dates&gt;&lt;year&gt;2007&lt;/year&gt;&lt;/dates&gt;&lt;publisher&gt;Taylor &amp;amp; Francis Group&lt;/publisher&gt;&lt;isbn&gt;1082-6084&lt;/isbn&gt;&lt;urls&gt;&lt;/urls&gt;&lt;electronic-resource-num&gt;10.1080/10826080701212121&lt;/electronic-resource-num&gt;&lt;/record&gt;&lt;/Cite&gt;&lt;/EndNote&gt;</w:instrText>
            </w:r>
            <w:r w:rsidRPr="00F022D5">
              <w:rPr>
                <w:sz w:val="20"/>
                <w:szCs w:val="20"/>
              </w:rPr>
              <w:fldChar w:fldCharType="separate"/>
            </w:r>
            <w:r w:rsidR="00A77498">
              <w:rPr>
                <w:noProof/>
                <w:sz w:val="20"/>
                <w:szCs w:val="20"/>
              </w:rPr>
              <w:t>Svikis et al. (2007)</w:t>
            </w:r>
            <w:r w:rsidRPr="00F022D5">
              <w:rPr>
                <w:sz w:val="20"/>
                <w:szCs w:val="20"/>
              </w:rPr>
              <w:fldChar w:fldCharType="end"/>
            </w:r>
          </w:p>
        </w:tc>
      </w:tr>
      <w:tr w:rsidR="0025732F" w:rsidRPr="00F022D5" w14:paraId="7597195B" w14:textId="77777777">
        <w:tc>
          <w:tcPr>
            <w:tcW w:w="3114" w:type="dxa"/>
          </w:tcPr>
          <w:p w14:paraId="377FDC86" w14:textId="77777777" w:rsidR="0025732F" w:rsidRPr="00F022D5" w:rsidRDefault="0025732F">
            <w:pPr>
              <w:pStyle w:val="NoSpacing"/>
              <w:spacing w:line="240" w:lineRule="auto"/>
              <w:rPr>
                <w:sz w:val="20"/>
                <w:szCs w:val="20"/>
              </w:rPr>
            </w:pPr>
            <w:r w:rsidRPr="00F022D5">
              <w:rPr>
                <w:sz w:val="20"/>
                <w:szCs w:val="20"/>
              </w:rPr>
              <w:t>Aims</w:t>
            </w:r>
          </w:p>
        </w:tc>
        <w:tc>
          <w:tcPr>
            <w:tcW w:w="10773" w:type="dxa"/>
          </w:tcPr>
          <w:p w14:paraId="3F3BD640" w14:textId="77777777" w:rsidR="0025732F" w:rsidRPr="00F022D5" w:rsidRDefault="0025732F">
            <w:pPr>
              <w:pStyle w:val="NoSpacing"/>
              <w:spacing w:line="240" w:lineRule="auto"/>
              <w:rPr>
                <w:sz w:val="20"/>
                <w:szCs w:val="20"/>
              </w:rPr>
            </w:pPr>
            <w:r w:rsidRPr="00F022D5">
              <w:rPr>
                <w:sz w:val="20"/>
                <w:szCs w:val="20"/>
              </w:rPr>
              <w:t xml:space="preserve">To analyse the effectiveness of an escalating voucher incentive scheme on treatment engagement and retention among opioid and/or cocaine dependent pregnant women in residential treatment compared with TAU. </w:t>
            </w:r>
          </w:p>
        </w:tc>
      </w:tr>
      <w:tr w:rsidR="0025732F" w:rsidRPr="00F022D5" w14:paraId="666D443F" w14:textId="77777777">
        <w:tc>
          <w:tcPr>
            <w:tcW w:w="3114" w:type="dxa"/>
          </w:tcPr>
          <w:p w14:paraId="40B4BC88" w14:textId="77777777" w:rsidR="0025732F" w:rsidRPr="00F022D5" w:rsidRDefault="0025732F">
            <w:pPr>
              <w:pStyle w:val="NoSpacing"/>
              <w:spacing w:line="240" w:lineRule="auto"/>
              <w:rPr>
                <w:sz w:val="20"/>
                <w:szCs w:val="20"/>
              </w:rPr>
            </w:pPr>
            <w:r w:rsidRPr="00F022D5">
              <w:rPr>
                <w:sz w:val="20"/>
                <w:szCs w:val="20"/>
              </w:rPr>
              <w:t>Design</w:t>
            </w:r>
          </w:p>
        </w:tc>
        <w:tc>
          <w:tcPr>
            <w:tcW w:w="10773" w:type="dxa"/>
          </w:tcPr>
          <w:p w14:paraId="70B18CA3" w14:textId="77777777" w:rsidR="0025732F" w:rsidRPr="00F022D5" w:rsidRDefault="0025732F">
            <w:pPr>
              <w:pStyle w:val="NoSpacing"/>
              <w:spacing w:line="240" w:lineRule="auto"/>
              <w:rPr>
                <w:sz w:val="20"/>
                <w:szCs w:val="20"/>
              </w:rPr>
            </w:pPr>
            <w:r w:rsidRPr="00F022D5">
              <w:rPr>
                <w:sz w:val="20"/>
                <w:szCs w:val="20"/>
              </w:rPr>
              <w:t>Randomised allocation with two-week follow-up.</w:t>
            </w:r>
          </w:p>
        </w:tc>
      </w:tr>
      <w:tr w:rsidR="0025732F" w:rsidRPr="00F022D5" w14:paraId="37D7787B" w14:textId="77777777">
        <w:tc>
          <w:tcPr>
            <w:tcW w:w="3114" w:type="dxa"/>
          </w:tcPr>
          <w:p w14:paraId="08E0089F" w14:textId="77777777" w:rsidR="0025732F" w:rsidRPr="00F022D5" w:rsidRDefault="0025732F">
            <w:pPr>
              <w:pStyle w:val="NoSpacing"/>
              <w:spacing w:line="240" w:lineRule="auto"/>
              <w:rPr>
                <w:sz w:val="20"/>
                <w:szCs w:val="20"/>
              </w:rPr>
            </w:pPr>
            <w:r w:rsidRPr="00F022D5">
              <w:rPr>
                <w:sz w:val="20"/>
                <w:szCs w:val="20"/>
              </w:rPr>
              <w:t>Population</w:t>
            </w:r>
          </w:p>
        </w:tc>
        <w:tc>
          <w:tcPr>
            <w:tcW w:w="10773" w:type="dxa"/>
          </w:tcPr>
          <w:p w14:paraId="15B7662D" w14:textId="77777777" w:rsidR="0025732F" w:rsidRPr="00F022D5" w:rsidRDefault="0025732F">
            <w:pPr>
              <w:pStyle w:val="NoSpacing"/>
              <w:spacing w:line="240" w:lineRule="auto"/>
              <w:rPr>
                <w:sz w:val="20"/>
                <w:szCs w:val="20"/>
              </w:rPr>
            </w:pPr>
            <w:r w:rsidRPr="00F022D5">
              <w:rPr>
                <w:sz w:val="20"/>
                <w:szCs w:val="20"/>
              </w:rPr>
              <w:t xml:space="preserve">Intervention (n=49) and comparison (n=42) </w:t>
            </w:r>
          </w:p>
        </w:tc>
      </w:tr>
      <w:tr w:rsidR="0025732F" w:rsidRPr="00F022D5" w14:paraId="44F1DEDA" w14:textId="77777777">
        <w:tc>
          <w:tcPr>
            <w:tcW w:w="3114" w:type="dxa"/>
          </w:tcPr>
          <w:p w14:paraId="6035DFFF" w14:textId="77777777" w:rsidR="0025732F" w:rsidRPr="00F022D5" w:rsidRDefault="0025732F">
            <w:pPr>
              <w:pStyle w:val="NoSpacing"/>
              <w:spacing w:line="240" w:lineRule="auto"/>
              <w:rPr>
                <w:sz w:val="20"/>
                <w:szCs w:val="20"/>
              </w:rPr>
            </w:pPr>
            <w:r w:rsidRPr="00F022D5">
              <w:rPr>
                <w:sz w:val="20"/>
                <w:szCs w:val="20"/>
              </w:rPr>
              <w:t>Intervention</w:t>
            </w:r>
          </w:p>
        </w:tc>
        <w:tc>
          <w:tcPr>
            <w:tcW w:w="10773" w:type="dxa"/>
          </w:tcPr>
          <w:p w14:paraId="0DDF2743" w14:textId="77777777" w:rsidR="0025732F" w:rsidRPr="00F022D5" w:rsidRDefault="0025732F">
            <w:pPr>
              <w:pStyle w:val="NoSpacing"/>
              <w:spacing w:line="240" w:lineRule="auto"/>
              <w:rPr>
                <w:sz w:val="20"/>
                <w:szCs w:val="20"/>
              </w:rPr>
            </w:pPr>
            <w:r w:rsidRPr="00F022D5">
              <w:rPr>
                <w:sz w:val="20"/>
                <w:szCs w:val="20"/>
              </w:rPr>
              <w:t>CM: The escalating voucher incentive scheme incentive women modestly at first ($5 for day 1) and increasing by $5 each consecutive day of attendance up to day 14. Women receiving the intervention were explicitly told that could earn $525 in vouchers which could be spent in an on-site shop or local community. TAU was a comprehensive treatment programme including seven days of residential treatment and a subsequent month of intensive outpatient care.</w:t>
            </w:r>
          </w:p>
        </w:tc>
      </w:tr>
      <w:tr w:rsidR="0025732F" w:rsidRPr="00F022D5" w14:paraId="266764B7" w14:textId="77777777">
        <w:tc>
          <w:tcPr>
            <w:tcW w:w="3114" w:type="dxa"/>
          </w:tcPr>
          <w:p w14:paraId="0DFF1CCD" w14:textId="77777777" w:rsidR="0025732F" w:rsidRPr="00F022D5" w:rsidRDefault="0025732F">
            <w:pPr>
              <w:pStyle w:val="NoSpacing"/>
              <w:spacing w:line="240" w:lineRule="auto"/>
              <w:rPr>
                <w:sz w:val="20"/>
                <w:szCs w:val="20"/>
              </w:rPr>
            </w:pPr>
            <w:r w:rsidRPr="00F022D5">
              <w:rPr>
                <w:sz w:val="20"/>
                <w:szCs w:val="20"/>
              </w:rPr>
              <w:t>Country</w:t>
            </w:r>
          </w:p>
        </w:tc>
        <w:tc>
          <w:tcPr>
            <w:tcW w:w="10773" w:type="dxa"/>
          </w:tcPr>
          <w:p w14:paraId="0F00A284" w14:textId="77777777" w:rsidR="0025732F" w:rsidRPr="00F022D5" w:rsidRDefault="0025732F">
            <w:pPr>
              <w:pStyle w:val="NoSpacing"/>
              <w:spacing w:line="240" w:lineRule="auto"/>
              <w:rPr>
                <w:sz w:val="20"/>
                <w:szCs w:val="20"/>
              </w:rPr>
            </w:pPr>
            <w:r w:rsidRPr="00F022D5">
              <w:rPr>
                <w:sz w:val="20"/>
                <w:szCs w:val="20"/>
              </w:rPr>
              <w:t>USA (Baltimore, Maryland).</w:t>
            </w:r>
          </w:p>
        </w:tc>
      </w:tr>
      <w:tr w:rsidR="0025732F" w:rsidRPr="00F022D5" w14:paraId="0369C01E" w14:textId="77777777">
        <w:tc>
          <w:tcPr>
            <w:tcW w:w="3114" w:type="dxa"/>
          </w:tcPr>
          <w:p w14:paraId="678F9440" w14:textId="77777777" w:rsidR="0025732F" w:rsidRPr="00F022D5" w:rsidRDefault="0025732F">
            <w:pPr>
              <w:pStyle w:val="NoSpacing"/>
              <w:spacing w:line="240" w:lineRule="auto"/>
              <w:rPr>
                <w:sz w:val="20"/>
                <w:szCs w:val="20"/>
              </w:rPr>
            </w:pPr>
            <w:r w:rsidRPr="00F022D5">
              <w:rPr>
                <w:sz w:val="20"/>
                <w:szCs w:val="20"/>
              </w:rPr>
              <w:t>Outcomes</w:t>
            </w:r>
          </w:p>
        </w:tc>
        <w:tc>
          <w:tcPr>
            <w:tcW w:w="10773" w:type="dxa"/>
          </w:tcPr>
          <w:p w14:paraId="0A3737F1" w14:textId="77777777" w:rsidR="0025732F" w:rsidRPr="00F022D5" w:rsidRDefault="0025732F">
            <w:pPr>
              <w:pStyle w:val="NoSpacing"/>
              <w:spacing w:line="240" w:lineRule="auto"/>
              <w:rPr>
                <w:sz w:val="20"/>
                <w:szCs w:val="20"/>
              </w:rPr>
            </w:pPr>
            <w:r w:rsidRPr="00F022D5">
              <w:rPr>
                <w:sz w:val="20"/>
                <w:szCs w:val="20"/>
              </w:rPr>
              <w:t xml:space="preserve">Vouchers incentives did not decrease rates of early dropout, however there was an improved engagement and retention during the transition to outpatient treatment. </w:t>
            </w:r>
          </w:p>
        </w:tc>
      </w:tr>
      <w:tr w:rsidR="0025732F" w:rsidRPr="00F022D5" w14:paraId="0002DF80" w14:textId="77777777">
        <w:tc>
          <w:tcPr>
            <w:tcW w:w="3114" w:type="dxa"/>
          </w:tcPr>
          <w:p w14:paraId="0AFBEEC8" w14:textId="77777777" w:rsidR="0025732F" w:rsidRPr="00F022D5" w:rsidRDefault="0025732F">
            <w:pPr>
              <w:pStyle w:val="NoSpacing"/>
              <w:spacing w:line="240" w:lineRule="auto"/>
              <w:rPr>
                <w:sz w:val="20"/>
                <w:szCs w:val="20"/>
              </w:rPr>
            </w:pPr>
            <w:r w:rsidRPr="00F022D5">
              <w:rPr>
                <w:sz w:val="20"/>
                <w:szCs w:val="20"/>
              </w:rPr>
              <w:t>Cost-benefit/ cost-effectiveness</w:t>
            </w:r>
          </w:p>
        </w:tc>
        <w:tc>
          <w:tcPr>
            <w:tcW w:w="10773" w:type="dxa"/>
          </w:tcPr>
          <w:p w14:paraId="7E0424C0" w14:textId="77777777" w:rsidR="0025732F" w:rsidRPr="00F022D5" w:rsidRDefault="0025732F">
            <w:pPr>
              <w:pStyle w:val="NoSpacing"/>
              <w:spacing w:line="240" w:lineRule="auto"/>
              <w:rPr>
                <w:sz w:val="20"/>
                <w:szCs w:val="20"/>
              </w:rPr>
            </w:pPr>
            <w:r w:rsidRPr="00F022D5">
              <w:rPr>
                <w:sz w:val="20"/>
                <w:szCs w:val="20"/>
              </w:rPr>
              <w:t>N/A.</w:t>
            </w:r>
          </w:p>
        </w:tc>
      </w:tr>
      <w:tr w:rsidR="0025732F" w:rsidRPr="00F022D5" w14:paraId="06F3C419" w14:textId="77777777">
        <w:tc>
          <w:tcPr>
            <w:tcW w:w="3114" w:type="dxa"/>
            <w:tcBorders>
              <w:bottom w:val="single" w:sz="4" w:space="0" w:color="auto"/>
            </w:tcBorders>
          </w:tcPr>
          <w:p w14:paraId="0944EDD2" w14:textId="77777777" w:rsidR="0025732F" w:rsidRPr="00F022D5" w:rsidRDefault="0025732F">
            <w:pPr>
              <w:pStyle w:val="NoSpacing"/>
              <w:spacing w:line="240" w:lineRule="auto"/>
              <w:rPr>
                <w:sz w:val="20"/>
                <w:szCs w:val="20"/>
              </w:rPr>
            </w:pPr>
            <w:r w:rsidRPr="00F022D5">
              <w:rPr>
                <w:sz w:val="20"/>
                <w:szCs w:val="20"/>
              </w:rPr>
              <w:t>Overall quality rating</w:t>
            </w:r>
          </w:p>
        </w:tc>
        <w:tc>
          <w:tcPr>
            <w:tcW w:w="10773" w:type="dxa"/>
            <w:tcBorders>
              <w:bottom w:val="single" w:sz="4" w:space="0" w:color="auto"/>
            </w:tcBorders>
          </w:tcPr>
          <w:p w14:paraId="34644D3C" w14:textId="77777777" w:rsidR="0025732F" w:rsidRPr="00F022D5" w:rsidRDefault="0025732F">
            <w:pPr>
              <w:pStyle w:val="NoSpacing"/>
              <w:spacing w:line="240" w:lineRule="auto"/>
              <w:rPr>
                <w:sz w:val="20"/>
                <w:szCs w:val="20"/>
              </w:rPr>
            </w:pPr>
            <w:r w:rsidRPr="00F022D5">
              <w:rPr>
                <w:sz w:val="20"/>
                <w:szCs w:val="20"/>
              </w:rPr>
              <w:t>Moderate.</w:t>
            </w:r>
          </w:p>
        </w:tc>
      </w:tr>
      <w:tr w:rsidR="0025732F" w:rsidRPr="00925EA9" w14:paraId="687AE99B" w14:textId="77777777">
        <w:tc>
          <w:tcPr>
            <w:tcW w:w="3114" w:type="dxa"/>
            <w:shd w:val="clear" w:color="auto" w:fill="D9E2F3" w:themeFill="accent1" w:themeFillTint="33"/>
          </w:tcPr>
          <w:p w14:paraId="50B6B086" w14:textId="77777777" w:rsidR="0025732F" w:rsidRPr="00925EA9" w:rsidRDefault="0025732F">
            <w:pPr>
              <w:pStyle w:val="NoSpacing"/>
              <w:spacing w:line="240" w:lineRule="auto"/>
              <w:rPr>
                <w:sz w:val="20"/>
                <w:szCs w:val="20"/>
              </w:rPr>
            </w:pPr>
            <w:r w:rsidRPr="00925EA9">
              <w:rPr>
                <w:sz w:val="20"/>
                <w:szCs w:val="20"/>
              </w:rPr>
              <w:t>Reference</w:t>
            </w:r>
          </w:p>
        </w:tc>
        <w:tc>
          <w:tcPr>
            <w:tcW w:w="10773" w:type="dxa"/>
            <w:shd w:val="clear" w:color="auto" w:fill="D9E2F3" w:themeFill="accent1" w:themeFillTint="33"/>
          </w:tcPr>
          <w:p w14:paraId="0B9EDC6D" w14:textId="3ACCF1D3" w:rsidR="0025732F" w:rsidRPr="00925EA9" w:rsidRDefault="0025732F">
            <w:pPr>
              <w:pStyle w:val="NoSpacing"/>
              <w:spacing w:line="240" w:lineRule="auto"/>
              <w:rPr>
                <w:sz w:val="20"/>
                <w:szCs w:val="20"/>
              </w:rPr>
            </w:pPr>
            <w:r w:rsidRPr="00925EA9">
              <w:rPr>
                <w:sz w:val="20"/>
                <w:szCs w:val="20"/>
              </w:rPr>
              <w:fldChar w:fldCharType="begin"/>
            </w:r>
            <w:r w:rsidR="00B9334F">
              <w:rPr>
                <w:sz w:val="20"/>
                <w:szCs w:val="20"/>
              </w:rPr>
              <w:instrText xml:space="preserve"> ADDIN EN.CITE &lt;EndNote&gt;&lt;Cite AuthorYear="1"&gt;&lt;Author&gt;Tuten&lt;/Author&gt;&lt;Year&gt;2012&lt;/Year&gt;&lt;RecNum&gt;128&lt;/RecNum&gt;&lt;DisplayText&gt;Tuten et al. (2012)&lt;/DisplayText&gt;&lt;record&gt;&lt;rec-number&gt;128&lt;/rec-number&gt;&lt;foreign-keys&gt;&lt;key app="EN" db-id="ffzvr5fstavwxoe9v04xf0wmp5t50as52da0" timestamp="1731671644" guid="9f691a84-cc95-415f-bf7e-d51dc388c5a6"&gt;128&lt;/key&gt;&lt;/foreign-keys&gt;&lt;ref-type name="Journal Article"&gt;17&lt;/ref-type&gt;&lt;contributors&gt;&lt;authors&gt;&lt;author&gt;Tuten, Michelle&lt;/author&gt;&lt;author&gt;Svikis, Dace S.&lt;/author&gt;&lt;author&gt;Keyser-Marcus, Lori&lt;/author&gt;&lt;author&gt;O’Grady, Kevin E.&lt;/author&gt;&lt;author&gt;Jones, Hendrée E.&lt;/author&gt;&lt;/authors&gt;&lt;/contributors&gt;&lt;titles&gt;&lt;title&gt;Lessons Learned from a Randomized Trial of Fixed and Escalating Contingency Management Schedules in Opioid-Dependent Pregnant Women&lt;/title&gt;&lt;secondary-title&gt;The American Journal of Drug and Alcohol Abuse&lt;/secondary-title&gt;&lt;/titles&gt;&lt;periodical&gt;&lt;full-title&gt;The American Journal of Drug and Alcohol Abuse&lt;/full-title&gt;&lt;/periodical&gt;&lt;pages&gt;286-292&lt;/pages&gt;&lt;volume&gt;38&lt;/volume&gt;&lt;number&gt;4&lt;/number&gt;&lt;keywords&gt;&lt;keyword&gt;Research Article&lt;/keyword&gt;&lt;keyword&gt;Contingency Management&lt;/keyword&gt;&lt;keyword&gt;Pregnancy&lt;/keyword&gt;&lt;keyword&gt;Substance Use Disorders&lt;/keyword&gt;&lt;/keywords&gt;&lt;dates&gt;&lt;year&gt;2012&lt;/year&gt;&lt;/dates&gt;&lt;publisher&gt;Taylor &amp;amp; Francis&lt;/publisher&gt;&lt;isbn&gt;0095-2990&lt;/isbn&gt;&lt;urls&gt;&lt;/urls&gt;&lt;electronic-resource-num&gt;10.3109/00952990.2011.643977&lt;/electronic-resource-num&gt;&lt;/record&gt;&lt;/Cite&gt;&lt;/EndNote&gt;</w:instrText>
            </w:r>
            <w:r w:rsidRPr="00925EA9">
              <w:rPr>
                <w:sz w:val="20"/>
                <w:szCs w:val="20"/>
              </w:rPr>
              <w:fldChar w:fldCharType="separate"/>
            </w:r>
            <w:r w:rsidR="00A77498">
              <w:rPr>
                <w:noProof/>
                <w:sz w:val="20"/>
                <w:szCs w:val="20"/>
              </w:rPr>
              <w:t>Tuten et al. (2012)</w:t>
            </w:r>
            <w:r w:rsidRPr="00925EA9">
              <w:rPr>
                <w:sz w:val="20"/>
                <w:szCs w:val="20"/>
              </w:rPr>
              <w:fldChar w:fldCharType="end"/>
            </w:r>
          </w:p>
        </w:tc>
      </w:tr>
      <w:tr w:rsidR="0025732F" w:rsidRPr="00925EA9" w14:paraId="5A17EDF2" w14:textId="77777777">
        <w:tc>
          <w:tcPr>
            <w:tcW w:w="3114" w:type="dxa"/>
          </w:tcPr>
          <w:p w14:paraId="4E60DF5C" w14:textId="77777777" w:rsidR="0025732F" w:rsidRPr="00925EA9" w:rsidRDefault="0025732F">
            <w:pPr>
              <w:pStyle w:val="NoSpacing"/>
              <w:spacing w:line="240" w:lineRule="auto"/>
              <w:rPr>
                <w:sz w:val="20"/>
                <w:szCs w:val="20"/>
              </w:rPr>
            </w:pPr>
            <w:r w:rsidRPr="00925EA9">
              <w:rPr>
                <w:sz w:val="20"/>
                <w:szCs w:val="20"/>
              </w:rPr>
              <w:t>Aims</w:t>
            </w:r>
          </w:p>
        </w:tc>
        <w:tc>
          <w:tcPr>
            <w:tcW w:w="10773" w:type="dxa"/>
          </w:tcPr>
          <w:p w14:paraId="7565B684" w14:textId="77777777" w:rsidR="0025732F" w:rsidRPr="00925EA9" w:rsidRDefault="0025732F">
            <w:pPr>
              <w:pStyle w:val="NoSpacing"/>
              <w:spacing w:line="240" w:lineRule="auto"/>
              <w:rPr>
                <w:sz w:val="20"/>
                <w:szCs w:val="20"/>
              </w:rPr>
            </w:pPr>
            <w:r w:rsidRPr="00925EA9">
              <w:rPr>
                <w:sz w:val="20"/>
                <w:szCs w:val="20"/>
              </w:rPr>
              <w:t>To evaluate the relative effectiveness of an escalating reinforcement condition, a fixed reinforcement condition and TAU on abstinence and treatment retention.</w:t>
            </w:r>
          </w:p>
        </w:tc>
      </w:tr>
      <w:tr w:rsidR="0025732F" w:rsidRPr="00925EA9" w14:paraId="1CB2F95D" w14:textId="77777777">
        <w:tc>
          <w:tcPr>
            <w:tcW w:w="3114" w:type="dxa"/>
          </w:tcPr>
          <w:p w14:paraId="631050D4" w14:textId="77777777" w:rsidR="0025732F" w:rsidRPr="00925EA9" w:rsidRDefault="0025732F">
            <w:pPr>
              <w:pStyle w:val="NoSpacing"/>
              <w:spacing w:line="240" w:lineRule="auto"/>
              <w:rPr>
                <w:sz w:val="20"/>
                <w:szCs w:val="20"/>
              </w:rPr>
            </w:pPr>
            <w:r w:rsidRPr="00925EA9">
              <w:rPr>
                <w:sz w:val="20"/>
                <w:szCs w:val="20"/>
              </w:rPr>
              <w:t>Design</w:t>
            </w:r>
          </w:p>
        </w:tc>
        <w:tc>
          <w:tcPr>
            <w:tcW w:w="10773" w:type="dxa"/>
          </w:tcPr>
          <w:p w14:paraId="03F9AEC9" w14:textId="77777777" w:rsidR="0025732F" w:rsidRPr="00925EA9" w:rsidRDefault="0025732F">
            <w:pPr>
              <w:pStyle w:val="NoSpacing"/>
              <w:spacing w:line="240" w:lineRule="auto"/>
              <w:rPr>
                <w:sz w:val="20"/>
                <w:szCs w:val="20"/>
              </w:rPr>
            </w:pPr>
            <w:r w:rsidRPr="00925EA9">
              <w:rPr>
                <w:sz w:val="20"/>
                <w:szCs w:val="20"/>
              </w:rPr>
              <w:t>RCT. ASI interviews were conducted at baseline and urine toxicology data was analysed thereafter.</w:t>
            </w:r>
          </w:p>
        </w:tc>
      </w:tr>
      <w:tr w:rsidR="0025732F" w:rsidRPr="00925EA9" w14:paraId="1EC55520" w14:textId="77777777">
        <w:tc>
          <w:tcPr>
            <w:tcW w:w="3114" w:type="dxa"/>
          </w:tcPr>
          <w:p w14:paraId="19151BEF" w14:textId="77777777" w:rsidR="0025732F" w:rsidRPr="00925EA9" w:rsidRDefault="0025732F">
            <w:pPr>
              <w:pStyle w:val="NoSpacing"/>
              <w:spacing w:line="240" w:lineRule="auto"/>
              <w:rPr>
                <w:sz w:val="20"/>
                <w:szCs w:val="20"/>
              </w:rPr>
            </w:pPr>
            <w:r w:rsidRPr="00925EA9">
              <w:rPr>
                <w:sz w:val="20"/>
                <w:szCs w:val="20"/>
              </w:rPr>
              <w:t>Population</w:t>
            </w:r>
          </w:p>
        </w:tc>
        <w:tc>
          <w:tcPr>
            <w:tcW w:w="10773" w:type="dxa"/>
          </w:tcPr>
          <w:p w14:paraId="59DD6DAC" w14:textId="77777777" w:rsidR="0025732F" w:rsidRPr="00925EA9" w:rsidRDefault="0025732F">
            <w:pPr>
              <w:pStyle w:val="NoSpacing"/>
              <w:spacing w:line="240" w:lineRule="auto"/>
              <w:rPr>
                <w:sz w:val="20"/>
                <w:szCs w:val="20"/>
              </w:rPr>
            </w:pPr>
            <w:r w:rsidRPr="00925EA9">
              <w:rPr>
                <w:sz w:val="20"/>
                <w:szCs w:val="20"/>
              </w:rPr>
              <w:t>Pregnant women receiving methadone maintenance in an escalating condition (n=52), fixed condition (n=38) and TAU (n=43) group.</w:t>
            </w:r>
          </w:p>
        </w:tc>
      </w:tr>
      <w:tr w:rsidR="0025732F" w:rsidRPr="00925EA9" w14:paraId="6FD16D72" w14:textId="77777777">
        <w:tc>
          <w:tcPr>
            <w:tcW w:w="3114" w:type="dxa"/>
          </w:tcPr>
          <w:p w14:paraId="135F66D9" w14:textId="77777777" w:rsidR="0025732F" w:rsidRPr="00925EA9" w:rsidRDefault="0025732F">
            <w:pPr>
              <w:pStyle w:val="NoSpacing"/>
              <w:spacing w:line="240" w:lineRule="auto"/>
              <w:rPr>
                <w:sz w:val="20"/>
                <w:szCs w:val="20"/>
              </w:rPr>
            </w:pPr>
            <w:r w:rsidRPr="00925EA9">
              <w:rPr>
                <w:sz w:val="20"/>
                <w:szCs w:val="20"/>
              </w:rPr>
              <w:t>Intervention</w:t>
            </w:r>
          </w:p>
        </w:tc>
        <w:tc>
          <w:tcPr>
            <w:tcW w:w="10773" w:type="dxa"/>
          </w:tcPr>
          <w:p w14:paraId="4DF94B7A" w14:textId="77777777" w:rsidR="0025732F" w:rsidRPr="00925EA9" w:rsidRDefault="0025732F">
            <w:pPr>
              <w:pStyle w:val="NoSpacing"/>
              <w:spacing w:line="240" w:lineRule="auto"/>
              <w:rPr>
                <w:sz w:val="20"/>
                <w:szCs w:val="20"/>
              </w:rPr>
            </w:pPr>
            <w:r w:rsidRPr="00925EA9">
              <w:rPr>
                <w:sz w:val="20"/>
                <w:szCs w:val="20"/>
              </w:rPr>
              <w:t xml:space="preserve">Two standard ways of delivering contingency management (CM) are fixed (static financial amount $25) and escalating reinforcement voucher schemes. In the study, escalating reinforcement group received $7.50 for their first drug-free test and could potentially receive £1,364 by the end of the intervention. </w:t>
            </w:r>
          </w:p>
        </w:tc>
      </w:tr>
      <w:tr w:rsidR="0025732F" w:rsidRPr="00925EA9" w14:paraId="36E04A66" w14:textId="77777777">
        <w:tc>
          <w:tcPr>
            <w:tcW w:w="3114" w:type="dxa"/>
          </w:tcPr>
          <w:p w14:paraId="50609E5B" w14:textId="77777777" w:rsidR="0025732F" w:rsidRPr="00925EA9" w:rsidRDefault="0025732F">
            <w:pPr>
              <w:pStyle w:val="NoSpacing"/>
              <w:spacing w:line="240" w:lineRule="auto"/>
              <w:rPr>
                <w:sz w:val="20"/>
                <w:szCs w:val="20"/>
              </w:rPr>
            </w:pPr>
            <w:r w:rsidRPr="00925EA9">
              <w:rPr>
                <w:sz w:val="20"/>
                <w:szCs w:val="20"/>
              </w:rPr>
              <w:t>Country</w:t>
            </w:r>
          </w:p>
        </w:tc>
        <w:tc>
          <w:tcPr>
            <w:tcW w:w="10773" w:type="dxa"/>
          </w:tcPr>
          <w:p w14:paraId="25A7F149" w14:textId="77777777" w:rsidR="0025732F" w:rsidRPr="00925EA9" w:rsidRDefault="0025732F">
            <w:pPr>
              <w:pStyle w:val="NoSpacing"/>
              <w:spacing w:line="240" w:lineRule="auto"/>
              <w:rPr>
                <w:sz w:val="20"/>
                <w:szCs w:val="20"/>
              </w:rPr>
            </w:pPr>
            <w:r w:rsidRPr="00925EA9">
              <w:rPr>
                <w:sz w:val="20"/>
                <w:szCs w:val="20"/>
              </w:rPr>
              <w:t>USA (Baltimore, Maryland).</w:t>
            </w:r>
          </w:p>
        </w:tc>
      </w:tr>
      <w:tr w:rsidR="0025732F" w:rsidRPr="00925EA9" w14:paraId="43109D52" w14:textId="77777777">
        <w:tc>
          <w:tcPr>
            <w:tcW w:w="3114" w:type="dxa"/>
          </w:tcPr>
          <w:p w14:paraId="5592EC77" w14:textId="77777777" w:rsidR="0025732F" w:rsidRPr="00925EA9" w:rsidRDefault="0025732F">
            <w:pPr>
              <w:pStyle w:val="NoSpacing"/>
              <w:spacing w:line="240" w:lineRule="auto"/>
              <w:rPr>
                <w:sz w:val="20"/>
                <w:szCs w:val="20"/>
              </w:rPr>
            </w:pPr>
            <w:r>
              <w:rPr>
                <w:sz w:val="20"/>
                <w:szCs w:val="20"/>
              </w:rPr>
              <w:t>O</w:t>
            </w:r>
            <w:r w:rsidRPr="00925EA9">
              <w:rPr>
                <w:sz w:val="20"/>
                <w:szCs w:val="20"/>
              </w:rPr>
              <w:t>utcomes</w:t>
            </w:r>
          </w:p>
        </w:tc>
        <w:tc>
          <w:tcPr>
            <w:tcW w:w="10773" w:type="dxa"/>
          </w:tcPr>
          <w:p w14:paraId="00868107" w14:textId="77777777" w:rsidR="0025732F" w:rsidRPr="00925EA9" w:rsidRDefault="0025732F">
            <w:pPr>
              <w:pStyle w:val="NoSpacing"/>
              <w:spacing w:line="240" w:lineRule="auto"/>
              <w:rPr>
                <w:sz w:val="20"/>
                <w:szCs w:val="20"/>
              </w:rPr>
            </w:pPr>
            <w:r w:rsidRPr="00925EA9">
              <w:rPr>
                <w:sz w:val="20"/>
                <w:szCs w:val="20"/>
              </w:rPr>
              <w:t>The pooled escalating and fixed reinforcement conditions received a greater total amount of voucher money than the comparison group average (</w:t>
            </w:r>
            <w:r w:rsidRPr="00925EA9">
              <w:rPr>
                <w:iCs/>
                <w:sz w:val="20"/>
                <w:szCs w:val="20"/>
              </w:rPr>
              <w:t>M</w:t>
            </w:r>
            <w:r w:rsidRPr="00925EA9">
              <w:rPr>
                <w:sz w:val="20"/>
                <w:szCs w:val="20"/>
              </w:rPr>
              <w:t>=392.40 [SE=40.47] vs. 219.74 [SE=39.78] respectively, </w:t>
            </w:r>
            <w:r w:rsidRPr="00925EA9">
              <w:rPr>
                <w:iCs/>
                <w:sz w:val="20"/>
                <w:szCs w:val="20"/>
              </w:rPr>
              <w:t>p</w:t>
            </w:r>
            <w:r w:rsidRPr="00925EA9">
              <w:rPr>
                <w:sz w:val="20"/>
                <w:szCs w:val="20"/>
              </w:rPr>
              <w:t>&lt; .001). The escalating and fixed conditions did not differ on abstinence and retention. </w:t>
            </w:r>
          </w:p>
        </w:tc>
      </w:tr>
      <w:tr w:rsidR="0025732F" w:rsidRPr="00925EA9" w14:paraId="563441DF" w14:textId="77777777">
        <w:tc>
          <w:tcPr>
            <w:tcW w:w="3114" w:type="dxa"/>
          </w:tcPr>
          <w:p w14:paraId="6F7019F8" w14:textId="77777777" w:rsidR="0025732F" w:rsidRPr="00925EA9" w:rsidRDefault="0025732F">
            <w:pPr>
              <w:pStyle w:val="NoSpacing"/>
              <w:spacing w:line="240" w:lineRule="auto"/>
              <w:rPr>
                <w:sz w:val="20"/>
                <w:szCs w:val="20"/>
              </w:rPr>
            </w:pPr>
            <w:r w:rsidRPr="00925EA9">
              <w:rPr>
                <w:sz w:val="20"/>
                <w:szCs w:val="20"/>
              </w:rPr>
              <w:t>Cost-benefit/ cost-effectiveness</w:t>
            </w:r>
          </w:p>
        </w:tc>
        <w:tc>
          <w:tcPr>
            <w:tcW w:w="10773" w:type="dxa"/>
          </w:tcPr>
          <w:p w14:paraId="3AA139D4" w14:textId="77777777" w:rsidR="0025732F" w:rsidRPr="00925EA9" w:rsidRDefault="0025732F">
            <w:pPr>
              <w:pStyle w:val="NoSpacing"/>
              <w:spacing w:line="240" w:lineRule="auto"/>
              <w:rPr>
                <w:sz w:val="20"/>
                <w:szCs w:val="20"/>
              </w:rPr>
            </w:pPr>
            <w:r w:rsidRPr="00925EA9">
              <w:rPr>
                <w:sz w:val="20"/>
                <w:szCs w:val="20"/>
              </w:rPr>
              <w:t>N/A.</w:t>
            </w:r>
          </w:p>
        </w:tc>
      </w:tr>
      <w:tr w:rsidR="0025732F" w:rsidRPr="00925EA9" w14:paraId="30ABC637" w14:textId="77777777">
        <w:tc>
          <w:tcPr>
            <w:tcW w:w="3114" w:type="dxa"/>
          </w:tcPr>
          <w:p w14:paraId="2DCFE945" w14:textId="77777777" w:rsidR="0025732F" w:rsidRPr="00925EA9" w:rsidRDefault="0025732F">
            <w:pPr>
              <w:pStyle w:val="NoSpacing"/>
              <w:spacing w:line="240" w:lineRule="auto"/>
              <w:rPr>
                <w:sz w:val="20"/>
                <w:szCs w:val="20"/>
              </w:rPr>
            </w:pPr>
            <w:r w:rsidRPr="00925EA9">
              <w:rPr>
                <w:sz w:val="20"/>
                <w:szCs w:val="20"/>
              </w:rPr>
              <w:t>Overall quality rating</w:t>
            </w:r>
          </w:p>
        </w:tc>
        <w:tc>
          <w:tcPr>
            <w:tcW w:w="10773" w:type="dxa"/>
          </w:tcPr>
          <w:p w14:paraId="1C34CD11" w14:textId="77777777" w:rsidR="0025732F" w:rsidRPr="00925EA9" w:rsidRDefault="0025732F">
            <w:pPr>
              <w:pStyle w:val="NoSpacing"/>
              <w:spacing w:line="240" w:lineRule="auto"/>
              <w:rPr>
                <w:sz w:val="20"/>
                <w:szCs w:val="20"/>
              </w:rPr>
            </w:pPr>
            <w:r>
              <w:rPr>
                <w:sz w:val="20"/>
                <w:szCs w:val="20"/>
              </w:rPr>
              <w:t>High</w:t>
            </w:r>
            <w:r w:rsidRPr="00925EA9">
              <w:rPr>
                <w:sz w:val="20"/>
                <w:szCs w:val="20"/>
              </w:rPr>
              <w:t>.</w:t>
            </w:r>
          </w:p>
        </w:tc>
      </w:tr>
      <w:tr w:rsidR="0025732F" w:rsidRPr="00925EA9" w14:paraId="4C640390" w14:textId="77777777">
        <w:tc>
          <w:tcPr>
            <w:tcW w:w="3114" w:type="dxa"/>
            <w:shd w:val="clear" w:color="auto" w:fill="D9E2F3" w:themeFill="accent1" w:themeFillTint="33"/>
          </w:tcPr>
          <w:p w14:paraId="48DFF8EE" w14:textId="77777777" w:rsidR="0025732F" w:rsidRPr="00925EA9" w:rsidRDefault="0025732F">
            <w:pPr>
              <w:pStyle w:val="NoSpacing"/>
              <w:spacing w:line="240" w:lineRule="auto"/>
              <w:rPr>
                <w:sz w:val="20"/>
                <w:szCs w:val="20"/>
              </w:rPr>
            </w:pPr>
            <w:r w:rsidRPr="00925EA9">
              <w:rPr>
                <w:sz w:val="20"/>
                <w:szCs w:val="20"/>
              </w:rPr>
              <w:t>Reference</w:t>
            </w:r>
          </w:p>
        </w:tc>
        <w:tc>
          <w:tcPr>
            <w:tcW w:w="10773" w:type="dxa"/>
            <w:shd w:val="clear" w:color="auto" w:fill="D9E2F3" w:themeFill="accent1" w:themeFillTint="33"/>
          </w:tcPr>
          <w:p w14:paraId="535DB134" w14:textId="02CCCB21" w:rsidR="0025732F" w:rsidRPr="00925EA9" w:rsidRDefault="0025732F">
            <w:pPr>
              <w:pStyle w:val="NoSpacing"/>
              <w:spacing w:line="240" w:lineRule="auto"/>
              <w:rPr>
                <w:sz w:val="20"/>
                <w:szCs w:val="20"/>
              </w:rPr>
            </w:pPr>
            <w:r w:rsidRPr="00925EA9">
              <w:rPr>
                <w:sz w:val="20"/>
                <w:szCs w:val="20"/>
              </w:rPr>
              <w:fldChar w:fldCharType="begin"/>
            </w:r>
            <w:r w:rsidR="00B9334F">
              <w:rPr>
                <w:sz w:val="20"/>
                <w:szCs w:val="20"/>
              </w:rPr>
              <w:instrText xml:space="preserve"> ADDIN EN.CITE &lt;EndNote&gt;&lt;Cite AuthorYear="1"&gt;&lt;Author&gt;Winhusen&lt;/Author&gt;&lt;Year&gt;2008&lt;/Year&gt;&lt;RecNum&gt;122&lt;/RecNum&gt;&lt;DisplayText&gt;Winhusen et al. (2008)&lt;/DisplayText&gt;&lt;record&gt;&lt;rec-number&gt;122&lt;/rec-number&gt;&lt;foreign-keys&gt;&lt;key app="EN" db-id="ffzvr5fstavwxoe9v04xf0wmp5t50as52da0" timestamp="1731671643" guid="c46ed324-bf3b-4e74-9ace-b294a8f2d3bf"&gt;122&lt;/key&gt;&lt;/foreign-keys&gt;&lt;ref-type name="Journal Article"&gt;17&lt;/ref-type&gt;&lt;contributors&gt;&lt;authors&gt;&lt;author&gt;Winhusen, Theresa&lt;/author&gt;&lt;author&gt;Kropp, Frankie&lt;/author&gt;&lt;author&gt;Babcock, Dean&lt;/author&gt;&lt;author&gt;Hague, Diane&lt;/author&gt;&lt;author&gt;Erickson, Sarah J.&lt;/author&gt;&lt;author&gt;Renz, Connie&lt;/author&gt;&lt;author&gt;Rau, Leela&lt;/author&gt;&lt;author&gt;Lewis, Daniel&lt;/author&gt;&lt;author&gt;Leimberger, Jeff&lt;/author&gt;&lt;author&gt;Somoza, Eugene&lt;/author&gt;&lt;/authors&gt;&lt;/contributors&gt;&lt;titles&gt;&lt;title&gt;Motivational enhancement therapy to improve treatment utilization and outcome in pregnant substance users&lt;/title&gt;&lt;secondary-title&gt;Journal of Substance Abuse Treatment&lt;/secondary-title&gt;&lt;/titles&gt;&lt;periodical&gt;&lt;full-title&gt;Journal of Substance Abuse Treatment&lt;/full-title&gt;&lt;/periodical&gt;&lt;pages&gt;161-173&lt;/pages&gt;&lt;volume&gt;35&lt;/volume&gt;&lt;number&gt;2&lt;/number&gt;&lt;keywords&gt;&lt;keyword&gt;Pregnant&lt;/keyword&gt;&lt;keyword&gt;Substance Abuse&lt;/keyword&gt;&lt;keyword&gt;Motivational Enhancement Therapy&lt;/keyword&gt;&lt;keyword&gt;Clinical Trial&lt;/keyword&gt;&lt;keyword&gt;Randomized&lt;/keyword&gt;&lt;/keywords&gt;&lt;dates&gt;&lt;year&gt;2008&lt;/year&gt;&lt;/dates&gt;&lt;isbn&gt;0740-5472&lt;/isbn&gt;&lt;urls&gt;&lt;/urls&gt;&lt;electronic-resource-num&gt;10.1016/j.jsat.2007.09.006&lt;/electronic-resource-num&gt;&lt;/record&gt;&lt;/Cite&gt;&lt;/EndNote&gt;</w:instrText>
            </w:r>
            <w:r w:rsidRPr="00925EA9">
              <w:rPr>
                <w:sz w:val="20"/>
                <w:szCs w:val="20"/>
              </w:rPr>
              <w:fldChar w:fldCharType="separate"/>
            </w:r>
            <w:r w:rsidR="00A77498">
              <w:rPr>
                <w:noProof/>
                <w:sz w:val="20"/>
                <w:szCs w:val="20"/>
              </w:rPr>
              <w:t>Winhusen et al. (2008)</w:t>
            </w:r>
            <w:r w:rsidRPr="00925EA9">
              <w:rPr>
                <w:sz w:val="20"/>
                <w:szCs w:val="20"/>
              </w:rPr>
              <w:fldChar w:fldCharType="end"/>
            </w:r>
            <w:r w:rsidRPr="00F979F4">
              <w:rPr>
                <w:sz w:val="20"/>
                <w:szCs w:val="20"/>
                <w:lang w:val="de-DE"/>
              </w:rPr>
              <w:t xml:space="preserve">; </w:t>
            </w:r>
            <w:r w:rsidRPr="00925EA9">
              <w:rPr>
                <w:sz w:val="20"/>
                <w:szCs w:val="20"/>
              </w:rPr>
              <w:fldChar w:fldCharType="begin"/>
            </w:r>
            <w:r w:rsidR="00B9334F">
              <w:rPr>
                <w:sz w:val="20"/>
                <w:szCs w:val="20"/>
              </w:rPr>
              <w:instrText xml:space="preserve"> ADDIN EN.CITE &lt;EndNote&gt;&lt;Cite AuthorYear="1"&gt;&lt;Author&gt;Osterman&lt;/Author&gt;&lt;Year&gt;2017&lt;/Year&gt;&lt;RecNum&gt;123&lt;/RecNum&gt;&lt;DisplayText&gt;Osterman et al. (2017)&lt;/DisplayText&gt;&lt;record&gt;&lt;rec-number&gt;123&lt;/rec-number&gt;&lt;foreign-keys&gt;&lt;key app="EN" db-id="ffzvr5fstavwxoe9v04xf0wmp5t50as52da0" timestamp="1731671643" guid="49bea857-cb7a-40ed-9f83-1fa5ad2000e2"&gt;123&lt;/key&gt;&lt;/foreign-keys&gt;&lt;ref-type name="Journal Article"&gt;17&lt;/ref-type&gt;&lt;contributors&gt;&lt;authors&gt;&lt;author&gt;Osterman, Robin&lt;/author&gt;&lt;author&gt;Lewis, Daniel&lt;/author&gt;&lt;author&gt;Winhusen, Theresa&lt;/author&gt;&lt;/authors&gt;&lt;/contributors&gt;&lt;titles&gt;&lt;title&gt;Efficacy of motivational enhancement therapy to decrease alcohol and illicit-drug use in pregnant substance users reporting baseline alcohol use&lt;/title&gt;&lt;secondary-title&gt;Journal of Substance Abuse Treatment&lt;/secondary-title&gt;&lt;/titles&gt;&lt;periodical&gt;&lt;full-title&gt;Journal of Substance Abuse Treatment&lt;/full-title&gt;&lt;/periodical&gt;&lt;pages&gt;150-155&lt;/pages&gt;&lt;volume&gt;77&lt;/volume&gt;&lt;keywords&gt;&lt;keyword&gt;Pregnant&lt;/keyword&gt;&lt;keyword&gt;Fetal alcohol spectrum disorders&lt;/keyword&gt;&lt;keyword&gt;Alcohol use&lt;/keyword&gt;&lt;keyword&gt;Drug use&lt;/keyword&gt;&lt;keyword&gt;Motivational enhancement therapy&lt;/keyword&gt;&lt;/keywords&gt;&lt;dates&gt;&lt;year&gt;2017&lt;/year&gt;&lt;pub-dates&gt;&lt;date&gt;2017/06/01/&lt;/date&gt;&lt;/pub-dates&gt;&lt;/dates&gt;&lt;isbn&gt;0740-5472&lt;/isbn&gt;&lt;urls&gt;&lt;related-urls&gt;&lt;url&gt;http://www.sciencedirect.com/science/article/pii/S0740547216304500&lt;/url&gt;&lt;/related-urls&gt;&lt;/urls&gt;&lt;electronic-resource-num&gt;https://doi.org/10.1016/j.jsat.2017.02.003&lt;/electronic-resource-num&gt;&lt;/record&gt;&lt;/Cite&gt;&lt;/EndNote&gt;</w:instrText>
            </w:r>
            <w:r w:rsidRPr="00925EA9">
              <w:rPr>
                <w:sz w:val="20"/>
                <w:szCs w:val="20"/>
              </w:rPr>
              <w:fldChar w:fldCharType="separate"/>
            </w:r>
            <w:r w:rsidR="00A77498">
              <w:rPr>
                <w:noProof/>
                <w:sz w:val="20"/>
                <w:szCs w:val="20"/>
              </w:rPr>
              <w:t>Osterman et al. (2017)</w:t>
            </w:r>
            <w:r w:rsidRPr="00925EA9">
              <w:rPr>
                <w:sz w:val="20"/>
                <w:szCs w:val="20"/>
              </w:rPr>
              <w:fldChar w:fldCharType="end"/>
            </w:r>
            <w:r w:rsidRPr="00925EA9">
              <w:rPr>
                <w:sz w:val="20"/>
                <w:szCs w:val="20"/>
              </w:rPr>
              <w:t xml:space="preserve"> </w:t>
            </w:r>
          </w:p>
        </w:tc>
      </w:tr>
      <w:tr w:rsidR="0025732F" w:rsidRPr="00925EA9" w14:paraId="7B0E9C82" w14:textId="77777777">
        <w:tc>
          <w:tcPr>
            <w:tcW w:w="3114" w:type="dxa"/>
          </w:tcPr>
          <w:p w14:paraId="33E985D4" w14:textId="77777777" w:rsidR="0025732F" w:rsidRPr="00925EA9" w:rsidRDefault="0025732F">
            <w:pPr>
              <w:pStyle w:val="NoSpacing"/>
              <w:spacing w:line="240" w:lineRule="auto"/>
              <w:rPr>
                <w:sz w:val="20"/>
                <w:szCs w:val="20"/>
              </w:rPr>
            </w:pPr>
            <w:r w:rsidRPr="00925EA9">
              <w:rPr>
                <w:sz w:val="20"/>
                <w:szCs w:val="20"/>
              </w:rPr>
              <w:t>Aims</w:t>
            </w:r>
          </w:p>
        </w:tc>
        <w:tc>
          <w:tcPr>
            <w:tcW w:w="10773" w:type="dxa"/>
          </w:tcPr>
          <w:p w14:paraId="20BFD9AE" w14:textId="77777777" w:rsidR="0025732F" w:rsidRPr="00925EA9" w:rsidRDefault="0025732F">
            <w:pPr>
              <w:pStyle w:val="NoSpacing"/>
              <w:spacing w:line="240" w:lineRule="auto"/>
              <w:rPr>
                <w:sz w:val="20"/>
                <w:szCs w:val="20"/>
              </w:rPr>
            </w:pPr>
            <w:r w:rsidRPr="00925EA9">
              <w:rPr>
                <w:sz w:val="20"/>
                <w:szCs w:val="20"/>
              </w:rPr>
              <w:t xml:space="preserve">To evaluate the effectiveness of motivational enhancement therapy for pregnant substance users (MET-PS) compared with TAU. </w:t>
            </w:r>
          </w:p>
        </w:tc>
      </w:tr>
      <w:tr w:rsidR="0025732F" w:rsidRPr="00925EA9" w14:paraId="5D721836" w14:textId="77777777">
        <w:tc>
          <w:tcPr>
            <w:tcW w:w="3114" w:type="dxa"/>
          </w:tcPr>
          <w:p w14:paraId="7A971F2F" w14:textId="77777777" w:rsidR="0025732F" w:rsidRPr="00925EA9" w:rsidRDefault="0025732F">
            <w:pPr>
              <w:pStyle w:val="NoSpacing"/>
              <w:spacing w:line="240" w:lineRule="auto"/>
              <w:rPr>
                <w:sz w:val="20"/>
                <w:szCs w:val="20"/>
              </w:rPr>
            </w:pPr>
            <w:r w:rsidRPr="00925EA9">
              <w:rPr>
                <w:sz w:val="20"/>
                <w:szCs w:val="20"/>
              </w:rPr>
              <w:t>Design</w:t>
            </w:r>
          </w:p>
        </w:tc>
        <w:tc>
          <w:tcPr>
            <w:tcW w:w="10773" w:type="dxa"/>
          </w:tcPr>
          <w:p w14:paraId="129446F0" w14:textId="77777777" w:rsidR="0025732F" w:rsidRPr="00925EA9" w:rsidRDefault="0025732F">
            <w:pPr>
              <w:pStyle w:val="NoSpacing"/>
              <w:spacing w:line="240" w:lineRule="auto"/>
              <w:rPr>
                <w:sz w:val="20"/>
                <w:szCs w:val="20"/>
              </w:rPr>
            </w:pPr>
            <w:r w:rsidRPr="00925EA9">
              <w:rPr>
                <w:sz w:val="20"/>
                <w:szCs w:val="20"/>
              </w:rPr>
              <w:t xml:space="preserve">The 2008 study was a randomised, parallel trial with allocation to either three sessions of MET-PS or TAU and with one- and three-month follow-up data. Data analyses included treatment clinic records, qualitative urine toxicology measures, and self-reports. The 2017 study analysed data for the 41 alcohol using women in the sample. </w:t>
            </w:r>
          </w:p>
        </w:tc>
      </w:tr>
      <w:tr w:rsidR="0025732F" w:rsidRPr="00925EA9" w14:paraId="0500A5C8" w14:textId="77777777">
        <w:tc>
          <w:tcPr>
            <w:tcW w:w="3114" w:type="dxa"/>
          </w:tcPr>
          <w:p w14:paraId="7D17C434" w14:textId="77777777" w:rsidR="0025732F" w:rsidRPr="00925EA9" w:rsidRDefault="0025732F">
            <w:pPr>
              <w:pStyle w:val="NoSpacing"/>
              <w:spacing w:line="240" w:lineRule="auto"/>
              <w:rPr>
                <w:sz w:val="20"/>
                <w:szCs w:val="20"/>
              </w:rPr>
            </w:pPr>
            <w:r w:rsidRPr="00925EA9">
              <w:rPr>
                <w:sz w:val="20"/>
                <w:szCs w:val="20"/>
              </w:rPr>
              <w:t>Population</w:t>
            </w:r>
          </w:p>
        </w:tc>
        <w:tc>
          <w:tcPr>
            <w:tcW w:w="10773" w:type="dxa"/>
          </w:tcPr>
          <w:p w14:paraId="13CEF102" w14:textId="77777777" w:rsidR="0025732F" w:rsidRPr="00925EA9" w:rsidRDefault="0025732F">
            <w:pPr>
              <w:pStyle w:val="NoSpacing"/>
              <w:spacing w:line="240" w:lineRule="auto"/>
              <w:rPr>
                <w:sz w:val="20"/>
                <w:szCs w:val="20"/>
              </w:rPr>
            </w:pPr>
            <w:r w:rsidRPr="00925EA9">
              <w:rPr>
                <w:sz w:val="20"/>
                <w:szCs w:val="20"/>
              </w:rPr>
              <w:t>Intervention (n=102 and 27 in 2008 and 2017 respectively) and comparison (n=98 and 14) pregnant women.</w:t>
            </w:r>
          </w:p>
        </w:tc>
      </w:tr>
      <w:tr w:rsidR="0025732F" w:rsidRPr="00925EA9" w14:paraId="6923601F" w14:textId="77777777">
        <w:trPr>
          <w:trHeight w:val="157"/>
        </w:trPr>
        <w:tc>
          <w:tcPr>
            <w:tcW w:w="3114" w:type="dxa"/>
          </w:tcPr>
          <w:p w14:paraId="04E4AB26" w14:textId="77777777" w:rsidR="0025732F" w:rsidRPr="00925EA9" w:rsidRDefault="0025732F">
            <w:pPr>
              <w:pStyle w:val="NoSpacing"/>
              <w:spacing w:line="240" w:lineRule="auto"/>
              <w:rPr>
                <w:sz w:val="20"/>
                <w:szCs w:val="20"/>
              </w:rPr>
            </w:pPr>
            <w:r w:rsidRPr="00925EA9">
              <w:rPr>
                <w:sz w:val="20"/>
                <w:szCs w:val="20"/>
              </w:rPr>
              <w:lastRenderedPageBreak/>
              <w:t>Intervention</w:t>
            </w:r>
          </w:p>
        </w:tc>
        <w:tc>
          <w:tcPr>
            <w:tcW w:w="10773" w:type="dxa"/>
          </w:tcPr>
          <w:p w14:paraId="53867AD7" w14:textId="77777777" w:rsidR="0025732F" w:rsidRPr="00925EA9" w:rsidRDefault="0025732F">
            <w:pPr>
              <w:pStyle w:val="NoSpacing"/>
              <w:spacing w:line="240" w:lineRule="auto"/>
              <w:rPr>
                <w:sz w:val="20"/>
                <w:szCs w:val="20"/>
              </w:rPr>
            </w:pPr>
            <w:r w:rsidRPr="00925EA9">
              <w:rPr>
                <w:sz w:val="20"/>
                <w:szCs w:val="20"/>
              </w:rPr>
              <w:t>Manualised MET-PS is a form of MET specifically for pregnant women misusing AOD. In addition to usual MI and MET techniques the 1-2 hour sessions promoted healthy pregnancies and actively encouraged engagement with other available treatment services.</w:t>
            </w:r>
          </w:p>
        </w:tc>
      </w:tr>
      <w:tr w:rsidR="0025732F" w:rsidRPr="00925EA9" w14:paraId="1A3544FD" w14:textId="77777777">
        <w:tc>
          <w:tcPr>
            <w:tcW w:w="3114" w:type="dxa"/>
          </w:tcPr>
          <w:p w14:paraId="0D2B732F" w14:textId="77777777" w:rsidR="0025732F" w:rsidRPr="00925EA9" w:rsidRDefault="0025732F">
            <w:pPr>
              <w:pStyle w:val="NoSpacing"/>
              <w:spacing w:line="240" w:lineRule="auto"/>
              <w:rPr>
                <w:sz w:val="20"/>
                <w:szCs w:val="20"/>
              </w:rPr>
            </w:pPr>
            <w:r w:rsidRPr="00925EA9">
              <w:rPr>
                <w:sz w:val="20"/>
                <w:szCs w:val="20"/>
              </w:rPr>
              <w:t>Country</w:t>
            </w:r>
          </w:p>
        </w:tc>
        <w:tc>
          <w:tcPr>
            <w:tcW w:w="10773" w:type="dxa"/>
          </w:tcPr>
          <w:p w14:paraId="56EE9775" w14:textId="77777777" w:rsidR="0025732F" w:rsidRPr="00925EA9" w:rsidRDefault="0025732F">
            <w:pPr>
              <w:pStyle w:val="NoSpacing"/>
              <w:spacing w:line="240" w:lineRule="auto"/>
              <w:rPr>
                <w:sz w:val="20"/>
                <w:szCs w:val="20"/>
              </w:rPr>
            </w:pPr>
            <w:r w:rsidRPr="00925EA9">
              <w:rPr>
                <w:sz w:val="20"/>
                <w:szCs w:val="20"/>
              </w:rPr>
              <w:t>USA (North Carolina, New Mexico, Indiana and Kentucky).</w:t>
            </w:r>
          </w:p>
        </w:tc>
      </w:tr>
      <w:tr w:rsidR="0025732F" w:rsidRPr="00925EA9" w14:paraId="71142300" w14:textId="77777777">
        <w:tc>
          <w:tcPr>
            <w:tcW w:w="3114" w:type="dxa"/>
          </w:tcPr>
          <w:p w14:paraId="08A45D74" w14:textId="77777777" w:rsidR="0025732F" w:rsidRPr="00925EA9" w:rsidRDefault="0025732F">
            <w:pPr>
              <w:pStyle w:val="NoSpacing"/>
              <w:spacing w:line="240" w:lineRule="auto"/>
              <w:rPr>
                <w:sz w:val="20"/>
                <w:szCs w:val="20"/>
              </w:rPr>
            </w:pPr>
            <w:r>
              <w:rPr>
                <w:sz w:val="20"/>
                <w:szCs w:val="20"/>
              </w:rPr>
              <w:t>O</w:t>
            </w:r>
            <w:r w:rsidRPr="00925EA9">
              <w:rPr>
                <w:sz w:val="20"/>
                <w:szCs w:val="20"/>
              </w:rPr>
              <w:t>utcomes</w:t>
            </w:r>
          </w:p>
        </w:tc>
        <w:tc>
          <w:tcPr>
            <w:tcW w:w="10773" w:type="dxa"/>
          </w:tcPr>
          <w:p w14:paraId="24A1DFD1" w14:textId="77777777" w:rsidR="0025732F" w:rsidRPr="00925EA9" w:rsidRDefault="0025732F">
            <w:pPr>
              <w:pStyle w:val="NoSpacing"/>
              <w:spacing w:line="240" w:lineRule="auto"/>
              <w:rPr>
                <w:sz w:val="20"/>
                <w:szCs w:val="20"/>
                <w:highlight w:val="yellow"/>
              </w:rPr>
            </w:pPr>
            <w:r w:rsidRPr="00925EA9">
              <w:rPr>
                <w:sz w:val="20"/>
                <w:szCs w:val="20"/>
              </w:rPr>
              <w:t>The 2008 study showed no significant different between the intervention and comparison group in terms of treatment attendance and substance use in the first month of treatment. The 2017 study, on the other hand, which focused on alcohol using pregnant women only found MET to have significantly better results in terms of illicit drug use days at baseline (</w:t>
            </w:r>
            <w:r w:rsidRPr="00925EA9">
              <w:rPr>
                <w:rStyle w:val="Emphasis"/>
                <w:sz w:val="20"/>
                <w:szCs w:val="20"/>
              </w:rPr>
              <w:t>X</w:t>
            </w:r>
            <w:r w:rsidRPr="00925EA9">
              <w:rPr>
                <w:i/>
                <w:sz w:val="20"/>
                <w:szCs w:val="20"/>
                <w:vertAlign w:val="superscript"/>
              </w:rPr>
              <w:t>2</w:t>
            </w:r>
            <w:r w:rsidRPr="00925EA9">
              <w:rPr>
                <w:sz w:val="20"/>
                <w:szCs w:val="20"/>
              </w:rPr>
              <w:t>=6.89, </w:t>
            </w:r>
            <w:r w:rsidRPr="00925EA9">
              <w:rPr>
                <w:rStyle w:val="Emphasis"/>
                <w:sz w:val="20"/>
                <w:szCs w:val="20"/>
              </w:rPr>
              <w:t>df</w:t>
            </w:r>
            <w:r w:rsidRPr="00925EA9">
              <w:rPr>
                <w:sz w:val="20"/>
                <w:szCs w:val="20"/>
              </w:rPr>
              <w:t>=1, </w:t>
            </w:r>
            <w:r w:rsidRPr="00925EA9">
              <w:rPr>
                <w:rStyle w:val="Emphasis"/>
                <w:sz w:val="20"/>
                <w:szCs w:val="20"/>
              </w:rPr>
              <w:t>p</w:t>
            </w:r>
            <w:r w:rsidRPr="00925EA9">
              <w:rPr>
                <w:sz w:val="20"/>
                <w:szCs w:val="20"/>
              </w:rPr>
              <w:t> &lt;.01) and at follow-up, and for alcohol use at follow-up (</w:t>
            </w:r>
            <w:r w:rsidRPr="00925EA9">
              <w:rPr>
                <w:rStyle w:val="Emphasis"/>
                <w:sz w:val="20"/>
                <w:szCs w:val="20"/>
              </w:rPr>
              <w:t>X</w:t>
            </w:r>
            <w:r w:rsidRPr="00925EA9">
              <w:rPr>
                <w:i/>
                <w:sz w:val="20"/>
                <w:szCs w:val="20"/>
                <w:vertAlign w:val="superscript"/>
              </w:rPr>
              <w:t>2</w:t>
            </w:r>
            <w:r w:rsidRPr="00925EA9">
              <w:rPr>
                <w:sz w:val="20"/>
                <w:szCs w:val="20"/>
              </w:rPr>
              <w:t>=13.07, </w:t>
            </w:r>
            <w:r w:rsidRPr="00925EA9">
              <w:rPr>
                <w:rStyle w:val="Emphasis"/>
                <w:sz w:val="20"/>
                <w:szCs w:val="20"/>
              </w:rPr>
              <w:t>df</w:t>
            </w:r>
            <w:r w:rsidRPr="00925EA9">
              <w:rPr>
                <w:sz w:val="20"/>
                <w:szCs w:val="20"/>
              </w:rPr>
              <w:t>=1, </w:t>
            </w:r>
            <w:r w:rsidRPr="00925EA9">
              <w:rPr>
                <w:rStyle w:val="Emphasis"/>
                <w:sz w:val="20"/>
                <w:szCs w:val="20"/>
              </w:rPr>
              <w:t xml:space="preserve">p </w:t>
            </w:r>
            <w:r w:rsidRPr="00925EA9">
              <w:rPr>
                <w:sz w:val="20"/>
                <w:szCs w:val="20"/>
              </w:rPr>
              <w:t>&lt;.001). All other outcomes were non-significant.</w:t>
            </w:r>
          </w:p>
        </w:tc>
      </w:tr>
      <w:tr w:rsidR="0025732F" w:rsidRPr="00925EA9" w14:paraId="05DCF578" w14:textId="77777777">
        <w:tc>
          <w:tcPr>
            <w:tcW w:w="3114" w:type="dxa"/>
          </w:tcPr>
          <w:p w14:paraId="2C8F9B2E" w14:textId="77777777" w:rsidR="0025732F" w:rsidRPr="00925EA9" w:rsidRDefault="0025732F">
            <w:pPr>
              <w:pStyle w:val="NoSpacing"/>
              <w:spacing w:line="240" w:lineRule="auto"/>
              <w:rPr>
                <w:sz w:val="20"/>
                <w:szCs w:val="20"/>
              </w:rPr>
            </w:pPr>
            <w:r w:rsidRPr="00925EA9">
              <w:rPr>
                <w:sz w:val="20"/>
                <w:szCs w:val="20"/>
              </w:rPr>
              <w:t>Cost-benefit/ cost-effectiveness</w:t>
            </w:r>
          </w:p>
        </w:tc>
        <w:tc>
          <w:tcPr>
            <w:tcW w:w="10773" w:type="dxa"/>
          </w:tcPr>
          <w:p w14:paraId="1C410802" w14:textId="77777777" w:rsidR="0025732F" w:rsidRPr="00925EA9" w:rsidRDefault="0025732F">
            <w:pPr>
              <w:pStyle w:val="NoSpacing"/>
              <w:spacing w:line="240" w:lineRule="auto"/>
              <w:rPr>
                <w:sz w:val="20"/>
                <w:szCs w:val="20"/>
              </w:rPr>
            </w:pPr>
            <w:r w:rsidRPr="00925EA9">
              <w:rPr>
                <w:sz w:val="20"/>
                <w:szCs w:val="20"/>
              </w:rPr>
              <w:t>N/A.</w:t>
            </w:r>
          </w:p>
        </w:tc>
      </w:tr>
      <w:tr w:rsidR="0025732F" w:rsidRPr="00925EA9" w14:paraId="2385D882" w14:textId="77777777">
        <w:tc>
          <w:tcPr>
            <w:tcW w:w="3114" w:type="dxa"/>
          </w:tcPr>
          <w:p w14:paraId="08C1ADAD" w14:textId="77777777" w:rsidR="0025732F" w:rsidRPr="00925EA9" w:rsidRDefault="0025732F">
            <w:pPr>
              <w:pStyle w:val="NoSpacing"/>
              <w:spacing w:line="240" w:lineRule="auto"/>
              <w:rPr>
                <w:sz w:val="20"/>
                <w:szCs w:val="20"/>
              </w:rPr>
            </w:pPr>
            <w:r w:rsidRPr="00925EA9">
              <w:rPr>
                <w:sz w:val="20"/>
                <w:szCs w:val="20"/>
              </w:rPr>
              <w:t>Overall quality rating</w:t>
            </w:r>
          </w:p>
        </w:tc>
        <w:tc>
          <w:tcPr>
            <w:tcW w:w="10773" w:type="dxa"/>
          </w:tcPr>
          <w:p w14:paraId="0930785A" w14:textId="77777777" w:rsidR="0025732F" w:rsidRPr="00925EA9" w:rsidRDefault="0025732F">
            <w:pPr>
              <w:pStyle w:val="NoSpacing"/>
              <w:spacing w:line="240" w:lineRule="auto"/>
              <w:rPr>
                <w:sz w:val="20"/>
                <w:szCs w:val="20"/>
              </w:rPr>
            </w:pPr>
            <w:r w:rsidRPr="00925EA9">
              <w:rPr>
                <w:sz w:val="20"/>
                <w:szCs w:val="20"/>
              </w:rPr>
              <w:t>High.</w:t>
            </w:r>
          </w:p>
        </w:tc>
      </w:tr>
      <w:tr w:rsidR="0025732F" w:rsidRPr="00925EA9" w14:paraId="676CD0A9" w14:textId="77777777">
        <w:tc>
          <w:tcPr>
            <w:tcW w:w="3114" w:type="dxa"/>
            <w:shd w:val="clear" w:color="auto" w:fill="D9E2F3" w:themeFill="accent1" w:themeFillTint="33"/>
          </w:tcPr>
          <w:p w14:paraId="60CFB576" w14:textId="77777777" w:rsidR="0025732F" w:rsidRPr="00925EA9" w:rsidRDefault="0025732F">
            <w:pPr>
              <w:pStyle w:val="NoSpacing"/>
              <w:spacing w:line="240" w:lineRule="auto"/>
              <w:rPr>
                <w:sz w:val="20"/>
                <w:szCs w:val="20"/>
              </w:rPr>
            </w:pPr>
            <w:r w:rsidRPr="00925EA9">
              <w:rPr>
                <w:sz w:val="20"/>
                <w:szCs w:val="20"/>
              </w:rPr>
              <w:t>Reference</w:t>
            </w:r>
          </w:p>
        </w:tc>
        <w:tc>
          <w:tcPr>
            <w:tcW w:w="10773" w:type="dxa"/>
            <w:shd w:val="clear" w:color="auto" w:fill="D9E2F3" w:themeFill="accent1" w:themeFillTint="33"/>
          </w:tcPr>
          <w:p w14:paraId="1B715F96" w14:textId="63EE24FF" w:rsidR="0025732F" w:rsidRPr="00925EA9" w:rsidRDefault="0025732F">
            <w:pPr>
              <w:pStyle w:val="NoSpacing"/>
              <w:spacing w:line="240" w:lineRule="auto"/>
              <w:rPr>
                <w:sz w:val="20"/>
                <w:szCs w:val="20"/>
              </w:rPr>
            </w:pPr>
            <w:r>
              <w:rPr>
                <w:sz w:val="20"/>
                <w:szCs w:val="20"/>
              </w:rPr>
              <w:fldChar w:fldCharType="begin">
                <w:fldData xml:space="preserve">PEVuZE5vdGU+PENpdGUgQXV0aG9yWWVhcj0iMSI+PEF1dGhvcj5XaW5rbGJhdXItSGF1c2tub3N0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</w:fldData>
              </w:fldChar>
            </w:r>
            <w:r w:rsidR="00B9334F">
              <w:rPr>
                <w:sz w:val="20"/>
                <w:szCs w:val="20"/>
              </w:rPr>
              <w:instrText xml:space="preserve"> ADDIN EN.CITE </w:instrText>
            </w:r>
            <w:r w:rsidR="00B9334F">
              <w:rPr>
                <w:sz w:val="20"/>
                <w:szCs w:val="20"/>
              </w:rPr>
              <w:fldChar w:fldCharType="begin">
                <w:fldData xml:space="preserve">PEVuZE5vdGU+PENpdGUgQXV0aG9yWWVhcj0iMSI+PEF1dGhvcj5XaW5rbGJhdXItSGF1c2tub3N0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</w:fldData>
              </w:fldChar>
            </w:r>
            <w:r w:rsidR="00B9334F">
              <w:rPr>
                <w:sz w:val="20"/>
                <w:szCs w:val="20"/>
              </w:rPr>
              <w:instrText xml:space="preserve"> ADDIN EN.CITE.DATA </w:instrText>
            </w:r>
            <w:r w:rsidR="00B9334F">
              <w:rPr>
                <w:sz w:val="20"/>
                <w:szCs w:val="20"/>
              </w:rPr>
            </w:r>
            <w:r w:rsidR="00B9334F">
              <w:rPr>
                <w:sz w:val="20"/>
                <w:szCs w:val="20"/>
              </w:rPr>
              <w:fldChar w:fldCharType="end"/>
            </w:r>
            <w:r>
              <w:rPr>
                <w:sz w:val="20"/>
                <w:szCs w:val="20"/>
              </w:rPr>
            </w:r>
            <w:r>
              <w:rPr>
                <w:sz w:val="20"/>
                <w:szCs w:val="20"/>
              </w:rPr>
              <w:fldChar w:fldCharType="separate"/>
            </w:r>
            <w:r w:rsidR="00A77498">
              <w:rPr>
                <w:noProof/>
                <w:sz w:val="20"/>
                <w:szCs w:val="20"/>
              </w:rPr>
              <w:t>Winklbaur-Hausknost et al. (2013)</w:t>
            </w:r>
            <w:r>
              <w:rPr>
                <w:sz w:val="20"/>
                <w:szCs w:val="20"/>
              </w:rPr>
              <w:fldChar w:fldCharType="end"/>
            </w:r>
          </w:p>
        </w:tc>
      </w:tr>
      <w:tr w:rsidR="0025732F" w:rsidRPr="00925EA9" w14:paraId="350EF637" w14:textId="77777777">
        <w:tc>
          <w:tcPr>
            <w:tcW w:w="3114" w:type="dxa"/>
          </w:tcPr>
          <w:p w14:paraId="548DD50F" w14:textId="77777777" w:rsidR="0025732F" w:rsidRPr="00925EA9" w:rsidRDefault="0025732F">
            <w:pPr>
              <w:pStyle w:val="NoSpacing"/>
              <w:spacing w:line="240" w:lineRule="auto"/>
              <w:rPr>
                <w:sz w:val="20"/>
                <w:szCs w:val="20"/>
              </w:rPr>
            </w:pPr>
            <w:r w:rsidRPr="00925EA9">
              <w:rPr>
                <w:sz w:val="20"/>
                <w:szCs w:val="20"/>
              </w:rPr>
              <w:t>Aims</w:t>
            </w:r>
          </w:p>
        </w:tc>
        <w:tc>
          <w:tcPr>
            <w:tcW w:w="10773" w:type="dxa"/>
          </w:tcPr>
          <w:p w14:paraId="60338F57" w14:textId="77777777" w:rsidR="0025732F" w:rsidRPr="00925EA9" w:rsidRDefault="0025732F">
            <w:pPr>
              <w:pStyle w:val="NoSpacing"/>
              <w:spacing w:line="240" w:lineRule="auto"/>
              <w:rPr>
                <w:sz w:val="20"/>
                <w:szCs w:val="20"/>
              </w:rPr>
            </w:pPr>
            <w:r>
              <w:rPr>
                <w:sz w:val="20"/>
                <w:szCs w:val="20"/>
              </w:rPr>
              <w:t>To identify l</w:t>
            </w:r>
            <w:r w:rsidRPr="008D042B">
              <w:rPr>
                <w:sz w:val="20"/>
                <w:szCs w:val="20"/>
              </w:rPr>
              <w:t xml:space="preserve">essons learned </w:t>
            </w:r>
            <w:r>
              <w:rPr>
                <w:sz w:val="20"/>
                <w:szCs w:val="20"/>
              </w:rPr>
              <w:t>from methadone vs buprenorphine trials for pregnant women with opioid use disorder.</w:t>
            </w:r>
          </w:p>
        </w:tc>
      </w:tr>
      <w:tr w:rsidR="0025732F" w:rsidRPr="00925EA9" w14:paraId="055B51CE" w14:textId="77777777">
        <w:tc>
          <w:tcPr>
            <w:tcW w:w="3114" w:type="dxa"/>
          </w:tcPr>
          <w:p w14:paraId="1A086E41" w14:textId="77777777" w:rsidR="0025732F" w:rsidRPr="00925EA9" w:rsidRDefault="0025732F">
            <w:pPr>
              <w:pStyle w:val="NoSpacing"/>
              <w:spacing w:line="240" w:lineRule="auto"/>
              <w:rPr>
                <w:sz w:val="20"/>
                <w:szCs w:val="20"/>
              </w:rPr>
            </w:pPr>
            <w:r w:rsidRPr="00925EA9">
              <w:rPr>
                <w:sz w:val="20"/>
                <w:szCs w:val="20"/>
              </w:rPr>
              <w:t>Design</w:t>
            </w:r>
          </w:p>
        </w:tc>
        <w:tc>
          <w:tcPr>
            <w:tcW w:w="10773" w:type="dxa"/>
          </w:tcPr>
          <w:p w14:paraId="507A7806" w14:textId="77777777" w:rsidR="0025732F" w:rsidRPr="00925EA9" w:rsidRDefault="0025732F">
            <w:pPr>
              <w:pStyle w:val="NoSpacing"/>
              <w:spacing w:line="240" w:lineRule="auto"/>
              <w:rPr>
                <w:sz w:val="20"/>
                <w:szCs w:val="20"/>
              </w:rPr>
            </w:pPr>
            <w:r>
              <w:rPr>
                <w:sz w:val="20"/>
                <w:szCs w:val="20"/>
              </w:rPr>
              <w:t xml:space="preserve">2 </w:t>
            </w:r>
            <w:r w:rsidRPr="0003012C">
              <w:rPr>
                <w:sz w:val="20"/>
                <w:szCs w:val="20"/>
              </w:rPr>
              <w:t>double-blind, double-dummy</w:t>
            </w:r>
            <w:r>
              <w:rPr>
                <w:sz w:val="20"/>
                <w:szCs w:val="20"/>
              </w:rPr>
              <w:t xml:space="preserve"> RCTs compared. </w:t>
            </w:r>
            <w:r w:rsidRPr="0003012C">
              <w:rPr>
                <w:sz w:val="20"/>
                <w:szCs w:val="20"/>
              </w:rPr>
              <w:t xml:space="preserve">In both studies, participants </w:t>
            </w:r>
            <w:r>
              <w:rPr>
                <w:sz w:val="20"/>
                <w:szCs w:val="20"/>
              </w:rPr>
              <w:t xml:space="preserve">also </w:t>
            </w:r>
            <w:r w:rsidRPr="0003012C">
              <w:rPr>
                <w:sz w:val="20"/>
                <w:szCs w:val="20"/>
              </w:rPr>
              <w:t xml:space="preserve">received </w:t>
            </w:r>
            <w:r>
              <w:rPr>
                <w:sz w:val="20"/>
                <w:szCs w:val="20"/>
              </w:rPr>
              <w:t>contingency management.</w:t>
            </w:r>
          </w:p>
        </w:tc>
      </w:tr>
      <w:tr w:rsidR="0025732F" w:rsidRPr="00925EA9" w14:paraId="041ADADF" w14:textId="77777777">
        <w:tc>
          <w:tcPr>
            <w:tcW w:w="3114" w:type="dxa"/>
          </w:tcPr>
          <w:p w14:paraId="1B5DF43A" w14:textId="77777777" w:rsidR="0025732F" w:rsidRPr="00925EA9" w:rsidRDefault="0025732F">
            <w:pPr>
              <w:pStyle w:val="NoSpacing"/>
              <w:spacing w:line="240" w:lineRule="auto"/>
              <w:rPr>
                <w:sz w:val="20"/>
                <w:szCs w:val="20"/>
              </w:rPr>
            </w:pPr>
            <w:r w:rsidRPr="00925EA9">
              <w:rPr>
                <w:sz w:val="20"/>
                <w:szCs w:val="20"/>
              </w:rPr>
              <w:t>Population</w:t>
            </w:r>
          </w:p>
        </w:tc>
        <w:tc>
          <w:tcPr>
            <w:tcW w:w="10773" w:type="dxa"/>
          </w:tcPr>
          <w:p w14:paraId="7E6F04DF" w14:textId="77777777" w:rsidR="0025732F" w:rsidRPr="00925EA9" w:rsidRDefault="0025732F">
            <w:pPr>
              <w:pStyle w:val="NoSpacing"/>
              <w:spacing w:line="240" w:lineRule="auto"/>
              <w:rPr>
                <w:sz w:val="20"/>
                <w:szCs w:val="20"/>
              </w:rPr>
            </w:pPr>
            <w:r w:rsidRPr="00E34129">
              <w:rPr>
                <w:sz w:val="20"/>
                <w:szCs w:val="20"/>
              </w:rPr>
              <w:t>Pilot study (PS</w:t>
            </w:r>
            <w:r>
              <w:rPr>
                <w:sz w:val="20"/>
                <w:szCs w:val="20"/>
              </w:rPr>
              <w:t xml:space="preserve"> </w:t>
            </w:r>
            <w:r w:rsidRPr="00E34129">
              <w:rPr>
                <w:sz w:val="20"/>
                <w:szCs w:val="20"/>
              </w:rPr>
              <w:t>,n= 18) and MOTHER-trial (MT,</w:t>
            </w:r>
            <w:r>
              <w:rPr>
                <w:sz w:val="20"/>
                <w:szCs w:val="20"/>
              </w:rPr>
              <w:t xml:space="preserve"> </w:t>
            </w:r>
            <w:r w:rsidRPr="00E34129">
              <w:rPr>
                <w:sz w:val="20"/>
                <w:szCs w:val="20"/>
              </w:rPr>
              <w:t>n=41)</w:t>
            </w:r>
          </w:p>
        </w:tc>
      </w:tr>
      <w:tr w:rsidR="0025732F" w:rsidRPr="00925EA9" w14:paraId="2667CDCE" w14:textId="77777777">
        <w:tc>
          <w:tcPr>
            <w:tcW w:w="3114" w:type="dxa"/>
          </w:tcPr>
          <w:p w14:paraId="154B5A3B" w14:textId="77777777" w:rsidR="0025732F" w:rsidRPr="00925EA9" w:rsidRDefault="0025732F">
            <w:pPr>
              <w:pStyle w:val="NoSpacing"/>
              <w:spacing w:line="240" w:lineRule="auto"/>
              <w:rPr>
                <w:sz w:val="20"/>
                <w:szCs w:val="20"/>
              </w:rPr>
            </w:pPr>
            <w:r w:rsidRPr="00925EA9">
              <w:rPr>
                <w:sz w:val="20"/>
                <w:szCs w:val="20"/>
              </w:rPr>
              <w:t>Intervention</w:t>
            </w:r>
          </w:p>
        </w:tc>
        <w:tc>
          <w:tcPr>
            <w:tcW w:w="10773" w:type="dxa"/>
          </w:tcPr>
          <w:p w14:paraId="06D14C46" w14:textId="77777777" w:rsidR="0025732F" w:rsidRPr="00925EA9" w:rsidRDefault="0025732F">
            <w:pPr>
              <w:pStyle w:val="NoSpacing"/>
              <w:spacing w:line="240" w:lineRule="auto"/>
              <w:rPr>
                <w:sz w:val="20"/>
                <w:szCs w:val="20"/>
              </w:rPr>
            </w:pPr>
            <w:r>
              <w:rPr>
                <w:sz w:val="20"/>
                <w:szCs w:val="20"/>
              </w:rPr>
              <w:t>Methadone vs buprenorphine</w:t>
            </w:r>
          </w:p>
        </w:tc>
      </w:tr>
      <w:tr w:rsidR="0025732F" w:rsidRPr="00925EA9" w14:paraId="19153EA4" w14:textId="77777777">
        <w:tc>
          <w:tcPr>
            <w:tcW w:w="3114" w:type="dxa"/>
          </w:tcPr>
          <w:p w14:paraId="774F3066" w14:textId="77777777" w:rsidR="0025732F" w:rsidRPr="00925EA9" w:rsidRDefault="0025732F">
            <w:pPr>
              <w:pStyle w:val="NoSpacing"/>
              <w:spacing w:line="240" w:lineRule="auto"/>
              <w:rPr>
                <w:sz w:val="20"/>
                <w:szCs w:val="20"/>
              </w:rPr>
            </w:pPr>
            <w:r w:rsidRPr="00925EA9">
              <w:rPr>
                <w:sz w:val="20"/>
                <w:szCs w:val="20"/>
              </w:rPr>
              <w:t>Country</w:t>
            </w:r>
          </w:p>
        </w:tc>
        <w:tc>
          <w:tcPr>
            <w:tcW w:w="10773" w:type="dxa"/>
          </w:tcPr>
          <w:p w14:paraId="3400ADB8" w14:textId="77777777" w:rsidR="0025732F" w:rsidRPr="00925EA9" w:rsidRDefault="0025732F">
            <w:pPr>
              <w:pStyle w:val="NoSpacing"/>
              <w:spacing w:line="240" w:lineRule="auto"/>
              <w:rPr>
                <w:sz w:val="20"/>
                <w:szCs w:val="20"/>
              </w:rPr>
            </w:pPr>
            <w:r>
              <w:rPr>
                <w:sz w:val="20"/>
                <w:szCs w:val="20"/>
              </w:rPr>
              <w:t>USA, Canada and Austria</w:t>
            </w:r>
          </w:p>
        </w:tc>
      </w:tr>
      <w:tr w:rsidR="0025732F" w:rsidRPr="00925EA9" w14:paraId="5F3FDCF5" w14:textId="77777777">
        <w:tc>
          <w:tcPr>
            <w:tcW w:w="3114" w:type="dxa"/>
          </w:tcPr>
          <w:p w14:paraId="5F10E867" w14:textId="77777777" w:rsidR="0025732F" w:rsidRPr="00925EA9" w:rsidRDefault="0025732F">
            <w:pPr>
              <w:pStyle w:val="NoSpacing"/>
              <w:spacing w:line="240" w:lineRule="auto"/>
              <w:rPr>
                <w:sz w:val="20"/>
                <w:szCs w:val="20"/>
              </w:rPr>
            </w:pPr>
            <w:r>
              <w:rPr>
                <w:sz w:val="20"/>
                <w:szCs w:val="20"/>
              </w:rPr>
              <w:t>O</w:t>
            </w:r>
            <w:r w:rsidRPr="00925EA9">
              <w:rPr>
                <w:sz w:val="20"/>
                <w:szCs w:val="20"/>
              </w:rPr>
              <w:t>utcomes</w:t>
            </w:r>
          </w:p>
        </w:tc>
        <w:tc>
          <w:tcPr>
            <w:tcW w:w="10773" w:type="dxa"/>
          </w:tcPr>
          <w:p w14:paraId="26B0948E" w14:textId="77777777" w:rsidR="0025732F" w:rsidRPr="00925EA9" w:rsidRDefault="0025732F">
            <w:pPr>
              <w:pStyle w:val="NoSpacing"/>
              <w:spacing w:line="240" w:lineRule="auto"/>
              <w:rPr>
                <w:iCs/>
                <w:sz w:val="20"/>
                <w:szCs w:val="20"/>
              </w:rPr>
            </w:pPr>
            <w:r w:rsidRPr="00E34129">
              <w:rPr>
                <w:sz w:val="20"/>
                <w:szCs w:val="20"/>
              </w:rPr>
              <w:t xml:space="preserve">Nonsignificant differences </w:t>
            </w:r>
            <w:r>
              <w:rPr>
                <w:sz w:val="20"/>
                <w:szCs w:val="20"/>
              </w:rPr>
              <w:t>in</w:t>
            </w:r>
            <w:r w:rsidRPr="00E34129">
              <w:rPr>
                <w:sz w:val="20"/>
                <w:szCs w:val="20"/>
              </w:rPr>
              <w:t xml:space="preserve"> dropout rates were found (22% in PS versus 10% in MT),</w:t>
            </w:r>
            <w:r>
              <w:rPr>
                <w:sz w:val="20"/>
                <w:szCs w:val="20"/>
              </w:rPr>
              <w:t xml:space="preserve"> </w:t>
            </w:r>
            <w:r w:rsidRPr="00E34129">
              <w:rPr>
                <w:sz w:val="20"/>
                <w:szCs w:val="20"/>
              </w:rPr>
              <w:t>but dropout was significantly earlier in the MT</w:t>
            </w:r>
            <w:r>
              <w:rPr>
                <w:sz w:val="20"/>
                <w:szCs w:val="20"/>
              </w:rPr>
              <w:t xml:space="preserve">. </w:t>
            </w:r>
            <w:r w:rsidRPr="00E34129">
              <w:rPr>
                <w:sz w:val="20"/>
                <w:szCs w:val="20"/>
              </w:rPr>
              <w:t xml:space="preserve">Significantly higher rates of </w:t>
            </w:r>
            <w:r>
              <w:rPr>
                <w:sz w:val="20"/>
                <w:szCs w:val="20"/>
              </w:rPr>
              <w:t>illicit drug use</w:t>
            </w:r>
            <w:r w:rsidRPr="00E34129">
              <w:rPr>
                <w:sz w:val="20"/>
                <w:szCs w:val="20"/>
              </w:rPr>
              <w:t xml:space="preserve"> in the PS compared with the MT (p&lt;0.001), however, </w:t>
            </w:r>
            <w:r>
              <w:rPr>
                <w:sz w:val="20"/>
                <w:szCs w:val="20"/>
              </w:rPr>
              <w:t>there were no</w:t>
            </w:r>
            <w:r w:rsidRPr="00E34129">
              <w:rPr>
                <w:sz w:val="20"/>
                <w:szCs w:val="20"/>
              </w:rPr>
              <w:t xml:space="preserve"> significant differences in neonatal data</w:t>
            </w:r>
            <w:r>
              <w:rPr>
                <w:sz w:val="20"/>
                <w:szCs w:val="20"/>
              </w:rPr>
              <w:t>.</w:t>
            </w:r>
          </w:p>
        </w:tc>
      </w:tr>
      <w:tr w:rsidR="0025732F" w:rsidRPr="00925EA9" w14:paraId="5DD177D1" w14:textId="77777777">
        <w:tc>
          <w:tcPr>
            <w:tcW w:w="3114" w:type="dxa"/>
          </w:tcPr>
          <w:p w14:paraId="300C86E2" w14:textId="77777777" w:rsidR="0025732F" w:rsidRPr="00925EA9" w:rsidRDefault="0025732F">
            <w:pPr>
              <w:pStyle w:val="NoSpacing"/>
              <w:spacing w:line="240" w:lineRule="auto"/>
              <w:rPr>
                <w:sz w:val="20"/>
                <w:szCs w:val="20"/>
              </w:rPr>
            </w:pPr>
            <w:r w:rsidRPr="00925EA9">
              <w:rPr>
                <w:sz w:val="20"/>
                <w:szCs w:val="20"/>
              </w:rPr>
              <w:t>Cost-benefit/ cost-effectiveness</w:t>
            </w:r>
          </w:p>
        </w:tc>
        <w:tc>
          <w:tcPr>
            <w:tcW w:w="10773" w:type="dxa"/>
          </w:tcPr>
          <w:p w14:paraId="6B9F6ACF" w14:textId="77777777" w:rsidR="0025732F" w:rsidRPr="00925EA9" w:rsidRDefault="0025732F">
            <w:pPr>
              <w:pStyle w:val="NoSpacing"/>
              <w:spacing w:line="240" w:lineRule="auto"/>
              <w:rPr>
                <w:sz w:val="20"/>
                <w:szCs w:val="20"/>
              </w:rPr>
            </w:pPr>
            <w:r>
              <w:rPr>
                <w:sz w:val="20"/>
                <w:szCs w:val="20"/>
              </w:rPr>
              <w:t>n/a</w:t>
            </w:r>
          </w:p>
        </w:tc>
      </w:tr>
      <w:tr w:rsidR="0025732F" w:rsidRPr="00925EA9" w14:paraId="0B379855" w14:textId="77777777">
        <w:tc>
          <w:tcPr>
            <w:tcW w:w="3114" w:type="dxa"/>
          </w:tcPr>
          <w:p w14:paraId="47EE6710" w14:textId="77777777" w:rsidR="0025732F" w:rsidRPr="00925EA9" w:rsidRDefault="0025732F">
            <w:pPr>
              <w:pStyle w:val="NoSpacing"/>
              <w:spacing w:line="240" w:lineRule="auto"/>
              <w:rPr>
                <w:sz w:val="20"/>
                <w:szCs w:val="20"/>
              </w:rPr>
            </w:pPr>
            <w:r w:rsidRPr="00925EA9">
              <w:rPr>
                <w:sz w:val="20"/>
                <w:szCs w:val="20"/>
              </w:rPr>
              <w:t>Overall quality rating</w:t>
            </w:r>
          </w:p>
        </w:tc>
        <w:tc>
          <w:tcPr>
            <w:tcW w:w="10773" w:type="dxa"/>
          </w:tcPr>
          <w:p w14:paraId="1FF4BE5C" w14:textId="77777777" w:rsidR="0025732F" w:rsidRPr="00925EA9" w:rsidRDefault="0025732F">
            <w:pPr>
              <w:pStyle w:val="NoSpacing"/>
              <w:spacing w:line="240" w:lineRule="auto"/>
              <w:rPr>
                <w:sz w:val="20"/>
                <w:szCs w:val="20"/>
              </w:rPr>
            </w:pPr>
            <w:r>
              <w:rPr>
                <w:sz w:val="20"/>
                <w:szCs w:val="20"/>
              </w:rPr>
              <w:t>Moderate.</w:t>
            </w:r>
          </w:p>
        </w:tc>
      </w:tr>
      <w:tr w:rsidR="0025732F" w:rsidRPr="00925EA9" w14:paraId="475A1429" w14:textId="77777777">
        <w:tc>
          <w:tcPr>
            <w:tcW w:w="3114" w:type="dxa"/>
            <w:shd w:val="clear" w:color="auto" w:fill="D9E2F3" w:themeFill="accent1" w:themeFillTint="33"/>
          </w:tcPr>
          <w:p w14:paraId="6EDB9E3D" w14:textId="77777777" w:rsidR="0025732F" w:rsidRPr="00925EA9" w:rsidRDefault="0025732F">
            <w:pPr>
              <w:pStyle w:val="NoSpacing"/>
              <w:spacing w:line="240" w:lineRule="auto"/>
              <w:rPr>
                <w:sz w:val="20"/>
                <w:szCs w:val="20"/>
              </w:rPr>
            </w:pPr>
            <w:r w:rsidRPr="00925EA9">
              <w:rPr>
                <w:sz w:val="20"/>
                <w:szCs w:val="20"/>
              </w:rPr>
              <w:t>Reference</w:t>
            </w:r>
          </w:p>
        </w:tc>
        <w:tc>
          <w:tcPr>
            <w:tcW w:w="10773" w:type="dxa"/>
            <w:shd w:val="clear" w:color="auto" w:fill="D9E2F3" w:themeFill="accent1" w:themeFillTint="33"/>
          </w:tcPr>
          <w:p w14:paraId="7A526E30" w14:textId="1AE1DF24" w:rsidR="0025732F" w:rsidRPr="00925EA9" w:rsidRDefault="0025732F">
            <w:pPr>
              <w:pStyle w:val="NoSpacing"/>
              <w:spacing w:line="240" w:lineRule="auto"/>
              <w:rPr>
                <w:sz w:val="20"/>
                <w:szCs w:val="20"/>
              </w:rPr>
            </w:pPr>
            <w:r w:rsidRPr="00925EA9">
              <w:rPr>
                <w:sz w:val="20"/>
                <w:szCs w:val="20"/>
              </w:rPr>
              <w:fldChar w:fldCharType="begin"/>
            </w:r>
            <w:r w:rsidR="00B9334F">
              <w:rPr>
                <w:sz w:val="20"/>
                <w:szCs w:val="20"/>
              </w:rPr>
              <w:instrText xml:space="preserve"> ADDIN EN.CITE &lt;EndNote&gt;&lt;Cite AuthorYear="1"&gt;&lt;Author&gt;Yonkers&lt;/Author&gt;&lt;Year&gt;2012&lt;/Year&gt;&lt;RecNum&gt;124&lt;/RecNum&gt;&lt;DisplayText&gt;Yonkers et al. (2012)&lt;/DisplayText&gt;&lt;record&gt;&lt;rec-number&gt;124&lt;/rec-number&gt;&lt;foreign-keys&gt;&lt;key app="EN" db-id="ffzvr5fstavwxoe9v04xf0wmp5t50as52da0" timestamp="1731671643" guid="cf2ca489-d7c1-4118-9981-314277910d4e"&gt;124&lt;/key&gt;&lt;/foreign-keys&gt;&lt;ref-type name="Journal Article"&gt;17&lt;/ref-type&gt;&lt;contributors&gt;&lt;authors&gt;&lt;author&gt;Yonkers, Kimberly A.&lt;/author&gt;&lt;author&gt;Forray, Ariadna&lt;/author&gt;&lt;author&gt;Howell, Heather B.&lt;/author&gt;&lt;author&gt;Gotman, Nathan&lt;/author&gt;&lt;author&gt;Kershaw, Trace&lt;/author&gt;&lt;author&gt;Rounsaville, Bruce J.&lt;/author&gt;&lt;author&gt;Carroll, Kathleen M.&lt;/author&gt;&lt;/authors&gt;&lt;/contributors&gt;&lt;titles&gt;&lt;title&gt;Motivational enhancement therapy coupled with cognitive behavioral therapy versus brief advice: a randomized trial for treatment of hazardous substance use in pregnancy and after delivery&lt;/title&gt;&lt;secondary-title&gt;General Hospital Psychiatry&lt;/secondary-title&gt;&lt;/titles&gt;&lt;periodical&gt;&lt;full-title&gt;General Hospital Psychiatry&lt;/full-title&gt;&lt;/periodical&gt;&lt;pages&gt;439-449&lt;/pages&gt;&lt;volume&gt;34&lt;/volume&gt;&lt;number&gt;5&lt;/number&gt;&lt;keywords&gt;&lt;keyword&gt;Pregnancy&lt;/keyword&gt;&lt;keyword&gt;Postpartum&lt;/keyword&gt;&lt;keyword&gt;Drug Abuse&lt;/keyword&gt;&lt;keyword&gt;Drug Dependence&lt;/keyword&gt;&lt;keyword&gt;Alcohol Abuse&lt;/keyword&gt;&lt;keyword&gt;Alcohol Dependence&lt;/keyword&gt;&lt;keyword&gt;Behavioral Treatment&lt;/keyword&gt;&lt;/keywords&gt;&lt;dates&gt;&lt;year&gt;2012&lt;/year&gt;&lt;/dates&gt;&lt;isbn&gt;0163-8343&lt;/isbn&gt;&lt;urls&gt;&lt;/urls&gt;&lt;electronic-resource-num&gt;10.1016/j.genhosppsych.2012.06.002&lt;/electronic-resource-num&gt;&lt;/record&gt;&lt;/Cite&gt;&lt;/EndNote&gt;</w:instrText>
            </w:r>
            <w:r w:rsidRPr="00925EA9">
              <w:rPr>
                <w:sz w:val="20"/>
                <w:szCs w:val="20"/>
              </w:rPr>
              <w:fldChar w:fldCharType="separate"/>
            </w:r>
            <w:r w:rsidR="00A77498">
              <w:rPr>
                <w:noProof/>
                <w:sz w:val="20"/>
                <w:szCs w:val="20"/>
              </w:rPr>
              <w:t>Yonkers et al. (2012)</w:t>
            </w:r>
            <w:r w:rsidRPr="00925EA9">
              <w:rPr>
                <w:sz w:val="20"/>
                <w:szCs w:val="20"/>
              </w:rPr>
              <w:fldChar w:fldCharType="end"/>
            </w:r>
            <w:r w:rsidRPr="002B0234">
              <w:rPr>
                <w:sz w:val="20"/>
                <w:szCs w:val="20"/>
                <w:lang w:val="fr-FR"/>
              </w:rPr>
              <w:t xml:space="preserve">; </w:t>
            </w:r>
            <w:r w:rsidRPr="00925EA9">
              <w:rPr>
                <w:sz w:val="20"/>
                <w:szCs w:val="20"/>
              </w:rPr>
              <w:fldChar w:fldCharType="begin">
                <w:fldData xml:space="preserve">PEVuZE5vdGU+PENpdGUgQXV0aG9yWWVhcj0iMSI+PEF1dGhvcj5YdTwvQXV0aG9yPjxZZWFyPjIw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</w:fldData>
              </w:fldChar>
            </w:r>
            <w:r w:rsidR="00B9334F">
              <w:rPr>
                <w:sz w:val="20"/>
                <w:szCs w:val="20"/>
              </w:rPr>
              <w:instrText xml:space="preserve"> ADDIN EN.CITE </w:instrText>
            </w:r>
            <w:r w:rsidR="00B9334F">
              <w:rPr>
                <w:sz w:val="20"/>
                <w:szCs w:val="20"/>
              </w:rPr>
              <w:fldChar w:fldCharType="begin">
                <w:fldData xml:space="preserve">PEVuZE5vdGU+PENpdGUgQXV0aG9yWWVhcj0iMSI+PEF1dGhvcj5YdTwvQXV0aG9yPjxZZWFyPjIw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</w:fldData>
              </w:fldChar>
            </w:r>
            <w:r w:rsidR="00B9334F">
              <w:rPr>
                <w:sz w:val="20"/>
                <w:szCs w:val="20"/>
              </w:rPr>
              <w:instrText xml:space="preserve"> ADDIN EN.CITE.DATA </w:instrText>
            </w:r>
            <w:r w:rsidR="00B9334F">
              <w:rPr>
                <w:sz w:val="20"/>
                <w:szCs w:val="20"/>
              </w:rPr>
            </w:r>
            <w:r w:rsidR="00B9334F">
              <w:rPr>
                <w:sz w:val="20"/>
                <w:szCs w:val="20"/>
              </w:rPr>
              <w:fldChar w:fldCharType="end"/>
            </w:r>
            <w:r w:rsidRPr="00925EA9">
              <w:rPr>
                <w:sz w:val="20"/>
                <w:szCs w:val="20"/>
              </w:rPr>
            </w:r>
            <w:r w:rsidRPr="00925EA9">
              <w:rPr>
                <w:sz w:val="20"/>
                <w:szCs w:val="20"/>
              </w:rPr>
              <w:fldChar w:fldCharType="separate"/>
            </w:r>
            <w:r w:rsidR="00A77498">
              <w:rPr>
                <w:noProof/>
                <w:sz w:val="20"/>
                <w:szCs w:val="20"/>
              </w:rPr>
              <w:t>Xu et al. (2017)</w:t>
            </w:r>
            <w:r w:rsidRPr="00925EA9">
              <w:rPr>
                <w:sz w:val="20"/>
                <w:szCs w:val="20"/>
              </w:rPr>
              <w:fldChar w:fldCharType="end"/>
            </w:r>
            <w:r w:rsidRPr="00925EA9">
              <w:rPr>
                <w:sz w:val="20"/>
                <w:szCs w:val="20"/>
              </w:rPr>
              <w:t xml:space="preserve"> </w:t>
            </w:r>
          </w:p>
        </w:tc>
      </w:tr>
      <w:tr w:rsidR="0025732F" w:rsidRPr="00925EA9" w14:paraId="1AD916FA" w14:textId="77777777">
        <w:tc>
          <w:tcPr>
            <w:tcW w:w="3114" w:type="dxa"/>
          </w:tcPr>
          <w:p w14:paraId="65C431F3" w14:textId="77777777" w:rsidR="0025732F" w:rsidRPr="00925EA9" w:rsidRDefault="0025732F">
            <w:pPr>
              <w:pStyle w:val="NoSpacing"/>
              <w:spacing w:line="240" w:lineRule="auto"/>
              <w:rPr>
                <w:sz w:val="20"/>
                <w:szCs w:val="20"/>
              </w:rPr>
            </w:pPr>
            <w:r w:rsidRPr="00925EA9">
              <w:rPr>
                <w:sz w:val="20"/>
                <w:szCs w:val="20"/>
              </w:rPr>
              <w:t>Aims</w:t>
            </w:r>
          </w:p>
        </w:tc>
        <w:tc>
          <w:tcPr>
            <w:tcW w:w="10773" w:type="dxa"/>
          </w:tcPr>
          <w:p w14:paraId="32BD14F0" w14:textId="5687610E" w:rsidR="0025732F" w:rsidRPr="00925EA9" w:rsidRDefault="0025732F">
            <w:pPr>
              <w:pStyle w:val="NoSpacing"/>
              <w:spacing w:line="240" w:lineRule="auto"/>
              <w:rPr>
                <w:sz w:val="20"/>
                <w:szCs w:val="20"/>
              </w:rPr>
            </w:pPr>
            <w:r w:rsidRPr="00925EA9">
              <w:rPr>
                <w:sz w:val="20"/>
                <w:szCs w:val="20"/>
              </w:rPr>
              <w:t xml:space="preserve">To analyse the effectiveness and cost-effectiveness of motivational enhancement therapy </w:t>
            </w:r>
            <w:r w:rsidR="00545D7B">
              <w:rPr>
                <w:sz w:val="20"/>
                <w:szCs w:val="20"/>
              </w:rPr>
              <w:t>plus</w:t>
            </w:r>
            <w:r w:rsidRPr="00925EA9">
              <w:rPr>
                <w:sz w:val="20"/>
                <w:szCs w:val="20"/>
              </w:rPr>
              <w:t xml:space="preserve"> cognitive behavioural therapy (MET-CBT) compared with brief advice delivered in a hospital outpatient setting (reproductive health clinics) on substance use during pregnancy and three-month postpartum.</w:t>
            </w:r>
          </w:p>
        </w:tc>
      </w:tr>
      <w:tr w:rsidR="0025732F" w:rsidRPr="00925EA9" w14:paraId="735D4202" w14:textId="77777777">
        <w:tc>
          <w:tcPr>
            <w:tcW w:w="3114" w:type="dxa"/>
          </w:tcPr>
          <w:p w14:paraId="15533BDB" w14:textId="77777777" w:rsidR="0025732F" w:rsidRPr="00925EA9" w:rsidRDefault="0025732F">
            <w:pPr>
              <w:pStyle w:val="NoSpacing"/>
              <w:spacing w:line="240" w:lineRule="auto"/>
              <w:rPr>
                <w:sz w:val="20"/>
                <w:szCs w:val="20"/>
              </w:rPr>
            </w:pPr>
            <w:r w:rsidRPr="00925EA9">
              <w:rPr>
                <w:sz w:val="20"/>
                <w:szCs w:val="20"/>
              </w:rPr>
              <w:t>Design</w:t>
            </w:r>
          </w:p>
        </w:tc>
        <w:tc>
          <w:tcPr>
            <w:tcW w:w="10773" w:type="dxa"/>
          </w:tcPr>
          <w:p w14:paraId="352BFB87" w14:textId="77777777" w:rsidR="0025732F" w:rsidRPr="00925EA9" w:rsidRDefault="0025732F">
            <w:pPr>
              <w:pStyle w:val="NoSpacing"/>
              <w:spacing w:line="240" w:lineRule="auto"/>
              <w:rPr>
                <w:sz w:val="20"/>
                <w:szCs w:val="20"/>
              </w:rPr>
            </w:pPr>
            <w:r w:rsidRPr="00925EA9">
              <w:rPr>
                <w:sz w:val="20"/>
                <w:szCs w:val="20"/>
              </w:rPr>
              <w:t xml:space="preserve">The 2012 study was a parallel RCT, with a three-month postpartum follow-up; the 2017 was an economic evaluation using the previous study data. </w:t>
            </w:r>
          </w:p>
        </w:tc>
      </w:tr>
      <w:tr w:rsidR="0025732F" w:rsidRPr="00925EA9" w14:paraId="2CDD29D1" w14:textId="77777777">
        <w:tc>
          <w:tcPr>
            <w:tcW w:w="3114" w:type="dxa"/>
          </w:tcPr>
          <w:p w14:paraId="5BBA2A01" w14:textId="77777777" w:rsidR="0025732F" w:rsidRPr="00925EA9" w:rsidRDefault="0025732F">
            <w:pPr>
              <w:pStyle w:val="NoSpacing"/>
              <w:spacing w:line="240" w:lineRule="auto"/>
              <w:rPr>
                <w:sz w:val="20"/>
                <w:szCs w:val="20"/>
              </w:rPr>
            </w:pPr>
            <w:r w:rsidRPr="00925EA9">
              <w:rPr>
                <w:sz w:val="20"/>
                <w:szCs w:val="20"/>
              </w:rPr>
              <w:t>Population</w:t>
            </w:r>
          </w:p>
        </w:tc>
        <w:tc>
          <w:tcPr>
            <w:tcW w:w="10773" w:type="dxa"/>
          </w:tcPr>
          <w:p w14:paraId="0FEA5C21" w14:textId="77777777" w:rsidR="0025732F" w:rsidRPr="00925EA9" w:rsidRDefault="0025732F">
            <w:pPr>
              <w:pStyle w:val="NoSpacing"/>
              <w:spacing w:line="240" w:lineRule="auto"/>
              <w:rPr>
                <w:sz w:val="20"/>
                <w:szCs w:val="20"/>
              </w:rPr>
            </w:pPr>
            <w:r w:rsidRPr="00925EA9">
              <w:rPr>
                <w:sz w:val="20"/>
                <w:szCs w:val="20"/>
              </w:rPr>
              <w:t>Intervention (n=82) and comparison (n=86) women fewer than 28 weeks pregnant.</w:t>
            </w:r>
          </w:p>
        </w:tc>
      </w:tr>
      <w:tr w:rsidR="0025732F" w:rsidRPr="00925EA9" w14:paraId="151A5CD4" w14:textId="77777777">
        <w:trPr>
          <w:trHeight w:val="157"/>
        </w:trPr>
        <w:tc>
          <w:tcPr>
            <w:tcW w:w="3114" w:type="dxa"/>
          </w:tcPr>
          <w:p w14:paraId="3B9A09DF" w14:textId="77777777" w:rsidR="0025732F" w:rsidRPr="00925EA9" w:rsidRDefault="0025732F">
            <w:pPr>
              <w:pStyle w:val="NoSpacing"/>
              <w:spacing w:line="240" w:lineRule="auto"/>
              <w:rPr>
                <w:sz w:val="20"/>
                <w:szCs w:val="20"/>
              </w:rPr>
            </w:pPr>
            <w:r w:rsidRPr="00925EA9">
              <w:rPr>
                <w:sz w:val="20"/>
                <w:szCs w:val="20"/>
              </w:rPr>
              <w:t>Intervention</w:t>
            </w:r>
          </w:p>
        </w:tc>
        <w:tc>
          <w:tcPr>
            <w:tcW w:w="10773" w:type="dxa"/>
          </w:tcPr>
          <w:p w14:paraId="1F798CC6" w14:textId="77777777" w:rsidR="0025732F" w:rsidRPr="00925EA9" w:rsidRDefault="0025732F">
            <w:pPr>
              <w:pStyle w:val="NoSpacing"/>
              <w:spacing w:line="240" w:lineRule="auto"/>
              <w:rPr>
                <w:sz w:val="20"/>
                <w:szCs w:val="20"/>
              </w:rPr>
            </w:pPr>
            <w:r w:rsidRPr="00925EA9">
              <w:rPr>
                <w:sz w:val="20"/>
                <w:szCs w:val="20"/>
              </w:rPr>
              <w:t xml:space="preserve">Obstetric clinicians provided brief advice (1 minute); research nurse therapists provided 30 minute MET-CBT adapted from existing manuals that was delivered on the same day as outpatient visits. The sessions focused on motivational enhancement, the causes and consequences of behaviour (functional analysis), safe sex, relapse prevention and problem-solving skills. </w:t>
            </w:r>
          </w:p>
        </w:tc>
      </w:tr>
      <w:tr w:rsidR="0025732F" w:rsidRPr="00925EA9" w14:paraId="53C55F10" w14:textId="77777777">
        <w:tc>
          <w:tcPr>
            <w:tcW w:w="3114" w:type="dxa"/>
          </w:tcPr>
          <w:p w14:paraId="2F67DCC6" w14:textId="77777777" w:rsidR="0025732F" w:rsidRPr="00925EA9" w:rsidRDefault="0025732F">
            <w:pPr>
              <w:pStyle w:val="NoSpacing"/>
              <w:spacing w:line="240" w:lineRule="auto"/>
              <w:rPr>
                <w:sz w:val="20"/>
                <w:szCs w:val="20"/>
              </w:rPr>
            </w:pPr>
            <w:r w:rsidRPr="00925EA9">
              <w:rPr>
                <w:sz w:val="20"/>
                <w:szCs w:val="20"/>
              </w:rPr>
              <w:t>Country</w:t>
            </w:r>
          </w:p>
        </w:tc>
        <w:tc>
          <w:tcPr>
            <w:tcW w:w="10773" w:type="dxa"/>
          </w:tcPr>
          <w:p w14:paraId="3E8D74C4" w14:textId="77777777" w:rsidR="0025732F" w:rsidRPr="00925EA9" w:rsidRDefault="0025732F">
            <w:pPr>
              <w:pStyle w:val="NoSpacing"/>
              <w:spacing w:line="240" w:lineRule="auto"/>
              <w:rPr>
                <w:sz w:val="20"/>
                <w:szCs w:val="20"/>
              </w:rPr>
            </w:pPr>
            <w:r w:rsidRPr="00925EA9">
              <w:rPr>
                <w:sz w:val="20"/>
                <w:szCs w:val="20"/>
              </w:rPr>
              <w:t>USA (New Haven and Bridgeport, Connecticut).</w:t>
            </w:r>
          </w:p>
        </w:tc>
      </w:tr>
      <w:tr w:rsidR="0025732F" w:rsidRPr="00925EA9" w14:paraId="36D61A4A" w14:textId="77777777">
        <w:tc>
          <w:tcPr>
            <w:tcW w:w="3114" w:type="dxa"/>
          </w:tcPr>
          <w:p w14:paraId="55DCDD2D" w14:textId="77777777" w:rsidR="0025732F" w:rsidRPr="00925EA9" w:rsidRDefault="0025732F">
            <w:pPr>
              <w:pStyle w:val="NoSpacing"/>
              <w:spacing w:line="240" w:lineRule="auto"/>
              <w:rPr>
                <w:sz w:val="20"/>
                <w:szCs w:val="20"/>
              </w:rPr>
            </w:pPr>
            <w:r>
              <w:rPr>
                <w:sz w:val="20"/>
                <w:szCs w:val="20"/>
              </w:rPr>
              <w:t>O</w:t>
            </w:r>
            <w:r w:rsidRPr="00925EA9">
              <w:rPr>
                <w:sz w:val="20"/>
                <w:szCs w:val="20"/>
              </w:rPr>
              <w:t>utcomes</w:t>
            </w:r>
          </w:p>
        </w:tc>
        <w:tc>
          <w:tcPr>
            <w:tcW w:w="10773" w:type="dxa"/>
          </w:tcPr>
          <w:p w14:paraId="151DE490" w14:textId="77777777" w:rsidR="0025732F" w:rsidRPr="00925EA9" w:rsidRDefault="0025732F">
            <w:pPr>
              <w:pStyle w:val="NoSpacing"/>
              <w:spacing w:line="240" w:lineRule="auto"/>
              <w:rPr>
                <w:sz w:val="20"/>
                <w:szCs w:val="20"/>
              </w:rPr>
            </w:pPr>
            <w:r w:rsidRPr="00925EA9">
              <w:rPr>
                <w:sz w:val="20"/>
                <w:szCs w:val="20"/>
              </w:rPr>
              <w:t xml:space="preserve">There were notable substance use reductions in both the intervention and comparison groups. There were no significant differences in the self-reported proportion of substance-misusing days prior to and 3 months postpartum, which was corroborated by urine toxicology and breath tests. The intervention group appeared to be of lower risk of preterm birth, however this was not a significant finding (p=.08). </w:t>
            </w:r>
          </w:p>
        </w:tc>
      </w:tr>
      <w:tr w:rsidR="0025732F" w:rsidRPr="00925EA9" w14:paraId="4B99527D" w14:textId="77777777">
        <w:tc>
          <w:tcPr>
            <w:tcW w:w="3114" w:type="dxa"/>
          </w:tcPr>
          <w:p w14:paraId="4EBB68A4" w14:textId="77777777" w:rsidR="0025732F" w:rsidRPr="00925EA9" w:rsidRDefault="0025732F">
            <w:pPr>
              <w:pStyle w:val="NoSpacing"/>
              <w:spacing w:line="240" w:lineRule="auto"/>
              <w:rPr>
                <w:sz w:val="20"/>
                <w:szCs w:val="20"/>
              </w:rPr>
            </w:pPr>
            <w:r w:rsidRPr="00925EA9">
              <w:rPr>
                <w:sz w:val="20"/>
                <w:szCs w:val="20"/>
              </w:rPr>
              <w:lastRenderedPageBreak/>
              <w:t>Cost-benefit/ cost-effectiveness</w:t>
            </w:r>
          </w:p>
        </w:tc>
        <w:tc>
          <w:tcPr>
            <w:tcW w:w="10773" w:type="dxa"/>
          </w:tcPr>
          <w:p w14:paraId="06AA3AAA" w14:textId="77777777" w:rsidR="0025732F" w:rsidRPr="00925EA9" w:rsidRDefault="0025732F">
            <w:pPr>
              <w:pStyle w:val="NoSpacing"/>
              <w:spacing w:line="240" w:lineRule="auto"/>
              <w:rPr>
                <w:color w:val="333333"/>
                <w:sz w:val="20"/>
                <w:szCs w:val="20"/>
                <w:shd w:val="clear" w:color="auto" w:fill="FFFFFF"/>
              </w:rPr>
            </w:pPr>
            <w:r w:rsidRPr="00925EA9">
              <w:rPr>
                <w:sz w:val="20"/>
                <w:szCs w:val="20"/>
                <w:shd w:val="clear" w:color="auto" w:fill="FFFFFF"/>
              </w:rPr>
              <w:t>Costs were compared using Wilcoxon rank sum tests. The intervention was more costly than than the comparison (median = $1,297 per person vs. $303 per person, </w:t>
            </w:r>
            <w:r w:rsidRPr="00925EA9">
              <w:rPr>
                <w:rStyle w:val="Emphasis"/>
                <w:sz w:val="20"/>
                <w:szCs w:val="20"/>
              </w:rPr>
              <w:t>p</w:t>
            </w:r>
            <w:r w:rsidRPr="00925EA9">
              <w:rPr>
                <w:i/>
                <w:sz w:val="20"/>
                <w:szCs w:val="20"/>
                <w:shd w:val="clear" w:color="auto" w:fill="FFFFFF"/>
              </w:rPr>
              <w:t> </w:t>
            </w:r>
            <w:r w:rsidRPr="00925EA9">
              <w:rPr>
                <w:sz w:val="20"/>
                <w:szCs w:val="20"/>
                <w:shd w:val="clear" w:color="auto" w:fill="FFFFFF"/>
              </w:rPr>
              <w:t>&lt; 0.01), outcomes costs were comparable (all </w:t>
            </w:r>
            <w:r w:rsidRPr="00925EA9">
              <w:rPr>
                <w:rStyle w:val="Emphasis"/>
                <w:sz w:val="20"/>
                <w:szCs w:val="20"/>
                <w:shd w:val="clear" w:color="auto" w:fill="FFFFFF"/>
              </w:rPr>
              <w:t>p</w:t>
            </w:r>
            <w:r w:rsidRPr="00925EA9">
              <w:rPr>
                <w:sz w:val="20"/>
                <w:szCs w:val="20"/>
                <w:shd w:val="clear" w:color="auto" w:fill="FFFFFF"/>
              </w:rPr>
              <w:t> values ≥ 0.55). Overall costs of care were not statistically different (median total cost = $26,993 per intervention person vs. $27,831 per comparison person, </w:t>
            </w:r>
            <w:r w:rsidRPr="00925EA9">
              <w:rPr>
                <w:rStyle w:val="Emphasis"/>
                <w:sz w:val="20"/>
                <w:szCs w:val="20"/>
                <w:shd w:val="clear" w:color="auto" w:fill="FFFFFF"/>
              </w:rPr>
              <w:t>p</w:t>
            </w:r>
            <w:r w:rsidRPr="00925EA9">
              <w:rPr>
                <w:sz w:val="20"/>
                <w:szCs w:val="20"/>
                <w:shd w:val="clear" w:color="auto" w:fill="FFFFFF"/>
              </w:rPr>
              <w:t> = 0.90).</w:t>
            </w:r>
          </w:p>
        </w:tc>
      </w:tr>
      <w:tr w:rsidR="0025732F" w:rsidRPr="00925EA9" w14:paraId="47A2DBE2" w14:textId="77777777">
        <w:tc>
          <w:tcPr>
            <w:tcW w:w="3114" w:type="dxa"/>
          </w:tcPr>
          <w:p w14:paraId="53FE713B" w14:textId="77777777" w:rsidR="0025732F" w:rsidRPr="00925EA9" w:rsidRDefault="0025732F">
            <w:pPr>
              <w:pStyle w:val="NoSpacing"/>
              <w:spacing w:line="240" w:lineRule="auto"/>
              <w:rPr>
                <w:sz w:val="20"/>
                <w:szCs w:val="20"/>
              </w:rPr>
            </w:pPr>
            <w:r w:rsidRPr="00925EA9">
              <w:rPr>
                <w:sz w:val="20"/>
                <w:szCs w:val="20"/>
              </w:rPr>
              <w:t>Overall quality rating</w:t>
            </w:r>
          </w:p>
        </w:tc>
        <w:tc>
          <w:tcPr>
            <w:tcW w:w="10773" w:type="dxa"/>
          </w:tcPr>
          <w:p w14:paraId="634ACCE2" w14:textId="77777777" w:rsidR="0025732F" w:rsidRPr="00925EA9" w:rsidRDefault="0025732F">
            <w:pPr>
              <w:pStyle w:val="NoSpacing"/>
              <w:spacing w:line="240" w:lineRule="auto"/>
              <w:rPr>
                <w:sz w:val="20"/>
                <w:szCs w:val="20"/>
              </w:rPr>
            </w:pPr>
            <w:r w:rsidRPr="00925EA9">
              <w:rPr>
                <w:sz w:val="20"/>
                <w:szCs w:val="20"/>
              </w:rPr>
              <w:t>Moderate.</w:t>
            </w:r>
          </w:p>
        </w:tc>
      </w:tr>
    </w:tbl>
    <w:p w14:paraId="4DDA4883" w14:textId="77777777" w:rsidR="0025732F" w:rsidRDefault="0025732F" w:rsidP="0025732F">
      <w:pPr>
        <w:pStyle w:val="NoSpacing"/>
        <w:sectPr w:rsidR="0025732F" w:rsidSect="0025732F">
          <w:pgSz w:w="16838" w:h="11906" w:orient="landscape"/>
          <w:pgMar w:top="1440" w:right="1440" w:bottom="1440" w:left="1440" w:header="709" w:footer="709" w:gutter="0"/>
          <w:cols w:space="708"/>
          <w:docGrid w:linePitch="360"/>
        </w:sectPr>
      </w:pPr>
    </w:p>
    <w:p w14:paraId="7EDE4C90" w14:textId="77777777" w:rsidR="00A665D7" w:rsidRDefault="00A665D7" w:rsidP="00684A13">
      <w:pPr>
        <w:pStyle w:val="Heading4"/>
        <w:spacing w:line="360" w:lineRule="auto"/>
      </w:pPr>
      <w:bookmarkStart w:id="200" w:name="_Toc167810549"/>
      <w:bookmarkStart w:id="201" w:name="_Ref168045739"/>
      <w:bookmarkStart w:id="202" w:name="_Ref168045747"/>
      <w:r>
        <w:lastRenderedPageBreak/>
        <w:t>Specialist treatment plus a parenting intervention</w:t>
      </w:r>
    </w:p>
    <w:p w14:paraId="6933372C" w14:textId="52102381" w:rsidR="00A665D7" w:rsidRDefault="00A665D7" w:rsidP="00684A13">
      <w:pPr>
        <w:pStyle w:val="NoSpacing"/>
        <w:spacing w:line="360" w:lineRule="auto"/>
      </w:pPr>
      <w:r w:rsidRPr="00EE6907">
        <w:t xml:space="preserve">Specialist treatment </w:t>
      </w:r>
      <w:r>
        <w:t xml:space="preserve">for parents with SUD </w:t>
      </w:r>
      <w:r w:rsidRPr="00EE6907">
        <w:t>plus a parenting intervention addresses the above as well</w:t>
      </w:r>
      <w:r>
        <w:t xml:space="preserve"> as parenting and relational skills aiming to improve outcomes for parents, as well as their children. Improvements in parenting capacity are typically measured through validated questionnaires such as the Brief form of the Child Abuse Potential (</w:t>
      </w:r>
      <w:r w:rsidR="00CB5FE1">
        <w:t>BCAP</w:t>
      </w:r>
      <w:r>
        <w:t xml:space="preserve">) Inventory </w:t>
      </w:r>
      <w:r>
        <w:fldChar w:fldCharType="begin"/>
      </w:r>
      <w:r w:rsidR="00B9334F">
        <w:instrText xml:space="preserve"> ADDIN EN.CITE &lt;EndNote&gt;&lt;Cite&gt;&lt;Author&gt;Ondersma&lt;/Author&gt;&lt;Year&gt;2005&lt;/Year&gt;&lt;RecNum&gt;480&lt;/RecNum&gt;&lt;DisplayText&gt;(Ondersma et al., 2005)&lt;/DisplayText&gt;&lt;record&gt;&lt;rec-number&gt;480&lt;/rec-number&gt;&lt;foreign-keys&gt;&lt;key app="EN" db-id="ffzvr5fstavwxoe9v04xf0wmp5t50as52da0" timestamp="1731671682" guid="185014df-b873-41fa-8685-e14b719169ae"&gt;480&lt;/key&gt;&lt;/foreign-keys&gt;&lt;ref-type name="Journal Article"&gt;17&lt;/ref-type&gt;&lt;contributors&gt;&lt;authors&gt;&lt;author&gt;Ondersma, S. J.&lt;/author&gt;&lt;author&gt;Chaffin, M. J.&lt;/author&gt;&lt;author&gt;Mullins, S. M.&lt;/author&gt;&lt;author&gt;LeBreton, J. M.&lt;/author&gt;&lt;/authors&gt;&lt;/contributors&gt;&lt;titles&gt;&lt;title&gt;A brief form of the child abuse potential inventory: development and validation&lt;/title&gt;&lt;alt-title&gt;J Clin Child Adolesc Psychol&lt;/alt-title&gt;&lt;/titles&gt;&lt;alt-periodical&gt;&lt;abbr-1&gt;J Clin Child Adolesc Psychol&lt;/abbr-1&gt;&lt;/alt-periodical&gt;&lt;pages&gt;301-311&lt;/pages&gt;&lt;volume&gt;34&lt;/volume&gt;&lt;dates&gt;&lt;year&gt;2005&lt;/year&gt;&lt;/dates&gt;&lt;label&gt;77.&lt;/label&gt;&lt;urls&gt;&lt;related-urls&gt;&lt;url&gt;https://doi.org/10.1207/s15374424jccp3402_9&lt;/url&gt;&lt;/related-urls&gt;&lt;/urls&gt;&lt;/record&gt;&lt;/Cite&gt;&lt;/EndNote&gt;</w:instrText>
      </w:r>
      <w:r>
        <w:fldChar w:fldCharType="separate"/>
      </w:r>
      <w:r w:rsidR="00A77498">
        <w:rPr>
          <w:noProof/>
        </w:rPr>
        <w:t>(Ondersma et al., 2005)</w:t>
      </w:r>
      <w:r>
        <w:fldChar w:fldCharType="end"/>
      </w:r>
      <w:r>
        <w:t>.</w:t>
      </w:r>
      <w:r w:rsidR="00684A13">
        <w:rPr>
          <w:b/>
          <w:bCs/>
        </w:rPr>
        <w:t xml:space="preserve"> </w:t>
      </w:r>
      <w:r w:rsidRPr="00144942">
        <w:t xml:space="preserve">As </w:t>
      </w:r>
      <w:r w:rsidR="00D21896" w:rsidRPr="00D812E5">
        <w:t xml:space="preserve">Tables </w:t>
      </w:r>
      <w:r w:rsidR="00AF4D08" w:rsidRPr="00D812E5">
        <w:t>A</w:t>
      </w:r>
      <w:r w:rsidR="00D21896" w:rsidRPr="00D812E5">
        <w:t xml:space="preserve">-4 and </w:t>
      </w:r>
      <w:r w:rsidR="00AF4D08" w:rsidRPr="00D812E5">
        <w:t>A</w:t>
      </w:r>
      <w:r w:rsidR="00D21896" w:rsidRPr="00D812E5">
        <w:t>-5</w:t>
      </w:r>
      <w:r w:rsidR="00D21896">
        <w:t xml:space="preserve"> </w:t>
      </w:r>
      <w:r w:rsidRPr="00144942">
        <w:t>below show, 1</w:t>
      </w:r>
      <w:r>
        <w:t>4</w:t>
      </w:r>
      <w:r w:rsidRPr="00144942">
        <w:t xml:space="preserve"> studies were included on the effectiveness of </w:t>
      </w:r>
      <w:r w:rsidRPr="000A2203">
        <w:t xml:space="preserve">treatment plus parenting interventions </w:t>
      </w:r>
      <w:r>
        <w:t xml:space="preserve">(excluding those with an integrated statutory child welfare support, which is covered in the next section). Studies </w:t>
      </w:r>
      <w:r w:rsidRPr="000A2203">
        <w:t xml:space="preserve">were in the low- to high-quality range and almost all were </w:t>
      </w:r>
      <w:r>
        <w:t>from the US</w:t>
      </w:r>
      <w:r w:rsidRPr="000A2203">
        <w:t xml:space="preserve">. </w:t>
      </w:r>
      <w:r>
        <w:t xml:space="preserve">All studies focused on mothers only except </w:t>
      </w:r>
      <w:r>
        <w:fldChar w:fldCharType="begin">
          <w:fldData xml:space="preserve">PEVuZE5vdGU+PENpdGUgQXV0aG9yWWVhcj0iMSI+PEF1dGhvcj5MYW08L0F1dGhvcj48WWVhcj4y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=
</w:fldData>
        </w:fldChar>
      </w:r>
      <w:r w:rsidR="00B9334F">
        <w:instrText xml:space="preserve"> ADDIN EN.CITE </w:instrText>
      </w:r>
      <w:r w:rsidR="00B9334F">
        <w:fldChar w:fldCharType="begin">
          <w:fldData xml:space="preserve">PEVuZE5vdGU+PENpdGUgQXV0aG9yWWVhcj0iMSI+PEF1dGhvcj5MYW08L0F1dGhvcj48WWVhcj4y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=
</w:fldData>
        </w:fldChar>
      </w:r>
      <w:r w:rsidR="00B9334F">
        <w:instrText xml:space="preserve"> ADDIN EN.CITE.DATA </w:instrText>
      </w:r>
      <w:r w:rsidR="00B9334F">
        <w:fldChar w:fldCharType="end"/>
      </w:r>
      <w:r>
        <w:fldChar w:fldCharType="separate"/>
      </w:r>
      <w:r w:rsidR="00A77498">
        <w:rPr>
          <w:noProof/>
        </w:rPr>
        <w:t>Lam et al. (2009)</w:t>
      </w:r>
      <w:r>
        <w:fldChar w:fldCharType="end"/>
      </w:r>
      <w:r>
        <w:t xml:space="preserve"> and </w:t>
      </w:r>
      <w:r>
        <w:fldChar w:fldCharType="begin"/>
      </w:r>
      <w:r w:rsidR="0042328C">
        <w:instrText xml:space="preserve"> ADDIN EN.CITE &lt;EndNote&gt;&lt;Cite AuthorYear="1"&gt;&lt;Author&gt;Stover&lt;/Author&gt;&lt;Year&gt;2019&lt;/Year&gt;&lt;RecNum&gt;621&lt;/RecNum&gt;&lt;DisplayText&gt;Stover et al. (2019b)&lt;/DisplayText&gt;&lt;record&gt;&lt;rec-number&gt;621&lt;/rec-number&gt;&lt;foreign-keys&gt;&lt;key app="EN" db-id="2wdfddaawxaseae9fd6xrrs3xdxpavsp5dff" timestamp="1712510585" guid="5360425c-c34d-4cb2-b05d-b55008707812"&gt;621&lt;/key&gt;&lt;/foreign-keys&gt;&lt;ref-type name="Journal Article"&gt;17&lt;/ref-type&gt;&lt;contributors&gt;&lt;authors&gt;&lt;author&gt;Stover, Carla Smith&lt;/author&gt;&lt;author&gt;McMahon, Thomas J.&lt;/author&gt;&lt;author&gt;Moore, Kathleen&lt;/author&gt;&lt;/authors&gt;&lt;/contributors&gt;&lt;titles&gt;&lt;title&gt;A randomized pilot trial of two parenting interventions for fathers in residential substance use disorder treatment&lt;/title&gt;&lt;secondary-title&gt;Journal of Substance Abuse Treatment&lt;/secondary-title&gt;&lt;/titles&gt;&lt;periodical&gt;&lt;full-title&gt;Journal of Substance Abuse Treatment&lt;/full-title&gt;&lt;/periodical&gt;&lt;pages&gt;116-127&lt;/pages&gt;&lt;volume&gt;104&lt;/volume&gt;&lt;dates&gt;&lt;year&gt;2019&lt;/year&gt;&lt;/dates&gt;&lt;publisher&gt;Elsevier&lt;/publisher&gt;&lt;isbn&gt;0740-5472&lt;/isbn&gt;&lt;urls&gt;&lt;related-urls&gt;&lt;url&gt;https://doi.org/10.1016/j.jsat.2019.07.003&lt;/url&gt;&lt;/related-urls&gt;&lt;/urls&gt;&lt;electronic-resource-num&gt;10.1016/j.jsat.2019.07.003&lt;/electronic-resource-num&gt;&lt;access-date&gt;2024/04/07&lt;/access-date&gt;&lt;/record&gt;&lt;/Cite&gt;&lt;/EndNote&gt;</w:instrText>
      </w:r>
      <w:r>
        <w:fldChar w:fldCharType="separate"/>
      </w:r>
      <w:r w:rsidR="0042328C">
        <w:rPr>
          <w:noProof/>
        </w:rPr>
        <w:t>Stover et al. (2019b)</w:t>
      </w:r>
      <w:r>
        <w:fldChar w:fldCharType="end"/>
      </w:r>
      <w:r>
        <w:t xml:space="preserve"> in which only fathers were treated, and </w:t>
      </w:r>
      <w:r>
        <w:fldChar w:fldCharType="begin"/>
      </w:r>
      <w:r w:rsidR="00B9334F">
        <w:instrText xml:space="preserve"> ADDIN EN.CITE &lt;EndNote&gt;&lt;Cite AuthorYear="1"&gt;&lt;Author&gt;Barlow&lt;/Author&gt;&lt;Year&gt;2019&lt;/Year&gt;&lt;RecNum&gt;352&lt;/RecNum&gt;&lt;DisplayText&gt;Barlow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fldChar w:fldCharType="separate"/>
      </w:r>
      <w:r w:rsidR="00A77498">
        <w:rPr>
          <w:noProof/>
        </w:rPr>
        <w:t>Barlow et al. (2019)</w:t>
      </w:r>
      <w:r>
        <w:fldChar w:fldCharType="end"/>
      </w:r>
      <w:r>
        <w:t xml:space="preserve"> in which both mothers and fathers could participate in the programme. Two cost-effectiveness studies, including one from the UK, were included in the review, both of which were high quality </w:t>
      </w:r>
      <w:r>
        <w:fldChar w:fldCharType="begin">
          <w:fldData xml:space="preserve">PEVuZE5vdGU+PENpdGU+PEF1dGhvcj5CYXJsb3c8L0F1dGhvcj48WWVhcj4yMDE5PC9ZZWFyPjxS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</w:fldData>
        </w:fldChar>
      </w:r>
      <w:r w:rsidR="00B9334F">
        <w:instrText xml:space="preserve"> ADDIN EN.CITE </w:instrText>
      </w:r>
      <w:r w:rsidR="00B9334F">
        <w:fldChar w:fldCharType="begin">
          <w:fldData xml:space="preserve">PEVuZE5vdGU+PENpdGU+PEF1dGhvcj5CYXJsb3c8L0F1dGhvcj48WWVhcj4yMDE5PC9ZZWFyPjxS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</w:fldData>
        </w:fldChar>
      </w:r>
      <w:r w:rsidR="00B9334F">
        <w:instrText xml:space="preserve"> ADDIN EN.CITE.DATA </w:instrText>
      </w:r>
      <w:r w:rsidR="00B9334F">
        <w:fldChar w:fldCharType="end"/>
      </w:r>
      <w:r>
        <w:fldChar w:fldCharType="separate"/>
      </w:r>
      <w:r w:rsidR="003C6F70">
        <w:rPr>
          <w:noProof/>
        </w:rPr>
        <w:t>(Barlow et al., 2019; Thanh et al., 2015)</w:t>
      </w:r>
      <w:r>
        <w:fldChar w:fldCharType="end"/>
      </w:r>
      <w:r>
        <w:t xml:space="preserve">. </w:t>
      </w:r>
      <w:r w:rsidRPr="000A2203">
        <w:t xml:space="preserve">No study achieved a quality rating of 5 (very high) owing mainly to generalisability concerns from small sample sizes, insufficient follow-up periods or studies occurring only on one site. </w:t>
      </w:r>
    </w:p>
    <w:p w14:paraId="1211173A" w14:textId="77777777" w:rsidR="002E7D2A" w:rsidRPr="00684A13" w:rsidRDefault="002E7D2A" w:rsidP="00684A13">
      <w:pPr>
        <w:pStyle w:val="NoSpacing"/>
        <w:spacing w:line="360" w:lineRule="auto"/>
        <w:rPr>
          <w:b/>
          <w:bCs/>
        </w:rPr>
      </w:pPr>
    </w:p>
    <w:p w14:paraId="50F80864" w14:textId="362634B4" w:rsidR="00B475CC" w:rsidRPr="00D21896" w:rsidRDefault="00D21896" w:rsidP="00D21896">
      <w:pPr>
        <w:pStyle w:val="Caption"/>
        <w:keepNext/>
        <w:ind w:left="1440" w:hanging="1440"/>
      </w:pPr>
      <w:bookmarkStart w:id="203" w:name="_Ref177032684"/>
      <w:r w:rsidRPr="00D21896">
        <w:rPr>
          <w:b w:val="0"/>
          <w:bCs w:val="0"/>
          <w:i/>
          <w:iCs/>
          <w:color w:val="auto"/>
          <w:sz w:val="24"/>
          <w:szCs w:val="24"/>
        </w:rPr>
        <w:t xml:space="preserve">Table </w:t>
      </w:r>
      <w:r w:rsidR="00AF4D08">
        <w:rPr>
          <w:b w:val="0"/>
          <w:bCs w:val="0"/>
          <w:i/>
          <w:iCs/>
          <w:color w:val="auto"/>
          <w:sz w:val="24"/>
          <w:szCs w:val="24"/>
        </w:rPr>
        <w:t>A</w:t>
      </w:r>
      <w:r w:rsidR="00367870">
        <w:rPr>
          <w:b w:val="0"/>
          <w:bCs w:val="0"/>
          <w:i/>
          <w:iCs/>
          <w:color w:val="auto"/>
          <w:sz w:val="24"/>
          <w:szCs w:val="24"/>
        </w:rPr>
        <w:noBreakHyphen/>
      </w:r>
      <w:bookmarkEnd w:id="203"/>
      <w:r w:rsidR="00881915">
        <w:rPr>
          <w:b w:val="0"/>
          <w:bCs w:val="0"/>
          <w:i/>
          <w:iCs/>
          <w:color w:val="auto"/>
          <w:sz w:val="24"/>
          <w:szCs w:val="24"/>
        </w:rPr>
        <w:t>4</w:t>
      </w:r>
      <w:r w:rsidR="00B475CC">
        <w:rPr>
          <w:b w:val="0"/>
          <w:bCs w:val="0"/>
          <w:i/>
          <w:iCs/>
          <w:color w:val="auto"/>
          <w:sz w:val="24"/>
          <w:szCs w:val="24"/>
        </w:rPr>
        <w:tab/>
        <w:t>Overview</w:t>
      </w:r>
      <w:r w:rsidR="00B475CC" w:rsidRPr="00591A2A">
        <w:rPr>
          <w:b w:val="0"/>
          <w:bCs w:val="0"/>
          <w:i/>
          <w:iCs/>
          <w:color w:val="auto"/>
          <w:sz w:val="24"/>
          <w:szCs w:val="24"/>
        </w:rPr>
        <w:t xml:space="preserve"> of studies on specialist treatment</w:t>
      </w:r>
      <w:r w:rsidR="002E7D2A">
        <w:rPr>
          <w:b w:val="0"/>
          <w:bCs w:val="0"/>
          <w:i/>
          <w:iCs/>
          <w:color w:val="auto"/>
          <w:sz w:val="24"/>
          <w:szCs w:val="24"/>
        </w:rPr>
        <w:t xml:space="preserve"> </w:t>
      </w:r>
      <w:r w:rsidR="002E7D2A" w:rsidRPr="002E7D2A">
        <w:rPr>
          <w:b w:val="0"/>
          <w:bCs w:val="0"/>
          <w:i/>
          <w:iCs/>
          <w:color w:val="auto"/>
          <w:sz w:val="24"/>
          <w:szCs w:val="24"/>
        </w:rPr>
        <w:t>plus parenting intervention studies</w:t>
      </w:r>
      <w:r w:rsidR="00B475CC" w:rsidRPr="00591A2A">
        <w:rPr>
          <w:b w:val="0"/>
          <w:bCs w:val="0"/>
          <w:i/>
          <w:iCs/>
          <w:color w:val="auto"/>
          <w:sz w:val="24"/>
          <w:szCs w:val="24"/>
        </w:rPr>
        <w:t xml:space="preserve"> (n=14)</w:t>
      </w:r>
    </w:p>
    <w:p w14:paraId="38BD5A94" w14:textId="77777777" w:rsidR="00A665D7" w:rsidRPr="00DB301B" w:rsidRDefault="00A665D7" w:rsidP="00A665D7"/>
    <w:tbl>
      <w:tblPr>
        <w:tblStyle w:val="TableGrid"/>
        <w:tblW w:w="0" w:type="auto"/>
        <w:tblLook w:val="04A0" w:firstRow="1" w:lastRow="0" w:firstColumn="1" w:lastColumn="0" w:noHBand="0" w:noVBand="1"/>
      </w:tblPr>
      <w:tblGrid>
        <w:gridCol w:w="1212"/>
        <w:gridCol w:w="2601"/>
        <w:gridCol w:w="2601"/>
        <w:gridCol w:w="2602"/>
      </w:tblGrid>
      <w:tr w:rsidR="00A665D7" w:rsidRPr="00925EA9" w14:paraId="0DC24276" w14:textId="77777777">
        <w:trPr>
          <w:trHeight w:val="727"/>
        </w:trPr>
        <w:tc>
          <w:tcPr>
            <w:tcW w:w="0" w:type="auto"/>
            <w:shd w:val="clear" w:color="auto" w:fill="44546A" w:themeFill="text2"/>
          </w:tcPr>
          <w:p w14:paraId="5348A5BF" w14:textId="77777777" w:rsidR="00A665D7" w:rsidRPr="00925EA9" w:rsidRDefault="00A665D7">
            <w:pPr>
              <w:rPr>
                <w:rFonts w:cs="Arial"/>
                <w:color w:val="FFFFFF" w:themeColor="background1"/>
                <w:sz w:val="20"/>
                <w:szCs w:val="20"/>
              </w:rPr>
            </w:pPr>
            <w:r w:rsidRPr="00925EA9">
              <w:rPr>
                <w:rFonts w:cs="Arial"/>
                <w:color w:val="FFFFFF" w:themeColor="background1"/>
                <w:sz w:val="20"/>
                <w:szCs w:val="20"/>
              </w:rPr>
              <w:t>Quality rating</w:t>
            </w:r>
          </w:p>
        </w:tc>
        <w:tc>
          <w:tcPr>
            <w:tcW w:w="2601" w:type="dxa"/>
            <w:shd w:val="clear" w:color="auto" w:fill="44546A" w:themeFill="text2"/>
          </w:tcPr>
          <w:p w14:paraId="250B8341" w14:textId="77777777" w:rsidR="00A665D7" w:rsidRPr="00925EA9" w:rsidRDefault="00A665D7">
            <w:pPr>
              <w:rPr>
                <w:rFonts w:cs="Arial"/>
                <w:color w:val="FFFFFF" w:themeColor="background1"/>
                <w:sz w:val="20"/>
                <w:szCs w:val="20"/>
              </w:rPr>
            </w:pPr>
            <w:r w:rsidRPr="00925EA9">
              <w:rPr>
                <w:rFonts w:cs="Arial"/>
                <w:color w:val="FFFFFF" w:themeColor="background1"/>
                <w:sz w:val="20"/>
                <w:szCs w:val="20"/>
              </w:rPr>
              <w:t>Intervention</w:t>
            </w:r>
          </w:p>
        </w:tc>
        <w:tc>
          <w:tcPr>
            <w:tcW w:w="2601" w:type="dxa"/>
            <w:shd w:val="clear" w:color="auto" w:fill="44546A" w:themeFill="text2"/>
          </w:tcPr>
          <w:p w14:paraId="45B7198C" w14:textId="77777777" w:rsidR="00A665D7" w:rsidRPr="00925EA9" w:rsidRDefault="00A665D7">
            <w:pPr>
              <w:rPr>
                <w:rFonts w:cs="Arial"/>
                <w:color w:val="FFFFFF" w:themeColor="background1"/>
                <w:sz w:val="20"/>
                <w:szCs w:val="20"/>
              </w:rPr>
            </w:pPr>
            <w:r>
              <w:rPr>
                <w:rFonts w:cs="Arial"/>
                <w:color w:val="FFFFFF" w:themeColor="background1"/>
                <w:sz w:val="20"/>
                <w:szCs w:val="20"/>
              </w:rPr>
              <w:t>Outcomes</w:t>
            </w:r>
            <w:r w:rsidRPr="00925EA9">
              <w:rPr>
                <w:rFonts w:cs="Arial"/>
                <w:color w:val="FFFFFF" w:themeColor="background1"/>
                <w:sz w:val="20"/>
                <w:szCs w:val="20"/>
              </w:rPr>
              <w:t xml:space="preserve"> </w:t>
            </w:r>
          </w:p>
        </w:tc>
        <w:tc>
          <w:tcPr>
            <w:tcW w:w="2602" w:type="dxa"/>
            <w:shd w:val="clear" w:color="auto" w:fill="44546A" w:themeFill="text2"/>
          </w:tcPr>
          <w:p w14:paraId="1C5BEDE6" w14:textId="77777777" w:rsidR="00A665D7" w:rsidRPr="00925EA9" w:rsidRDefault="00A665D7">
            <w:pPr>
              <w:rPr>
                <w:rFonts w:cs="Arial"/>
                <w:color w:val="FFFFFF" w:themeColor="background1"/>
                <w:sz w:val="20"/>
                <w:szCs w:val="20"/>
              </w:rPr>
            </w:pPr>
            <w:r w:rsidRPr="00925EA9">
              <w:rPr>
                <w:rFonts w:cs="Arial"/>
                <w:color w:val="FFFFFF" w:themeColor="background1"/>
                <w:sz w:val="20"/>
                <w:szCs w:val="20"/>
              </w:rPr>
              <w:t>Additional comments</w:t>
            </w:r>
          </w:p>
        </w:tc>
      </w:tr>
      <w:tr w:rsidR="00A665D7" w:rsidRPr="00925EA9" w14:paraId="7FF8276C" w14:textId="77777777">
        <w:trPr>
          <w:trHeight w:val="894"/>
        </w:trPr>
        <w:tc>
          <w:tcPr>
            <w:tcW w:w="0" w:type="auto"/>
          </w:tcPr>
          <w:p w14:paraId="707C5B4B" w14:textId="77777777" w:rsidR="00A665D7" w:rsidRPr="00925EA9" w:rsidRDefault="00A665D7">
            <w:pPr>
              <w:rPr>
                <w:rFonts w:cs="Arial"/>
                <w:sz w:val="20"/>
                <w:szCs w:val="20"/>
              </w:rPr>
            </w:pPr>
            <w:r w:rsidRPr="00925EA9">
              <w:rPr>
                <w:rFonts w:cs="Arial"/>
                <w:sz w:val="20"/>
                <w:szCs w:val="20"/>
              </w:rPr>
              <w:t>2 (Low)</w:t>
            </w:r>
            <w:r>
              <w:rPr>
                <w:rFonts w:cs="Arial"/>
                <w:sz w:val="20"/>
                <w:szCs w:val="20"/>
              </w:rPr>
              <w:t xml:space="preserve"> </w:t>
            </w:r>
          </w:p>
        </w:tc>
        <w:tc>
          <w:tcPr>
            <w:tcW w:w="2601" w:type="dxa"/>
          </w:tcPr>
          <w:p w14:paraId="6DC72F73" w14:textId="77777777" w:rsidR="00A665D7" w:rsidRDefault="00A665D7">
            <w:pPr>
              <w:rPr>
                <w:rFonts w:cs="Arial"/>
                <w:sz w:val="20"/>
                <w:szCs w:val="20"/>
              </w:rPr>
            </w:pPr>
            <w:r>
              <w:rPr>
                <w:rFonts w:cs="Arial"/>
                <w:sz w:val="20"/>
                <w:szCs w:val="20"/>
              </w:rPr>
              <w:t xml:space="preserve">Relational therapy (n=1), </w:t>
            </w:r>
          </w:p>
          <w:p w14:paraId="0D743B80" w14:textId="77777777" w:rsidR="00A665D7" w:rsidRPr="00B84E9A" w:rsidRDefault="00A665D7">
            <w:pPr>
              <w:rPr>
                <w:rFonts w:cs="Arial"/>
                <w:sz w:val="20"/>
                <w:szCs w:val="20"/>
              </w:rPr>
            </w:pPr>
            <w:r>
              <w:rPr>
                <w:rFonts w:cs="Arial"/>
                <w:sz w:val="20"/>
                <w:szCs w:val="20"/>
              </w:rPr>
              <w:t>attachment-based (n=1), home-visitation</w:t>
            </w:r>
            <w:r>
              <w:rPr>
                <w:sz w:val="20"/>
                <w:szCs w:val="20"/>
              </w:rPr>
              <w:t xml:space="preserve">s </w:t>
            </w:r>
            <w:r>
              <w:rPr>
                <w:rFonts w:cs="Arial"/>
                <w:sz w:val="20"/>
                <w:szCs w:val="20"/>
              </w:rPr>
              <w:t>(n=1)</w:t>
            </w:r>
          </w:p>
        </w:tc>
        <w:tc>
          <w:tcPr>
            <w:tcW w:w="2601" w:type="dxa"/>
            <w:vMerge w:val="restart"/>
          </w:tcPr>
          <w:p w14:paraId="3F1B668E" w14:textId="77777777" w:rsidR="00A665D7" w:rsidRDefault="00A665D7">
            <w:pPr>
              <w:rPr>
                <w:rFonts w:cs="Arial"/>
                <w:sz w:val="20"/>
                <w:szCs w:val="20"/>
              </w:rPr>
            </w:pPr>
            <w:r>
              <w:rPr>
                <w:rFonts w:cs="Arial"/>
                <w:sz w:val="20"/>
                <w:szCs w:val="20"/>
              </w:rPr>
              <w:t>Relational therapy may be effective in the short term, but favourable outcomes may not be sustained.</w:t>
            </w:r>
          </w:p>
          <w:p w14:paraId="193A3340" w14:textId="77777777" w:rsidR="00A665D7" w:rsidRDefault="00A665D7">
            <w:pPr>
              <w:rPr>
                <w:sz w:val="20"/>
                <w:szCs w:val="20"/>
              </w:rPr>
            </w:pPr>
          </w:p>
          <w:p w14:paraId="68CCD3AC" w14:textId="77777777" w:rsidR="00A665D7" w:rsidRDefault="00A665D7">
            <w:pPr>
              <w:rPr>
                <w:sz w:val="20"/>
                <w:szCs w:val="20"/>
              </w:rPr>
            </w:pPr>
            <w:r>
              <w:rPr>
                <w:sz w:val="20"/>
                <w:szCs w:val="20"/>
              </w:rPr>
              <w:t>A</w:t>
            </w:r>
            <w:r w:rsidRPr="0040216E">
              <w:rPr>
                <w:sz w:val="20"/>
                <w:szCs w:val="20"/>
              </w:rPr>
              <w:t xml:space="preserve">ttachment-based programmes </w:t>
            </w:r>
            <w:r>
              <w:rPr>
                <w:sz w:val="20"/>
                <w:szCs w:val="20"/>
              </w:rPr>
              <w:t>are</w:t>
            </w:r>
            <w:r w:rsidRPr="0040216E">
              <w:rPr>
                <w:sz w:val="20"/>
                <w:szCs w:val="20"/>
              </w:rPr>
              <w:t xml:space="preserve"> feasible and appear to be effective.</w:t>
            </w:r>
          </w:p>
          <w:p w14:paraId="14E15AE2" w14:textId="77777777" w:rsidR="00A665D7" w:rsidRDefault="00A665D7">
            <w:pPr>
              <w:rPr>
                <w:sz w:val="20"/>
                <w:szCs w:val="20"/>
              </w:rPr>
            </w:pPr>
          </w:p>
          <w:p w14:paraId="24684B12" w14:textId="77777777" w:rsidR="00A665D7" w:rsidRPr="00AD3210" w:rsidRDefault="00A665D7">
            <w:pPr>
              <w:rPr>
                <w:sz w:val="20"/>
                <w:szCs w:val="20"/>
              </w:rPr>
            </w:pPr>
            <w:r>
              <w:rPr>
                <w:sz w:val="20"/>
                <w:szCs w:val="20"/>
              </w:rPr>
              <w:t>Home visitation interventions may be both effective and cost-effective.</w:t>
            </w:r>
            <w:r w:rsidRPr="0040216E">
              <w:rPr>
                <w:sz w:val="20"/>
                <w:szCs w:val="20"/>
              </w:rPr>
              <w:t xml:space="preserve"> </w:t>
            </w:r>
          </w:p>
        </w:tc>
        <w:tc>
          <w:tcPr>
            <w:tcW w:w="2602" w:type="dxa"/>
            <w:vMerge w:val="restart"/>
          </w:tcPr>
          <w:p w14:paraId="5014C981" w14:textId="77777777" w:rsidR="00A665D7" w:rsidRDefault="00A665D7">
            <w:pPr>
              <w:rPr>
                <w:rFonts w:cs="Arial"/>
                <w:bCs/>
                <w:sz w:val="20"/>
                <w:szCs w:val="20"/>
              </w:rPr>
            </w:pPr>
            <w:r w:rsidRPr="00903085">
              <w:rPr>
                <w:rFonts w:cs="Arial"/>
                <w:bCs/>
                <w:sz w:val="20"/>
                <w:szCs w:val="20"/>
              </w:rPr>
              <w:t>All stud</w:t>
            </w:r>
            <w:r>
              <w:rPr>
                <w:rFonts w:cs="Arial"/>
                <w:bCs/>
                <w:sz w:val="20"/>
                <w:szCs w:val="20"/>
              </w:rPr>
              <w:t>ies US based except 1 Australian, 1 Finnish, 1 Canadian and 1 UK study. 2 studies on fathers, 1 study on mothers and fathers. 2 CEA.</w:t>
            </w:r>
          </w:p>
          <w:p w14:paraId="48833D25" w14:textId="77777777" w:rsidR="00A665D7" w:rsidRDefault="00A665D7">
            <w:pPr>
              <w:pStyle w:val="NoSpacing"/>
            </w:pPr>
          </w:p>
          <w:p w14:paraId="6DCD81C4" w14:textId="77777777" w:rsidR="00A665D7" w:rsidRPr="005E2AE4" w:rsidRDefault="00A665D7">
            <w:pPr>
              <w:pStyle w:val="NoSpacing"/>
              <w:spacing w:line="240" w:lineRule="auto"/>
              <w:rPr>
                <w:sz w:val="20"/>
                <w:szCs w:val="20"/>
              </w:rPr>
            </w:pPr>
            <w:r w:rsidRPr="005E2AE4">
              <w:rPr>
                <w:sz w:val="20"/>
                <w:szCs w:val="20"/>
              </w:rPr>
              <w:t xml:space="preserve">Large-scale trials are needed to better understand effectiveness.  </w:t>
            </w:r>
          </w:p>
        </w:tc>
      </w:tr>
      <w:tr w:rsidR="00A665D7" w:rsidRPr="00925EA9" w14:paraId="6192A4F1" w14:textId="77777777">
        <w:trPr>
          <w:trHeight w:val="416"/>
        </w:trPr>
        <w:tc>
          <w:tcPr>
            <w:tcW w:w="0" w:type="auto"/>
          </w:tcPr>
          <w:p w14:paraId="6E0D57BD" w14:textId="77777777" w:rsidR="00A665D7" w:rsidRPr="00925EA9" w:rsidRDefault="00A665D7">
            <w:pPr>
              <w:rPr>
                <w:rFonts w:cs="Arial"/>
                <w:sz w:val="20"/>
                <w:szCs w:val="20"/>
              </w:rPr>
            </w:pPr>
            <w:r w:rsidRPr="00925EA9">
              <w:rPr>
                <w:rFonts w:cs="Arial"/>
                <w:sz w:val="20"/>
                <w:szCs w:val="20"/>
              </w:rPr>
              <w:t>3 (Moderate)</w:t>
            </w:r>
          </w:p>
        </w:tc>
        <w:tc>
          <w:tcPr>
            <w:tcW w:w="2601" w:type="dxa"/>
          </w:tcPr>
          <w:p w14:paraId="10EBD118" w14:textId="77777777" w:rsidR="00A665D7" w:rsidRPr="00D36D01" w:rsidRDefault="00A665D7">
            <w:pPr>
              <w:rPr>
                <w:rFonts w:cs="Arial"/>
                <w:sz w:val="20"/>
                <w:szCs w:val="20"/>
              </w:rPr>
            </w:pPr>
            <w:r>
              <w:rPr>
                <w:rFonts w:cs="Arial"/>
                <w:sz w:val="20"/>
                <w:szCs w:val="20"/>
              </w:rPr>
              <w:t xml:space="preserve">Relational therapy (n=4), attachment-based therapy (n=3), home-visitations (n=2) </w:t>
            </w:r>
          </w:p>
        </w:tc>
        <w:tc>
          <w:tcPr>
            <w:tcW w:w="2601" w:type="dxa"/>
            <w:vMerge/>
          </w:tcPr>
          <w:p w14:paraId="41C13AB1" w14:textId="77777777" w:rsidR="00A665D7" w:rsidRPr="00925EA9" w:rsidRDefault="00A665D7">
            <w:pPr>
              <w:rPr>
                <w:rFonts w:cs="Arial"/>
                <w:sz w:val="20"/>
                <w:szCs w:val="20"/>
              </w:rPr>
            </w:pPr>
          </w:p>
        </w:tc>
        <w:tc>
          <w:tcPr>
            <w:tcW w:w="2602" w:type="dxa"/>
            <w:vMerge/>
          </w:tcPr>
          <w:p w14:paraId="2CF58240" w14:textId="77777777" w:rsidR="00A665D7" w:rsidRPr="00925EA9" w:rsidRDefault="00A665D7">
            <w:pPr>
              <w:rPr>
                <w:rFonts w:cs="Arial"/>
                <w:b/>
                <w:sz w:val="20"/>
                <w:szCs w:val="20"/>
              </w:rPr>
            </w:pPr>
          </w:p>
        </w:tc>
      </w:tr>
      <w:tr w:rsidR="00A665D7" w:rsidRPr="00925EA9" w14:paraId="57A9DA6F" w14:textId="77777777">
        <w:trPr>
          <w:trHeight w:val="263"/>
        </w:trPr>
        <w:tc>
          <w:tcPr>
            <w:tcW w:w="0" w:type="auto"/>
          </w:tcPr>
          <w:p w14:paraId="51CEADA2" w14:textId="77777777" w:rsidR="00A665D7" w:rsidRPr="00925EA9" w:rsidRDefault="00A665D7">
            <w:pPr>
              <w:rPr>
                <w:rFonts w:cs="Arial"/>
                <w:sz w:val="20"/>
                <w:szCs w:val="20"/>
              </w:rPr>
            </w:pPr>
            <w:r w:rsidRPr="00925EA9">
              <w:rPr>
                <w:rFonts w:cs="Arial"/>
                <w:sz w:val="20"/>
                <w:szCs w:val="20"/>
              </w:rPr>
              <w:t>4 (High)</w:t>
            </w:r>
          </w:p>
        </w:tc>
        <w:tc>
          <w:tcPr>
            <w:tcW w:w="2601" w:type="dxa"/>
          </w:tcPr>
          <w:p w14:paraId="00E7F1E7" w14:textId="77777777" w:rsidR="00A665D7" w:rsidRPr="00B84E9A" w:rsidRDefault="00A665D7">
            <w:pPr>
              <w:rPr>
                <w:rFonts w:cs="Arial"/>
                <w:sz w:val="20"/>
                <w:szCs w:val="20"/>
              </w:rPr>
            </w:pPr>
            <w:r>
              <w:rPr>
                <w:rFonts w:cs="Arial"/>
                <w:sz w:val="20"/>
                <w:szCs w:val="20"/>
              </w:rPr>
              <w:t>Home-visitations (n=2)</w:t>
            </w:r>
          </w:p>
        </w:tc>
        <w:tc>
          <w:tcPr>
            <w:tcW w:w="2601" w:type="dxa"/>
            <w:vMerge/>
          </w:tcPr>
          <w:p w14:paraId="5D37DA6C" w14:textId="77777777" w:rsidR="00A665D7" w:rsidRPr="00925EA9" w:rsidRDefault="00A665D7">
            <w:pPr>
              <w:rPr>
                <w:rFonts w:cs="Arial"/>
                <w:sz w:val="20"/>
                <w:szCs w:val="20"/>
              </w:rPr>
            </w:pPr>
          </w:p>
        </w:tc>
        <w:tc>
          <w:tcPr>
            <w:tcW w:w="2602" w:type="dxa"/>
            <w:vMerge/>
          </w:tcPr>
          <w:p w14:paraId="42C34138" w14:textId="77777777" w:rsidR="00A665D7" w:rsidRPr="00925EA9" w:rsidRDefault="00A665D7">
            <w:pPr>
              <w:rPr>
                <w:rFonts w:cs="Arial"/>
                <w:b/>
                <w:sz w:val="20"/>
                <w:szCs w:val="20"/>
              </w:rPr>
            </w:pPr>
          </w:p>
        </w:tc>
      </w:tr>
      <w:bookmarkEnd w:id="200"/>
      <w:bookmarkEnd w:id="201"/>
      <w:bookmarkEnd w:id="202"/>
    </w:tbl>
    <w:p w14:paraId="2C9FEDC6" w14:textId="77777777" w:rsidR="0025732F" w:rsidRDefault="0025732F" w:rsidP="0025732F">
      <w:pPr>
        <w:pStyle w:val="NoSpacing"/>
        <w:sectPr w:rsidR="0025732F" w:rsidSect="0025732F">
          <w:footerReference w:type="default" r:id="rId312"/>
          <w:pgSz w:w="11906" w:h="16838"/>
          <w:pgMar w:top="1440" w:right="1440" w:bottom="1440" w:left="1440" w:header="709" w:footer="709" w:gutter="0"/>
          <w:cols w:space="708"/>
          <w:docGrid w:linePitch="360"/>
        </w:sectPr>
      </w:pPr>
    </w:p>
    <w:p w14:paraId="5F4BAE70" w14:textId="5C056052" w:rsidR="002E7D2A" w:rsidRPr="00D21896" w:rsidRDefault="00D21896" w:rsidP="00D21896">
      <w:pPr>
        <w:pStyle w:val="Caption"/>
        <w:keepNext/>
        <w:rPr>
          <w:b w:val="0"/>
          <w:bCs w:val="0"/>
          <w:i/>
          <w:iCs/>
          <w:color w:val="auto"/>
          <w:sz w:val="24"/>
          <w:szCs w:val="24"/>
        </w:rPr>
      </w:pPr>
      <w:bookmarkStart w:id="204" w:name="_Ref177032687"/>
      <w:r w:rsidRPr="00D21896">
        <w:rPr>
          <w:b w:val="0"/>
          <w:bCs w:val="0"/>
          <w:i/>
          <w:iCs/>
          <w:color w:val="auto"/>
          <w:sz w:val="24"/>
          <w:szCs w:val="24"/>
        </w:rPr>
        <w:lastRenderedPageBreak/>
        <w:t xml:space="preserve">Table </w:t>
      </w:r>
      <w:r w:rsidR="00AF4D08">
        <w:rPr>
          <w:b w:val="0"/>
          <w:bCs w:val="0"/>
          <w:i/>
          <w:iCs/>
          <w:color w:val="auto"/>
          <w:sz w:val="24"/>
          <w:szCs w:val="24"/>
        </w:rPr>
        <w:t>A</w:t>
      </w:r>
      <w:r w:rsidR="00367870">
        <w:rPr>
          <w:b w:val="0"/>
          <w:bCs w:val="0"/>
          <w:i/>
          <w:iCs/>
          <w:color w:val="auto"/>
          <w:sz w:val="24"/>
          <w:szCs w:val="24"/>
        </w:rPr>
        <w:noBreakHyphen/>
      </w:r>
      <w:bookmarkEnd w:id="204"/>
      <w:r w:rsidR="00881915">
        <w:rPr>
          <w:b w:val="0"/>
          <w:bCs w:val="0"/>
          <w:i/>
          <w:iCs/>
          <w:color w:val="auto"/>
          <w:sz w:val="24"/>
          <w:szCs w:val="24"/>
        </w:rPr>
        <w:t>5</w:t>
      </w:r>
      <w:r w:rsidR="002E7D2A">
        <w:rPr>
          <w:b w:val="0"/>
          <w:bCs w:val="0"/>
          <w:i/>
          <w:iCs/>
          <w:color w:val="auto"/>
          <w:sz w:val="24"/>
          <w:szCs w:val="24"/>
        </w:rPr>
        <w:tab/>
      </w:r>
      <w:r w:rsidR="002E7D2A" w:rsidRPr="00591A2A">
        <w:rPr>
          <w:b w:val="0"/>
          <w:bCs w:val="0"/>
          <w:i/>
          <w:iCs/>
          <w:color w:val="auto"/>
          <w:sz w:val="24"/>
          <w:szCs w:val="24"/>
        </w:rPr>
        <w:t xml:space="preserve">Data extracts of studies on </w:t>
      </w:r>
      <w:r w:rsidR="002E7D2A" w:rsidRPr="002E7D2A">
        <w:rPr>
          <w:b w:val="0"/>
          <w:bCs w:val="0"/>
          <w:i/>
          <w:iCs/>
          <w:color w:val="auto"/>
          <w:sz w:val="24"/>
          <w:szCs w:val="24"/>
        </w:rPr>
        <w:t xml:space="preserve">specialist treatment plus parenting interventions </w:t>
      </w:r>
      <w:r w:rsidR="002E7D2A" w:rsidRPr="00591A2A">
        <w:rPr>
          <w:b w:val="0"/>
          <w:bCs w:val="0"/>
          <w:i/>
          <w:iCs/>
          <w:color w:val="auto"/>
          <w:sz w:val="24"/>
          <w:szCs w:val="24"/>
        </w:rPr>
        <w:t>(n=14)</w:t>
      </w:r>
    </w:p>
    <w:p w14:paraId="36F91358" w14:textId="77777777" w:rsidR="0025732F" w:rsidRPr="007B1843" w:rsidRDefault="0025732F" w:rsidP="0025732F">
      <w:pPr>
        <w:pStyle w:val="NoSpacing"/>
        <w:spacing w:line="240" w:lineRule="auto"/>
        <w:rPr>
          <w:b/>
          <w:bCs/>
        </w:rPr>
      </w:pPr>
    </w:p>
    <w:tbl>
      <w:tblPr>
        <w:tblStyle w:val="TableGrid"/>
        <w:tblW w:w="0" w:type="auto"/>
        <w:tblLook w:val="04A0" w:firstRow="1" w:lastRow="0" w:firstColumn="1" w:lastColumn="0" w:noHBand="0" w:noVBand="1"/>
      </w:tblPr>
      <w:tblGrid>
        <w:gridCol w:w="3114"/>
        <w:gridCol w:w="10773"/>
      </w:tblGrid>
      <w:tr w:rsidR="0025732F" w:rsidRPr="00925EA9" w14:paraId="6FD6BB54" w14:textId="77777777">
        <w:tc>
          <w:tcPr>
            <w:tcW w:w="3114" w:type="dxa"/>
            <w:shd w:val="clear" w:color="auto" w:fill="D9E2F3" w:themeFill="accent1" w:themeFillTint="33"/>
          </w:tcPr>
          <w:p w14:paraId="0C67F7AB"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0B950B14" w14:textId="11A6EFAE" w:rsidR="0025732F" w:rsidRPr="00925EA9" w:rsidRDefault="00873C3F">
            <w:pPr>
              <w:rPr>
                <w:rFonts w:cs="Arial"/>
                <w:sz w:val="20"/>
                <w:szCs w:val="20"/>
              </w:rPr>
            </w:pPr>
            <w:r>
              <w:rPr>
                <w:rFonts w:cs="Arial"/>
                <w:sz w:val="20"/>
                <w:szCs w:val="20"/>
              </w:rPr>
              <w:fldChar w:fldCharType="begin"/>
            </w:r>
            <w:r w:rsidR="00B9334F">
              <w:rPr>
                <w:rFonts w:cs="Arial"/>
                <w:sz w:val="20"/>
                <w:szCs w:val="20"/>
              </w:rPr>
              <w:instrText xml:space="preserve"> ADDIN EN.CITE &lt;EndNote&gt;&lt;Cite AuthorYear="1"&gt;&lt;Author&gt;Barlow&lt;/Author&gt;&lt;Year&gt;2019&lt;/Year&gt;&lt;RecNum&gt;352&lt;/RecNum&gt;&lt;DisplayText&gt;Barlow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rPr>
                <w:rFonts w:cs="Arial"/>
                <w:sz w:val="20"/>
                <w:szCs w:val="20"/>
              </w:rPr>
              <w:fldChar w:fldCharType="separate"/>
            </w:r>
            <w:r w:rsidR="00A77498">
              <w:rPr>
                <w:rFonts w:cs="Arial"/>
                <w:noProof/>
                <w:sz w:val="20"/>
                <w:szCs w:val="20"/>
              </w:rPr>
              <w:t>Barlow et al. (2019)</w:t>
            </w:r>
            <w:r>
              <w:rPr>
                <w:rFonts w:cs="Arial"/>
                <w:sz w:val="20"/>
                <w:szCs w:val="20"/>
              </w:rPr>
              <w:fldChar w:fldCharType="end"/>
            </w:r>
          </w:p>
        </w:tc>
      </w:tr>
      <w:tr w:rsidR="0025732F" w:rsidRPr="00925EA9" w14:paraId="4E02FE02" w14:textId="77777777">
        <w:tc>
          <w:tcPr>
            <w:tcW w:w="3114" w:type="dxa"/>
          </w:tcPr>
          <w:p w14:paraId="1BDD8725" w14:textId="77777777" w:rsidR="0025732F" w:rsidRPr="00925EA9" w:rsidRDefault="0025732F">
            <w:pPr>
              <w:rPr>
                <w:rFonts w:cs="Arial"/>
                <w:sz w:val="20"/>
                <w:szCs w:val="20"/>
              </w:rPr>
            </w:pPr>
            <w:r w:rsidRPr="00925EA9">
              <w:rPr>
                <w:rFonts w:cs="Arial"/>
                <w:sz w:val="20"/>
                <w:szCs w:val="20"/>
              </w:rPr>
              <w:t>Aims</w:t>
            </w:r>
          </w:p>
        </w:tc>
        <w:tc>
          <w:tcPr>
            <w:tcW w:w="10773" w:type="dxa"/>
          </w:tcPr>
          <w:p w14:paraId="1C965336" w14:textId="77777777" w:rsidR="0025732F" w:rsidRPr="00925EA9" w:rsidRDefault="0025732F">
            <w:pPr>
              <w:autoSpaceDE w:val="0"/>
              <w:autoSpaceDN w:val="0"/>
              <w:adjustRightInd w:val="0"/>
              <w:rPr>
                <w:rFonts w:cs="Arial"/>
                <w:sz w:val="20"/>
                <w:szCs w:val="20"/>
              </w:rPr>
            </w:pPr>
            <w:r w:rsidRPr="00925EA9">
              <w:rPr>
                <w:rFonts w:cs="Arial"/>
                <w:sz w:val="20"/>
                <w:szCs w:val="20"/>
              </w:rPr>
              <w:t>To analyse the effectiveness and cost-effectiveness on child abuse potential of the Parents under Pressure (PuP) programme compared with treatment as usual for primary caregivers of children younger than 2.5 years, receiving treatment for dependence on psychoactive substances.</w:t>
            </w:r>
          </w:p>
        </w:tc>
      </w:tr>
      <w:tr w:rsidR="0025732F" w:rsidRPr="00925EA9" w14:paraId="5F8C864F" w14:textId="77777777">
        <w:tc>
          <w:tcPr>
            <w:tcW w:w="3114" w:type="dxa"/>
          </w:tcPr>
          <w:p w14:paraId="63D75FD3" w14:textId="77777777" w:rsidR="0025732F" w:rsidRPr="00925EA9" w:rsidRDefault="0025732F">
            <w:pPr>
              <w:rPr>
                <w:rFonts w:cs="Arial"/>
                <w:sz w:val="20"/>
                <w:szCs w:val="20"/>
              </w:rPr>
            </w:pPr>
            <w:r w:rsidRPr="00925EA9">
              <w:rPr>
                <w:rFonts w:cs="Arial"/>
                <w:sz w:val="20"/>
                <w:szCs w:val="20"/>
              </w:rPr>
              <w:t>Design</w:t>
            </w:r>
          </w:p>
        </w:tc>
        <w:tc>
          <w:tcPr>
            <w:tcW w:w="10773" w:type="dxa"/>
          </w:tcPr>
          <w:p w14:paraId="58841E55" w14:textId="77777777" w:rsidR="0025732F" w:rsidRPr="00925EA9" w:rsidRDefault="0025732F">
            <w:pPr>
              <w:autoSpaceDE w:val="0"/>
              <w:autoSpaceDN w:val="0"/>
              <w:adjustRightInd w:val="0"/>
              <w:rPr>
                <w:rFonts w:cs="Arial"/>
                <w:sz w:val="20"/>
                <w:szCs w:val="20"/>
              </w:rPr>
            </w:pPr>
            <w:r w:rsidRPr="00925EA9">
              <w:rPr>
                <w:rFonts w:cs="Arial"/>
                <w:sz w:val="20"/>
                <w:szCs w:val="20"/>
              </w:rPr>
              <w:t>Mixed methods design, randomised control trial study across seven sites. Data was collected at baseline, start of intervention and 6-month follow-up. Child abuse potential was gauged using the 24-item Risk Abuse Scale from the Brief Child Abuse Potential Inventory (BCAP). A within-trial economic evaluation was conducted from the NHS and personal social services perspective. The EQ-5D-5L was administered to estimate quality-adjusted life years (QALYs).</w:t>
            </w:r>
          </w:p>
        </w:tc>
      </w:tr>
      <w:tr w:rsidR="0025732F" w:rsidRPr="00925EA9" w14:paraId="072B8527" w14:textId="77777777">
        <w:tc>
          <w:tcPr>
            <w:tcW w:w="3114" w:type="dxa"/>
          </w:tcPr>
          <w:p w14:paraId="2D095FF7"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5BB34359" w14:textId="77777777" w:rsidR="0025732F" w:rsidRPr="00925EA9" w:rsidRDefault="0025732F">
            <w:pPr>
              <w:rPr>
                <w:rFonts w:cs="Arial"/>
                <w:sz w:val="14"/>
                <w:szCs w:val="14"/>
              </w:rPr>
            </w:pPr>
            <w:r w:rsidRPr="00925EA9">
              <w:rPr>
                <w:rFonts w:cs="Arial"/>
                <w:sz w:val="20"/>
                <w:szCs w:val="20"/>
              </w:rPr>
              <w:t>Intervention (n=52) and comparison (n=48) groups. Almost all participants were mothers (n=4 fathers).</w:t>
            </w:r>
          </w:p>
        </w:tc>
      </w:tr>
      <w:tr w:rsidR="0025732F" w:rsidRPr="00925EA9" w14:paraId="1BD8C9FD" w14:textId="77777777">
        <w:tc>
          <w:tcPr>
            <w:tcW w:w="3114" w:type="dxa"/>
          </w:tcPr>
          <w:p w14:paraId="2B9FD826"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2E33FF60" w14:textId="77777777" w:rsidR="0025732F" w:rsidRPr="00925EA9" w:rsidRDefault="0025732F">
            <w:pPr>
              <w:autoSpaceDE w:val="0"/>
              <w:autoSpaceDN w:val="0"/>
              <w:adjustRightInd w:val="0"/>
              <w:rPr>
                <w:rFonts w:cs="Arial"/>
                <w:sz w:val="20"/>
                <w:szCs w:val="20"/>
              </w:rPr>
            </w:pPr>
            <w:r w:rsidRPr="00925EA9">
              <w:rPr>
                <w:rFonts w:cs="Arial"/>
                <w:sz w:val="20"/>
                <w:szCs w:val="20"/>
              </w:rPr>
              <w:t>PuP is a 24-week home visiting intervention for parents of children under the age of 2.5 with multiple problems receiving treatment for their dependency on psychoactive substances. The programme comprises 12 modules relating to parenting and coping skills lasting 1-2 hours which are determined according to familial need, delivered within a case management structure. Outside of these hours, case managers provide further support on other pertinent issues such as housing.</w:t>
            </w:r>
          </w:p>
        </w:tc>
      </w:tr>
      <w:tr w:rsidR="0025732F" w:rsidRPr="00925EA9" w14:paraId="0B92B760" w14:textId="77777777">
        <w:tc>
          <w:tcPr>
            <w:tcW w:w="3114" w:type="dxa"/>
          </w:tcPr>
          <w:p w14:paraId="66C9A6A8" w14:textId="77777777" w:rsidR="0025732F" w:rsidRPr="00925EA9" w:rsidRDefault="0025732F">
            <w:pPr>
              <w:rPr>
                <w:rFonts w:cs="Arial"/>
                <w:sz w:val="20"/>
                <w:szCs w:val="20"/>
              </w:rPr>
            </w:pPr>
            <w:r w:rsidRPr="00925EA9">
              <w:rPr>
                <w:rFonts w:cs="Arial"/>
                <w:sz w:val="20"/>
                <w:szCs w:val="20"/>
              </w:rPr>
              <w:t>Country</w:t>
            </w:r>
          </w:p>
        </w:tc>
        <w:tc>
          <w:tcPr>
            <w:tcW w:w="10773" w:type="dxa"/>
          </w:tcPr>
          <w:p w14:paraId="610B5A43" w14:textId="77777777" w:rsidR="0025732F" w:rsidRPr="00925EA9" w:rsidRDefault="0025732F">
            <w:pPr>
              <w:rPr>
                <w:rFonts w:cs="Arial"/>
                <w:sz w:val="20"/>
                <w:szCs w:val="20"/>
              </w:rPr>
            </w:pPr>
            <w:r w:rsidRPr="00925EA9">
              <w:rPr>
                <w:rFonts w:cs="Arial"/>
                <w:sz w:val="20"/>
                <w:szCs w:val="20"/>
              </w:rPr>
              <w:t>UK (seven anonymous sites).</w:t>
            </w:r>
          </w:p>
        </w:tc>
      </w:tr>
      <w:tr w:rsidR="0025732F" w:rsidRPr="00925EA9" w14:paraId="3A56E453" w14:textId="77777777">
        <w:tc>
          <w:tcPr>
            <w:tcW w:w="3114" w:type="dxa"/>
          </w:tcPr>
          <w:p w14:paraId="16919B18"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6AF7AA8D" w14:textId="77777777" w:rsidR="0025732F" w:rsidRPr="00925EA9" w:rsidRDefault="0025732F">
            <w:pPr>
              <w:autoSpaceDE w:val="0"/>
              <w:autoSpaceDN w:val="0"/>
              <w:adjustRightInd w:val="0"/>
              <w:rPr>
                <w:rFonts w:cs="Arial"/>
                <w:sz w:val="20"/>
                <w:szCs w:val="20"/>
              </w:rPr>
            </w:pPr>
            <w:r w:rsidRPr="00925EA9">
              <w:rPr>
                <w:rFonts w:cs="Arial"/>
                <w:sz w:val="20"/>
                <w:szCs w:val="20"/>
              </w:rPr>
              <w:t>Primary caregivers receiving the intervention significantly improved their BCAP score over time, in comparison to the comparison group whose scores deteriorated. While no difference was observed between the two arms on parenting stress, negative relationships or self-harm, the intervention group were statistically more likely to improve in several emotion-management, wellbeing and depression measures.</w:t>
            </w:r>
            <w:r>
              <w:rPr>
                <w:rFonts w:cs="Arial"/>
                <w:sz w:val="20"/>
                <w:szCs w:val="20"/>
              </w:rPr>
              <w:t xml:space="preserve"> </w:t>
            </w:r>
            <w:r w:rsidRPr="00925EA9">
              <w:rPr>
                <w:rFonts w:cs="Arial"/>
                <w:sz w:val="20"/>
                <w:szCs w:val="20"/>
              </w:rPr>
              <w:t>There were no differences observed in the parents reporting of their child’s social and emotional wellbeing or in child functioning. There was a trend observed in an increase of legal proceedings (referred to by the researchers as ‘high’ safeguarding risk) in the comparison group and no change in intervention group, however, these were not statistically significant findings.</w:t>
            </w:r>
          </w:p>
        </w:tc>
      </w:tr>
      <w:tr w:rsidR="0025732F" w:rsidRPr="00925EA9" w14:paraId="003E010F" w14:textId="77777777">
        <w:tc>
          <w:tcPr>
            <w:tcW w:w="3114" w:type="dxa"/>
          </w:tcPr>
          <w:p w14:paraId="32821CCB"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44976D04" w14:textId="77777777" w:rsidR="0025732F" w:rsidRPr="00925EA9" w:rsidRDefault="0025732F">
            <w:pPr>
              <w:autoSpaceDE w:val="0"/>
              <w:autoSpaceDN w:val="0"/>
              <w:adjustRightInd w:val="0"/>
              <w:rPr>
                <w:rFonts w:cs="Arial"/>
                <w:sz w:val="20"/>
                <w:szCs w:val="20"/>
              </w:rPr>
            </w:pPr>
            <w:r w:rsidRPr="00925EA9">
              <w:rPr>
                <w:rFonts w:cs="Arial"/>
                <w:sz w:val="20"/>
                <w:szCs w:val="20"/>
              </w:rPr>
              <w:t>BCAP scores and QALYs were used to calculate the incremental cost-effectiveness ratios (ICERs).  The intervention had a 52% probability of cost-effectiveness at a willingness to pay (WTP) of £1,000 per unit BCAP score improvement, increasing to 98% at a WTP of £20,000. However, the intervention was above the NICE threshold of £20-30,000 per QALY gain at £34,095</w:t>
            </w:r>
            <w:r>
              <w:rPr>
                <w:rFonts w:cs="Arial"/>
                <w:sz w:val="20"/>
                <w:szCs w:val="20"/>
              </w:rPr>
              <w:t>.</w:t>
            </w:r>
          </w:p>
        </w:tc>
      </w:tr>
      <w:tr w:rsidR="0025732F" w:rsidRPr="00925EA9" w14:paraId="0818210A" w14:textId="77777777">
        <w:tc>
          <w:tcPr>
            <w:tcW w:w="3114" w:type="dxa"/>
          </w:tcPr>
          <w:p w14:paraId="65BB3E51"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5B528729" w14:textId="77777777" w:rsidR="0025732F" w:rsidRPr="00925EA9" w:rsidRDefault="0025732F">
            <w:pPr>
              <w:rPr>
                <w:rFonts w:cs="Arial"/>
                <w:sz w:val="20"/>
                <w:szCs w:val="20"/>
              </w:rPr>
            </w:pPr>
            <w:r w:rsidRPr="00925EA9">
              <w:rPr>
                <w:rFonts w:cs="Arial"/>
                <w:sz w:val="20"/>
                <w:szCs w:val="20"/>
              </w:rPr>
              <w:t>High.</w:t>
            </w:r>
          </w:p>
        </w:tc>
      </w:tr>
      <w:tr w:rsidR="0025732F" w:rsidRPr="00925EA9" w14:paraId="1DE9BB56" w14:textId="77777777">
        <w:tc>
          <w:tcPr>
            <w:tcW w:w="3114" w:type="dxa"/>
            <w:shd w:val="clear" w:color="auto" w:fill="D9E2F3" w:themeFill="accent1" w:themeFillTint="33"/>
          </w:tcPr>
          <w:p w14:paraId="20B83AC0"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56B2A17A" w14:textId="44B1866A"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AuthorYear="1"&gt;&lt;Author&gt;Bartu&lt;/Author&gt;&lt;Year&gt;2006&lt;/Year&gt;&lt;RecNum&gt;165&lt;/RecNum&gt;&lt;DisplayText&gt;Bartu et al. (2006)&lt;/DisplayText&gt;&lt;record&gt;&lt;rec-number&gt;165&lt;/rec-number&gt;&lt;foreign-keys&gt;&lt;key app="EN" db-id="ffzvr5fstavwxoe9v04xf0wmp5t50as52da0" timestamp="1731671646" guid="bd6c1f3a-92e4-46a6-ada9-5a1ba65b97dd"&gt;165&lt;/key&gt;&lt;/foreign-keys&gt;&lt;ref-type name="Journal Article"&gt;17&lt;/ref-type&gt;&lt;contributors&gt;&lt;authors&gt;&lt;author&gt;Bartu, Anne&lt;/author&gt;&lt;author&gt;Sharp, Jennifer&lt;/author&gt;&lt;author&gt;Ludlow, Joanne&lt;/author&gt;&lt;author&gt;Doherty, Dorota A.&lt;/author&gt;&lt;/authors&gt;&lt;/contributors&gt;&lt;titles&gt;&lt;title&gt;Postnatal home visiting for illicit drug</w:instrText>
            </w:r>
            <w:r w:rsidR="00B9334F">
              <w:rPr>
                <w:rFonts w:ascii="Cambria Math" w:hAnsi="Cambria Math" w:cs="Cambria Math"/>
                <w:sz w:val="20"/>
                <w:szCs w:val="20"/>
              </w:rPr>
              <w:instrText>‐</w:instrText>
            </w:r>
            <w:r w:rsidR="00B9334F">
              <w:rPr>
                <w:rFonts w:cs="Arial"/>
                <w:sz w:val="20"/>
                <w:szCs w:val="20"/>
              </w:rPr>
              <w:instrText>using mothers and their infants: A randomised controlled trial&lt;/title&gt;&lt;secondary-title&gt;Australian and New Zealand Journal of Obstetrics and Gynaecology&lt;/secondary-title&gt;&lt;/titles&gt;&lt;periodical&gt;&lt;full-title&gt;Australian and New Zealand Journal of Obstetrics and Gynaecology&lt;/full-title&gt;&lt;/periodical&gt;&lt;pages&gt;419-426&lt;/pages&gt;&lt;volume&gt;46&lt;/volume&gt;&lt;number&gt;5&lt;/number&gt;&lt;keywords&gt;&lt;keyword&gt;Breastfeeding&lt;/keyword&gt;&lt;keyword&gt;Drugs&lt;/keyword&gt;&lt;keyword&gt;Home Visiting&lt;/keyword&gt;&lt;keyword&gt;Immunisations&lt;/keyword&gt;&lt;keyword&gt;Infant Health&lt;/keyword&gt;&lt;/keywords&gt;&lt;dates&gt;&lt;year&gt;2006&lt;/year&gt;&lt;/dates&gt;&lt;pub-location&gt;Melbourne, Australia&lt;/pub-location&gt;&lt;isbn&gt;0004-8666&lt;/isbn&gt;&lt;urls&gt;&lt;/urls&gt;&lt;electronic-resource-num&gt;10.1111/j.1479-828X.2006.00628.x&lt;/electronic-resource-num&gt;&lt;/record&gt;&lt;/Cite&gt;&lt;/EndNote&gt;</w:instrText>
            </w:r>
            <w:r w:rsidRPr="00925EA9">
              <w:rPr>
                <w:rFonts w:cs="Arial"/>
                <w:sz w:val="20"/>
                <w:szCs w:val="20"/>
              </w:rPr>
              <w:fldChar w:fldCharType="separate"/>
            </w:r>
            <w:r w:rsidR="00A77498">
              <w:rPr>
                <w:rFonts w:cs="Arial"/>
                <w:noProof/>
                <w:sz w:val="20"/>
                <w:szCs w:val="20"/>
              </w:rPr>
              <w:t>Bartu et al. (2006)</w:t>
            </w:r>
            <w:r w:rsidRPr="00925EA9">
              <w:rPr>
                <w:rFonts w:cs="Arial"/>
                <w:sz w:val="20"/>
                <w:szCs w:val="20"/>
              </w:rPr>
              <w:fldChar w:fldCharType="end"/>
            </w:r>
          </w:p>
        </w:tc>
      </w:tr>
      <w:tr w:rsidR="0025732F" w:rsidRPr="00925EA9" w14:paraId="62F62BA4" w14:textId="77777777">
        <w:tc>
          <w:tcPr>
            <w:tcW w:w="3114" w:type="dxa"/>
            <w:shd w:val="clear" w:color="auto" w:fill="auto"/>
          </w:tcPr>
          <w:p w14:paraId="2AC488F1" w14:textId="77777777" w:rsidR="0025732F" w:rsidRPr="00925EA9" w:rsidRDefault="0025732F">
            <w:pPr>
              <w:rPr>
                <w:rFonts w:cs="Arial"/>
                <w:sz w:val="20"/>
                <w:szCs w:val="20"/>
              </w:rPr>
            </w:pPr>
            <w:r w:rsidRPr="00925EA9">
              <w:rPr>
                <w:rFonts w:cs="Arial"/>
                <w:sz w:val="20"/>
                <w:szCs w:val="20"/>
              </w:rPr>
              <w:t>Aims</w:t>
            </w:r>
          </w:p>
        </w:tc>
        <w:tc>
          <w:tcPr>
            <w:tcW w:w="10773" w:type="dxa"/>
            <w:shd w:val="clear" w:color="auto" w:fill="auto"/>
          </w:tcPr>
          <w:p w14:paraId="50C64FF4" w14:textId="77777777" w:rsidR="0025732F" w:rsidRPr="00925EA9" w:rsidRDefault="0025732F">
            <w:pPr>
              <w:rPr>
                <w:rFonts w:cs="Arial"/>
                <w:sz w:val="20"/>
                <w:szCs w:val="20"/>
              </w:rPr>
            </w:pPr>
            <w:r w:rsidRPr="00925EA9">
              <w:rPr>
                <w:rFonts w:cs="Arial"/>
                <w:color w:val="1C1D1E"/>
                <w:sz w:val="20"/>
                <w:szCs w:val="20"/>
                <w:shd w:val="clear" w:color="auto" w:fill="FFFFFF"/>
              </w:rPr>
              <w:t>To investigate the effect on breastfeeding, immunisation and parental drug use. The hypothesis was that the outcomes of the home</w:t>
            </w:r>
            <w:r w:rsidRPr="00925EA9">
              <w:rPr>
                <w:rFonts w:ascii="Cambria Math" w:hAnsi="Cambria Math" w:cs="Cambria Math"/>
                <w:color w:val="1C1D1E"/>
                <w:sz w:val="20"/>
                <w:szCs w:val="20"/>
                <w:shd w:val="clear" w:color="auto" w:fill="FFFFFF"/>
              </w:rPr>
              <w:t>‐</w:t>
            </w:r>
            <w:r w:rsidRPr="00925EA9">
              <w:rPr>
                <w:rFonts w:cs="Arial"/>
                <w:color w:val="1C1D1E"/>
                <w:sz w:val="20"/>
                <w:szCs w:val="20"/>
                <w:shd w:val="clear" w:color="auto" w:fill="FFFFFF"/>
              </w:rPr>
              <w:t>visiting group (HVG) would be superior to the control group (CG).</w:t>
            </w:r>
          </w:p>
        </w:tc>
      </w:tr>
      <w:tr w:rsidR="0025732F" w:rsidRPr="00925EA9" w14:paraId="0BBC1D54" w14:textId="77777777">
        <w:tc>
          <w:tcPr>
            <w:tcW w:w="3114" w:type="dxa"/>
            <w:shd w:val="clear" w:color="auto" w:fill="auto"/>
          </w:tcPr>
          <w:p w14:paraId="18F510EA" w14:textId="77777777" w:rsidR="0025732F" w:rsidRPr="00925EA9" w:rsidRDefault="0025732F">
            <w:pPr>
              <w:rPr>
                <w:rFonts w:cs="Arial"/>
                <w:sz w:val="20"/>
                <w:szCs w:val="20"/>
              </w:rPr>
            </w:pPr>
            <w:r w:rsidRPr="00925EA9">
              <w:rPr>
                <w:rFonts w:cs="Arial"/>
                <w:sz w:val="20"/>
                <w:szCs w:val="20"/>
              </w:rPr>
              <w:t>Design</w:t>
            </w:r>
          </w:p>
        </w:tc>
        <w:tc>
          <w:tcPr>
            <w:tcW w:w="10773" w:type="dxa"/>
            <w:shd w:val="clear" w:color="auto" w:fill="auto"/>
          </w:tcPr>
          <w:p w14:paraId="0C96AEC9" w14:textId="77777777" w:rsidR="0025732F" w:rsidRPr="00925EA9" w:rsidRDefault="0025732F">
            <w:pPr>
              <w:autoSpaceDE w:val="0"/>
              <w:autoSpaceDN w:val="0"/>
              <w:adjustRightInd w:val="0"/>
              <w:rPr>
                <w:rFonts w:cs="Arial"/>
                <w:sz w:val="20"/>
                <w:szCs w:val="20"/>
              </w:rPr>
            </w:pPr>
            <w:r w:rsidRPr="00925EA9">
              <w:rPr>
                <w:rFonts w:cs="Arial"/>
                <w:color w:val="1C1D1E"/>
                <w:sz w:val="20"/>
                <w:szCs w:val="20"/>
                <w:shd w:val="clear" w:color="auto" w:fill="FFFFFF"/>
              </w:rPr>
              <w:t xml:space="preserve">RCT - patients were randomised postpartum – with six-month follow-up an intention-to-treat analysis. </w:t>
            </w:r>
          </w:p>
        </w:tc>
      </w:tr>
      <w:tr w:rsidR="0025732F" w:rsidRPr="00925EA9" w14:paraId="0108B674" w14:textId="77777777">
        <w:tc>
          <w:tcPr>
            <w:tcW w:w="3114" w:type="dxa"/>
            <w:shd w:val="clear" w:color="auto" w:fill="auto"/>
          </w:tcPr>
          <w:p w14:paraId="4ABDDDDB" w14:textId="77777777" w:rsidR="0025732F" w:rsidRPr="00925EA9" w:rsidRDefault="0025732F">
            <w:pPr>
              <w:rPr>
                <w:rFonts w:cs="Arial"/>
                <w:sz w:val="20"/>
                <w:szCs w:val="20"/>
              </w:rPr>
            </w:pPr>
            <w:r w:rsidRPr="00925EA9">
              <w:rPr>
                <w:rFonts w:cs="Arial"/>
                <w:sz w:val="20"/>
                <w:szCs w:val="20"/>
              </w:rPr>
              <w:t>Population</w:t>
            </w:r>
          </w:p>
        </w:tc>
        <w:tc>
          <w:tcPr>
            <w:tcW w:w="10773" w:type="dxa"/>
            <w:shd w:val="clear" w:color="auto" w:fill="auto"/>
          </w:tcPr>
          <w:p w14:paraId="70F4F931" w14:textId="77777777" w:rsidR="0025732F" w:rsidRPr="00925EA9" w:rsidRDefault="0025732F">
            <w:pPr>
              <w:rPr>
                <w:rFonts w:cs="Arial"/>
                <w:sz w:val="20"/>
                <w:szCs w:val="20"/>
              </w:rPr>
            </w:pPr>
            <w:r w:rsidRPr="00925EA9">
              <w:rPr>
                <w:rFonts w:cs="Arial"/>
                <w:sz w:val="20"/>
                <w:szCs w:val="20"/>
              </w:rPr>
              <w:t xml:space="preserve">Intervention (n=76) and comparison (n=76) pregnant illicit drug using women at 35-40 weeks gestation. </w:t>
            </w:r>
          </w:p>
        </w:tc>
      </w:tr>
      <w:tr w:rsidR="0025732F" w:rsidRPr="00925EA9" w14:paraId="3B2796D5" w14:textId="77777777">
        <w:tc>
          <w:tcPr>
            <w:tcW w:w="3114" w:type="dxa"/>
            <w:shd w:val="clear" w:color="auto" w:fill="auto"/>
          </w:tcPr>
          <w:p w14:paraId="464C381D" w14:textId="77777777" w:rsidR="0025732F" w:rsidRPr="00925EA9" w:rsidRDefault="0025732F">
            <w:pPr>
              <w:rPr>
                <w:rFonts w:cs="Arial"/>
                <w:sz w:val="20"/>
                <w:szCs w:val="20"/>
              </w:rPr>
            </w:pPr>
            <w:r w:rsidRPr="00925EA9">
              <w:rPr>
                <w:rFonts w:cs="Arial"/>
                <w:sz w:val="20"/>
                <w:szCs w:val="20"/>
              </w:rPr>
              <w:t>Intervention</w:t>
            </w:r>
          </w:p>
        </w:tc>
        <w:tc>
          <w:tcPr>
            <w:tcW w:w="10773" w:type="dxa"/>
            <w:shd w:val="clear" w:color="auto" w:fill="auto"/>
          </w:tcPr>
          <w:p w14:paraId="75117E4F" w14:textId="77777777" w:rsidR="0025732F" w:rsidRPr="00925EA9" w:rsidRDefault="0025732F">
            <w:pPr>
              <w:rPr>
                <w:rFonts w:cs="Arial"/>
                <w:sz w:val="20"/>
                <w:szCs w:val="20"/>
              </w:rPr>
            </w:pPr>
            <w:r w:rsidRPr="00925EA9">
              <w:rPr>
                <w:rFonts w:cs="Arial"/>
                <w:color w:val="1C1D1E"/>
                <w:sz w:val="20"/>
                <w:szCs w:val="20"/>
                <w:shd w:val="clear" w:color="auto" w:fill="FFFFFF"/>
              </w:rPr>
              <w:t xml:space="preserve">The intervention group received eight home visits providing parenting skills and information on breastfeeding and child development whereas the comparison had telephone contact at two months and a home visit at six months. </w:t>
            </w:r>
          </w:p>
        </w:tc>
      </w:tr>
      <w:tr w:rsidR="0025732F" w:rsidRPr="00925EA9" w14:paraId="6854379E" w14:textId="77777777">
        <w:tc>
          <w:tcPr>
            <w:tcW w:w="3114" w:type="dxa"/>
            <w:shd w:val="clear" w:color="auto" w:fill="auto"/>
          </w:tcPr>
          <w:p w14:paraId="78D24636" w14:textId="77777777" w:rsidR="0025732F" w:rsidRPr="00925EA9" w:rsidRDefault="0025732F">
            <w:pPr>
              <w:rPr>
                <w:rFonts w:cs="Arial"/>
                <w:sz w:val="20"/>
                <w:szCs w:val="20"/>
              </w:rPr>
            </w:pPr>
            <w:r w:rsidRPr="00925EA9">
              <w:rPr>
                <w:rFonts w:cs="Arial"/>
                <w:sz w:val="20"/>
                <w:szCs w:val="20"/>
              </w:rPr>
              <w:t>Country</w:t>
            </w:r>
          </w:p>
        </w:tc>
        <w:tc>
          <w:tcPr>
            <w:tcW w:w="10773" w:type="dxa"/>
            <w:shd w:val="clear" w:color="auto" w:fill="auto"/>
          </w:tcPr>
          <w:p w14:paraId="35DC87D8" w14:textId="77777777" w:rsidR="0025732F" w:rsidRPr="00925EA9" w:rsidRDefault="0025732F">
            <w:pPr>
              <w:rPr>
                <w:rFonts w:cs="Arial"/>
                <w:sz w:val="20"/>
                <w:szCs w:val="20"/>
              </w:rPr>
            </w:pPr>
            <w:r w:rsidRPr="00925EA9">
              <w:rPr>
                <w:rFonts w:cs="Arial"/>
                <w:sz w:val="20"/>
                <w:szCs w:val="20"/>
              </w:rPr>
              <w:t>Australia (Perth, Western Australia).</w:t>
            </w:r>
          </w:p>
        </w:tc>
      </w:tr>
      <w:tr w:rsidR="0025732F" w:rsidRPr="00925EA9" w14:paraId="60046483" w14:textId="77777777">
        <w:tc>
          <w:tcPr>
            <w:tcW w:w="3114" w:type="dxa"/>
            <w:shd w:val="clear" w:color="auto" w:fill="auto"/>
          </w:tcPr>
          <w:p w14:paraId="01E6938D" w14:textId="77777777" w:rsidR="0025732F" w:rsidRPr="00925EA9" w:rsidRDefault="0025732F">
            <w:pPr>
              <w:rPr>
                <w:rFonts w:cs="Arial"/>
                <w:sz w:val="20"/>
                <w:szCs w:val="20"/>
              </w:rPr>
            </w:pPr>
            <w:r>
              <w:rPr>
                <w:rFonts w:cs="Arial"/>
                <w:sz w:val="20"/>
                <w:szCs w:val="20"/>
              </w:rPr>
              <w:lastRenderedPageBreak/>
              <w:t>Outcomes</w:t>
            </w:r>
          </w:p>
        </w:tc>
        <w:tc>
          <w:tcPr>
            <w:tcW w:w="10773" w:type="dxa"/>
            <w:shd w:val="clear" w:color="auto" w:fill="auto"/>
          </w:tcPr>
          <w:p w14:paraId="05B731F6" w14:textId="77777777" w:rsidR="0025732F" w:rsidRPr="00925EA9" w:rsidRDefault="0025732F">
            <w:pPr>
              <w:rPr>
                <w:rFonts w:cs="Arial"/>
                <w:sz w:val="20"/>
                <w:szCs w:val="20"/>
              </w:rPr>
            </w:pPr>
            <w:r w:rsidRPr="00925EA9">
              <w:rPr>
                <w:rFonts w:cs="Arial"/>
                <w:color w:val="1C1D1E"/>
                <w:sz w:val="20"/>
                <w:szCs w:val="20"/>
                <w:shd w:val="clear" w:color="auto" w:fill="FFFFFF"/>
              </w:rPr>
              <w:t>The study had sufficient power but generally did not find statistical differences. Both groups demonstrated reduced drug use during pregnancy and an increase by six months. The intervention group was 7% more likely to be retained (93% vs.CG 86%).</w:t>
            </w:r>
            <w:r>
              <w:rPr>
                <w:rFonts w:cs="Arial"/>
                <w:color w:val="1C1D1E"/>
                <w:sz w:val="20"/>
                <w:szCs w:val="20"/>
                <w:shd w:val="clear" w:color="auto" w:fill="FFFFFF"/>
              </w:rPr>
              <w:t xml:space="preserve"> </w:t>
            </w:r>
            <w:r w:rsidRPr="00925EA9">
              <w:rPr>
                <w:rFonts w:cs="Arial"/>
                <w:color w:val="1C1D1E"/>
                <w:sz w:val="20"/>
                <w:szCs w:val="20"/>
                <w:shd w:val="clear" w:color="auto" w:fill="FFFFFF"/>
              </w:rPr>
              <w:t>Immunisation rates were similar for each group. Median breastfeeding duration for intervention group was eight weeks (95% CI, 3.8–12.2) compared with ten weeks for the comparison group (95% CI, 7.3–12.7).</w:t>
            </w:r>
          </w:p>
        </w:tc>
      </w:tr>
      <w:tr w:rsidR="0025732F" w:rsidRPr="00925EA9" w14:paraId="6ECACE1C" w14:textId="77777777">
        <w:tc>
          <w:tcPr>
            <w:tcW w:w="3114" w:type="dxa"/>
          </w:tcPr>
          <w:p w14:paraId="2390E4A0"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089FA006" w14:textId="77777777" w:rsidR="0025732F" w:rsidRPr="00925EA9" w:rsidRDefault="0025732F">
            <w:pPr>
              <w:rPr>
                <w:rFonts w:cs="Arial"/>
                <w:sz w:val="20"/>
                <w:szCs w:val="20"/>
              </w:rPr>
            </w:pPr>
            <w:r w:rsidRPr="00925EA9">
              <w:rPr>
                <w:rFonts w:cs="Arial"/>
                <w:sz w:val="20"/>
                <w:szCs w:val="20"/>
              </w:rPr>
              <w:t>N/A.</w:t>
            </w:r>
          </w:p>
        </w:tc>
      </w:tr>
      <w:tr w:rsidR="0025732F" w:rsidRPr="00925EA9" w14:paraId="4B0A832F" w14:textId="77777777">
        <w:tc>
          <w:tcPr>
            <w:tcW w:w="3114" w:type="dxa"/>
          </w:tcPr>
          <w:p w14:paraId="7551F065"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63804601" w14:textId="77777777" w:rsidR="0025732F" w:rsidRPr="00925EA9" w:rsidRDefault="0025732F">
            <w:pPr>
              <w:rPr>
                <w:rFonts w:cs="Arial"/>
                <w:sz w:val="20"/>
                <w:szCs w:val="20"/>
              </w:rPr>
            </w:pPr>
            <w:r>
              <w:rPr>
                <w:rFonts w:cs="Arial"/>
                <w:sz w:val="20"/>
                <w:szCs w:val="20"/>
              </w:rPr>
              <w:t>Moderate</w:t>
            </w:r>
            <w:r w:rsidRPr="00925EA9">
              <w:rPr>
                <w:rFonts w:cs="Arial"/>
                <w:sz w:val="20"/>
                <w:szCs w:val="20"/>
              </w:rPr>
              <w:t>.</w:t>
            </w:r>
          </w:p>
        </w:tc>
      </w:tr>
      <w:tr w:rsidR="0025732F" w:rsidRPr="00925EA9" w14:paraId="53CDBB77" w14:textId="77777777">
        <w:tc>
          <w:tcPr>
            <w:tcW w:w="3114" w:type="dxa"/>
            <w:shd w:val="clear" w:color="auto" w:fill="D9E2F3" w:themeFill="accent1" w:themeFillTint="33"/>
          </w:tcPr>
          <w:p w14:paraId="6D576E59"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4E314916" w14:textId="6BB90AFE" w:rsidR="0025732F" w:rsidRPr="00925EA9" w:rsidRDefault="0025732F">
            <w:pPr>
              <w:rPr>
                <w:rFonts w:cs="Arial"/>
                <w:sz w:val="20"/>
                <w:szCs w:val="20"/>
              </w:rPr>
            </w:pPr>
            <w:r>
              <w:rPr>
                <w:rFonts w:cs="Arial"/>
                <w:sz w:val="20"/>
                <w:szCs w:val="20"/>
              </w:rPr>
              <w:fldChar w:fldCharType="begin"/>
            </w:r>
            <w:r w:rsidR="00B9334F">
              <w:rPr>
                <w:rFonts w:cs="Arial"/>
                <w:sz w:val="20"/>
                <w:szCs w:val="20"/>
              </w:rPr>
              <w:instrText xml:space="preserve"> ADDIN EN.CITE &lt;EndNote&gt;&lt;Cite AuthorYear="1"&gt;&lt;Author&gt;Belt&lt;/Author&gt;&lt;Year&gt;2012&lt;/Year&gt;&lt;RecNum&gt;273&lt;/RecNum&gt;&lt;DisplayText&gt;Belt et al. (2012)&lt;/DisplayText&gt;&lt;record&gt;&lt;rec-number&gt;273&lt;/rec-number&gt;&lt;foreign-keys&gt;&lt;key app="EN" db-id="ffzvr5fstavwxoe9v04xf0wmp5t50as52da0" timestamp="1731671653" guid="31c39244-05da-43fd-96ea-157750de9e2a"&gt;273&lt;/key&gt;&lt;/foreign-keys&gt;&lt;ref-type name="Journal Article"&gt;17&lt;/ref-type&gt;&lt;contributors&gt;&lt;authors&gt;&lt;author&gt;Belt, Ritva H.&lt;/author&gt;&lt;author&gt;Flykt, Marjo&lt;/author&gt;&lt;author&gt;Punamäki, Raija-Leena&lt;/author&gt;&lt;author&gt;Pajulo, Marjukka&lt;/author&gt;&lt;author&gt;Posa, Tiina&lt;/author&gt;&lt;author&gt;Tamminen, Tuula&lt;/author&gt;&lt;/authors&gt;&lt;/contributors&gt;&lt;titles&gt;&lt;title&gt;Psychotherapy groups and individual support to enhance mental health and early dyadic interaction among drug-abusing mothers&lt;/title&gt;&lt;secondary-title&gt;Infant Mental Health Journal&lt;/secondary-title&gt;&lt;/titles&gt;&lt;periodical&gt;&lt;full-title&gt;Infant mental health journal&lt;/full-title&gt;&lt;/periodical&gt;&lt;pages&gt;520-534&lt;/pages&gt;&lt;volume&gt;33&lt;/volume&gt;&lt;number&gt;5&lt;/number&gt;&lt;dates&gt;&lt;year&gt;2012&lt;/year&gt;&lt;/dates&gt;&lt;isbn&gt;0163-9641&lt;/isbn&gt;&lt;urls&gt;&lt;related-urls&gt;&lt;url&gt;https://onlinelibrary.wiley.com/doi/abs/10.1002/imhj.21348&lt;/url&gt;&lt;/related-urls&gt;&lt;/urls&gt;&lt;electronic-resource-num&gt;https://doi.org/10.1002/imhj.21348&lt;/electronic-resource-num&gt;&lt;/record&gt;&lt;/Cite&gt;&lt;/EndNote&gt;</w:instrText>
            </w:r>
            <w:r>
              <w:rPr>
                <w:rFonts w:cs="Arial"/>
                <w:sz w:val="20"/>
                <w:szCs w:val="20"/>
              </w:rPr>
              <w:fldChar w:fldCharType="separate"/>
            </w:r>
            <w:r w:rsidR="00A77498">
              <w:rPr>
                <w:rFonts w:cs="Arial"/>
                <w:noProof/>
                <w:sz w:val="20"/>
                <w:szCs w:val="20"/>
              </w:rPr>
              <w:t>Belt et al. (2012)</w:t>
            </w:r>
            <w:r>
              <w:rPr>
                <w:rFonts w:cs="Arial"/>
                <w:sz w:val="20"/>
                <w:szCs w:val="20"/>
              </w:rPr>
              <w:fldChar w:fldCharType="end"/>
            </w:r>
          </w:p>
        </w:tc>
      </w:tr>
      <w:tr w:rsidR="0025732F" w:rsidRPr="00925EA9" w14:paraId="4C6486C6" w14:textId="77777777">
        <w:tc>
          <w:tcPr>
            <w:tcW w:w="3114" w:type="dxa"/>
            <w:shd w:val="clear" w:color="auto" w:fill="auto"/>
          </w:tcPr>
          <w:p w14:paraId="169DA258" w14:textId="77777777" w:rsidR="0025732F" w:rsidRPr="00925EA9" w:rsidRDefault="0025732F">
            <w:pPr>
              <w:rPr>
                <w:rFonts w:cs="Arial"/>
                <w:sz w:val="20"/>
                <w:szCs w:val="20"/>
              </w:rPr>
            </w:pPr>
            <w:r w:rsidRPr="00925EA9">
              <w:rPr>
                <w:rFonts w:cs="Arial"/>
                <w:sz w:val="20"/>
                <w:szCs w:val="20"/>
              </w:rPr>
              <w:t>Aims</w:t>
            </w:r>
          </w:p>
        </w:tc>
        <w:tc>
          <w:tcPr>
            <w:tcW w:w="10773" w:type="dxa"/>
            <w:shd w:val="clear" w:color="auto" w:fill="auto"/>
          </w:tcPr>
          <w:p w14:paraId="3869C2D7" w14:textId="77777777" w:rsidR="0025732F" w:rsidRPr="003019F8" w:rsidRDefault="0025732F">
            <w:pPr>
              <w:rPr>
                <w:rFonts w:cs="Arial"/>
                <w:sz w:val="20"/>
                <w:szCs w:val="20"/>
              </w:rPr>
            </w:pPr>
            <w:r w:rsidRPr="00896753">
              <w:rPr>
                <w:rFonts w:cs="Arial"/>
                <w:sz w:val="20"/>
                <w:szCs w:val="20"/>
              </w:rPr>
              <w:t>To evaluate the effectiveness of a psychodynamic mother–infant group psychotherapy (PGT) for perinatal women with a drug use disorder.</w:t>
            </w:r>
          </w:p>
        </w:tc>
      </w:tr>
      <w:tr w:rsidR="0025732F" w:rsidRPr="00925EA9" w14:paraId="2E5D6956" w14:textId="77777777">
        <w:tc>
          <w:tcPr>
            <w:tcW w:w="3114" w:type="dxa"/>
            <w:shd w:val="clear" w:color="auto" w:fill="auto"/>
          </w:tcPr>
          <w:p w14:paraId="47933D82" w14:textId="77777777" w:rsidR="0025732F" w:rsidRPr="00925EA9" w:rsidRDefault="0025732F">
            <w:pPr>
              <w:rPr>
                <w:rFonts w:cs="Arial"/>
                <w:sz w:val="20"/>
                <w:szCs w:val="20"/>
              </w:rPr>
            </w:pPr>
            <w:r w:rsidRPr="00925EA9">
              <w:rPr>
                <w:rFonts w:cs="Arial"/>
                <w:sz w:val="20"/>
                <w:szCs w:val="20"/>
              </w:rPr>
              <w:t>Design</w:t>
            </w:r>
          </w:p>
        </w:tc>
        <w:tc>
          <w:tcPr>
            <w:tcW w:w="10773" w:type="dxa"/>
            <w:shd w:val="clear" w:color="auto" w:fill="auto"/>
          </w:tcPr>
          <w:p w14:paraId="76AB8D6C" w14:textId="77777777" w:rsidR="0025732F" w:rsidRPr="00925EA9" w:rsidRDefault="0025732F">
            <w:pPr>
              <w:autoSpaceDE w:val="0"/>
              <w:autoSpaceDN w:val="0"/>
              <w:adjustRightInd w:val="0"/>
              <w:rPr>
                <w:rFonts w:cs="Arial"/>
                <w:sz w:val="20"/>
                <w:szCs w:val="20"/>
              </w:rPr>
            </w:pPr>
            <w:r w:rsidRPr="00896753">
              <w:rPr>
                <w:rFonts w:cs="Arial"/>
                <w:sz w:val="20"/>
                <w:szCs w:val="20"/>
              </w:rPr>
              <w:t>Pre-treatment, 4 and 12 months’ follow-up assessments, including use of the Emotional Availability Scales (EA).</w:t>
            </w:r>
          </w:p>
        </w:tc>
      </w:tr>
      <w:tr w:rsidR="0025732F" w:rsidRPr="00925EA9" w14:paraId="21C1F21D" w14:textId="77777777">
        <w:tc>
          <w:tcPr>
            <w:tcW w:w="3114" w:type="dxa"/>
            <w:shd w:val="clear" w:color="auto" w:fill="auto"/>
          </w:tcPr>
          <w:p w14:paraId="509EE0E2" w14:textId="77777777" w:rsidR="0025732F" w:rsidRPr="00925EA9" w:rsidRDefault="0025732F">
            <w:pPr>
              <w:rPr>
                <w:rFonts w:cs="Arial"/>
                <w:sz w:val="20"/>
                <w:szCs w:val="20"/>
              </w:rPr>
            </w:pPr>
            <w:r w:rsidRPr="00925EA9">
              <w:rPr>
                <w:rFonts w:cs="Arial"/>
                <w:sz w:val="20"/>
                <w:szCs w:val="20"/>
              </w:rPr>
              <w:t>Population</w:t>
            </w:r>
          </w:p>
        </w:tc>
        <w:tc>
          <w:tcPr>
            <w:tcW w:w="10773" w:type="dxa"/>
            <w:shd w:val="clear" w:color="auto" w:fill="auto"/>
          </w:tcPr>
          <w:p w14:paraId="7A26135E" w14:textId="77777777" w:rsidR="0025732F" w:rsidRPr="00925EA9" w:rsidRDefault="0025732F">
            <w:pPr>
              <w:rPr>
                <w:rFonts w:cs="Arial"/>
                <w:sz w:val="20"/>
                <w:szCs w:val="20"/>
              </w:rPr>
            </w:pPr>
            <w:r w:rsidRPr="00896753">
              <w:rPr>
                <w:rFonts w:cs="Arial"/>
                <w:sz w:val="20"/>
                <w:szCs w:val="20"/>
              </w:rPr>
              <w:t>Intervention (n=26) and comparison (n=25) as well as 50 dyads in a non-drug-using comparison group.</w:t>
            </w:r>
          </w:p>
        </w:tc>
      </w:tr>
      <w:tr w:rsidR="0025732F" w:rsidRPr="00925EA9" w14:paraId="15A2E9D6" w14:textId="77777777">
        <w:tc>
          <w:tcPr>
            <w:tcW w:w="3114" w:type="dxa"/>
            <w:shd w:val="clear" w:color="auto" w:fill="auto"/>
          </w:tcPr>
          <w:p w14:paraId="28720AD8" w14:textId="77777777" w:rsidR="0025732F" w:rsidRPr="00925EA9" w:rsidRDefault="0025732F">
            <w:pPr>
              <w:rPr>
                <w:rFonts w:cs="Arial"/>
                <w:sz w:val="20"/>
                <w:szCs w:val="20"/>
              </w:rPr>
            </w:pPr>
            <w:r w:rsidRPr="00925EA9">
              <w:rPr>
                <w:rFonts w:cs="Arial"/>
                <w:sz w:val="20"/>
                <w:szCs w:val="20"/>
              </w:rPr>
              <w:t>Intervention</w:t>
            </w:r>
          </w:p>
        </w:tc>
        <w:tc>
          <w:tcPr>
            <w:tcW w:w="10773" w:type="dxa"/>
            <w:shd w:val="clear" w:color="auto" w:fill="auto"/>
          </w:tcPr>
          <w:p w14:paraId="3A16BECF" w14:textId="77777777" w:rsidR="0025732F" w:rsidRPr="00896753" w:rsidRDefault="0025732F">
            <w:pPr>
              <w:rPr>
                <w:rFonts w:cs="Arial"/>
                <w:sz w:val="20"/>
                <w:szCs w:val="20"/>
              </w:rPr>
            </w:pPr>
            <w:r w:rsidRPr="00896753">
              <w:rPr>
                <w:rFonts w:cs="Arial"/>
                <w:sz w:val="20"/>
                <w:szCs w:val="20"/>
              </w:rPr>
              <w:t>PGT: 20 to 24 weekly 3-hr sessions with 3 to 5 months of follow-up. Comparison: tailored psychosocial support lasting a year on average.</w:t>
            </w:r>
          </w:p>
        </w:tc>
      </w:tr>
      <w:tr w:rsidR="0025732F" w:rsidRPr="00925EA9" w14:paraId="179D91C6" w14:textId="77777777">
        <w:tc>
          <w:tcPr>
            <w:tcW w:w="3114" w:type="dxa"/>
            <w:shd w:val="clear" w:color="auto" w:fill="auto"/>
          </w:tcPr>
          <w:p w14:paraId="25F17A08" w14:textId="77777777" w:rsidR="0025732F" w:rsidRPr="00925EA9" w:rsidRDefault="0025732F">
            <w:pPr>
              <w:rPr>
                <w:rFonts w:cs="Arial"/>
                <w:sz w:val="20"/>
                <w:szCs w:val="20"/>
              </w:rPr>
            </w:pPr>
            <w:r w:rsidRPr="00925EA9">
              <w:rPr>
                <w:rFonts w:cs="Arial"/>
                <w:sz w:val="20"/>
                <w:szCs w:val="20"/>
              </w:rPr>
              <w:t>Country</w:t>
            </w:r>
          </w:p>
        </w:tc>
        <w:tc>
          <w:tcPr>
            <w:tcW w:w="10773" w:type="dxa"/>
            <w:shd w:val="clear" w:color="auto" w:fill="auto"/>
          </w:tcPr>
          <w:p w14:paraId="3BE33CBA" w14:textId="77777777" w:rsidR="0025732F" w:rsidRPr="00925EA9" w:rsidRDefault="0025732F">
            <w:pPr>
              <w:rPr>
                <w:rFonts w:cs="Arial"/>
                <w:sz w:val="20"/>
                <w:szCs w:val="20"/>
              </w:rPr>
            </w:pPr>
            <w:r>
              <w:rPr>
                <w:rFonts w:cs="Arial"/>
                <w:sz w:val="20"/>
                <w:szCs w:val="20"/>
              </w:rPr>
              <w:t>Finland</w:t>
            </w:r>
          </w:p>
        </w:tc>
      </w:tr>
      <w:tr w:rsidR="0025732F" w:rsidRPr="00925EA9" w14:paraId="5E35901B" w14:textId="77777777">
        <w:tc>
          <w:tcPr>
            <w:tcW w:w="3114" w:type="dxa"/>
            <w:shd w:val="clear" w:color="auto" w:fill="auto"/>
          </w:tcPr>
          <w:p w14:paraId="12EE297B" w14:textId="77777777" w:rsidR="0025732F" w:rsidRPr="00925EA9" w:rsidRDefault="0025732F">
            <w:pPr>
              <w:rPr>
                <w:rFonts w:cs="Arial"/>
                <w:sz w:val="20"/>
                <w:szCs w:val="20"/>
              </w:rPr>
            </w:pPr>
            <w:r w:rsidRPr="00925EA9">
              <w:rPr>
                <w:rFonts w:cs="Arial"/>
                <w:sz w:val="20"/>
                <w:szCs w:val="20"/>
              </w:rPr>
              <w:t>Parental outcomes</w:t>
            </w:r>
          </w:p>
        </w:tc>
        <w:tc>
          <w:tcPr>
            <w:tcW w:w="10773" w:type="dxa"/>
            <w:shd w:val="clear" w:color="auto" w:fill="auto"/>
          </w:tcPr>
          <w:p w14:paraId="55BA1146" w14:textId="77777777" w:rsidR="0025732F" w:rsidRPr="00925EA9" w:rsidRDefault="0025732F">
            <w:pPr>
              <w:rPr>
                <w:rFonts w:cs="Arial"/>
                <w:sz w:val="20"/>
                <w:szCs w:val="20"/>
              </w:rPr>
            </w:pPr>
            <w:r w:rsidRPr="00896753">
              <w:rPr>
                <w:rFonts w:cs="Arial"/>
                <w:sz w:val="20"/>
                <w:szCs w:val="20"/>
              </w:rPr>
              <w:t>Maternal hostility decreased signiﬁcantly in the intervention group. Intrusiveness decreased in both, but particularly in the PTG group. Both interventions showed an increase in dyad quality and success in maternal abstinence, treatment retention, and alleviating depressive symptoms.</w:t>
            </w:r>
          </w:p>
        </w:tc>
      </w:tr>
      <w:tr w:rsidR="0025732F" w:rsidRPr="00925EA9" w14:paraId="468738FC" w14:textId="77777777">
        <w:tc>
          <w:tcPr>
            <w:tcW w:w="3114" w:type="dxa"/>
          </w:tcPr>
          <w:p w14:paraId="47E6484E"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6870B2C6" w14:textId="77777777" w:rsidR="0025732F" w:rsidRPr="00925EA9" w:rsidRDefault="0025732F">
            <w:pPr>
              <w:rPr>
                <w:rFonts w:cs="Arial"/>
                <w:sz w:val="20"/>
                <w:szCs w:val="20"/>
              </w:rPr>
            </w:pPr>
            <w:r>
              <w:rPr>
                <w:rFonts w:cs="Arial"/>
                <w:sz w:val="20"/>
                <w:szCs w:val="20"/>
              </w:rPr>
              <w:t>n/a</w:t>
            </w:r>
          </w:p>
        </w:tc>
      </w:tr>
      <w:tr w:rsidR="0025732F" w:rsidRPr="00925EA9" w14:paraId="052C9B64" w14:textId="77777777">
        <w:tc>
          <w:tcPr>
            <w:tcW w:w="3114" w:type="dxa"/>
          </w:tcPr>
          <w:p w14:paraId="4CA1FA55"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7D0D6019" w14:textId="77777777" w:rsidR="0025732F" w:rsidRPr="00925EA9" w:rsidRDefault="0025732F">
            <w:pPr>
              <w:rPr>
                <w:rFonts w:cs="Arial"/>
                <w:sz w:val="20"/>
                <w:szCs w:val="20"/>
              </w:rPr>
            </w:pPr>
            <w:r>
              <w:rPr>
                <w:rFonts w:cs="Arial"/>
                <w:sz w:val="20"/>
                <w:szCs w:val="20"/>
              </w:rPr>
              <w:t>Low</w:t>
            </w:r>
          </w:p>
        </w:tc>
      </w:tr>
      <w:tr w:rsidR="0025732F" w:rsidRPr="00925EA9" w14:paraId="446E7F5F" w14:textId="77777777">
        <w:tc>
          <w:tcPr>
            <w:tcW w:w="3114" w:type="dxa"/>
            <w:shd w:val="clear" w:color="auto" w:fill="D9E2F3" w:themeFill="accent1" w:themeFillTint="33"/>
          </w:tcPr>
          <w:p w14:paraId="1B520BFE"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35A2DFBF" w14:textId="59BD3857" w:rsidR="0025732F" w:rsidRPr="00925EA9" w:rsidRDefault="002E6444">
            <w:pPr>
              <w:rPr>
                <w:rFonts w:cs="Arial"/>
                <w:sz w:val="20"/>
                <w:szCs w:val="20"/>
              </w:rPr>
            </w:pPr>
            <w:r>
              <w:rPr>
                <w:rFonts w:cs="Arial"/>
                <w:sz w:val="20"/>
                <w:szCs w:val="20"/>
              </w:rPr>
              <w:fldChar w:fldCharType="begin"/>
            </w:r>
            <w:r w:rsidR="00B9334F">
              <w:rPr>
                <w:rFonts w:cs="Arial"/>
                <w:sz w:val="20"/>
                <w:szCs w:val="20"/>
              </w:rPr>
              <w:instrText xml:space="preserve"> ADDIN EN.CITE &lt;EndNote&gt;&lt;Cite AuthorYear="1"&gt;&lt;Author&gt;Dawe&lt;/Author&gt;&lt;Year&gt;2017&lt;/Year&gt;&lt;RecNum&gt;464&lt;/RecNum&gt;&lt;DisplayText&gt;Dawe et al. (2017)&lt;/DisplayText&gt;&lt;record&gt;&lt;rec-number&gt;464&lt;/rec-number&gt;&lt;foreign-keys&gt;&lt;key app="EN" db-id="ffzvr5fstavwxoe9v04xf0wmp5t50as52da0" timestamp="1731671679" guid="c7bbcd8c-ee22-44a5-a26c-392e5d8dadb6"&gt;464&lt;/key&gt;&lt;/foreign-keys&gt;&lt;ref-type name="Journal Article"&gt;17&lt;/ref-type&gt;&lt;contributors&gt;&lt;authors&gt;&lt;author&gt;Dawe, S.&lt;/author&gt;&lt;author&gt;Taplin, S.&lt;/author&gt;&lt;author&gt;Mattick, R. P.&lt;/author&gt;&lt;/authors&gt;&lt;/contributors&gt;&lt;titles&gt;&lt;title&gt;Psychometric investigation of the Brief Child Abuse Potential Inventory in mothers on opioid substitution therapy&lt;/title&gt;&lt;alt-title&gt;J Fam Violence&lt;/alt-title&gt;&lt;/titles&gt;&lt;alt-periodical&gt;&lt;abbr-1&gt;J Fam Violence&lt;/abbr-1&gt;&lt;/alt-periodical&gt;&lt;pages&gt;341-348&lt;/pages&gt;&lt;volume&gt;32&lt;/volume&gt;&lt;dates&gt;&lt;year&gt;2017&lt;/year&gt;&lt;/dates&gt;&lt;label&gt;87.&lt;/label&gt;&lt;urls&gt;&lt;related-urls&gt;&lt;url&gt;https://doi.org/10.1007/s10896-016-9821-3&lt;/url&gt;&lt;/related-urls&gt;&lt;/urls&gt;&lt;/record&gt;&lt;/Cite&gt;&lt;/EndNote&gt;</w:instrText>
            </w:r>
            <w:r>
              <w:rPr>
                <w:rFonts w:cs="Arial"/>
                <w:sz w:val="20"/>
                <w:szCs w:val="20"/>
              </w:rPr>
              <w:fldChar w:fldCharType="separate"/>
            </w:r>
            <w:r>
              <w:rPr>
                <w:rFonts w:cs="Arial"/>
                <w:noProof/>
                <w:sz w:val="20"/>
                <w:szCs w:val="20"/>
              </w:rPr>
              <w:t>Dawe et al. (2017)</w:t>
            </w:r>
            <w:r>
              <w:rPr>
                <w:rFonts w:cs="Arial"/>
                <w:sz w:val="20"/>
                <w:szCs w:val="20"/>
              </w:rPr>
              <w:fldChar w:fldCharType="end"/>
            </w:r>
          </w:p>
        </w:tc>
      </w:tr>
      <w:tr w:rsidR="0025732F" w:rsidRPr="00925EA9" w14:paraId="23B62140" w14:textId="77777777">
        <w:tc>
          <w:tcPr>
            <w:tcW w:w="3114" w:type="dxa"/>
          </w:tcPr>
          <w:p w14:paraId="5E19494F" w14:textId="77777777" w:rsidR="0025732F" w:rsidRPr="00925EA9" w:rsidRDefault="0025732F">
            <w:pPr>
              <w:rPr>
                <w:rFonts w:cs="Arial"/>
                <w:sz w:val="20"/>
                <w:szCs w:val="20"/>
              </w:rPr>
            </w:pPr>
            <w:r w:rsidRPr="00925EA9">
              <w:rPr>
                <w:rFonts w:cs="Arial"/>
                <w:sz w:val="20"/>
                <w:szCs w:val="20"/>
              </w:rPr>
              <w:t>Aims</w:t>
            </w:r>
          </w:p>
        </w:tc>
        <w:tc>
          <w:tcPr>
            <w:tcW w:w="10773" w:type="dxa"/>
          </w:tcPr>
          <w:p w14:paraId="0B1E47D3" w14:textId="77777777" w:rsidR="0025732F" w:rsidRPr="00925EA9" w:rsidRDefault="0025732F">
            <w:pPr>
              <w:autoSpaceDE w:val="0"/>
              <w:autoSpaceDN w:val="0"/>
              <w:adjustRightInd w:val="0"/>
              <w:rPr>
                <w:rFonts w:cs="Arial"/>
                <w:sz w:val="20"/>
                <w:szCs w:val="20"/>
              </w:rPr>
            </w:pPr>
            <w:r w:rsidRPr="00925EA9">
              <w:rPr>
                <w:rFonts w:cs="Arial"/>
                <w:sz w:val="20"/>
                <w:szCs w:val="20"/>
              </w:rPr>
              <w:t>To analyse the effectiveness of P</w:t>
            </w:r>
            <w:r>
              <w:rPr>
                <w:rFonts w:cs="Arial"/>
                <w:sz w:val="20"/>
                <w:szCs w:val="20"/>
              </w:rPr>
              <w:t xml:space="preserve">arents </w:t>
            </w:r>
            <w:r w:rsidRPr="00925EA9">
              <w:rPr>
                <w:rFonts w:cs="Arial"/>
                <w:sz w:val="20"/>
                <w:szCs w:val="20"/>
              </w:rPr>
              <w:t>u</w:t>
            </w:r>
            <w:r>
              <w:rPr>
                <w:rFonts w:cs="Arial"/>
                <w:sz w:val="20"/>
                <w:szCs w:val="20"/>
              </w:rPr>
              <w:t xml:space="preserve">nder </w:t>
            </w:r>
            <w:r w:rsidRPr="00925EA9">
              <w:rPr>
                <w:rFonts w:cs="Arial"/>
                <w:sz w:val="20"/>
                <w:szCs w:val="20"/>
              </w:rPr>
              <w:t>P</w:t>
            </w:r>
            <w:r>
              <w:rPr>
                <w:rFonts w:cs="Arial"/>
                <w:sz w:val="20"/>
                <w:szCs w:val="20"/>
              </w:rPr>
              <w:t>ressure (PuP)</w:t>
            </w:r>
            <w:r w:rsidRPr="00925EA9">
              <w:rPr>
                <w:rFonts w:cs="Arial"/>
                <w:sz w:val="20"/>
                <w:szCs w:val="20"/>
              </w:rPr>
              <w:t xml:space="preserve"> for parents in methadone treatment on reducing child abuse and neglect.</w:t>
            </w:r>
          </w:p>
        </w:tc>
      </w:tr>
      <w:tr w:rsidR="0025732F" w:rsidRPr="00925EA9" w14:paraId="1315D066" w14:textId="77777777">
        <w:tc>
          <w:tcPr>
            <w:tcW w:w="3114" w:type="dxa"/>
          </w:tcPr>
          <w:p w14:paraId="1D26658D" w14:textId="77777777" w:rsidR="0025732F" w:rsidRPr="00925EA9" w:rsidRDefault="0025732F">
            <w:pPr>
              <w:rPr>
                <w:rFonts w:cs="Arial"/>
                <w:sz w:val="20"/>
                <w:szCs w:val="20"/>
              </w:rPr>
            </w:pPr>
            <w:r w:rsidRPr="00925EA9">
              <w:rPr>
                <w:rFonts w:cs="Arial"/>
                <w:sz w:val="20"/>
                <w:szCs w:val="20"/>
              </w:rPr>
              <w:t>Design</w:t>
            </w:r>
          </w:p>
        </w:tc>
        <w:tc>
          <w:tcPr>
            <w:tcW w:w="10773" w:type="dxa"/>
          </w:tcPr>
          <w:p w14:paraId="651288C5" w14:textId="77777777" w:rsidR="0025732F" w:rsidRPr="00925EA9" w:rsidRDefault="0025732F">
            <w:pPr>
              <w:autoSpaceDE w:val="0"/>
              <w:autoSpaceDN w:val="0"/>
              <w:adjustRightInd w:val="0"/>
              <w:rPr>
                <w:rFonts w:cs="Arial"/>
                <w:sz w:val="20"/>
                <w:szCs w:val="20"/>
              </w:rPr>
            </w:pPr>
            <w:r w:rsidRPr="00925EA9">
              <w:rPr>
                <w:rFonts w:cs="Arial"/>
                <w:sz w:val="20"/>
                <w:szCs w:val="20"/>
              </w:rPr>
              <w:t>RCT. Assessments were conducted at baseline and at three and six month follow-ups using validated instruments. Multilevel linear mixed (MLM) modeling was used to compare average trajectories.</w:t>
            </w:r>
          </w:p>
        </w:tc>
      </w:tr>
      <w:tr w:rsidR="0025732F" w:rsidRPr="00925EA9" w14:paraId="7FE0F8F6" w14:textId="77777777">
        <w:tc>
          <w:tcPr>
            <w:tcW w:w="3114" w:type="dxa"/>
          </w:tcPr>
          <w:p w14:paraId="46E8A2EF"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65BF8868" w14:textId="77777777" w:rsidR="0025732F" w:rsidRPr="00925EA9" w:rsidRDefault="0025732F">
            <w:pPr>
              <w:autoSpaceDE w:val="0"/>
              <w:autoSpaceDN w:val="0"/>
              <w:adjustRightInd w:val="0"/>
              <w:rPr>
                <w:rFonts w:cs="Arial"/>
                <w:sz w:val="20"/>
                <w:szCs w:val="20"/>
              </w:rPr>
            </w:pPr>
            <w:r w:rsidRPr="00925EA9">
              <w:rPr>
                <w:rFonts w:cs="Arial"/>
                <w:sz w:val="20"/>
                <w:szCs w:val="20"/>
              </w:rPr>
              <w:t>Intervention (n=22), brief intervention (n=23) and TAU (n=19) groups. Participants were all receiving methadone to treat opioid dependency and had a least one child aged 2-8 years living with them.</w:t>
            </w:r>
          </w:p>
        </w:tc>
      </w:tr>
      <w:tr w:rsidR="0025732F" w:rsidRPr="00925EA9" w14:paraId="65BCF3E1" w14:textId="77777777">
        <w:tc>
          <w:tcPr>
            <w:tcW w:w="3114" w:type="dxa"/>
          </w:tcPr>
          <w:p w14:paraId="74BBE6E1"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67954D22" w14:textId="7804FB09" w:rsidR="0025732F" w:rsidRPr="00925EA9" w:rsidRDefault="0025732F">
            <w:pPr>
              <w:rPr>
                <w:rFonts w:cs="Arial"/>
                <w:sz w:val="20"/>
                <w:szCs w:val="20"/>
              </w:rPr>
            </w:pPr>
            <w:r w:rsidRPr="00925EA9">
              <w:rPr>
                <w:rFonts w:cs="Arial"/>
                <w:sz w:val="20"/>
                <w:szCs w:val="20"/>
              </w:rPr>
              <w:t xml:space="preserve">PuP - see above. </w:t>
            </w:r>
          </w:p>
        </w:tc>
      </w:tr>
      <w:tr w:rsidR="0025732F" w:rsidRPr="00925EA9" w14:paraId="0E937315" w14:textId="77777777">
        <w:tc>
          <w:tcPr>
            <w:tcW w:w="3114" w:type="dxa"/>
          </w:tcPr>
          <w:p w14:paraId="1CE4F979" w14:textId="77777777" w:rsidR="0025732F" w:rsidRPr="00925EA9" w:rsidRDefault="0025732F">
            <w:pPr>
              <w:rPr>
                <w:rFonts w:cs="Arial"/>
                <w:sz w:val="20"/>
                <w:szCs w:val="20"/>
              </w:rPr>
            </w:pPr>
            <w:r w:rsidRPr="00925EA9">
              <w:rPr>
                <w:rFonts w:cs="Arial"/>
                <w:sz w:val="20"/>
                <w:szCs w:val="20"/>
              </w:rPr>
              <w:t>Country</w:t>
            </w:r>
          </w:p>
        </w:tc>
        <w:tc>
          <w:tcPr>
            <w:tcW w:w="10773" w:type="dxa"/>
          </w:tcPr>
          <w:p w14:paraId="17435EAB" w14:textId="77777777" w:rsidR="0025732F" w:rsidRPr="00925EA9" w:rsidRDefault="0025732F">
            <w:pPr>
              <w:rPr>
                <w:rFonts w:cs="Arial"/>
                <w:sz w:val="20"/>
                <w:szCs w:val="20"/>
              </w:rPr>
            </w:pPr>
            <w:r w:rsidRPr="00925EA9">
              <w:rPr>
                <w:rFonts w:cs="Arial"/>
                <w:sz w:val="20"/>
                <w:szCs w:val="20"/>
              </w:rPr>
              <w:t>Australia (two inner-city sites in Brisbane).</w:t>
            </w:r>
          </w:p>
        </w:tc>
      </w:tr>
      <w:tr w:rsidR="0025732F" w:rsidRPr="00925EA9" w14:paraId="1C39E1F3" w14:textId="77777777">
        <w:tc>
          <w:tcPr>
            <w:tcW w:w="3114" w:type="dxa"/>
          </w:tcPr>
          <w:p w14:paraId="49B29F81"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649DFE83" w14:textId="77777777" w:rsidR="0025732F" w:rsidRPr="00925EA9" w:rsidRDefault="0025732F">
            <w:pPr>
              <w:rPr>
                <w:rFonts w:cs="Arial"/>
                <w:sz w:val="20"/>
                <w:szCs w:val="20"/>
              </w:rPr>
            </w:pPr>
            <w:r w:rsidRPr="00925EA9">
              <w:rPr>
                <w:rFonts w:cs="Arial"/>
                <w:sz w:val="20"/>
                <w:szCs w:val="20"/>
              </w:rPr>
              <w:t>PuP parents demonstrated significant improvements across several family functioning areas: parenting stress (z = 2.199, p&lt;.001), child abuse potential (z = 4.591, p&lt;.001), parenting rigidity (z = 2.30, p&lt;.001), methadone dose (z = 2.355, p&lt;.001), and child behaviour problems (z = 2.750, p&lt; .001). The brief intervention group saw a reduction in child abuse potential only. Child abuse potential increased among the TAU group. 36% maintained their high risk status.</w:t>
            </w:r>
            <w:r>
              <w:rPr>
                <w:rFonts w:cs="Arial"/>
                <w:sz w:val="20"/>
                <w:szCs w:val="20"/>
              </w:rPr>
              <w:t xml:space="preserve"> </w:t>
            </w:r>
            <w:r w:rsidRPr="00925EA9">
              <w:rPr>
                <w:rFonts w:cs="Arial"/>
                <w:sz w:val="20"/>
                <w:szCs w:val="20"/>
              </w:rPr>
              <w:t>PuP children demonstrated a significant increase in child prosocial scores (z = 2.51, p&lt;.001).</w:t>
            </w:r>
          </w:p>
        </w:tc>
      </w:tr>
      <w:tr w:rsidR="0025732F" w:rsidRPr="00925EA9" w14:paraId="2F75EAD3" w14:textId="77777777">
        <w:tc>
          <w:tcPr>
            <w:tcW w:w="3114" w:type="dxa"/>
          </w:tcPr>
          <w:p w14:paraId="739DF281"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0D6D26CB" w14:textId="77777777" w:rsidR="0025732F" w:rsidRPr="00925EA9" w:rsidRDefault="0025732F">
            <w:pPr>
              <w:rPr>
                <w:rFonts w:cs="Arial"/>
                <w:sz w:val="20"/>
                <w:szCs w:val="20"/>
              </w:rPr>
            </w:pPr>
            <w:r w:rsidRPr="00925EA9">
              <w:rPr>
                <w:rFonts w:cs="Arial"/>
                <w:sz w:val="20"/>
                <w:szCs w:val="20"/>
              </w:rPr>
              <w:t>N/A.</w:t>
            </w:r>
          </w:p>
        </w:tc>
      </w:tr>
      <w:tr w:rsidR="0025732F" w:rsidRPr="00925EA9" w14:paraId="2D405F3A" w14:textId="77777777">
        <w:trPr>
          <w:trHeight w:val="121"/>
        </w:trPr>
        <w:tc>
          <w:tcPr>
            <w:tcW w:w="3114" w:type="dxa"/>
            <w:tcBorders>
              <w:bottom w:val="single" w:sz="4" w:space="0" w:color="auto"/>
            </w:tcBorders>
          </w:tcPr>
          <w:p w14:paraId="59BE7984" w14:textId="77777777" w:rsidR="0025732F" w:rsidRPr="00925EA9" w:rsidRDefault="0025732F">
            <w:pPr>
              <w:rPr>
                <w:rFonts w:cs="Arial"/>
                <w:sz w:val="20"/>
                <w:szCs w:val="20"/>
              </w:rPr>
            </w:pPr>
            <w:r w:rsidRPr="00925EA9">
              <w:rPr>
                <w:rFonts w:cs="Arial"/>
                <w:sz w:val="20"/>
                <w:szCs w:val="20"/>
              </w:rPr>
              <w:t>Overall quality rating</w:t>
            </w:r>
          </w:p>
        </w:tc>
        <w:tc>
          <w:tcPr>
            <w:tcW w:w="10773" w:type="dxa"/>
            <w:tcBorders>
              <w:bottom w:val="single" w:sz="4" w:space="0" w:color="auto"/>
            </w:tcBorders>
          </w:tcPr>
          <w:p w14:paraId="7B48A720" w14:textId="77777777" w:rsidR="0025732F" w:rsidRPr="00925EA9" w:rsidRDefault="0025732F">
            <w:pPr>
              <w:rPr>
                <w:rFonts w:cs="Arial"/>
                <w:sz w:val="20"/>
                <w:szCs w:val="20"/>
              </w:rPr>
            </w:pPr>
            <w:r w:rsidRPr="00925EA9">
              <w:rPr>
                <w:rFonts w:cs="Arial"/>
                <w:sz w:val="20"/>
                <w:szCs w:val="20"/>
              </w:rPr>
              <w:t xml:space="preserve">Moderate. </w:t>
            </w:r>
          </w:p>
        </w:tc>
      </w:tr>
      <w:tr w:rsidR="0025732F" w:rsidRPr="00925EA9" w14:paraId="671A7DDE" w14:textId="77777777">
        <w:tc>
          <w:tcPr>
            <w:tcW w:w="3114" w:type="dxa"/>
            <w:shd w:val="clear" w:color="auto" w:fill="D9E2F3" w:themeFill="accent1" w:themeFillTint="33"/>
          </w:tcPr>
          <w:p w14:paraId="1991FD6E"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10B411C5" w14:textId="36969ABF"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AuthorYear="1"&gt;&lt;Author&gt;Grant&lt;/Author&gt;&lt;Year&gt;2005&lt;/Year&gt;&lt;RecNum&gt;701&lt;/RecNum&gt;&lt;DisplayText&gt;Grant et al. (2005)&lt;/DisplayText&gt;&lt;record&gt;&lt;rec-number&gt;701&lt;/rec-number&gt;&lt;foreign-keys&gt;&lt;key app="EN" db-id="ffzvr5fstavwxoe9v04xf0wmp5t50as52da0" timestamp="1731671738" guid="3e550ec5-6664-4788-a13d-7d34ec41c019"&gt;701&lt;/key&gt;&lt;/foreign-keys&gt;&lt;ref-type name="Journal Article"&gt;17&lt;/ref-type&gt;&lt;contributors&gt;&lt;authors&gt;&lt;author&gt;Grant, Therese M.&lt;/author&gt;&lt;author&gt;Ernst, Cara C.&lt;/author&gt;&lt;author&gt;Streissguth, Ann&lt;/author&gt;&lt;author&gt;Stark, Kenneth&lt;/author&gt;&lt;/authors&gt;&lt;/contributors&gt;&lt;titles&gt;&lt;title&gt;Preventing Alcohol and Drug Exposed Births in Washington State: Intervention Findings From Three Parent-Child Assistance Program Sites&lt;/title&gt;&lt;secondary-title&gt;The American Journal of Drug and Alcohol Abuse&lt;/secondary-title&gt;&lt;/titles&gt;&lt;periodical&gt;&lt;full-title&gt;The American Journal of Drug and Alcohol Abuse&lt;/full-title&gt;&lt;/periodical&gt;&lt;pages&gt;471-490&lt;/pages&gt;&lt;volume&gt;31&lt;/volume&gt;&lt;number&gt;3&lt;/number&gt;&lt;keywords&gt;&lt;keyword&gt;Drug Abuse And Alcoholism&lt;/keyword&gt;&lt;keyword&gt;Fetal alcohol syndrome&lt;/keyword&gt;&lt;keyword&gt;Mothers&lt;/keyword&gt;&lt;keyword&gt;Pregnancy&lt;/keyword&gt;&lt;keyword&gt;Drug abuse&lt;/keyword&gt;&lt;keyword&gt;Alcohol use&lt;/keyword&gt;&lt;keyword&gt;Prevention programs&lt;/keyword&gt;&lt;keyword&gt;Washington (state)&lt;/keyword&gt;&lt;/keywords&gt;&lt;dates&gt;&lt;year&gt;2005&lt;/year&gt;&lt;pub-dates&gt;&lt;date&gt;Aug 2005&amp;#xD;2015-09-19&lt;/date&gt;&lt;/pub-dates&gt;&lt;/dates&gt;&lt;pub-location&gt;New York&lt;/pub-location&gt;&lt;publisher&gt;Taylor &amp;amp; Francis Ltd.&lt;/publisher&gt;&lt;isbn&gt;00952990&lt;/isbn&gt;&lt;accession-num&gt;219377776&lt;/accession-num&gt;&lt;urls&gt;&lt;/urls&gt;&lt;electronic-resource-num&gt;10.1081/ADA-200056813&lt;/electronic-resource-num&gt;&lt;remote-database-name&gt;Applied Social Sciences Index &amp;amp; Abstracts (ASSIA)&lt;/remote-database-name&gt;&lt;language&gt;English&lt;/language&gt;&lt;/record&gt;&lt;/Cite&gt;&lt;/EndNote&gt;</w:instrText>
            </w:r>
            <w:r w:rsidRPr="00925EA9">
              <w:rPr>
                <w:rFonts w:cs="Arial"/>
                <w:sz w:val="20"/>
                <w:szCs w:val="20"/>
              </w:rPr>
              <w:fldChar w:fldCharType="separate"/>
            </w:r>
            <w:r w:rsidR="00A77498">
              <w:rPr>
                <w:rFonts w:cs="Arial"/>
                <w:noProof/>
                <w:sz w:val="20"/>
                <w:szCs w:val="20"/>
              </w:rPr>
              <w:t>Grant et al. (2005)</w:t>
            </w:r>
            <w:r w:rsidRPr="00925EA9">
              <w:rPr>
                <w:rFonts w:cs="Arial"/>
                <w:sz w:val="20"/>
                <w:szCs w:val="20"/>
              </w:rPr>
              <w:fldChar w:fldCharType="end"/>
            </w:r>
          </w:p>
        </w:tc>
      </w:tr>
      <w:tr w:rsidR="0025732F" w:rsidRPr="00925EA9" w14:paraId="3146725F" w14:textId="77777777">
        <w:tc>
          <w:tcPr>
            <w:tcW w:w="3114" w:type="dxa"/>
          </w:tcPr>
          <w:p w14:paraId="7E5B9C8A" w14:textId="77777777" w:rsidR="0025732F" w:rsidRPr="00925EA9" w:rsidRDefault="0025732F">
            <w:pPr>
              <w:rPr>
                <w:rFonts w:cs="Arial"/>
                <w:sz w:val="20"/>
                <w:szCs w:val="20"/>
              </w:rPr>
            </w:pPr>
            <w:r w:rsidRPr="00925EA9">
              <w:rPr>
                <w:rFonts w:cs="Arial"/>
                <w:sz w:val="20"/>
                <w:szCs w:val="20"/>
              </w:rPr>
              <w:t>Aims</w:t>
            </w:r>
          </w:p>
        </w:tc>
        <w:tc>
          <w:tcPr>
            <w:tcW w:w="10773" w:type="dxa"/>
          </w:tcPr>
          <w:p w14:paraId="1B9153BE" w14:textId="77777777" w:rsidR="0025732F" w:rsidRPr="00925EA9" w:rsidRDefault="0025732F">
            <w:pPr>
              <w:rPr>
                <w:rFonts w:cs="Arial"/>
                <w:sz w:val="20"/>
                <w:szCs w:val="20"/>
              </w:rPr>
            </w:pPr>
            <w:r w:rsidRPr="00925EA9">
              <w:rPr>
                <w:rFonts w:cs="Arial"/>
                <w:sz w:val="20"/>
                <w:szCs w:val="20"/>
              </w:rPr>
              <w:t xml:space="preserve">To evaluate the effectiveness of the Parent-Child Assistance Programme (P-CAP) for drug and alcohol misusing women </w:t>
            </w:r>
          </w:p>
        </w:tc>
      </w:tr>
      <w:tr w:rsidR="0025732F" w:rsidRPr="00925EA9" w14:paraId="5F19F0B7" w14:textId="77777777">
        <w:tc>
          <w:tcPr>
            <w:tcW w:w="3114" w:type="dxa"/>
          </w:tcPr>
          <w:p w14:paraId="769E71E3" w14:textId="77777777" w:rsidR="0025732F" w:rsidRPr="00925EA9" w:rsidRDefault="0025732F">
            <w:pPr>
              <w:rPr>
                <w:rFonts w:cs="Arial"/>
                <w:sz w:val="20"/>
                <w:szCs w:val="20"/>
              </w:rPr>
            </w:pPr>
            <w:r w:rsidRPr="00925EA9">
              <w:rPr>
                <w:rFonts w:cs="Arial"/>
                <w:sz w:val="20"/>
                <w:szCs w:val="20"/>
              </w:rPr>
              <w:lastRenderedPageBreak/>
              <w:t>Design</w:t>
            </w:r>
          </w:p>
        </w:tc>
        <w:tc>
          <w:tcPr>
            <w:tcW w:w="10773" w:type="dxa"/>
          </w:tcPr>
          <w:p w14:paraId="37840754" w14:textId="77777777" w:rsidR="0025732F" w:rsidRPr="00925EA9" w:rsidRDefault="0025732F">
            <w:pPr>
              <w:rPr>
                <w:rFonts w:cs="Arial"/>
                <w:sz w:val="20"/>
                <w:szCs w:val="20"/>
              </w:rPr>
            </w:pPr>
            <w:r w:rsidRPr="00925EA9">
              <w:rPr>
                <w:rFonts w:cs="Arial"/>
                <w:sz w:val="20"/>
                <w:szCs w:val="20"/>
              </w:rPr>
              <w:t xml:space="preserve">Pretest-posttest comparison across three sites: the original demonstration (OD), Seattle replication (SR) and Tacoma replication (TR). Data was collected using a standardised instrument – the Addiction Severity Index (ASI) – with additional questions. </w:t>
            </w:r>
          </w:p>
        </w:tc>
      </w:tr>
      <w:tr w:rsidR="0025732F" w:rsidRPr="00925EA9" w14:paraId="19BABF97" w14:textId="77777777">
        <w:tc>
          <w:tcPr>
            <w:tcW w:w="3114" w:type="dxa"/>
          </w:tcPr>
          <w:p w14:paraId="01347619"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54A359D9" w14:textId="77777777" w:rsidR="0025732F" w:rsidRPr="00925EA9" w:rsidRDefault="0025732F">
            <w:pPr>
              <w:rPr>
                <w:rFonts w:cs="Arial"/>
                <w:sz w:val="20"/>
                <w:szCs w:val="20"/>
              </w:rPr>
            </w:pPr>
            <w:r w:rsidRPr="00925EA9">
              <w:rPr>
                <w:rFonts w:cs="Arial"/>
                <w:sz w:val="20"/>
                <w:szCs w:val="20"/>
              </w:rPr>
              <w:t>N=216: OD n=60, SR = 76, n = 80.</w:t>
            </w:r>
          </w:p>
        </w:tc>
      </w:tr>
      <w:tr w:rsidR="0025732F" w:rsidRPr="00925EA9" w14:paraId="4E703778" w14:textId="77777777">
        <w:tc>
          <w:tcPr>
            <w:tcW w:w="3114" w:type="dxa"/>
          </w:tcPr>
          <w:p w14:paraId="2C54B60F"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48D92BC0" w14:textId="77777777" w:rsidR="0025732F" w:rsidRPr="00925EA9" w:rsidRDefault="0025732F">
            <w:pPr>
              <w:rPr>
                <w:rFonts w:cs="Arial"/>
                <w:sz w:val="20"/>
                <w:szCs w:val="20"/>
              </w:rPr>
            </w:pPr>
            <w:r w:rsidRPr="00925EA9">
              <w:rPr>
                <w:rFonts w:cs="Arial"/>
                <w:sz w:val="20"/>
                <w:szCs w:val="20"/>
              </w:rPr>
              <w:t xml:space="preserve">P-CAP is a three-year home visitation intervention for women who have delivered at least one substance-exposed baby, that begins either at pregnancy or postpartum. Case managers are paraprofessionals supporting women to receive substance-misuse treatment and access to relevant community agencies such as mental health providers and employment support services. Case managers typically work with 15 families. </w:t>
            </w:r>
          </w:p>
        </w:tc>
      </w:tr>
      <w:tr w:rsidR="0025732F" w:rsidRPr="00F022D5" w14:paraId="0067A94A" w14:textId="77777777">
        <w:tc>
          <w:tcPr>
            <w:tcW w:w="3114" w:type="dxa"/>
          </w:tcPr>
          <w:p w14:paraId="420CE4D0" w14:textId="77777777" w:rsidR="0025732F" w:rsidRPr="00F022D5" w:rsidRDefault="0025732F">
            <w:pPr>
              <w:rPr>
                <w:rFonts w:cs="Arial"/>
                <w:sz w:val="20"/>
                <w:szCs w:val="20"/>
              </w:rPr>
            </w:pPr>
            <w:r w:rsidRPr="00F022D5">
              <w:rPr>
                <w:rFonts w:cs="Arial"/>
                <w:sz w:val="20"/>
                <w:szCs w:val="20"/>
              </w:rPr>
              <w:t>Country</w:t>
            </w:r>
          </w:p>
        </w:tc>
        <w:tc>
          <w:tcPr>
            <w:tcW w:w="10773" w:type="dxa"/>
          </w:tcPr>
          <w:p w14:paraId="03B2E0D3" w14:textId="77777777" w:rsidR="0025732F" w:rsidRPr="00F022D5" w:rsidRDefault="0025732F">
            <w:pPr>
              <w:rPr>
                <w:rFonts w:cs="Arial"/>
                <w:sz w:val="20"/>
                <w:szCs w:val="20"/>
              </w:rPr>
            </w:pPr>
            <w:r w:rsidRPr="00F022D5">
              <w:rPr>
                <w:rFonts w:cs="Arial"/>
                <w:sz w:val="20"/>
                <w:szCs w:val="20"/>
              </w:rPr>
              <w:t>USA (three sites in Washington state).</w:t>
            </w:r>
          </w:p>
        </w:tc>
      </w:tr>
      <w:tr w:rsidR="0025732F" w:rsidRPr="00F022D5" w14:paraId="336394B5" w14:textId="77777777">
        <w:tc>
          <w:tcPr>
            <w:tcW w:w="3114" w:type="dxa"/>
          </w:tcPr>
          <w:p w14:paraId="23D63CEC" w14:textId="77777777" w:rsidR="0025732F" w:rsidRPr="00F022D5" w:rsidRDefault="0025732F">
            <w:pPr>
              <w:rPr>
                <w:rFonts w:cs="Arial"/>
                <w:sz w:val="20"/>
                <w:szCs w:val="20"/>
              </w:rPr>
            </w:pPr>
            <w:r w:rsidRPr="00F022D5">
              <w:rPr>
                <w:rFonts w:cs="Arial"/>
                <w:sz w:val="20"/>
                <w:szCs w:val="20"/>
              </w:rPr>
              <w:t>Outcomes</w:t>
            </w:r>
          </w:p>
        </w:tc>
        <w:tc>
          <w:tcPr>
            <w:tcW w:w="10773" w:type="dxa"/>
          </w:tcPr>
          <w:p w14:paraId="6CEBF6AF" w14:textId="77777777" w:rsidR="0025732F" w:rsidRPr="00F022D5" w:rsidRDefault="0025732F">
            <w:pPr>
              <w:rPr>
                <w:rFonts w:cs="Arial"/>
                <w:sz w:val="20"/>
                <w:szCs w:val="20"/>
              </w:rPr>
            </w:pPr>
            <w:r w:rsidRPr="00F022D5">
              <w:rPr>
                <w:rFonts w:cs="Arial"/>
                <w:sz w:val="20"/>
                <w:szCs w:val="20"/>
              </w:rPr>
              <w:t xml:space="preserve">In the original demonstration, the intervention group performed signiﬁcantly better than the comparison. This was pattern was maintained in relation to contraception use and future births or improved in relation to treatment completion and abstinence at the replication sites.  </w:t>
            </w:r>
          </w:p>
        </w:tc>
      </w:tr>
      <w:tr w:rsidR="0025732F" w:rsidRPr="00F022D5" w14:paraId="680BA5F4" w14:textId="77777777">
        <w:tc>
          <w:tcPr>
            <w:tcW w:w="3114" w:type="dxa"/>
          </w:tcPr>
          <w:p w14:paraId="0E4CA46C" w14:textId="77777777" w:rsidR="0025732F" w:rsidRPr="00F022D5" w:rsidRDefault="0025732F">
            <w:pPr>
              <w:rPr>
                <w:rFonts w:cs="Arial"/>
                <w:sz w:val="20"/>
                <w:szCs w:val="20"/>
              </w:rPr>
            </w:pPr>
            <w:r w:rsidRPr="00F022D5">
              <w:rPr>
                <w:rFonts w:cs="Arial"/>
                <w:sz w:val="20"/>
                <w:szCs w:val="20"/>
              </w:rPr>
              <w:t>Cost-benefit/ cost-effectiveness</w:t>
            </w:r>
          </w:p>
        </w:tc>
        <w:tc>
          <w:tcPr>
            <w:tcW w:w="10773" w:type="dxa"/>
          </w:tcPr>
          <w:p w14:paraId="2D4C6D58" w14:textId="77777777" w:rsidR="0025732F" w:rsidRPr="00F022D5" w:rsidRDefault="0025732F">
            <w:pPr>
              <w:rPr>
                <w:rFonts w:cs="Arial"/>
                <w:sz w:val="20"/>
                <w:szCs w:val="20"/>
              </w:rPr>
            </w:pPr>
            <w:r w:rsidRPr="00F022D5">
              <w:rPr>
                <w:rFonts w:cs="Arial"/>
                <w:sz w:val="20"/>
                <w:szCs w:val="20"/>
              </w:rPr>
              <w:t>N/A.</w:t>
            </w:r>
          </w:p>
        </w:tc>
      </w:tr>
      <w:tr w:rsidR="0025732F" w:rsidRPr="00F022D5" w14:paraId="64BB4A28" w14:textId="77777777">
        <w:tc>
          <w:tcPr>
            <w:tcW w:w="3114" w:type="dxa"/>
          </w:tcPr>
          <w:p w14:paraId="21EA6B71" w14:textId="77777777" w:rsidR="0025732F" w:rsidRPr="00F022D5" w:rsidRDefault="0025732F">
            <w:pPr>
              <w:rPr>
                <w:rFonts w:cs="Arial"/>
                <w:sz w:val="20"/>
                <w:szCs w:val="20"/>
              </w:rPr>
            </w:pPr>
            <w:r w:rsidRPr="00F022D5">
              <w:rPr>
                <w:rFonts w:cs="Arial"/>
                <w:sz w:val="20"/>
                <w:szCs w:val="20"/>
              </w:rPr>
              <w:t>Overall quality rating</w:t>
            </w:r>
          </w:p>
        </w:tc>
        <w:tc>
          <w:tcPr>
            <w:tcW w:w="10773" w:type="dxa"/>
          </w:tcPr>
          <w:p w14:paraId="392893CF" w14:textId="77777777" w:rsidR="0025732F" w:rsidRPr="00F022D5" w:rsidRDefault="0025732F">
            <w:pPr>
              <w:rPr>
                <w:rFonts w:cs="Arial"/>
                <w:sz w:val="20"/>
                <w:szCs w:val="20"/>
              </w:rPr>
            </w:pPr>
            <w:r w:rsidRPr="00F022D5">
              <w:rPr>
                <w:rFonts w:cs="Arial"/>
                <w:sz w:val="20"/>
                <w:szCs w:val="20"/>
              </w:rPr>
              <w:t>Low.</w:t>
            </w:r>
          </w:p>
        </w:tc>
      </w:tr>
      <w:tr w:rsidR="0025732F" w:rsidRPr="00925EA9" w14:paraId="0430A4F4" w14:textId="77777777">
        <w:tc>
          <w:tcPr>
            <w:tcW w:w="3114" w:type="dxa"/>
            <w:shd w:val="clear" w:color="auto" w:fill="D9E2F3" w:themeFill="accent1" w:themeFillTint="33"/>
          </w:tcPr>
          <w:p w14:paraId="0018D832"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542AACB6" w14:textId="4E0FC3B7" w:rsidR="0025732F" w:rsidRPr="00925EA9" w:rsidRDefault="0025732F">
            <w:pPr>
              <w:rPr>
                <w:rFonts w:cs="Arial"/>
                <w:sz w:val="20"/>
                <w:szCs w:val="20"/>
              </w:rPr>
            </w:pPr>
            <w:r>
              <w:rPr>
                <w:rFonts w:cs="Arial"/>
                <w:sz w:val="20"/>
                <w:szCs w:val="20"/>
              </w:rPr>
              <w:fldChar w:fldCharType="begin"/>
            </w:r>
            <w:r w:rsidR="00B9334F">
              <w:rPr>
                <w:rFonts w:cs="Arial"/>
                <w:sz w:val="20"/>
                <w:szCs w:val="20"/>
              </w:rPr>
              <w:instrText xml:space="preserve"> ADDIN EN.CITE &lt;EndNote&gt;&lt;Cite AuthorYear="1"&gt;&lt;Author&gt;Gwadz&lt;/Author&gt;&lt;Year&gt;2008&lt;/Year&gt;&lt;RecNum&gt;259&lt;/RecNum&gt;&lt;DisplayText&gt;Gwadz et al. (2008)&lt;/DisplayText&gt;&lt;record&gt;&lt;rec-number&gt;259&lt;/rec-number&gt;&lt;foreign-keys&gt;&lt;key app="EN" db-id="ffzvr5fstavwxoe9v04xf0wmp5t50as52da0" timestamp="1731671653" guid="72ca5630-179b-4ba7-ab02-baaef41ce17e"&gt;259&lt;/key&gt;&lt;/foreign-keys&gt;&lt;ref-type name="Journal Article"&gt;17&lt;/ref-type&gt;&lt;contributors&gt;&lt;authors&gt;&lt;author&gt;Gwadz, Marya V.&lt;/author&gt;&lt;author&gt;Leonard, Noelle R.&lt;/author&gt;&lt;author&gt;Cleland, Charles M.&lt;/author&gt;&lt;author&gt;Riedel, Marion&lt;/author&gt;&lt;author&gt;Arredondo, Gricel N.&lt;/author&gt;&lt;author&gt;Wolfe, Hannah&lt;/author&gt;&lt;author&gt;Hardcastle, Emily&lt;/author&gt;&lt;author&gt;Morris, Jodi&lt;/author&gt;&lt;/authors&gt;&lt;/contributors&gt;&lt;titles&gt;&lt;title&gt;Behavioral interventions for HIV infected and uninfected mothers with problem drinking&lt;/title&gt;&lt;secondary-title&gt;Addiction Research &amp;amp; Theory&lt;/secondary-title&gt;&lt;/titles&gt;&lt;periodical&gt;&lt;full-title&gt;Addiction Research &amp;amp; Theory&lt;/full-title&gt;&lt;/periodical&gt;&lt;pages&gt;47-65&lt;/pages&gt;&lt;volume&gt;16&lt;/volume&gt;&lt;number&gt;1&lt;/number&gt;&lt;dates&gt;&lt;year&gt;2008&lt;/year&gt;&lt;pub-dates&gt;&lt;date&gt;2008/01/01&lt;/date&gt;&lt;/pub-dates&gt;&lt;/dates&gt;&lt;publisher&gt;Taylor &amp;amp; Francis&lt;/publisher&gt;&lt;isbn&gt;1606-6359&lt;/isbn&gt;&lt;urls&gt;&lt;related-urls&gt;&lt;url&gt;https://doi.org/10.1080/16066350701651214&lt;/url&gt;&lt;/related-urls&gt;&lt;/urls&gt;&lt;electronic-resource-num&gt;10.1080/16066350701651214&lt;/electronic-resource-num&gt;&lt;/record&gt;&lt;/Cite&gt;&lt;/EndNote&gt;</w:instrText>
            </w:r>
            <w:r>
              <w:rPr>
                <w:rFonts w:cs="Arial"/>
                <w:sz w:val="20"/>
                <w:szCs w:val="20"/>
              </w:rPr>
              <w:fldChar w:fldCharType="separate"/>
            </w:r>
            <w:r w:rsidR="00A77498">
              <w:rPr>
                <w:rFonts w:cs="Arial"/>
                <w:noProof/>
                <w:sz w:val="20"/>
                <w:szCs w:val="20"/>
              </w:rPr>
              <w:t>Gwadz et al. (2008)</w:t>
            </w:r>
            <w:r>
              <w:rPr>
                <w:rFonts w:cs="Arial"/>
                <w:sz w:val="20"/>
                <w:szCs w:val="20"/>
              </w:rPr>
              <w:fldChar w:fldCharType="end"/>
            </w:r>
          </w:p>
        </w:tc>
      </w:tr>
      <w:tr w:rsidR="0025732F" w:rsidRPr="00925EA9" w14:paraId="5DBB8FD1" w14:textId="77777777">
        <w:tc>
          <w:tcPr>
            <w:tcW w:w="3114" w:type="dxa"/>
          </w:tcPr>
          <w:p w14:paraId="5934D5CB" w14:textId="77777777" w:rsidR="0025732F" w:rsidRPr="00925EA9" w:rsidRDefault="0025732F">
            <w:pPr>
              <w:rPr>
                <w:rFonts w:cs="Arial"/>
                <w:sz w:val="20"/>
                <w:szCs w:val="20"/>
              </w:rPr>
            </w:pPr>
            <w:r w:rsidRPr="00925EA9">
              <w:rPr>
                <w:rFonts w:cs="Arial"/>
                <w:sz w:val="20"/>
                <w:szCs w:val="20"/>
              </w:rPr>
              <w:t>Aims</w:t>
            </w:r>
          </w:p>
        </w:tc>
        <w:tc>
          <w:tcPr>
            <w:tcW w:w="10773" w:type="dxa"/>
          </w:tcPr>
          <w:p w14:paraId="5AFAAC94" w14:textId="77777777" w:rsidR="0025732F" w:rsidRPr="00A505FA" w:rsidRDefault="0025732F">
            <w:pPr>
              <w:autoSpaceDE w:val="0"/>
              <w:autoSpaceDN w:val="0"/>
              <w:adjustRightInd w:val="0"/>
              <w:rPr>
                <w:rFonts w:cs="Arial"/>
                <w:sz w:val="20"/>
                <w:szCs w:val="20"/>
              </w:rPr>
            </w:pPr>
            <w:r>
              <w:rPr>
                <w:rFonts w:cs="Arial"/>
                <w:sz w:val="20"/>
                <w:szCs w:val="20"/>
              </w:rPr>
              <w:t xml:space="preserve">To evaluate the effectiveness of Family First on problem drinking among HIV and non-HIV infected mothers compared with a single session of social/ motivational intervention.  </w:t>
            </w:r>
          </w:p>
        </w:tc>
      </w:tr>
      <w:tr w:rsidR="0025732F" w:rsidRPr="00925EA9" w14:paraId="7FFFF6AD" w14:textId="77777777">
        <w:tc>
          <w:tcPr>
            <w:tcW w:w="3114" w:type="dxa"/>
          </w:tcPr>
          <w:p w14:paraId="7F892DE6" w14:textId="77777777" w:rsidR="0025732F" w:rsidRPr="00925EA9" w:rsidRDefault="0025732F">
            <w:pPr>
              <w:rPr>
                <w:rFonts w:cs="Arial"/>
                <w:sz w:val="20"/>
                <w:szCs w:val="20"/>
              </w:rPr>
            </w:pPr>
            <w:r w:rsidRPr="00925EA9">
              <w:rPr>
                <w:rFonts w:cs="Arial"/>
                <w:sz w:val="20"/>
                <w:szCs w:val="20"/>
              </w:rPr>
              <w:t>Design</w:t>
            </w:r>
          </w:p>
        </w:tc>
        <w:tc>
          <w:tcPr>
            <w:tcW w:w="10773" w:type="dxa"/>
          </w:tcPr>
          <w:p w14:paraId="4CB2BCC0" w14:textId="77777777" w:rsidR="0025732F" w:rsidRPr="00925EA9" w:rsidRDefault="0025732F">
            <w:pPr>
              <w:autoSpaceDE w:val="0"/>
              <w:autoSpaceDN w:val="0"/>
              <w:adjustRightInd w:val="0"/>
              <w:rPr>
                <w:rFonts w:cs="Arial"/>
                <w:sz w:val="20"/>
                <w:szCs w:val="20"/>
              </w:rPr>
            </w:pPr>
            <w:r>
              <w:rPr>
                <w:rFonts w:cs="Arial"/>
                <w:sz w:val="20"/>
                <w:szCs w:val="20"/>
              </w:rPr>
              <w:t xml:space="preserve">RCT, 18 months study. </w:t>
            </w:r>
          </w:p>
        </w:tc>
      </w:tr>
      <w:tr w:rsidR="0025732F" w:rsidRPr="00925EA9" w14:paraId="6FD3EB4C" w14:textId="77777777">
        <w:tc>
          <w:tcPr>
            <w:tcW w:w="3114" w:type="dxa"/>
          </w:tcPr>
          <w:p w14:paraId="19A73E64"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40113967" w14:textId="77777777" w:rsidR="0025732F" w:rsidRPr="00925EA9" w:rsidRDefault="0025732F">
            <w:pPr>
              <w:autoSpaceDE w:val="0"/>
              <w:autoSpaceDN w:val="0"/>
              <w:adjustRightInd w:val="0"/>
              <w:rPr>
                <w:rFonts w:cs="Arial"/>
                <w:sz w:val="20"/>
                <w:szCs w:val="20"/>
              </w:rPr>
            </w:pPr>
            <w:r>
              <w:rPr>
                <w:rFonts w:cs="Arial"/>
                <w:sz w:val="20"/>
                <w:szCs w:val="20"/>
              </w:rPr>
              <w:t xml:space="preserve">Intervention (n= 57) and comparison (n=61) groups. </w:t>
            </w:r>
          </w:p>
        </w:tc>
      </w:tr>
      <w:tr w:rsidR="0025732F" w:rsidRPr="00925EA9" w14:paraId="09F25F77" w14:textId="77777777">
        <w:tc>
          <w:tcPr>
            <w:tcW w:w="3114" w:type="dxa"/>
          </w:tcPr>
          <w:p w14:paraId="2FF6BC5F"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27A5426F" w14:textId="77777777" w:rsidR="0025732F" w:rsidRPr="00925EA9" w:rsidRDefault="0025732F">
            <w:pPr>
              <w:autoSpaceDE w:val="0"/>
              <w:autoSpaceDN w:val="0"/>
              <w:adjustRightInd w:val="0"/>
              <w:rPr>
                <w:rFonts w:cs="Arial"/>
                <w:sz w:val="20"/>
                <w:szCs w:val="20"/>
              </w:rPr>
            </w:pPr>
            <w:r>
              <w:rPr>
                <w:rFonts w:cs="Arial"/>
                <w:sz w:val="20"/>
                <w:szCs w:val="20"/>
              </w:rPr>
              <w:t>Family First, a form of CBT</w:t>
            </w:r>
            <w:r w:rsidRPr="00C02FE9">
              <w:rPr>
                <w:rFonts w:cs="Arial"/>
                <w:sz w:val="20"/>
                <w:szCs w:val="20"/>
              </w:rPr>
              <w:t xml:space="preserve"> comprising 14-sessions lasting 90 minutes each on substance use/ problem drinking and parenting behaviour and skills. </w:t>
            </w:r>
          </w:p>
        </w:tc>
      </w:tr>
      <w:tr w:rsidR="0025732F" w:rsidRPr="00925EA9" w14:paraId="69856CFB" w14:textId="77777777">
        <w:tc>
          <w:tcPr>
            <w:tcW w:w="3114" w:type="dxa"/>
          </w:tcPr>
          <w:p w14:paraId="3245021E" w14:textId="77777777" w:rsidR="0025732F" w:rsidRPr="00925EA9" w:rsidRDefault="0025732F">
            <w:pPr>
              <w:rPr>
                <w:rFonts w:cs="Arial"/>
                <w:sz w:val="20"/>
                <w:szCs w:val="20"/>
              </w:rPr>
            </w:pPr>
            <w:r w:rsidRPr="00925EA9">
              <w:rPr>
                <w:rFonts w:cs="Arial"/>
                <w:sz w:val="20"/>
                <w:szCs w:val="20"/>
              </w:rPr>
              <w:t>Country</w:t>
            </w:r>
          </w:p>
        </w:tc>
        <w:tc>
          <w:tcPr>
            <w:tcW w:w="10773" w:type="dxa"/>
          </w:tcPr>
          <w:p w14:paraId="1C6F00FB" w14:textId="77777777" w:rsidR="0025732F" w:rsidRPr="00925EA9" w:rsidRDefault="0025732F">
            <w:pPr>
              <w:rPr>
                <w:rFonts w:cs="Arial"/>
                <w:sz w:val="20"/>
                <w:szCs w:val="20"/>
              </w:rPr>
            </w:pPr>
            <w:r>
              <w:rPr>
                <w:rFonts w:cs="Arial"/>
                <w:sz w:val="20"/>
                <w:szCs w:val="20"/>
              </w:rPr>
              <w:t xml:space="preserve">USA (New York). </w:t>
            </w:r>
          </w:p>
        </w:tc>
      </w:tr>
      <w:tr w:rsidR="0025732F" w:rsidRPr="00925EA9" w14:paraId="52C5438C" w14:textId="77777777">
        <w:tc>
          <w:tcPr>
            <w:tcW w:w="3114" w:type="dxa"/>
          </w:tcPr>
          <w:p w14:paraId="3EB2C42E"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6B1D013C" w14:textId="77777777" w:rsidR="0025732F" w:rsidRPr="00925EA9" w:rsidRDefault="0025732F">
            <w:pPr>
              <w:rPr>
                <w:rFonts w:cs="Arial"/>
                <w:sz w:val="20"/>
                <w:szCs w:val="20"/>
              </w:rPr>
            </w:pPr>
            <w:r>
              <w:rPr>
                <w:rFonts w:cs="Arial"/>
                <w:sz w:val="20"/>
                <w:szCs w:val="20"/>
              </w:rPr>
              <w:t xml:space="preserve">All mothers reduced alcohol and drug, however there were no significant differences by the end of the reporting period between the intervention and comparison group. </w:t>
            </w:r>
          </w:p>
        </w:tc>
      </w:tr>
      <w:tr w:rsidR="0025732F" w:rsidRPr="00925EA9" w14:paraId="785EC710" w14:textId="77777777">
        <w:tc>
          <w:tcPr>
            <w:tcW w:w="3114" w:type="dxa"/>
          </w:tcPr>
          <w:p w14:paraId="74BD294C"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17E647D7" w14:textId="77777777" w:rsidR="0025732F" w:rsidRPr="00925EA9" w:rsidRDefault="0025732F">
            <w:pPr>
              <w:rPr>
                <w:rFonts w:cs="Arial"/>
                <w:sz w:val="20"/>
                <w:szCs w:val="20"/>
              </w:rPr>
            </w:pPr>
            <w:r>
              <w:rPr>
                <w:rFonts w:cs="Arial"/>
                <w:sz w:val="20"/>
                <w:szCs w:val="20"/>
              </w:rPr>
              <w:t>n/a</w:t>
            </w:r>
          </w:p>
        </w:tc>
      </w:tr>
      <w:tr w:rsidR="0025732F" w:rsidRPr="00925EA9" w14:paraId="7D14E0DB" w14:textId="77777777">
        <w:tc>
          <w:tcPr>
            <w:tcW w:w="3114" w:type="dxa"/>
          </w:tcPr>
          <w:p w14:paraId="6707A759"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2BABE8F6" w14:textId="77777777" w:rsidR="0025732F" w:rsidRPr="00925EA9" w:rsidRDefault="0025732F">
            <w:pPr>
              <w:rPr>
                <w:rFonts w:cs="Arial"/>
                <w:sz w:val="20"/>
                <w:szCs w:val="20"/>
              </w:rPr>
            </w:pPr>
            <w:r>
              <w:rPr>
                <w:rFonts w:cs="Arial"/>
                <w:sz w:val="20"/>
                <w:szCs w:val="20"/>
              </w:rPr>
              <w:t>Moderate.</w:t>
            </w:r>
          </w:p>
        </w:tc>
      </w:tr>
      <w:tr w:rsidR="0025732F" w:rsidRPr="00925EA9" w14:paraId="4BEE9D63" w14:textId="77777777">
        <w:tc>
          <w:tcPr>
            <w:tcW w:w="3114" w:type="dxa"/>
            <w:shd w:val="clear" w:color="auto" w:fill="D9E2F3" w:themeFill="accent1" w:themeFillTint="33"/>
          </w:tcPr>
          <w:p w14:paraId="25033A4E"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07E088D9" w14:textId="56008A1E" w:rsidR="0025732F" w:rsidRPr="00925EA9" w:rsidRDefault="0025732F">
            <w:pPr>
              <w:rPr>
                <w:rFonts w:cs="Arial"/>
                <w:sz w:val="20"/>
                <w:szCs w:val="20"/>
              </w:rPr>
            </w:pPr>
            <w:r w:rsidRPr="00925EA9">
              <w:rPr>
                <w:rFonts w:cs="Arial"/>
                <w:sz w:val="20"/>
                <w:szCs w:val="20"/>
              </w:rPr>
              <w:fldChar w:fldCharType="begin">
                <w:fldData xml:space="preserve">PEVuZE5vdGU+PENpdGUgQXV0aG9yWWVhcj0iMSI+PEF1dGhvcj5MYW08L0F1dGhvcj48WWVhcj4y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=
</w:fldData>
              </w:fldChar>
            </w:r>
            <w:r w:rsidR="00B9334F">
              <w:rPr>
                <w:rFonts w:cs="Arial"/>
                <w:sz w:val="20"/>
                <w:szCs w:val="20"/>
              </w:rPr>
              <w:instrText xml:space="preserve"> ADDIN EN.CITE </w:instrText>
            </w:r>
            <w:r w:rsidR="00B9334F">
              <w:rPr>
                <w:rFonts w:cs="Arial"/>
                <w:sz w:val="20"/>
                <w:szCs w:val="20"/>
              </w:rPr>
              <w:fldChar w:fldCharType="begin">
                <w:fldData xml:space="preserve">PEVuZE5vdGU+PENpdGUgQXV0aG9yWWVhcj0iMSI+PEF1dGhvcj5MYW08L0F1dGhvcj48WWVhcj4y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=
</w:fldData>
              </w:fldChar>
            </w:r>
            <w:r w:rsidR="00B9334F">
              <w:rPr>
                <w:rFonts w:cs="Arial"/>
                <w:sz w:val="20"/>
                <w:szCs w:val="20"/>
              </w:rPr>
              <w:instrText xml:space="preserve"> ADDIN EN.CITE.DATA </w:instrText>
            </w:r>
            <w:r w:rsidR="00B9334F">
              <w:rPr>
                <w:rFonts w:cs="Arial"/>
                <w:sz w:val="20"/>
                <w:szCs w:val="20"/>
              </w:rPr>
            </w:r>
            <w:r w:rsidR="00B9334F">
              <w:rPr>
                <w:rFonts w:cs="Arial"/>
                <w:sz w:val="20"/>
                <w:szCs w:val="20"/>
              </w:rPr>
              <w:fldChar w:fldCharType="end"/>
            </w:r>
            <w:r w:rsidRPr="00925EA9">
              <w:rPr>
                <w:rFonts w:cs="Arial"/>
                <w:sz w:val="20"/>
                <w:szCs w:val="20"/>
              </w:rPr>
            </w:r>
            <w:r w:rsidRPr="00925EA9">
              <w:rPr>
                <w:rFonts w:cs="Arial"/>
                <w:sz w:val="20"/>
                <w:szCs w:val="20"/>
              </w:rPr>
              <w:fldChar w:fldCharType="separate"/>
            </w:r>
            <w:r w:rsidR="00A77498">
              <w:rPr>
                <w:rFonts w:cs="Arial"/>
                <w:noProof/>
                <w:sz w:val="20"/>
                <w:szCs w:val="20"/>
              </w:rPr>
              <w:t>Lam et al. (2009)</w:t>
            </w:r>
            <w:r w:rsidRPr="00925EA9">
              <w:rPr>
                <w:rFonts w:cs="Arial"/>
                <w:sz w:val="20"/>
                <w:szCs w:val="20"/>
              </w:rPr>
              <w:fldChar w:fldCharType="end"/>
            </w:r>
          </w:p>
        </w:tc>
      </w:tr>
      <w:tr w:rsidR="0025732F" w:rsidRPr="00925EA9" w14:paraId="1390DD3D" w14:textId="77777777">
        <w:tc>
          <w:tcPr>
            <w:tcW w:w="3114" w:type="dxa"/>
          </w:tcPr>
          <w:p w14:paraId="1C18AD6B" w14:textId="77777777" w:rsidR="0025732F" w:rsidRPr="00925EA9" w:rsidRDefault="0025732F">
            <w:pPr>
              <w:rPr>
                <w:rFonts w:cs="Arial"/>
                <w:sz w:val="20"/>
                <w:szCs w:val="20"/>
              </w:rPr>
            </w:pPr>
            <w:r w:rsidRPr="00925EA9">
              <w:rPr>
                <w:rFonts w:cs="Arial"/>
                <w:sz w:val="20"/>
                <w:szCs w:val="20"/>
              </w:rPr>
              <w:t>Aims</w:t>
            </w:r>
          </w:p>
        </w:tc>
        <w:tc>
          <w:tcPr>
            <w:tcW w:w="10773" w:type="dxa"/>
          </w:tcPr>
          <w:p w14:paraId="79C19C29" w14:textId="77777777" w:rsidR="0025732F" w:rsidRPr="00925EA9" w:rsidRDefault="0025732F">
            <w:pPr>
              <w:autoSpaceDE w:val="0"/>
              <w:autoSpaceDN w:val="0"/>
              <w:adjustRightInd w:val="0"/>
              <w:rPr>
                <w:rFonts w:cs="Arial"/>
                <w:sz w:val="20"/>
                <w:szCs w:val="20"/>
              </w:rPr>
            </w:pPr>
            <w:r w:rsidRPr="00925EA9">
              <w:rPr>
                <w:rFonts w:cs="Arial"/>
                <w:sz w:val="20"/>
                <w:szCs w:val="20"/>
              </w:rPr>
              <w:t xml:space="preserve">To analyse the effectiveness of Parent Skills with Behavioural Couples Therapy (PSBCT) for alcohol dependent fathers in an outpatient treatment setting on reducing paternal substance misuse and improving parenting skills. </w:t>
            </w:r>
          </w:p>
        </w:tc>
      </w:tr>
      <w:tr w:rsidR="0025732F" w:rsidRPr="00925EA9" w14:paraId="638903D3" w14:textId="77777777">
        <w:tc>
          <w:tcPr>
            <w:tcW w:w="3114" w:type="dxa"/>
          </w:tcPr>
          <w:p w14:paraId="378428E1" w14:textId="77777777" w:rsidR="0025732F" w:rsidRPr="00925EA9" w:rsidRDefault="0025732F">
            <w:pPr>
              <w:rPr>
                <w:rFonts w:cs="Arial"/>
                <w:sz w:val="20"/>
                <w:szCs w:val="20"/>
              </w:rPr>
            </w:pPr>
            <w:r w:rsidRPr="00925EA9">
              <w:rPr>
                <w:rFonts w:cs="Arial"/>
                <w:sz w:val="20"/>
                <w:szCs w:val="20"/>
              </w:rPr>
              <w:t>Design</w:t>
            </w:r>
          </w:p>
        </w:tc>
        <w:tc>
          <w:tcPr>
            <w:tcW w:w="10773" w:type="dxa"/>
          </w:tcPr>
          <w:p w14:paraId="642110A9" w14:textId="77777777" w:rsidR="0025732F" w:rsidRPr="00925EA9" w:rsidRDefault="0025732F">
            <w:pPr>
              <w:autoSpaceDE w:val="0"/>
              <w:autoSpaceDN w:val="0"/>
              <w:adjustRightInd w:val="0"/>
              <w:rPr>
                <w:rFonts w:cs="Arial"/>
                <w:sz w:val="20"/>
                <w:szCs w:val="20"/>
              </w:rPr>
            </w:pPr>
            <w:r w:rsidRPr="00925EA9">
              <w:rPr>
                <w:rFonts w:cs="Arial"/>
                <w:sz w:val="20"/>
                <w:szCs w:val="20"/>
              </w:rPr>
              <w:t>Randomised clinical before and after outcomes pilot study. Standardised instruments were used to measure changes in substance use, domestic violence, general parenting and child maltreatment. Interviews were held at baseline, post-treatment, and at 6- and 12-month follow-ups. Analysis was primarily conducted using growth curve modelling.</w:t>
            </w:r>
          </w:p>
        </w:tc>
      </w:tr>
      <w:tr w:rsidR="0025732F" w:rsidRPr="00925EA9" w14:paraId="78609F9D" w14:textId="77777777">
        <w:tc>
          <w:tcPr>
            <w:tcW w:w="3114" w:type="dxa"/>
          </w:tcPr>
          <w:p w14:paraId="1A64AD17"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2351135D" w14:textId="77777777" w:rsidR="0025732F" w:rsidRPr="00925EA9" w:rsidRDefault="0025732F">
            <w:pPr>
              <w:autoSpaceDE w:val="0"/>
              <w:autoSpaceDN w:val="0"/>
              <w:adjustRightInd w:val="0"/>
              <w:rPr>
                <w:rFonts w:cs="Arial"/>
                <w:sz w:val="20"/>
                <w:szCs w:val="20"/>
              </w:rPr>
            </w:pPr>
            <w:r w:rsidRPr="00925EA9">
              <w:rPr>
                <w:rFonts w:cs="Arial"/>
                <w:sz w:val="20"/>
                <w:szCs w:val="20"/>
              </w:rPr>
              <w:t>Fathers (n=30), their female partners and children aged 8-12 years old. Female partners had to be abstinent for the couple to be included in the study.</w:t>
            </w:r>
          </w:p>
        </w:tc>
      </w:tr>
      <w:tr w:rsidR="0025732F" w:rsidRPr="00925EA9" w14:paraId="61457091" w14:textId="77777777">
        <w:tc>
          <w:tcPr>
            <w:tcW w:w="3114" w:type="dxa"/>
          </w:tcPr>
          <w:p w14:paraId="2DD83928"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5B157564" w14:textId="77777777" w:rsidR="0025732F" w:rsidRPr="00925EA9" w:rsidRDefault="0025732F">
            <w:pPr>
              <w:autoSpaceDE w:val="0"/>
              <w:autoSpaceDN w:val="0"/>
              <w:adjustRightInd w:val="0"/>
              <w:rPr>
                <w:rFonts w:cs="Arial"/>
                <w:sz w:val="20"/>
                <w:szCs w:val="20"/>
              </w:rPr>
            </w:pPr>
            <w:r w:rsidRPr="00925EA9">
              <w:rPr>
                <w:rFonts w:cs="Arial"/>
                <w:sz w:val="20"/>
                <w:szCs w:val="20"/>
              </w:rPr>
              <w:t xml:space="preserve">The intervention group received PSBCT, others regular behavioural couples therapy (BCT) and a third group were randomly allocated to individual-base treatment (i.e. standard treatment for alcohol dependency). All participants attended 24 sessions: cognitive-behavioural therapy for the first 12 weeks, the randomised condition thereafter. </w:t>
            </w:r>
          </w:p>
        </w:tc>
      </w:tr>
      <w:tr w:rsidR="0025732F" w:rsidRPr="00925EA9" w14:paraId="2320BC2E" w14:textId="77777777">
        <w:tc>
          <w:tcPr>
            <w:tcW w:w="3114" w:type="dxa"/>
          </w:tcPr>
          <w:p w14:paraId="3FFC5274" w14:textId="77777777" w:rsidR="0025732F" w:rsidRPr="00925EA9" w:rsidRDefault="0025732F">
            <w:pPr>
              <w:rPr>
                <w:rFonts w:cs="Arial"/>
                <w:sz w:val="20"/>
                <w:szCs w:val="20"/>
              </w:rPr>
            </w:pPr>
            <w:r w:rsidRPr="00925EA9">
              <w:rPr>
                <w:rFonts w:cs="Arial"/>
                <w:sz w:val="20"/>
                <w:szCs w:val="20"/>
              </w:rPr>
              <w:t>Country</w:t>
            </w:r>
          </w:p>
        </w:tc>
        <w:tc>
          <w:tcPr>
            <w:tcW w:w="10773" w:type="dxa"/>
          </w:tcPr>
          <w:p w14:paraId="4DF3F592" w14:textId="77777777" w:rsidR="0025732F" w:rsidRPr="00925EA9" w:rsidRDefault="0025732F">
            <w:pPr>
              <w:rPr>
                <w:rFonts w:cs="Arial"/>
                <w:sz w:val="20"/>
                <w:szCs w:val="20"/>
              </w:rPr>
            </w:pPr>
            <w:r w:rsidRPr="00925EA9">
              <w:rPr>
                <w:rFonts w:cs="Arial"/>
                <w:sz w:val="20"/>
                <w:szCs w:val="20"/>
              </w:rPr>
              <w:t>USA.</w:t>
            </w:r>
          </w:p>
        </w:tc>
      </w:tr>
      <w:tr w:rsidR="0025732F" w:rsidRPr="00925EA9" w14:paraId="0C3CEFCF" w14:textId="77777777">
        <w:tc>
          <w:tcPr>
            <w:tcW w:w="3114" w:type="dxa"/>
          </w:tcPr>
          <w:p w14:paraId="39DFF7E5" w14:textId="77777777" w:rsidR="0025732F" w:rsidRPr="00925EA9" w:rsidRDefault="0025732F">
            <w:pPr>
              <w:rPr>
                <w:rFonts w:cs="Arial"/>
                <w:sz w:val="20"/>
                <w:szCs w:val="20"/>
              </w:rPr>
            </w:pPr>
            <w:r>
              <w:rPr>
                <w:rFonts w:cs="Arial"/>
                <w:sz w:val="20"/>
                <w:szCs w:val="20"/>
              </w:rPr>
              <w:lastRenderedPageBreak/>
              <w:t>O</w:t>
            </w:r>
            <w:r w:rsidRPr="00925EA9">
              <w:rPr>
                <w:rFonts w:cs="Arial"/>
                <w:sz w:val="20"/>
                <w:szCs w:val="20"/>
              </w:rPr>
              <w:t>utcomes</w:t>
            </w:r>
          </w:p>
        </w:tc>
        <w:tc>
          <w:tcPr>
            <w:tcW w:w="10773" w:type="dxa"/>
          </w:tcPr>
          <w:p w14:paraId="6035D518" w14:textId="77777777" w:rsidR="0025732F" w:rsidRPr="00925EA9" w:rsidRDefault="0025732F">
            <w:pPr>
              <w:rPr>
                <w:rFonts w:cs="Arial"/>
                <w:sz w:val="20"/>
                <w:szCs w:val="20"/>
              </w:rPr>
            </w:pPr>
            <w:r w:rsidRPr="00925EA9">
              <w:rPr>
                <w:rFonts w:cs="Arial"/>
                <w:sz w:val="20"/>
                <w:szCs w:val="20"/>
              </w:rPr>
              <w:t xml:space="preserve">Minimal differences were observed between PSBCT and BCT on substance use, dyadic adjustment, and intimate partner violence, however effect sizes for PSBCT compared with BCT was larger in relation to parenting and child welfare involvement at 6 and 12 months. Both arms were significantly more effective than IBT. </w:t>
            </w:r>
          </w:p>
        </w:tc>
      </w:tr>
      <w:tr w:rsidR="0025732F" w:rsidRPr="00925EA9" w14:paraId="06E431D7" w14:textId="77777777">
        <w:tc>
          <w:tcPr>
            <w:tcW w:w="3114" w:type="dxa"/>
          </w:tcPr>
          <w:p w14:paraId="18C895DE"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622A2BEE" w14:textId="77777777" w:rsidR="0025732F" w:rsidRPr="00925EA9" w:rsidRDefault="0025732F">
            <w:pPr>
              <w:rPr>
                <w:rFonts w:cs="Arial"/>
                <w:sz w:val="20"/>
                <w:szCs w:val="20"/>
              </w:rPr>
            </w:pPr>
            <w:r w:rsidRPr="00925EA9">
              <w:rPr>
                <w:rFonts w:cs="Arial"/>
                <w:sz w:val="20"/>
                <w:szCs w:val="20"/>
              </w:rPr>
              <w:t>N/A.</w:t>
            </w:r>
          </w:p>
        </w:tc>
      </w:tr>
      <w:tr w:rsidR="0025732F" w:rsidRPr="00925EA9" w14:paraId="6881DB83" w14:textId="77777777">
        <w:tc>
          <w:tcPr>
            <w:tcW w:w="3114" w:type="dxa"/>
          </w:tcPr>
          <w:p w14:paraId="7B58B98D"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15D35C1F" w14:textId="77777777" w:rsidR="0025732F" w:rsidRPr="00925EA9" w:rsidRDefault="0025732F">
            <w:pPr>
              <w:rPr>
                <w:rFonts w:cs="Arial"/>
                <w:sz w:val="20"/>
                <w:szCs w:val="20"/>
              </w:rPr>
            </w:pPr>
            <w:r>
              <w:rPr>
                <w:rFonts w:cs="Arial"/>
                <w:sz w:val="20"/>
                <w:szCs w:val="20"/>
              </w:rPr>
              <w:t>Low</w:t>
            </w:r>
            <w:r w:rsidRPr="00925EA9">
              <w:rPr>
                <w:rFonts w:cs="Arial"/>
                <w:sz w:val="20"/>
                <w:szCs w:val="20"/>
              </w:rPr>
              <w:t>.</w:t>
            </w:r>
          </w:p>
        </w:tc>
      </w:tr>
      <w:tr w:rsidR="0025732F" w:rsidRPr="00925EA9" w14:paraId="30CFF8EF" w14:textId="77777777">
        <w:tc>
          <w:tcPr>
            <w:tcW w:w="3114" w:type="dxa"/>
            <w:shd w:val="clear" w:color="auto" w:fill="D9E2F3" w:themeFill="accent1" w:themeFillTint="33"/>
          </w:tcPr>
          <w:p w14:paraId="58CF3104"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1F984D08" w14:textId="321EB983" w:rsidR="0025732F" w:rsidRPr="00925EA9" w:rsidRDefault="0025732F">
            <w:pPr>
              <w:rPr>
                <w:rFonts w:cs="Arial"/>
                <w:sz w:val="20"/>
                <w:szCs w:val="20"/>
              </w:rPr>
            </w:pPr>
            <w:r>
              <w:rPr>
                <w:rFonts w:cs="Arial"/>
                <w:sz w:val="20"/>
                <w:szCs w:val="20"/>
              </w:rPr>
              <w:fldChar w:fldCharType="begin"/>
            </w:r>
            <w:r w:rsidR="00B9334F">
              <w:rPr>
                <w:rFonts w:cs="Arial"/>
                <w:sz w:val="20"/>
                <w:szCs w:val="20"/>
              </w:rPr>
              <w:instrText xml:space="preserve"> ADDIN EN.CITE &lt;EndNote&gt;&lt;Cite AuthorYear="1"&gt;&lt;Author&gt;Luthar&lt;/Author&gt;&lt;Year&gt;2007&lt;/Year&gt;&lt;RecNum&gt;251&lt;/RecNum&gt;&lt;DisplayText&gt;Luthar et al. (2007)&lt;/DisplayText&gt;&lt;record&gt;&lt;rec-number&gt;251&lt;/rec-number&gt;&lt;foreign-keys&gt;&lt;key app="EN" db-id="ffzvr5fstavwxoe9v04xf0wmp5t50as52da0" timestamp="1731671652" guid="f81c7dfa-ad4d-4102-bcf5-3a6d11407b89"&gt;251&lt;/key&gt;&lt;/foreign-keys&gt;&lt;ref-type name="Journal Article"&gt;17&lt;/ref-type&gt;&lt;contributors&gt;&lt;authors&gt;&lt;author&gt;Luthar, Suniya S.&lt;/author&gt;&lt;author&gt;Suchman, Nancy E.&lt;/author&gt;&lt;author&gt;Altomare, Michelle&lt;/author&gt;&lt;/authors&gt;&lt;/contributors&gt;&lt;titles&gt;&lt;title&gt;Relational Psychotherapy Mothers&amp;apos; Group: A randomized clinical trial for substance abusing mothers&lt;/title&gt;&lt;secondary-title&gt;Development and Psychopathology&lt;/secondary-title&gt;&lt;/titles&gt;&lt;periodical&gt;&lt;full-title&gt;Development and Psychopathology&lt;/full-title&gt;&lt;/periodical&gt;&lt;pages&gt;243-261&lt;/pages&gt;&lt;volume&gt;19&lt;/volume&gt;&lt;number&gt;1&lt;/number&gt;&lt;edition&gt;2007/01/22&lt;/edition&gt;&lt;dates&gt;&lt;year&gt;2007&lt;/year&gt;&lt;/dates&gt;&lt;publisher&gt;Cambridge University Press&lt;/publisher&gt;&lt;isbn&gt;0954-5794&lt;/isbn&gt;&lt;urls&gt;&lt;related-urls&gt;&lt;url&gt;https://www.cambridge.org/core/product/D7241BB4B1FF786E890C04F32FB6628C&lt;/url&gt;&lt;/related-urls&gt;&lt;/urls&gt;&lt;electronic-resource-num&gt;10.1017/S0954579407070137&lt;/electronic-resource-num&gt;&lt;remote-database-name&gt;Cambridge Core&lt;/remote-database-name&gt;&lt;remote-database-provider&gt;Cambridge University Press&lt;/remote-database-provider&gt;&lt;/record&gt;&lt;/Cite&gt;&lt;/EndNote&gt;</w:instrText>
            </w:r>
            <w:r>
              <w:rPr>
                <w:rFonts w:cs="Arial"/>
                <w:sz w:val="20"/>
                <w:szCs w:val="20"/>
              </w:rPr>
              <w:fldChar w:fldCharType="separate"/>
            </w:r>
            <w:r w:rsidR="00A77498">
              <w:rPr>
                <w:rFonts w:cs="Arial"/>
                <w:noProof/>
                <w:sz w:val="20"/>
                <w:szCs w:val="20"/>
              </w:rPr>
              <w:t>Luthar et al. (2007)</w:t>
            </w:r>
            <w:r>
              <w:rPr>
                <w:rFonts w:cs="Arial"/>
                <w:sz w:val="20"/>
                <w:szCs w:val="20"/>
              </w:rPr>
              <w:fldChar w:fldCharType="end"/>
            </w:r>
          </w:p>
        </w:tc>
      </w:tr>
      <w:tr w:rsidR="0025732F" w:rsidRPr="00925EA9" w14:paraId="4B2DFDA8" w14:textId="77777777">
        <w:tc>
          <w:tcPr>
            <w:tcW w:w="3114" w:type="dxa"/>
          </w:tcPr>
          <w:p w14:paraId="358DB82D" w14:textId="77777777" w:rsidR="0025732F" w:rsidRPr="00925EA9" w:rsidRDefault="0025732F">
            <w:pPr>
              <w:rPr>
                <w:rFonts w:cs="Arial"/>
                <w:sz w:val="20"/>
                <w:szCs w:val="20"/>
              </w:rPr>
            </w:pPr>
            <w:r w:rsidRPr="00925EA9">
              <w:rPr>
                <w:rFonts w:cs="Arial"/>
                <w:sz w:val="20"/>
                <w:szCs w:val="20"/>
              </w:rPr>
              <w:t>Aims</w:t>
            </w:r>
          </w:p>
        </w:tc>
        <w:tc>
          <w:tcPr>
            <w:tcW w:w="10773" w:type="dxa"/>
          </w:tcPr>
          <w:p w14:paraId="18DF578A" w14:textId="77777777" w:rsidR="0025732F" w:rsidRPr="00925EA9" w:rsidRDefault="0025732F">
            <w:pPr>
              <w:autoSpaceDE w:val="0"/>
              <w:autoSpaceDN w:val="0"/>
              <w:adjustRightInd w:val="0"/>
              <w:rPr>
                <w:rFonts w:cs="Arial"/>
                <w:sz w:val="20"/>
                <w:szCs w:val="20"/>
              </w:rPr>
            </w:pPr>
            <w:r>
              <w:rPr>
                <w:rFonts w:cs="Arial"/>
                <w:sz w:val="20"/>
                <w:szCs w:val="20"/>
              </w:rPr>
              <w:t xml:space="preserve">To evaluate the effectiveness of the Relational Psychotherapy Mother’s Group (RPMG) with recovery training (RT) for mothers with SUD in methadone clinics. </w:t>
            </w:r>
          </w:p>
        </w:tc>
      </w:tr>
      <w:tr w:rsidR="0025732F" w:rsidRPr="00925EA9" w14:paraId="6E2D6D7C" w14:textId="77777777">
        <w:tc>
          <w:tcPr>
            <w:tcW w:w="3114" w:type="dxa"/>
          </w:tcPr>
          <w:p w14:paraId="3E68FC89" w14:textId="77777777" w:rsidR="0025732F" w:rsidRPr="00925EA9" w:rsidRDefault="0025732F">
            <w:pPr>
              <w:rPr>
                <w:rFonts w:cs="Arial"/>
                <w:sz w:val="20"/>
                <w:szCs w:val="20"/>
              </w:rPr>
            </w:pPr>
            <w:r w:rsidRPr="00925EA9">
              <w:rPr>
                <w:rFonts w:cs="Arial"/>
                <w:sz w:val="20"/>
                <w:szCs w:val="20"/>
              </w:rPr>
              <w:t>Design</w:t>
            </w:r>
          </w:p>
        </w:tc>
        <w:tc>
          <w:tcPr>
            <w:tcW w:w="10773" w:type="dxa"/>
          </w:tcPr>
          <w:p w14:paraId="5CACD9D3" w14:textId="77777777" w:rsidR="0025732F" w:rsidRPr="00925EA9" w:rsidRDefault="0025732F">
            <w:pPr>
              <w:autoSpaceDE w:val="0"/>
              <w:autoSpaceDN w:val="0"/>
              <w:adjustRightInd w:val="0"/>
              <w:rPr>
                <w:rFonts w:cs="Arial"/>
                <w:sz w:val="20"/>
                <w:szCs w:val="20"/>
              </w:rPr>
            </w:pPr>
            <w:r>
              <w:rPr>
                <w:rFonts w:cs="Arial"/>
                <w:sz w:val="20"/>
                <w:szCs w:val="20"/>
              </w:rPr>
              <w:t xml:space="preserve">RCT, intention to treat, with 6-month post treatment follow-up (12 months post baseline). Self-reported child maltreatment was measured using questionnaires and urinalysis was conducted to assess cocaine and opiate use. </w:t>
            </w:r>
          </w:p>
        </w:tc>
      </w:tr>
      <w:tr w:rsidR="0025732F" w:rsidRPr="00925EA9" w14:paraId="28C0D584" w14:textId="77777777">
        <w:tc>
          <w:tcPr>
            <w:tcW w:w="3114" w:type="dxa"/>
          </w:tcPr>
          <w:p w14:paraId="5FCE1539"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00110A32" w14:textId="77777777" w:rsidR="0025732F" w:rsidRPr="002E6D91" w:rsidRDefault="0025732F">
            <w:pPr>
              <w:rPr>
                <w:sz w:val="20"/>
                <w:szCs w:val="20"/>
                <w:shd w:val="clear" w:color="auto" w:fill="FFFFFF"/>
              </w:rPr>
            </w:pPr>
            <w:r w:rsidRPr="00925EA9">
              <w:rPr>
                <w:sz w:val="20"/>
                <w:szCs w:val="20"/>
                <w:shd w:val="clear" w:color="auto" w:fill="FFFFFF"/>
              </w:rPr>
              <w:t>Intervention (n=</w:t>
            </w:r>
            <w:r>
              <w:rPr>
                <w:sz w:val="20"/>
                <w:szCs w:val="20"/>
                <w:shd w:val="clear" w:color="auto" w:fill="FFFFFF"/>
              </w:rPr>
              <w:t>60</w:t>
            </w:r>
            <w:r w:rsidRPr="00925EA9">
              <w:rPr>
                <w:sz w:val="20"/>
                <w:szCs w:val="20"/>
                <w:shd w:val="clear" w:color="auto" w:fill="FFFFFF"/>
              </w:rPr>
              <w:t>) and comparison (n=</w:t>
            </w:r>
            <w:r>
              <w:rPr>
                <w:sz w:val="20"/>
                <w:szCs w:val="20"/>
                <w:shd w:val="clear" w:color="auto" w:fill="FFFFFF"/>
              </w:rPr>
              <w:t>67</w:t>
            </w:r>
            <w:r w:rsidRPr="00925EA9">
              <w:rPr>
                <w:sz w:val="20"/>
                <w:szCs w:val="20"/>
                <w:shd w:val="clear" w:color="auto" w:fill="FFFFFF"/>
              </w:rPr>
              <w:t xml:space="preserve">) </w:t>
            </w:r>
          </w:p>
        </w:tc>
      </w:tr>
      <w:tr w:rsidR="0025732F" w:rsidRPr="00925EA9" w14:paraId="3BF47B56" w14:textId="77777777">
        <w:tc>
          <w:tcPr>
            <w:tcW w:w="3114" w:type="dxa"/>
          </w:tcPr>
          <w:p w14:paraId="08CBE906"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11B7318C" w14:textId="77777777" w:rsidR="0025732F" w:rsidRPr="00AC08FB" w:rsidRDefault="0025732F">
            <w:pPr>
              <w:autoSpaceDE w:val="0"/>
              <w:autoSpaceDN w:val="0"/>
              <w:adjustRightInd w:val="0"/>
              <w:rPr>
                <w:rFonts w:cs="Arial"/>
                <w:sz w:val="20"/>
                <w:szCs w:val="20"/>
              </w:rPr>
            </w:pPr>
            <w:r>
              <w:rPr>
                <w:rFonts w:cs="Arial"/>
                <w:sz w:val="20"/>
                <w:szCs w:val="20"/>
              </w:rPr>
              <w:t xml:space="preserve">In addition to regular methadone treatment, RMPG participants received 24 weekly group sessions, half of which focused on parenting. RT mothers received group counselling focusing on dependency and recovery. </w:t>
            </w:r>
          </w:p>
        </w:tc>
      </w:tr>
      <w:tr w:rsidR="0025732F" w:rsidRPr="00925EA9" w14:paraId="3230D448" w14:textId="77777777">
        <w:tc>
          <w:tcPr>
            <w:tcW w:w="3114" w:type="dxa"/>
          </w:tcPr>
          <w:p w14:paraId="2D2C63EA" w14:textId="77777777" w:rsidR="0025732F" w:rsidRPr="00925EA9" w:rsidRDefault="0025732F">
            <w:pPr>
              <w:rPr>
                <w:rFonts w:cs="Arial"/>
                <w:sz w:val="20"/>
                <w:szCs w:val="20"/>
              </w:rPr>
            </w:pPr>
            <w:r w:rsidRPr="00925EA9">
              <w:rPr>
                <w:rFonts w:cs="Arial"/>
                <w:sz w:val="20"/>
                <w:szCs w:val="20"/>
              </w:rPr>
              <w:t>Country</w:t>
            </w:r>
          </w:p>
        </w:tc>
        <w:tc>
          <w:tcPr>
            <w:tcW w:w="10773" w:type="dxa"/>
          </w:tcPr>
          <w:p w14:paraId="1B01E166" w14:textId="77777777" w:rsidR="0025732F" w:rsidRPr="000A44CE" w:rsidRDefault="0025732F">
            <w:pPr>
              <w:rPr>
                <w:rFonts w:cs="Arial"/>
                <w:sz w:val="20"/>
                <w:szCs w:val="20"/>
              </w:rPr>
            </w:pPr>
            <w:r>
              <w:rPr>
                <w:rFonts w:cs="Arial"/>
                <w:sz w:val="20"/>
                <w:szCs w:val="20"/>
              </w:rPr>
              <w:t>USA (</w:t>
            </w:r>
            <w:r w:rsidRPr="000A44CE">
              <w:rPr>
                <w:sz w:val="20"/>
                <w:szCs w:val="20"/>
              </w:rPr>
              <w:t>New Haven, C</w:t>
            </w:r>
            <w:r>
              <w:rPr>
                <w:sz w:val="20"/>
                <w:szCs w:val="20"/>
              </w:rPr>
              <w:t>onnecticut).</w:t>
            </w:r>
          </w:p>
        </w:tc>
      </w:tr>
      <w:tr w:rsidR="0025732F" w:rsidRPr="00925EA9" w14:paraId="4696F3A5" w14:textId="77777777">
        <w:tc>
          <w:tcPr>
            <w:tcW w:w="3114" w:type="dxa"/>
          </w:tcPr>
          <w:p w14:paraId="164C99E9"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13B94BA0" w14:textId="77777777" w:rsidR="0025732F" w:rsidRPr="002231E9" w:rsidRDefault="0025732F">
            <w:pPr>
              <w:pStyle w:val="NoSpacing"/>
              <w:spacing w:line="240" w:lineRule="auto"/>
              <w:rPr>
                <w:sz w:val="20"/>
                <w:szCs w:val="20"/>
                <w:shd w:val="clear" w:color="auto" w:fill="FFFFFF"/>
              </w:rPr>
            </w:pPr>
            <w:r w:rsidRPr="002231E9">
              <w:rPr>
                <w:sz w:val="20"/>
                <w:szCs w:val="20"/>
                <w:shd w:val="clear" w:color="auto" w:fill="FFFFFF"/>
              </w:rPr>
              <w:t xml:space="preserve">At the end of </w:t>
            </w:r>
            <w:r>
              <w:rPr>
                <w:sz w:val="20"/>
                <w:szCs w:val="20"/>
                <w:shd w:val="clear" w:color="auto" w:fill="FFFFFF"/>
              </w:rPr>
              <w:t>treatment</w:t>
            </w:r>
            <w:r w:rsidRPr="002231E9">
              <w:rPr>
                <w:sz w:val="20"/>
                <w:szCs w:val="20"/>
                <w:shd w:val="clear" w:color="auto" w:fill="FFFFFF"/>
              </w:rPr>
              <w:t xml:space="preserve">, RPMG </w:t>
            </w:r>
            <w:r>
              <w:rPr>
                <w:sz w:val="20"/>
                <w:szCs w:val="20"/>
                <w:shd w:val="clear" w:color="auto" w:fill="FFFFFF"/>
              </w:rPr>
              <w:t xml:space="preserve">was marginally effective in terms of </w:t>
            </w:r>
            <w:r w:rsidRPr="002231E9">
              <w:rPr>
                <w:sz w:val="20"/>
                <w:szCs w:val="20"/>
                <w:shd w:val="clear" w:color="auto" w:fill="FFFFFF"/>
              </w:rPr>
              <w:t>child maltreatment and cocaine abuse</w:t>
            </w:r>
            <w:r>
              <w:rPr>
                <w:sz w:val="20"/>
                <w:szCs w:val="20"/>
                <w:shd w:val="clear" w:color="auto" w:fill="FFFFFF"/>
              </w:rPr>
              <w:t>. C</w:t>
            </w:r>
            <w:r w:rsidRPr="002231E9">
              <w:rPr>
                <w:sz w:val="20"/>
                <w:szCs w:val="20"/>
                <w:shd w:val="clear" w:color="auto" w:fill="FFFFFF"/>
              </w:rPr>
              <w:t>hildren of mothers in the intervention arm reported significantly greater outcomes of emotional adjustment and depression. At 6 months follow-up, however, treatment gains were no longer apparent</w:t>
            </w:r>
            <w:r>
              <w:rPr>
                <w:sz w:val="20"/>
                <w:szCs w:val="20"/>
                <w:shd w:val="clear" w:color="auto" w:fill="FFFFFF"/>
              </w:rPr>
              <w:t>.</w:t>
            </w:r>
          </w:p>
        </w:tc>
      </w:tr>
      <w:tr w:rsidR="0025732F" w:rsidRPr="00925EA9" w14:paraId="10EB9DAC" w14:textId="77777777">
        <w:tc>
          <w:tcPr>
            <w:tcW w:w="3114" w:type="dxa"/>
          </w:tcPr>
          <w:p w14:paraId="280DD576"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35C2E583" w14:textId="77777777" w:rsidR="0025732F" w:rsidRPr="00925EA9" w:rsidRDefault="0025732F">
            <w:pPr>
              <w:autoSpaceDE w:val="0"/>
              <w:autoSpaceDN w:val="0"/>
              <w:adjustRightInd w:val="0"/>
              <w:rPr>
                <w:rFonts w:cs="Arial"/>
                <w:sz w:val="20"/>
                <w:szCs w:val="20"/>
              </w:rPr>
            </w:pPr>
            <w:r>
              <w:rPr>
                <w:rFonts w:cs="Arial"/>
                <w:sz w:val="20"/>
                <w:szCs w:val="20"/>
              </w:rPr>
              <w:t>N/A.</w:t>
            </w:r>
          </w:p>
        </w:tc>
      </w:tr>
      <w:tr w:rsidR="0025732F" w:rsidRPr="00925EA9" w14:paraId="066DD1CF" w14:textId="77777777">
        <w:tc>
          <w:tcPr>
            <w:tcW w:w="3114" w:type="dxa"/>
          </w:tcPr>
          <w:p w14:paraId="3A0C831C"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0D0EA8C9" w14:textId="77777777" w:rsidR="0025732F" w:rsidRPr="00925EA9" w:rsidRDefault="0025732F">
            <w:pPr>
              <w:rPr>
                <w:rFonts w:cs="Arial"/>
                <w:sz w:val="20"/>
                <w:szCs w:val="20"/>
              </w:rPr>
            </w:pPr>
            <w:r>
              <w:rPr>
                <w:rFonts w:cs="Arial"/>
                <w:sz w:val="20"/>
                <w:szCs w:val="20"/>
              </w:rPr>
              <w:t>Moderate.</w:t>
            </w:r>
          </w:p>
        </w:tc>
      </w:tr>
      <w:tr w:rsidR="0025732F" w:rsidRPr="00925EA9" w14:paraId="551E608F" w14:textId="77777777">
        <w:tc>
          <w:tcPr>
            <w:tcW w:w="3114" w:type="dxa"/>
            <w:shd w:val="clear" w:color="auto" w:fill="D9E2F3" w:themeFill="accent1" w:themeFillTint="33"/>
          </w:tcPr>
          <w:p w14:paraId="3E169AD0" w14:textId="77777777" w:rsidR="0025732F" w:rsidRPr="00925EA9" w:rsidRDefault="0025732F">
            <w:pPr>
              <w:pStyle w:val="NoSpacing"/>
              <w:spacing w:line="240" w:lineRule="auto"/>
              <w:rPr>
                <w:sz w:val="20"/>
                <w:szCs w:val="20"/>
              </w:rPr>
            </w:pPr>
            <w:r w:rsidRPr="00925EA9">
              <w:rPr>
                <w:sz w:val="20"/>
                <w:szCs w:val="20"/>
              </w:rPr>
              <w:t>Reference</w:t>
            </w:r>
          </w:p>
        </w:tc>
        <w:tc>
          <w:tcPr>
            <w:tcW w:w="10773" w:type="dxa"/>
            <w:shd w:val="clear" w:color="auto" w:fill="D9E2F3" w:themeFill="accent1" w:themeFillTint="33"/>
          </w:tcPr>
          <w:p w14:paraId="043DE247" w14:textId="17F9B2BE" w:rsidR="0025732F" w:rsidRPr="00925EA9" w:rsidRDefault="0025732F">
            <w:pPr>
              <w:pStyle w:val="NoSpacing"/>
              <w:spacing w:line="240" w:lineRule="auto"/>
              <w:rPr>
                <w:sz w:val="20"/>
                <w:szCs w:val="20"/>
              </w:rPr>
            </w:pPr>
            <w:r>
              <w:rPr>
                <w:sz w:val="20"/>
                <w:szCs w:val="20"/>
              </w:rPr>
              <w:fldChar w:fldCharType="begin">
                <w:fldData xml:space="preserve">PEVuZE5vdGU+PENpdGUgQXV0aG9yWWVhcj0iMSI+PEF1dGhvcj5TbGVzbmljazwvQXV0aG9yPjxZ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</w:fldData>
              </w:fldChar>
            </w:r>
            <w:r w:rsidR="00B9334F">
              <w:rPr>
                <w:sz w:val="20"/>
                <w:szCs w:val="20"/>
              </w:rPr>
              <w:instrText xml:space="preserve"> ADDIN EN.CITE </w:instrText>
            </w:r>
            <w:r w:rsidR="00B9334F">
              <w:rPr>
                <w:sz w:val="20"/>
                <w:szCs w:val="20"/>
              </w:rPr>
              <w:fldChar w:fldCharType="begin">
                <w:fldData xml:space="preserve">PEVuZE5vdGU+PENpdGUgQXV0aG9yWWVhcj0iMSI+PEF1dGhvcj5TbGVzbmljazwvQXV0aG9yPjxZ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</w:fldData>
              </w:fldChar>
            </w:r>
            <w:r w:rsidR="00B9334F">
              <w:rPr>
                <w:sz w:val="20"/>
                <w:szCs w:val="20"/>
              </w:rPr>
              <w:instrText xml:space="preserve"> ADDIN EN.CITE.DATA </w:instrText>
            </w:r>
            <w:r w:rsidR="00B9334F">
              <w:rPr>
                <w:sz w:val="20"/>
                <w:szCs w:val="20"/>
              </w:rPr>
            </w:r>
            <w:r w:rsidR="00B9334F">
              <w:rPr>
                <w:sz w:val="20"/>
                <w:szCs w:val="20"/>
              </w:rPr>
              <w:fldChar w:fldCharType="end"/>
            </w:r>
            <w:r>
              <w:rPr>
                <w:sz w:val="20"/>
                <w:szCs w:val="20"/>
              </w:rPr>
            </w:r>
            <w:r>
              <w:rPr>
                <w:sz w:val="20"/>
                <w:szCs w:val="20"/>
              </w:rPr>
              <w:fldChar w:fldCharType="separate"/>
            </w:r>
            <w:r>
              <w:rPr>
                <w:noProof/>
                <w:sz w:val="20"/>
                <w:szCs w:val="20"/>
              </w:rPr>
              <w:t>Slesnick and Zhang (2016)</w:t>
            </w:r>
            <w:r>
              <w:rPr>
                <w:sz w:val="20"/>
                <w:szCs w:val="20"/>
              </w:rPr>
              <w:fldChar w:fldCharType="end"/>
            </w:r>
          </w:p>
        </w:tc>
      </w:tr>
      <w:tr w:rsidR="0025732F" w:rsidRPr="00925EA9" w14:paraId="00A87CBC" w14:textId="77777777">
        <w:tc>
          <w:tcPr>
            <w:tcW w:w="3114" w:type="dxa"/>
          </w:tcPr>
          <w:p w14:paraId="096B3295" w14:textId="77777777" w:rsidR="0025732F" w:rsidRPr="00925EA9" w:rsidRDefault="0025732F">
            <w:pPr>
              <w:pStyle w:val="NoSpacing"/>
              <w:spacing w:line="240" w:lineRule="auto"/>
              <w:rPr>
                <w:sz w:val="20"/>
                <w:szCs w:val="20"/>
              </w:rPr>
            </w:pPr>
            <w:r w:rsidRPr="00925EA9">
              <w:rPr>
                <w:sz w:val="20"/>
                <w:szCs w:val="20"/>
              </w:rPr>
              <w:t>Aims</w:t>
            </w:r>
          </w:p>
        </w:tc>
        <w:tc>
          <w:tcPr>
            <w:tcW w:w="10773" w:type="dxa"/>
          </w:tcPr>
          <w:p w14:paraId="70802F6E" w14:textId="77777777" w:rsidR="0025732F" w:rsidRPr="00925EA9" w:rsidRDefault="0025732F">
            <w:pPr>
              <w:pStyle w:val="NoSpacing"/>
              <w:spacing w:line="240" w:lineRule="auto"/>
              <w:rPr>
                <w:sz w:val="20"/>
                <w:szCs w:val="20"/>
              </w:rPr>
            </w:pPr>
            <w:r>
              <w:rPr>
                <w:sz w:val="20"/>
                <w:szCs w:val="20"/>
              </w:rPr>
              <w:t xml:space="preserve">To evaluate the effectiveness of family systems therapy or women’s health education for mothers with SUD. </w:t>
            </w:r>
          </w:p>
        </w:tc>
      </w:tr>
      <w:tr w:rsidR="0025732F" w:rsidRPr="00925EA9" w14:paraId="43E03AE5" w14:textId="77777777">
        <w:tc>
          <w:tcPr>
            <w:tcW w:w="3114" w:type="dxa"/>
          </w:tcPr>
          <w:p w14:paraId="5AC5EFD1" w14:textId="77777777" w:rsidR="0025732F" w:rsidRPr="00925EA9" w:rsidRDefault="0025732F">
            <w:pPr>
              <w:pStyle w:val="NoSpacing"/>
              <w:spacing w:line="240" w:lineRule="auto"/>
              <w:rPr>
                <w:sz w:val="20"/>
                <w:szCs w:val="20"/>
              </w:rPr>
            </w:pPr>
            <w:r w:rsidRPr="00925EA9">
              <w:rPr>
                <w:sz w:val="20"/>
                <w:szCs w:val="20"/>
              </w:rPr>
              <w:t>Design</w:t>
            </w:r>
          </w:p>
        </w:tc>
        <w:tc>
          <w:tcPr>
            <w:tcW w:w="10773" w:type="dxa"/>
          </w:tcPr>
          <w:p w14:paraId="768E159E" w14:textId="77777777" w:rsidR="0025732F" w:rsidRPr="00925EA9" w:rsidRDefault="0025732F">
            <w:pPr>
              <w:pStyle w:val="NoSpacing"/>
              <w:spacing w:line="240" w:lineRule="auto"/>
              <w:rPr>
                <w:sz w:val="20"/>
                <w:szCs w:val="20"/>
              </w:rPr>
            </w:pPr>
            <w:r w:rsidRPr="00B41079">
              <w:rPr>
                <w:sz w:val="20"/>
                <w:szCs w:val="20"/>
              </w:rPr>
              <w:t>Self-report and observational data were collected. 18 mo</w:t>
            </w:r>
            <w:r>
              <w:rPr>
                <w:sz w:val="20"/>
                <w:szCs w:val="20"/>
              </w:rPr>
              <w:t>n</w:t>
            </w:r>
            <w:r w:rsidRPr="00B41079">
              <w:rPr>
                <w:sz w:val="20"/>
                <w:szCs w:val="20"/>
              </w:rPr>
              <w:t xml:space="preserve">th follow-up. </w:t>
            </w:r>
          </w:p>
        </w:tc>
      </w:tr>
      <w:tr w:rsidR="0025732F" w:rsidRPr="00925EA9" w14:paraId="047EAF49" w14:textId="77777777">
        <w:tc>
          <w:tcPr>
            <w:tcW w:w="3114" w:type="dxa"/>
          </w:tcPr>
          <w:p w14:paraId="0C403DA2" w14:textId="77777777" w:rsidR="0025732F" w:rsidRPr="00925EA9" w:rsidRDefault="0025732F">
            <w:pPr>
              <w:pStyle w:val="NoSpacing"/>
              <w:spacing w:line="240" w:lineRule="auto"/>
              <w:rPr>
                <w:sz w:val="20"/>
                <w:szCs w:val="20"/>
              </w:rPr>
            </w:pPr>
            <w:r w:rsidRPr="00925EA9">
              <w:rPr>
                <w:sz w:val="20"/>
                <w:szCs w:val="20"/>
              </w:rPr>
              <w:t>Population</w:t>
            </w:r>
          </w:p>
        </w:tc>
        <w:tc>
          <w:tcPr>
            <w:tcW w:w="10773" w:type="dxa"/>
          </w:tcPr>
          <w:p w14:paraId="17892C8C" w14:textId="77777777" w:rsidR="0025732F" w:rsidRPr="00925EA9" w:rsidRDefault="0025732F">
            <w:pPr>
              <w:pStyle w:val="NoSpacing"/>
              <w:spacing w:line="240" w:lineRule="auto"/>
              <w:rPr>
                <w:sz w:val="20"/>
                <w:szCs w:val="20"/>
              </w:rPr>
            </w:pPr>
            <w:r>
              <w:rPr>
                <w:sz w:val="20"/>
                <w:szCs w:val="20"/>
              </w:rPr>
              <w:t>Intervention (home based, n=62), intervention (office based, n=61), comparison (n=60).</w:t>
            </w:r>
          </w:p>
        </w:tc>
      </w:tr>
      <w:tr w:rsidR="0025732F" w:rsidRPr="00925EA9" w14:paraId="28486CAA" w14:textId="77777777">
        <w:tc>
          <w:tcPr>
            <w:tcW w:w="3114" w:type="dxa"/>
          </w:tcPr>
          <w:p w14:paraId="0B172E62" w14:textId="77777777" w:rsidR="0025732F" w:rsidRPr="00925EA9" w:rsidRDefault="0025732F">
            <w:pPr>
              <w:pStyle w:val="NoSpacing"/>
              <w:spacing w:line="240" w:lineRule="auto"/>
              <w:rPr>
                <w:sz w:val="20"/>
                <w:szCs w:val="20"/>
              </w:rPr>
            </w:pPr>
            <w:r w:rsidRPr="00925EA9">
              <w:rPr>
                <w:sz w:val="20"/>
                <w:szCs w:val="20"/>
              </w:rPr>
              <w:t>Intervention</w:t>
            </w:r>
          </w:p>
        </w:tc>
        <w:tc>
          <w:tcPr>
            <w:tcW w:w="10773" w:type="dxa"/>
          </w:tcPr>
          <w:p w14:paraId="135B152F" w14:textId="77777777" w:rsidR="0025732F" w:rsidRPr="00925EA9" w:rsidRDefault="0025732F">
            <w:pPr>
              <w:pStyle w:val="NoSpacing"/>
              <w:spacing w:line="240" w:lineRule="auto"/>
              <w:rPr>
                <w:sz w:val="20"/>
                <w:szCs w:val="20"/>
              </w:rPr>
            </w:pPr>
            <w:r>
              <w:rPr>
                <w:sz w:val="20"/>
                <w:szCs w:val="20"/>
              </w:rPr>
              <w:t xml:space="preserve">Ecologically-based family therapy (EBFT): 12 session family therapy, including cognitive behavioural techniques targeting parent-child dyads and family support needs and problem-solving skills.  </w:t>
            </w:r>
          </w:p>
        </w:tc>
      </w:tr>
      <w:tr w:rsidR="0025732F" w:rsidRPr="00925EA9" w14:paraId="489F14D7" w14:textId="77777777">
        <w:tc>
          <w:tcPr>
            <w:tcW w:w="3114" w:type="dxa"/>
          </w:tcPr>
          <w:p w14:paraId="7D7D7F42" w14:textId="77777777" w:rsidR="0025732F" w:rsidRPr="00925EA9" w:rsidRDefault="0025732F">
            <w:pPr>
              <w:pStyle w:val="NoSpacing"/>
              <w:spacing w:line="240" w:lineRule="auto"/>
              <w:rPr>
                <w:sz w:val="20"/>
                <w:szCs w:val="20"/>
              </w:rPr>
            </w:pPr>
            <w:r w:rsidRPr="00925EA9">
              <w:rPr>
                <w:sz w:val="20"/>
                <w:szCs w:val="20"/>
              </w:rPr>
              <w:t>Country</w:t>
            </w:r>
          </w:p>
        </w:tc>
        <w:tc>
          <w:tcPr>
            <w:tcW w:w="10773" w:type="dxa"/>
          </w:tcPr>
          <w:p w14:paraId="52880E72" w14:textId="77777777" w:rsidR="0025732F" w:rsidRPr="00925EA9" w:rsidRDefault="0025732F">
            <w:pPr>
              <w:pStyle w:val="NoSpacing"/>
              <w:spacing w:line="240" w:lineRule="auto"/>
              <w:rPr>
                <w:sz w:val="20"/>
                <w:szCs w:val="20"/>
              </w:rPr>
            </w:pPr>
            <w:r>
              <w:rPr>
                <w:sz w:val="20"/>
                <w:szCs w:val="20"/>
              </w:rPr>
              <w:t>USA.</w:t>
            </w:r>
          </w:p>
        </w:tc>
      </w:tr>
      <w:tr w:rsidR="0025732F" w:rsidRPr="00925EA9" w14:paraId="0BF7480C" w14:textId="77777777">
        <w:tc>
          <w:tcPr>
            <w:tcW w:w="3114" w:type="dxa"/>
          </w:tcPr>
          <w:p w14:paraId="19EF4563" w14:textId="77777777" w:rsidR="0025732F" w:rsidRPr="00925EA9" w:rsidRDefault="0025732F">
            <w:pPr>
              <w:pStyle w:val="NoSpacing"/>
              <w:spacing w:line="240" w:lineRule="auto"/>
              <w:rPr>
                <w:sz w:val="20"/>
                <w:szCs w:val="20"/>
              </w:rPr>
            </w:pPr>
            <w:r>
              <w:rPr>
                <w:sz w:val="20"/>
                <w:szCs w:val="20"/>
              </w:rPr>
              <w:t>O</w:t>
            </w:r>
            <w:r w:rsidRPr="00925EA9">
              <w:rPr>
                <w:sz w:val="20"/>
                <w:szCs w:val="20"/>
              </w:rPr>
              <w:t>utcomes</w:t>
            </w:r>
          </w:p>
        </w:tc>
        <w:tc>
          <w:tcPr>
            <w:tcW w:w="10773" w:type="dxa"/>
          </w:tcPr>
          <w:p w14:paraId="0B45B32C" w14:textId="77777777" w:rsidR="0025732F" w:rsidRPr="00925EA9" w:rsidRDefault="0025732F">
            <w:pPr>
              <w:pStyle w:val="NoSpacing"/>
              <w:spacing w:line="240" w:lineRule="auto"/>
              <w:rPr>
                <w:sz w:val="20"/>
                <w:szCs w:val="20"/>
              </w:rPr>
            </w:pPr>
            <w:r w:rsidRPr="00B41079">
              <w:rPr>
                <w:sz w:val="20"/>
                <w:szCs w:val="20"/>
              </w:rPr>
              <w:t xml:space="preserve">Mothers assigned to </w:t>
            </w:r>
            <w:r>
              <w:rPr>
                <w:sz w:val="20"/>
                <w:szCs w:val="20"/>
              </w:rPr>
              <w:t>EBFT</w:t>
            </w:r>
            <w:r w:rsidRPr="00B41079">
              <w:rPr>
                <w:sz w:val="20"/>
                <w:szCs w:val="20"/>
              </w:rPr>
              <w:t xml:space="preserve"> showed a quicker reduction in</w:t>
            </w:r>
            <w:r>
              <w:rPr>
                <w:sz w:val="20"/>
                <w:szCs w:val="20"/>
              </w:rPr>
              <w:t xml:space="preserve"> self-reported</w:t>
            </w:r>
            <w:r w:rsidRPr="00B41079">
              <w:rPr>
                <w:sz w:val="20"/>
                <w:szCs w:val="20"/>
              </w:rPr>
              <w:t xml:space="preserve"> substance use. </w:t>
            </w:r>
          </w:p>
        </w:tc>
      </w:tr>
      <w:tr w:rsidR="0025732F" w:rsidRPr="00925EA9" w14:paraId="7F407BB7" w14:textId="77777777">
        <w:tc>
          <w:tcPr>
            <w:tcW w:w="3114" w:type="dxa"/>
          </w:tcPr>
          <w:p w14:paraId="2893BC84" w14:textId="77777777" w:rsidR="0025732F" w:rsidRPr="00925EA9" w:rsidRDefault="0025732F">
            <w:pPr>
              <w:pStyle w:val="NoSpacing"/>
              <w:spacing w:line="240" w:lineRule="auto"/>
              <w:rPr>
                <w:sz w:val="20"/>
                <w:szCs w:val="20"/>
              </w:rPr>
            </w:pPr>
            <w:r w:rsidRPr="00925EA9">
              <w:rPr>
                <w:sz w:val="20"/>
                <w:szCs w:val="20"/>
              </w:rPr>
              <w:t>Cost-benefit/ cost-effectiveness</w:t>
            </w:r>
          </w:p>
        </w:tc>
        <w:tc>
          <w:tcPr>
            <w:tcW w:w="10773" w:type="dxa"/>
          </w:tcPr>
          <w:p w14:paraId="46B3EAB8" w14:textId="77777777" w:rsidR="0025732F" w:rsidRPr="00925EA9" w:rsidRDefault="0025732F">
            <w:pPr>
              <w:pStyle w:val="NoSpacing"/>
              <w:spacing w:line="240" w:lineRule="auto"/>
              <w:rPr>
                <w:sz w:val="20"/>
                <w:szCs w:val="20"/>
              </w:rPr>
            </w:pPr>
            <w:r w:rsidRPr="00925EA9">
              <w:rPr>
                <w:sz w:val="20"/>
                <w:szCs w:val="20"/>
              </w:rPr>
              <w:t>N/A.</w:t>
            </w:r>
          </w:p>
        </w:tc>
      </w:tr>
      <w:tr w:rsidR="0025732F" w:rsidRPr="00925EA9" w14:paraId="5503A04C" w14:textId="77777777">
        <w:tc>
          <w:tcPr>
            <w:tcW w:w="3114" w:type="dxa"/>
          </w:tcPr>
          <w:p w14:paraId="67D72ABE" w14:textId="77777777" w:rsidR="0025732F" w:rsidRPr="00925EA9" w:rsidRDefault="0025732F">
            <w:pPr>
              <w:pStyle w:val="NoSpacing"/>
              <w:spacing w:line="240" w:lineRule="auto"/>
              <w:rPr>
                <w:sz w:val="20"/>
                <w:szCs w:val="20"/>
              </w:rPr>
            </w:pPr>
            <w:r w:rsidRPr="00925EA9">
              <w:rPr>
                <w:sz w:val="20"/>
                <w:szCs w:val="20"/>
              </w:rPr>
              <w:t>Overall quality rating</w:t>
            </w:r>
          </w:p>
        </w:tc>
        <w:tc>
          <w:tcPr>
            <w:tcW w:w="10773" w:type="dxa"/>
          </w:tcPr>
          <w:p w14:paraId="448FA040" w14:textId="77777777" w:rsidR="0025732F" w:rsidRPr="00925EA9" w:rsidRDefault="0025732F">
            <w:pPr>
              <w:pStyle w:val="NoSpacing"/>
              <w:spacing w:line="240" w:lineRule="auto"/>
              <w:rPr>
                <w:sz w:val="20"/>
                <w:szCs w:val="20"/>
              </w:rPr>
            </w:pPr>
            <w:r w:rsidRPr="00925EA9">
              <w:rPr>
                <w:sz w:val="20"/>
                <w:szCs w:val="20"/>
              </w:rPr>
              <w:t>Moderate.</w:t>
            </w:r>
          </w:p>
        </w:tc>
      </w:tr>
      <w:tr w:rsidR="0025732F" w:rsidRPr="00925EA9" w14:paraId="1011A237" w14:textId="77777777">
        <w:tc>
          <w:tcPr>
            <w:tcW w:w="3114" w:type="dxa"/>
            <w:shd w:val="clear" w:color="auto" w:fill="D9E2F3" w:themeFill="accent1" w:themeFillTint="33"/>
          </w:tcPr>
          <w:p w14:paraId="072976C7" w14:textId="77777777" w:rsidR="0025732F" w:rsidRPr="00925EA9" w:rsidRDefault="0025732F">
            <w:pPr>
              <w:pStyle w:val="NoSpacing"/>
              <w:spacing w:line="240" w:lineRule="auto"/>
              <w:rPr>
                <w:sz w:val="20"/>
                <w:szCs w:val="20"/>
              </w:rPr>
            </w:pPr>
            <w:r w:rsidRPr="00925EA9">
              <w:rPr>
                <w:sz w:val="20"/>
                <w:szCs w:val="20"/>
              </w:rPr>
              <w:t>Reference</w:t>
            </w:r>
          </w:p>
        </w:tc>
        <w:tc>
          <w:tcPr>
            <w:tcW w:w="10773" w:type="dxa"/>
            <w:shd w:val="clear" w:color="auto" w:fill="D9E2F3" w:themeFill="accent1" w:themeFillTint="33"/>
          </w:tcPr>
          <w:p w14:paraId="5CBE6ABC" w14:textId="5EF7BABC" w:rsidR="0025732F" w:rsidRPr="00925EA9" w:rsidRDefault="0025732F">
            <w:pPr>
              <w:pStyle w:val="NoSpacing"/>
              <w:spacing w:line="240" w:lineRule="auto"/>
              <w:rPr>
                <w:sz w:val="20"/>
                <w:szCs w:val="20"/>
              </w:rPr>
            </w:pPr>
            <w:r>
              <w:rPr>
                <w:sz w:val="20"/>
                <w:szCs w:val="20"/>
              </w:rPr>
              <w:fldChar w:fldCharType="begin"/>
            </w:r>
            <w:r w:rsidR="0042328C">
              <w:rPr>
                <w:sz w:val="20"/>
                <w:szCs w:val="20"/>
              </w:rPr>
              <w:instrText xml:space="preserve"> ADDIN EN.CITE &lt;EndNote&gt;&lt;Cite AuthorYear="1"&gt;&lt;Author&gt;Stover&lt;/Author&gt;&lt;Year&gt;2019&lt;/Year&gt;&lt;RecNum&gt;621&lt;/RecNum&gt;&lt;DisplayText&gt;Stover et al. (2019b)&lt;/DisplayText&gt;&lt;record&gt;&lt;rec-number&gt;621&lt;/rec-number&gt;&lt;foreign-keys&gt;&lt;key app="EN" db-id="2wdfddaawxaseae9fd6xrrs3xdxpavsp5dff" timestamp="1712510585" guid="5360425c-c34d-4cb2-b05d-b55008707812"&gt;621&lt;/key&gt;&lt;/foreign-keys&gt;&lt;ref-type name="Journal Article"&gt;17&lt;/ref-type&gt;&lt;contributors&gt;&lt;authors&gt;&lt;author&gt;Stover, Carla Smith&lt;/author&gt;&lt;author&gt;McMahon, Thomas J.&lt;/author&gt;&lt;author&gt;Moore, Kathleen&lt;/author&gt;&lt;/authors&gt;&lt;/contributors&gt;&lt;titles&gt;&lt;title&gt;A randomized pilot trial of two parenting interventions for fathers in residential substance use disorder treatment&lt;/title&gt;&lt;secondary-title&gt;Journal of Substance Abuse Treatment&lt;/secondary-title&gt;&lt;/titles&gt;&lt;periodical&gt;&lt;full-title&gt;Journal of Substance Abuse Treatment&lt;/full-title&gt;&lt;/periodical&gt;&lt;pages&gt;116-127&lt;/pages&gt;&lt;volume&gt;104&lt;/volume&gt;&lt;dates&gt;&lt;year&gt;2019&lt;/year&gt;&lt;/dates&gt;&lt;publisher&gt;Elsevier&lt;/publisher&gt;&lt;isbn&gt;0740-5472&lt;/isbn&gt;&lt;urls&gt;&lt;related-urls&gt;&lt;url&gt;https://doi.org/10.1016/j.jsat.2019.07.003&lt;/url&gt;&lt;/related-urls&gt;&lt;/urls&gt;&lt;electronic-resource-num&gt;10.1016/j.jsat.2019.07.003&lt;/electronic-resource-num&gt;&lt;access-date&gt;2024/04/07&lt;/access-date&gt;&lt;/record&gt;&lt;/Cite&gt;&lt;/EndNote&gt;</w:instrText>
            </w:r>
            <w:r>
              <w:rPr>
                <w:sz w:val="20"/>
                <w:szCs w:val="20"/>
              </w:rPr>
              <w:fldChar w:fldCharType="separate"/>
            </w:r>
            <w:r w:rsidR="0042328C">
              <w:rPr>
                <w:noProof/>
                <w:sz w:val="20"/>
                <w:szCs w:val="20"/>
              </w:rPr>
              <w:t>Stover et al. (2019b)</w:t>
            </w:r>
            <w:r>
              <w:rPr>
                <w:sz w:val="20"/>
                <w:szCs w:val="20"/>
              </w:rPr>
              <w:fldChar w:fldCharType="end"/>
            </w:r>
          </w:p>
        </w:tc>
      </w:tr>
      <w:tr w:rsidR="0025732F" w:rsidRPr="00925EA9" w14:paraId="2D7642D9" w14:textId="77777777">
        <w:tc>
          <w:tcPr>
            <w:tcW w:w="3114" w:type="dxa"/>
          </w:tcPr>
          <w:p w14:paraId="0F88CB62" w14:textId="77777777" w:rsidR="0025732F" w:rsidRPr="00925EA9" w:rsidRDefault="0025732F">
            <w:pPr>
              <w:pStyle w:val="NoSpacing"/>
              <w:spacing w:line="240" w:lineRule="auto"/>
              <w:rPr>
                <w:sz w:val="20"/>
                <w:szCs w:val="20"/>
              </w:rPr>
            </w:pPr>
            <w:r w:rsidRPr="00925EA9">
              <w:rPr>
                <w:sz w:val="20"/>
                <w:szCs w:val="20"/>
              </w:rPr>
              <w:t>Aims</w:t>
            </w:r>
          </w:p>
        </w:tc>
        <w:tc>
          <w:tcPr>
            <w:tcW w:w="10773" w:type="dxa"/>
          </w:tcPr>
          <w:p w14:paraId="0DEF394F" w14:textId="77777777" w:rsidR="0025732F" w:rsidRPr="00925EA9" w:rsidRDefault="0025732F">
            <w:pPr>
              <w:pStyle w:val="NoSpacing"/>
              <w:spacing w:line="240" w:lineRule="auto"/>
              <w:rPr>
                <w:sz w:val="20"/>
                <w:szCs w:val="20"/>
              </w:rPr>
            </w:pPr>
            <w:r w:rsidRPr="0017026C">
              <w:rPr>
                <w:sz w:val="20"/>
                <w:szCs w:val="20"/>
              </w:rPr>
              <w:t xml:space="preserve">To compare two fatherhood </w:t>
            </w:r>
            <w:r>
              <w:rPr>
                <w:sz w:val="20"/>
                <w:szCs w:val="20"/>
              </w:rPr>
              <w:t xml:space="preserve">and </w:t>
            </w:r>
            <w:r w:rsidRPr="0017026C">
              <w:rPr>
                <w:sz w:val="20"/>
                <w:szCs w:val="20"/>
              </w:rPr>
              <w:t>focused interventions in residential treatment program</w:t>
            </w:r>
            <w:r>
              <w:rPr>
                <w:sz w:val="20"/>
                <w:szCs w:val="20"/>
              </w:rPr>
              <w:t>m</w:t>
            </w:r>
            <w:r w:rsidRPr="0017026C">
              <w:rPr>
                <w:sz w:val="20"/>
                <w:szCs w:val="20"/>
              </w:rPr>
              <w:t>es.</w:t>
            </w:r>
          </w:p>
        </w:tc>
      </w:tr>
      <w:tr w:rsidR="0025732F" w:rsidRPr="00925EA9" w14:paraId="6A89F96A" w14:textId="77777777">
        <w:tc>
          <w:tcPr>
            <w:tcW w:w="3114" w:type="dxa"/>
          </w:tcPr>
          <w:p w14:paraId="2CEF4CAF" w14:textId="77777777" w:rsidR="0025732F" w:rsidRPr="00925EA9" w:rsidRDefault="0025732F">
            <w:pPr>
              <w:pStyle w:val="NoSpacing"/>
              <w:spacing w:line="240" w:lineRule="auto"/>
              <w:rPr>
                <w:sz w:val="20"/>
                <w:szCs w:val="20"/>
              </w:rPr>
            </w:pPr>
            <w:r w:rsidRPr="00925EA9">
              <w:rPr>
                <w:sz w:val="20"/>
                <w:szCs w:val="20"/>
              </w:rPr>
              <w:t>Design</w:t>
            </w:r>
          </w:p>
        </w:tc>
        <w:tc>
          <w:tcPr>
            <w:tcW w:w="10773" w:type="dxa"/>
          </w:tcPr>
          <w:p w14:paraId="735DA4D8" w14:textId="77777777" w:rsidR="0025732F" w:rsidRPr="00925EA9" w:rsidRDefault="0025732F">
            <w:pPr>
              <w:pStyle w:val="NoSpacing"/>
              <w:spacing w:line="240" w:lineRule="auto"/>
              <w:rPr>
                <w:sz w:val="20"/>
                <w:szCs w:val="20"/>
              </w:rPr>
            </w:pPr>
            <w:r w:rsidRPr="008E0667">
              <w:rPr>
                <w:sz w:val="20"/>
                <w:szCs w:val="20"/>
              </w:rPr>
              <w:t xml:space="preserve">Participants were assessed prior to treatment, at the end of treatment, following completion of the intervention booster sessions, and 3 months </w:t>
            </w:r>
            <w:r>
              <w:rPr>
                <w:sz w:val="20"/>
                <w:szCs w:val="20"/>
              </w:rPr>
              <w:t>post intervention</w:t>
            </w:r>
            <w:r w:rsidRPr="008E0667">
              <w:rPr>
                <w:sz w:val="20"/>
                <w:szCs w:val="20"/>
              </w:rPr>
              <w:t>.</w:t>
            </w:r>
          </w:p>
        </w:tc>
      </w:tr>
      <w:tr w:rsidR="0025732F" w:rsidRPr="00925EA9" w14:paraId="5B53F519" w14:textId="77777777">
        <w:tc>
          <w:tcPr>
            <w:tcW w:w="3114" w:type="dxa"/>
          </w:tcPr>
          <w:p w14:paraId="4A323697" w14:textId="77777777" w:rsidR="0025732F" w:rsidRPr="00925EA9" w:rsidRDefault="0025732F">
            <w:pPr>
              <w:pStyle w:val="NoSpacing"/>
              <w:spacing w:line="240" w:lineRule="auto"/>
              <w:rPr>
                <w:sz w:val="20"/>
                <w:szCs w:val="20"/>
              </w:rPr>
            </w:pPr>
            <w:r w:rsidRPr="00925EA9">
              <w:rPr>
                <w:sz w:val="20"/>
                <w:szCs w:val="20"/>
              </w:rPr>
              <w:t>Population</w:t>
            </w:r>
          </w:p>
        </w:tc>
        <w:tc>
          <w:tcPr>
            <w:tcW w:w="10773" w:type="dxa"/>
          </w:tcPr>
          <w:p w14:paraId="03652BF5" w14:textId="77777777" w:rsidR="0025732F" w:rsidRPr="00925EA9" w:rsidRDefault="0025732F">
            <w:pPr>
              <w:pStyle w:val="NoSpacing"/>
              <w:spacing w:line="240" w:lineRule="auto"/>
              <w:rPr>
                <w:sz w:val="20"/>
                <w:szCs w:val="20"/>
              </w:rPr>
            </w:pPr>
            <w:r w:rsidRPr="00C2646D">
              <w:rPr>
                <w:sz w:val="20"/>
                <w:szCs w:val="20"/>
              </w:rPr>
              <w:t>Fathers for change (n=33) and Dads n Kids (n = 29)</w:t>
            </w:r>
            <w:r>
              <w:rPr>
                <w:sz w:val="20"/>
                <w:szCs w:val="20"/>
              </w:rPr>
              <w:t>.</w:t>
            </w:r>
          </w:p>
        </w:tc>
      </w:tr>
      <w:tr w:rsidR="0025732F" w:rsidRPr="00925EA9" w14:paraId="59854BD9" w14:textId="77777777">
        <w:tc>
          <w:tcPr>
            <w:tcW w:w="3114" w:type="dxa"/>
          </w:tcPr>
          <w:p w14:paraId="3EEEA888" w14:textId="77777777" w:rsidR="0025732F" w:rsidRPr="00925EA9" w:rsidRDefault="0025732F">
            <w:pPr>
              <w:pStyle w:val="NoSpacing"/>
              <w:spacing w:line="240" w:lineRule="auto"/>
              <w:rPr>
                <w:sz w:val="20"/>
                <w:szCs w:val="20"/>
              </w:rPr>
            </w:pPr>
            <w:r w:rsidRPr="00925EA9">
              <w:rPr>
                <w:sz w:val="20"/>
                <w:szCs w:val="20"/>
              </w:rPr>
              <w:t>Intervention</w:t>
            </w:r>
          </w:p>
        </w:tc>
        <w:tc>
          <w:tcPr>
            <w:tcW w:w="10773" w:type="dxa"/>
          </w:tcPr>
          <w:p w14:paraId="64C44B30" w14:textId="77777777" w:rsidR="0025732F" w:rsidRPr="00805C64" w:rsidRDefault="0025732F">
            <w:pPr>
              <w:pStyle w:val="NoSpacing"/>
              <w:spacing w:line="240" w:lineRule="auto"/>
              <w:rPr>
                <w:rFonts w:ascii="Helvetica" w:hAnsi="Helvetica" w:cs="Helvetica"/>
                <w:color w:val="505050"/>
                <w:sz w:val="27"/>
                <w:szCs w:val="27"/>
                <w:shd w:val="clear" w:color="auto" w:fill="FFFFFF"/>
              </w:rPr>
            </w:pPr>
            <w:r w:rsidRPr="008E0667">
              <w:rPr>
                <w:sz w:val="20"/>
                <w:szCs w:val="20"/>
              </w:rPr>
              <w:t xml:space="preserve">Fathers for Change (F4C) is an integrated intervention targeting </w:t>
            </w:r>
            <w:r>
              <w:rPr>
                <w:sz w:val="20"/>
                <w:szCs w:val="20"/>
              </w:rPr>
              <w:t xml:space="preserve">intimate partner violence </w:t>
            </w:r>
            <w:r w:rsidRPr="008E0667">
              <w:rPr>
                <w:sz w:val="20"/>
                <w:szCs w:val="20"/>
              </w:rPr>
              <w:t>and child maltreatment. Dads ‘n’ Kids (DNK) is a psychoeducational intervention focused on child development and behavioural parenting skills.</w:t>
            </w:r>
            <w:r>
              <w:rPr>
                <w:rFonts w:ascii="Helvetica" w:hAnsi="Helvetica" w:cs="Helvetica"/>
                <w:color w:val="505050"/>
                <w:sz w:val="27"/>
                <w:szCs w:val="27"/>
                <w:shd w:val="clear" w:color="auto" w:fill="FFFFFF"/>
              </w:rPr>
              <w:t xml:space="preserve"> </w:t>
            </w:r>
          </w:p>
        </w:tc>
      </w:tr>
      <w:tr w:rsidR="0025732F" w:rsidRPr="00925EA9" w14:paraId="0996BB40" w14:textId="77777777">
        <w:tc>
          <w:tcPr>
            <w:tcW w:w="3114" w:type="dxa"/>
          </w:tcPr>
          <w:p w14:paraId="69BBB4BF" w14:textId="77777777" w:rsidR="0025732F" w:rsidRPr="00925EA9" w:rsidRDefault="0025732F">
            <w:pPr>
              <w:pStyle w:val="NoSpacing"/>
              <w:spacing w:line="240" w:lineRule="auto"/>
              <w:rPr>
                <w:sz w:val="20"/>
                <w:szCs w:val="20"/>
              </w:rPr>
            </w:pPr>
            <w:r w:rsidRPr="00925EA9">
              <w:rPr>
                <w:sz w:val="20"/>
                <w:szCs w:val="20"/>
              </w:rPr>
              <w:t>Country</w:t>
            </w:r>
          </w:p>
        </w:tc>
        <w:tc>
          <w:tcPr>
            <w:tcW w:w="10773" w:type="dxa"/>
          </w:tcPr>
          <w:p w14:paraId="6111F952" w14:textId="77777777" w:rsidR="0025732F" w:rsidRPr="00925EA9" w:rsidRDefault="0025732F">
            <w:pPr>
              <w:pStyle w:val="NoSpacing"/>
              <w:spacing w:line="240" w:lineRule="auto"/>
              <w:rPr>
                <w:sz w:val="20"/>
                <w:szCs w:val="20"/>
              </w:rPr>
            </w:pPr>
            <w:r>
              <w:rPr>
                <w:sz w:val="20"/>
                <w:szCs w:val="20"/>
              </w:rPr>
              <w:t>USA.</w:t>
            </w:r>
          </w:p>
        </w:tc>
      </w:tr>
      <w:tr w:rsidR="0025732F" w:rsidRPr="00925EA9" w14:paraId="79C7BC7F" w14:textId="77777777">
        <w:tc>
          <w:tcPr>
            <w:tcW w:w="3114" w:type="dxa"/>
          </w:tcPr>
          <w:p w14:paraId="769A2E69" w14:textId="77777777" w:rsidR="0025732F" w:rsidRPr="00925EA9" w:rsidRDefault="0025732F">
            <w:pPr>
              <w:pStyle w:val="NoSpacing"/>
              <w:spacing w:line="240" w:lineRule="auto"/>
              <w:rPr>
                <w:sz w:val="20"/>
                <w:szCs w:val="20"/>
              </w:rPr>
            </w:pPr>
            <w:r>
              <w:rPr>
                <w:sz w:val="20"/>
                <w:szCs w:val="20"/>
              </w:rPr>
              <w:lastRenderedPageBreak/>
              <w:t>O</w:t>
            </w:r>
            <w:r w:rsidRPr="00925EA9">
              <w:rPr>
                <w:sz w:val="20"/>
                <w:szCs w:val="20"/>
              </w:rPr>
              <w:t>utcomes</w:t>
            </w:r>
          </w:p>
        </w:tc>
        <w:tc>
          <w:tcPr>
            <w:tcW w:w="10773" w:type="dxa"/>
          </w:tcPr>
          <w:p w14:paraId="13F359C6" w14:textId="77777777" w:rsidR="0025732F" w:rsidRPr="00925EA9" w:rsidRDefault="0025732F">
            <w:pPr>
              <w:pStyle w:val="NoSpacing"/>
              <w:spacing w:line="240" w:lineRule="auto"/>
              <w:rPr>
                <w:sz w:val="20"/>
                <w:szCs w:val="20"/>
              </w:rPr>
            </w:pPr>
            <w:r>
              <w:rPr>
                <w:sz w:val="20"/>
                <w:szCs w:val="20"/>
              </w:rPr>
              <w:t xml:space="preserve">Both interventions showed decreases in intimate partner violence. </w:t>
            </w:r>
            <w:r w:rsidRPr="00B42E17">
              <w:rPr>
                <w:sz w:val="20"/>
                <w:szCs w:val="20"/>
              </w:rPr>
              <w:t xml:space="preserve">F4C showed some benefit over DNK </w:t>
            </w:r>
            <w:r>
              <w:rPr>
                <w:sz w:val="20"/>
                <w:szCs w:val="20"/>
              </w:rPr>
              <w:t>regarding</w:t>
            </w:r>
            <w:r w:rsidRPr="00B42E17">
              <w:rPr>
                <w:sz w:val="20"/>
                <w:szCs w:val="20"/>
              </w:rPr>
              <w:t xml:space="preserve"> affect dysregulation symptoms and </w:t>
            </w:r>
            <w:r>
              <w:rPr>
                <w:sz w:val="20"/>
                <w:szCs w:val="20"/>
              </w:rPr>
              <w:t xml:space="preserve">substance use </w:t>
            </w:r>
            <w:r w:rsidRPr="00B42E17">
              <w:rPr>
                <w:sz w:val="20"/>
                <w:szCs w:val="20"/>
              </w:rPr>
              <w:t>relapse.</w:t>
            </w:r>
          </w:p>
        </w:tc>
      </w:tr>
      <w:tr w:rsidR="0025732F" w:rsidRPr="00925EA9" w14:paraId="31F49759" w14:textId="77777777">
        <w:tc>
          <w:tcPr>
            <w:tcW w:w="3114" w:type="dxa"/>
          </w:tcPr>
          <w:p w14:paraId="7E973D7B" w14:textId="77777777" w:rsidR="0025732F" w:rsidRPr="00925EA9" w:rsidRDefault="0025732F">
            <w:pPr>
              <w:pStyle w:val="NoSpacing"/>
              <w:spacing w:line="240" w:lineRule="auto"/>
              <w:rPr>
                <w:sz w:val="20"/>
                <w:szCs w:val="20"/>
              </w:rPr>
            </w:pPr>
            <w:r w:rsidRPr="00925EA9">
              <w:rPr>
                <w:sz w:val="20"/>
                <w:szCs w:val="20"/>
              </w:rPr>
              <w:t>Cost-benefit/ cost-effectiveness</w:t>
            </w:r>
          </w:p>
        </w:tc>
        <w:tc>
          <w:tcPr>
            <w:tcW w:w="10773" w:type="dxa"/>
          </w:tcPr>
          <w:p w14:paraId="0B1EA6E0" w14:textId="77777777" w:rsidR="0025732F" w:rsidRPr="00925EA9" w:rsidRDefault="0025732F">
            <w:pPr>
              <w:pStyle w:val="NoSpacing"/>
              <w:spacing w:line="240" w:lineRule="auto"/>
              <w:rPr>
                <w:sz w:val="20"/>
                <w:szCs w:val="20"/>
              </w:rPr>
            </w:pPr>
            <w:r>
              <w:rPr>
                <w:sz w:val="20"/>
                <w:szCs w:val="20"/>
              </w:rPr>
              <w:t>N/A.</w:t>
            </w:r>
          </w:p>
        </w:tc>
      </w:tr>
      <w:tr w:rsidR="0025732F" w:rsidRPr="00925EA9" w14:paraId="6A3F3606" w14:textId="77777777">
        <w:tc>
          <w:tcPr>
            <w:tcW w:w="3114" w:type="dxa"/>
          </w:tcPr>
          <w:p w14:paraId="0F5EFF1C" w14:textId="77777777" w:rsidR="0025732F" w:rsidRPr="00925EA9" w:rsidRDefault="0025732F">
            <w:pPr>
              <w:pStyle w:val="NoSpacing"/>
              <w:spacing w:line="240" w:lineRule="auto"/>
              <w:rPr>
                <w:sz w:val="20"/>
                <w:szCs w:val="20"/>
              </w:rPr>
            </w:pPr>
            <w:r w:rsidRPr="00925EA9">
              <w:rPr>
                <w:sz w:val="20"/>
                <w:szCs w:val="20"/>
              </w:rPr>
              <w:t>Overall quality rating</w:t>
            </w:r>
          </w:p>
        </w:tc>
        <w:tc>
          <w:tcPr>
            <w:tcW w:w="10773" w:type="dxa"/>
          </w:tcPr>
          <w:p w14:paraId="4A6D9D7A" w14:textId="77777777" w:rsidR="0025732F" w:rsidRPr="00925EA9" w:rsidRDefault="0025732F">
            <w:pPr>
              <w:pStyle w:val="NoSpacing"/>
              <w:spacing w:line="240" w:lineRule="auto"/>
              <w:rPr>
                <w:sz w:val="20"/>
                <w:szCs w:val="20"/>
              </w:rPr>
            </w:pPr>
            <w:r>
              <w:rPr>
                <w:sz w:val="20"/>
                <w:szCs w:val="20"/>
              </w:rPr>
              <w:t>Moderate.</w:t>
            </w:r>
          </w:p>
        </w:tc>
      </w:tr>
      <w:tr w:rsidR="0025732F" w:rsidRPr="00925EA9" w14:paraId="202588CE" w14:textId="77777777">
        <w:tc>
          <w:tcPr>
            <w:tcW w:w="3114" w:type="dxa"/>
            <w:shd w:val="clear" w:color="auto" w:fill="D9E2F3" w:themeFill="accent1" w:themeFillTint="33"/>
          </w:tcPr>
          <w:p w14:paraId="160862D1" w14:textId="77777777" w:rsidR="0025732F" w:rsidRPr="00925EA9" w:rsidRDefault="0025732F">
            <w:pPr>
              <w:pStyle w:val="NoSpacing"/>
              <w:spacing w:line="240" w:lineRule="auto"/>
              <w:rPr>
                <w:sz w:val="20"/>
                <w:szCs w:val="20"/>
              </w:rPr>
            </w:pPr>
            <w:r w:rsidRPr="00925EA9">
              <w:rPr>
                <w:sz w:val="20"/>
                <w:szCs w:val="20"/>
              </w:rPr>
              <w:t>Reference</w:t>
            </w:r>
          </w:p>
        </w:tc>
        <w:tc>
          <w:tcPr>
            <w:tcW w:w="10773" w:type="dxa"/>
            <w:shd w:val="clear" w:color="auto" w:fill="D9E2F3" w:themeFill="accent1" w:themeFillTint="33"/>
          </w:tcPr>
          <w:p w14:paraId="5AC3AF36" w14:textId="2B8F99BC" w:rsidR="0025732F" w:rsidRPr="00925EA9" w:rsidRDefault="0025732F">
            <w:pPr>
              <w:pStyle w:val="NoSpacing"/>
              <w:spacing w:line="240" w:lineRule="auto"/>
              <w:rPr>
                <w:sz w:val="20"/>
                <w:szCs w:val="20"/>
              </w:rPr>
            </w:pPr>
            <w:r w:rsidRPr="00925EA9">
              <w:rPr>
                <w:sz w:val="20"/>
                <w:szCs w:val="20"/>
              </w:rPr>
              <w:fldChar w:fldCharType="begin"/>
            </w:r>
            <w:r w:rsidR="00B9334F">
              <w:rPr>
                <w:sz w:val="20"/>
                <w:szCs w:val="20"/>
              </w:rPr>
              <w:instrText xml:space="preserve"> ADDIN EN.CITE &lt;EndNote&gt;&lt;Cite AuthorYear="1"&gt;&lt;Author&gt;Suchman&lt;/Author&gt;&lt;Year&gt;2010&lt;/Year&gt;&lt;RecNum&gt;117&lt;/RecNum&gt;&lt;DisplayText&gt;Suchman et al. (2010)&lt;/DisplayText&gt;&lt;record&gt;&lt;rec-number&gt;117&lt;/rec-number&gt;&lt;foreign-keys&gt;&lt;key app="EN" db-id="ffzvr5fstavwxoe9v04xf0wmp5t50as52da0" timestamp="1731671643" guid="14189b9b-498a-4379-a16c-1e0b1a22b075"&gt;117&lt;/key&gt;&lt;/foreign-keys&gt;&lt;ref-type name="Journal Article"&gt;17&lt;/ref-type&gt;&lt;contributors&gt;&lt;authors&gt;&lt;author&gt;Suchman, Nancy E.&lt;/author&gt;&lt;author&gt;DeCoste, Cindy&lt;/author&gt;&lt;author&gt;Castiglioni, Nicole&lt;/author&gt;&lt;author&gt;McMahon, Thomas J.&lt;/author&gt;&lt;author&gt;Rounsaville, Bruce&lt;/author&gt;&lt;author&gt;Mayes, Linda&lt;/author&gt;&lt;/authors&gt;&lt;/contributors&gt;&lt;titles&gt;&lt;title&gt;The Mothers and Toddlers Program, an attachment-based parenting intervention for substance using women: Post-treatment results from a randomized clinical pilot&lt;/title&gt;&lt;secondary-title&gt;Attachment &amp;amp; human development&lt;/secondary-title&gt;&lt;/titles&gt;&lt;periodical&gt;&lt;full-title&gt;Attachment &amp;amp; human development&lt;/full-title&gt;&lt;/periodical&gt;&lt;pages&gt;483-504&lt;/pages&gt;&lt;volume&gt;12&lt;/volume&gt;&lt;number&gt;5&lt;/number&gt;&lt;dates&gt;&lt;year&gt;2010&lt;/year&gt;&lt;/dates&gt;&lt;isbn&gt;1461-6734&amp;#xD;1469-2988&lt;/isbn&gt;&lt;accession-num&gt;PMC2928150&lt;/accession-num&gt;&lt;urls&gt;&lt;related-urls&gt;&lt;url&gt;http://www.ncbi.nlm.nih.gov/pmc/articles/PMC2928150/&lt;/url&gt;&lt;/related-urls&gt;&lt;/urls&gt;&lt;electronic-resource-num&gt;10.1080/14616734.2010.501983&lt;/electronic-resource-num&gt;&lt;remote-database-name&gt;PMC&lt;/remote-database-name&gt;&lt;/record&gt;&lt;/Cite&gt;&lt;/EndNote&gt;</w:instrText>
            </w:r>
            <w:r w:rsidRPr="00925EA9">
              <w:rPr>
                <w:sz w:val="20"/>
                <w:szCs w:val="20"/>
              </w:rPr>
              <w:fldChar w:fldCharType="separate"/>
            </w:r>
            <w:r w:rsidR="00A77498">
              <w:rPr>
                <w:noProof/>
                <w:sz w:val="20"/>
                <w:szCs w:val="20"/>
              </w:rPr>
              <w:t>Suchman et al. (2010)</w:t>
            </w:r>
            <w:r w:rsidRPr="00925EA9">
              <w:rPr>
                <w:sz w:val="20"/>
                <w:szCs w:val="20"/>
              </w:rPr>
              <w:fldChar w:fldCharType="end"/>
            </w:r>
            <w:r w:rsidRPr="00F979F4">
              <w:rPr>
                <w:sz w:val="20"/>
                <w:szCs w:val="20"/>
                <w:lang w:val="de-DE"/>
              </w:rPr>
              <w:t xml:space="preserve">; </w:t>
            </w:r>
            <w:r w:rsidRPr="00925EA9">
              <w:rPr>
                <w:sz w:val="20"/>
                <w:szCs w:val="20"/>
              </w:rPr>
              <w:fldChar w:fldCharType="begin"/>
            </w:r>
            <w:r w:rsidR="00B9334F">
              <w:rPr>
                <w:sz w:val="20"/>
                <w:szCs w:val="20"/>
              </w:rPr>
              <w:instrText xml:space="preserve"> ADDIN EN.CITE &lt;EndNote&gt;&lt;Cite AuthorYear="1"&gt;&lt;Author&gt;Suchman&lt;/Author&gt;&lt;Year&gt;2017&lt;/Year&gt;&lt;RecNum&gt;118&lt;/RecNum&gt;&lt;DisplayText&gt;Suchman et al. (2017)&lt;/DisplayText&gt;&lt;record&gt;&lt;rec-number&gt;118&lt;/rec-number&gt;&lt;foreign-keys&gt;&lt;key app="EN" db-id="ffzvr5fstavwxoe9v04xf0wmp5t50as52da0" timestamp="1731671643" guid="7be11b41-5db2-4742-b2d0-174eb5266498"&gt;118&lt;/key&gt;&lt;/foreign-keys&gt;&lt;ref-type name="Journal Article"&gt;17&lt;/ref-type&gt;&lt;contributors&gt;&lt;authors&gt;&lt;author&gt;Suchman, Nancy E.&lt;/author&gt;&lt;author&gt;DeCoste, Cindy L.&lt;/author&gt;&lt;author&gt;McMahon, Thomas J.&lt;/author&gt;&lt;author&gt;Dalton, Rachel&lt;/author&gt;&lt;author&gt;Mayes, Linda C.&lt;/author&gt;&lt;author&gt;Borelli, Jessica&lt;/author&gt;&lt;/authors&gt;&lt;/contributors&gt;&lt;titles&gt;&lt;title&gt;Mothering from the Inside Out: Results of a second randomized clinical trial testing a mentalization-based intervention for mothers in addiction treatment&lt;/title&gt;&lt;secondary-title&gt;Development and psychopathology&lt;/secondary-title&gt;&lt;/titles&gt;&lt;periodical&gt;&lt;full-title&gt;Development and Psychopathology&lt;/full-title&gt;&lt;/periodical&gt;&lt;pages&gt;617-636&lt;/pages&gt;&lt;volume&gt;29&lt;/volume&gt;&lt;number&gt;2&lt;/number&gt;&lt;dates&gt;&lt;year&gt;2017&lt;/year&gt;&lt;/dates&gt;&lt;isbn&gt;0954-5794&amp;#xD;1469-2198&lt;/isbn&gt;&lt;accession-num&gt;PMC5407293&lt;/accession-num&gt;&lt;urls&gt;&lt;related-urls&gt;&lt;url&gt;http://www.ncbi.nlm.nih.gov/pmc/articles/PMC5407293/&lt;/url&gt;&lt;/related-urls&gt;&lt;/urls&gt;&lt;electronic-resource-num&gt;10.1017/S0954579417000220&lt;/electronic-resource-num&gt;&lt;remote-database-name&gt;PMC&lt;/remote-database-name&gt;&lt;/record&gt;&lt;/Cite&gt;&lt;/EndNote&gt;</w:instrText>
            </w:r>
            <w:r w:rsidRPr="00925EA9">
              <w:rPr>
                <w:sz w:val="20"/>
                <w:szCs w:val="20"/>
              </w:rPr>
              <w:fldChar w:fldCharType="separate"/>
            </w:r>
            <w:r w:rsidR="00A77498">
              <w:rPr>
                <w:noProof/>
                <w:sz w:val="20"/>
                <w:szCs w:val="20"/>
              </w:rPr>
              <w:t>Suchman et al. (2017)</w:t>
            </w:r>
            <w:r w:rsidRPr="00925EA9">
              <w:rPr>
                <w:sz w:val="20"/>
                <w:szCs w:val="20"/>
              </w:rPr>
              <w:fldChar w:fldCharType="end"/>
            </w:r>
            <w:r w:rsidRPr="00925EA9">
              <w:rPr>
                <w:sz w:val="20"/>
                <w:szCs w:val="20"/>
              </w:rPr>
              <w:t xml:space="preserve">; </w:t>
            </w:r>
            <w:r w:rsidRPr="00925EA9">
              <w:rPr>
                <w:sz w:val="20"/>
                <w:szCs w:val="20"/>
              </w:rPr>
              <w:fldChar w:fldCharType="begin">
                <w:fldData xml:space="preserve">PEVuZE5vdGU+PENpdGUgQXV0aG9yWWVhcj0iMSI+PEF1dGhvcj5TdWNobWFuPC9BdXRob3I+PFll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</w:fldData>
              </w:fldChar>
            </w:r>
            <w:r w:rsidR="00B9334F">
              <w:rPr>
                <w:sz w:val="20"/>
                <w:szCs w:val="20"/>
              </w:rPr>
              <w:instrText xml:space="preserve"> ADDIN EN.CITE </w:instrText>
            </w:r>
            <w:r w:rsidR="00B9334F">
              <w:rPr>
                <w:sz w:val="20"/>
                <w:szCs w:val="20"/>
              </w:rPr>
              <w:fldChar w:fldCharType="begin">
                <w:fldData xml:space="preserve">PEVuZE5vdGU+PENpdGUgQXV0aG9yWWVhcj0iMSI+PEF1dGhvcj5TdWNobWFuPC9BdXRob3I+PFll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</w:fldData>
              </w:fldChar>
            </w:r>
            <w:r w:rsidR="00B9334F">
              <w:rPr>
                <w:sz w:val="20"/>
                <w:szCs w:val="20"/>
              </w:rPr>
              <w:instrText xml:space="preserve"> ADDIN EN.CITE.DATA </w:instrText>
            </w:r>
            <w:r w:rsidR="00B9334F">
              <w:rPr>
                <w:sz w:val="20"/>
                <w:szCs w:val="20"/>
              </w:rPr>
            </w:r>
            <w:r w:rsidR="00B9334F">
              <w:rPr>
                <w:sz w:val="20"/>
                <w:szCs w:val="20"/>
              </w:rPr>
              <w:fldChar w:fldCharType="end"/>
            </w:r>
            <w:r w:rsidRPr="00925EA9">
              <w:rPr>
                <w:sz w:val="20"/>
                <w:szCs w:val="20"/>
              </w:rPr>
            </w:r>
            <w:r w:rsidRPr="00925EA9">
              <w:rPr>
                <w:sz w:val="20"/>
                <w:szCs w:val="20"/>
              </w:rPr>
              <w:fldChar w:fldCharType="separate"/>
            </w:r>
            <w:r w:rsidR="00A77498">
              <w:rPr>
                <w:noProof/>
                <w:sz w:val="20"/>
                <w:szCs w:val="20"/>
              </w:rPr>
              <w:t>Suchman et al. (2018)</w:t>
            </w:r>
            <w:r w:rsidRPr="00925EA9">
              <w:rPr>
                <w:sz w:val="20"/>
                <w:szCs w:val="20"/>
              </w:rPr>
              <w:fldChar w:fldCharType="end"/>
            </w:r>
          </w:p>
        </w:tc>
      </w:tr>
      <w:tr w:rsidR="0025732F" w:rsidRPr="00925EA9" w14:paraId="2E1D65A6" w14:textId="77777777">
        <w:tc>
          <w:tcPr>
            <w:tcW w:w="3114" w:type="dxa"/>
          </w:tcPr>
          <w:p w14:paraId="5AFE06AC" w14:textId="77777777" w:rsidR="0025732F" w:rsidRPr="00925EA9" w:rsidRDefault="0025732F">
            <w:pPr>
              <w:pStyle w:val="NoSpacing"/>
              <w:spacing w:line="240" w:lineRule="auto"/>
              <w:rPr>
                <w:sz w:val="20"/>
                <w:szCs w:val="20"/>
              </w:rPr>
            </w:pPr>
            <w:r w:rsidRPr="00925EA9">
              <w:rPr>
                <w:sz w:val="20"/>
                <w:szCs w:val="20"/>
              </w:rPr>
              <w:t>Aims</w:t>
            </w:r>
          </w:p>
        </w:tc>
        <w:tc>
          <w:tcPr>
            <w:tcW w:w="10773" w:type="dxa"/>
          </w:tcPr>
          <w:p w14:paraId="5E52EB65" w14:textId="77777777" w:rsidR="0025732F" w:rsidRPr="00925EA9" w:rsidRDefault="0025732F">
            <w:pPr>
              <w:pStyle w:val="NoSpacing"/>
              <w:spacing w:line="240" w:lineRule="auto"/>
              <w:rPr>
                <w:sz w:val="20"/>
                <w:szCs w:val="20"/>
              </w:rPr>
            </w:pPr>
            <w:r w:rsidRPr="00925EA9">
              <w:rPr>
                <w:sz w:val="20"/>
                <w:szCs w:val="20"/>
              </w:rPr>
              <w:t xml:space="preserve">To evaluate the effectiveness of the Mothers and Toddlers Programme (MTP) also referred to as Mothering from the Inside Out (MIO) compared with Parent Education (PE) for mothers in outpatient treatment on parenting. </w:t>
            </w:r>
          </w:p>
        </w:tc>
      </w:tr>
      <w:tr w:rsidR="0025732F" w:rsidRPr="00925EA9" w14:paraId="3A9890A1" w14:textId="77777777">
        <w:tc>
          <w:tcPr>
            <w:tcW w:w="3114" w:type="dxa"/>
          </w:tcPr>
          <w:p w14:paraId="38D1509F" w14:textId="77777777" w:rsidR="0025732F" w:rsidRPr="00925EA9" w:rsidRDefault="0025732F">
            <w:pPr>
              <w:pStyle w:val="NoSpacing"/>
              <w:spacing w:line="240" w:lineRule="auto"/>
              <w:rPr>
                <w:sz w:val="20"/>
                <w:szCs w:val="20"/>
              </w:rPr>
            </w:pPr>
            <w:r w:rsidRPr="00925EA9">
              <w:rPr>
                <w:sz w:val="20"/>
                <w:szCs w:val="20"/>
              </w:rPr>
              <w:t>Design</w:t>
            </w:r>
          </w:p>
        </w:tc>
        <w:tc>
          <w:tcPr>
            <w:tcW w:w="10773" w:type="dxa"/>
          </w:tcPr>
          <w:p w14:paraId="510EA9E5" w14:textId="77777777" w:rsidR="0025732F" w:rsidRPr="00925EA9" w:rsidRDefault="0025732F">
            <w:pPr>
              <w:pStyle w:val="NoSpacing"/>
              <w:spacing w:line="240" w:lineRule="auto"/>
              <w:rPr>
                <w:sz w:val="20"/>
                <w:szCs w:val="20"/>
              </w:rPr>
            </w:pPr>
            <w:r w:rsidRPr="00925EA9">
              <w:rPr>
                <w:sz w:val="20"/>
                <w:szCs w:val="20"/>
              </w:rPr>
              <w:t xml:space="preserve">Randomised clinical trial. Primary outcomes were reflective functioning (RF) and maternal accounts of the child. Secondary outcomes included caregiving, child communication during dyadic exchanges, maternal distress and relapse. During the study, mothers who were on course to complete the 12 MTP sessions but needed more time were offered 12 more. Differences observed in outcomes between those who received 12 or 24 sessions were negligible and so data were merged and analysed together. Data was gathered using a combination of structured, semi-structured interviews and standardised instruments. </w:t>
            </w:r>
          </w:p>
        </w:tc>
      </w:tr>
      <w:tr w:rsidR="0025732F" w:rsidRPr="00925EA9" w14:paraId="5CA8CD61" w14:textId="77777777">
        <w:tc>
          <w:tcPr>
            <w:tcW w:w="3114" w:type="dxa"/>
          </w:tcPr>
          <w:p w14:paraId="09F1538C" w14:textId="77777777" w:rsidR="0025732F" w:rsidRPr="00925EA9" w:rsidRDefault="0025732F">
            <w:pPr>
              <w:pStyle w:val="NoSpacing"/>
              <w:spacing w:line="240" w:lineRule="auto"/>
              <w:rPr>
                <w:sz w:val="20"/>
                <w:szCs w:val="20"/>
              </w:rPr>
            </w:pPr>
            <w:r w:rsidRPr="00925EA9">
              <w:rPr>
                <w:sz w:val="20"/>
                <w:szCs w:val="20"/>
              </w:rPr>
              <w:t>Population</w:t>
            </w:r>
          </w:p>
        </w:tc>
        <w:tc>
          <w:tcPr>
            <w:tcW w:w="10773" w:type="dxa"/>
          </w:tcPr>
          <w:p w14:paraId="0A1EDA49" w14:textId="4B0629D1" w:rsidR="0025732F" w:rsidRPr="00925EA9" w:rsidRDefault="0025732F">
            <w:pPr>
              <w:pStyle w:val="NoSpacing"/>
              <w:spacing w:line="240" w:lineRule="auto"/>
              <w:rPr>
                <w:sz w:val="20"/>
                <w:szCs w:val="20"/>
              </w:rPr>
            </w:pPr>
            <w:r w:rsidRPr="00925EA9">
              <w:rPr>
                <w:sz w:val="20"/>
                <w:szCs w:val="20"/>
              </w:rPr>
              <w:t xml:space="preserve">Intervention (n=23) and comparison (n=24) groups in the first RCT </w:t>
            </w:r>
            <w:r w:rsidRPr="00925EA9">
              <w:rPr>
                <w:sz w:val="20"/>
                <w:szCs w:val="20"/>
              </w:rPr>
              <w:fldChar w:fldCharType="begin"/>
            </w:r>
            <w:r w:rsidR="00B9334F">
              <w:rPr>
                <w:sz w:val="20"/>
                <w:szCs w:val="20"/>
              </w:rPr>
              <w:instrText xml:space="preserve"> ADDIN EN.CITE &lt;EndNote&gt;&lt;Cite&gt;&lt;Author&gt;Suchman&lt;/Author&gt;&lt;Year&gt;2010&lt;/Year&gt;&lt;RecNum&gt;117&lt;/RecNum&gt;&lt;DisplayText&gt;(Suchman et al., 2010)&lt;/DisplayText&gt;&lt;record&gt;&lt;rec-number&gt;117&lt;/rec-number&gt;&lt;foreign-keys&gt;&lt;key app="EN" db-id="ffzvr5fstavwxoe9v04xf0wmp5t50as52da0" timestamp="1731671643" guid="14189b9b-498a-4379-a16c-1e0b1a22b075"&gt;117&lt;/key&gt;&lt;/foreign-keys&gt;&lt;ref-type name="Journal Article"&gt;17&lt;/ref-type&gt;&lt;contributors&gt;&lt;authors&gt;&lt;author&gt;Suchman, Nancy E.&lt;/author&gt;&lt;author&gt;DeCoste, Cindy&lt;/author&gt;&lt;author&gt;Castiglioni, Nicole&lt;/author&gt;&lt;author&gt;McMahon, Thomas J.&lt;/author&gt;&lt;author&gt;Rounsaville, Bruce&lt;/author&gt;&lt;author&gt;Mayes, Linda&lt;/author&gt;&lt;/authors&gt;&lt;/contributors&gt;&lt;titles&gt;&lt;title&gt;The Mothers and Toddlers Program, an attachment-based parenting intervention for substance using women: Post-treatment results from a randomized clinical pilot&lt;/title&gt;&lt;secondary-title&gt;Attachment &amp;amp; human development&lt;/secondary-title&gt;&lt;/titles&gt;&lt;periodical&gt;&lt;full-title&gt;Attachment &amp;amp; human development&lt;/full-title&gt;&lt;/periodical&gt;&lt;pages&gt;483-504&lt;/pages&gt;&lt;volume&gt;12&lt;/volume&gt;&lt;number&gt;5&lt;/number&gt;&lt;dates&gt;&lt;year&gt;2010&lt;/year&gt;&lt;/dates&gt;&lt;isbn&gt;1461-6734&amp;#xD;1469-2988&lt;/isbn&gt;&lt;accession-num&gt;PMC2928150&lt;/accession-num&gt;&lt;urls&gt;&lt;related-urls&gt;&lt;url&gt;http://www.ncbi.nlm.nih.gov/pmc/articles/PMC2928150/&lt;/url&gt;&lt;/related-urls&gt;&lt;/urls&gt;&lt;electronic-resource-num&gt;10.1080/14616734.2010.501983&lt;/electronic-resource-num&gt;&lt;remote-database-name&gt;PMC&lt;/remote-database-name&gt;&lt;/record&gt;&lt;/Cite&gt;&lt;/EndNote&gt;</w:instrText>
            </w:r>
            <w:r w:rsidRPr="00925EA9">
              <w:rPr>
                <w:sz w:val="20"/>
                <w:szCs w:val="20"/>
              </w:rPr>
              <w:fldChar w:fldCharType="separate"/>
            </w:r>
            <w:r w:rsidR="00A77498">
              <w:rPr>
                <w:noProof/>
                <w:sz w:val="20"/>
                <w:szCs w:val="20"/>
              </w:rPr>
              <w:t>(Suchman et al., 2010)</w:t>
            </w:r>
            <w:r w:rsidRPr="00925EA9">
              <w:rPr>
                <w:sz w:val="20"/>
                <w:szCs w:val="20"/>
              </w:rPr>
              <w:fldChar w:fldCharType="end"/>
            </w:r>
            <w:r w:rsidRPr="00925EA9">
              <w:rPr>
                <w:sz w:val="20"/>
                <w:szCs w:val="20"/>
              </w:rPr>
              <w:t xml:space="preserve">; intervention (n=40) and comparison (n=47) groups in the later studies </w:t>
            </w:r>
            <w:r w:rsidRPr="00925EA9">
              <w:rPr>
                <w:sz w:val="20"/>
                <w:szCs w:val="20"/>
              </w:rPr>
              <w:fldChar w:fldCharType="begin">
                <w:fldData xml:space="preserve">PEVuZE5vdGU+PENpdGU+PEF1dGhvcj5TdWNobWFuPC9BdXRob3I+PFllYXI+MjAxODwvWWVhcj48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</w:fldData>
              </w:fldChar>
            </w:r>
            <w:r w:rsidR="00B9334F">
              <w:rPr>
                <w:sz w:val="20"/>
                <w:szCs w:val="20"/>
              </w:rPr>
              <w:instrText xml:space="preserve"> ADDIN EN.CITE </w:instrText>
            </w:r>
            <w:r w:rsidR="00B9334F">
              <w:rPr>
                <w:sz w:val="20"/>
                <w:szCs w:val="20"/>
              </w:rPr>
              <w:fldChar w:fldCharType="begin">
                <w:fldData xml:space="preserve">PEVuZE5vdGU+PENpdGU+PEF1dGhvcj5TdWNobWFuPC9BdXRob3I+PFllYXI+MjAxODwvWWVhcj48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</w:fldData>
              </w:fldChar>
            </w:r>
            <w:r w:rsidR="00B9334F">
              <w:rPr>
                <w:sz w:val="20"/>
                <w:szCs w:val="20"/>
              </w:rPr>
              <w:instrText xml:space="preserve"> ADDIN EN.CITE.DATA </w:instrText>
            </w:r>
            <w:r w:rsidR="00B9334F">
              <w:rPr>
                <w:sz w:val="20"/>
                <w:szCs w:val="20"/>
              </w:rPr>
            </w:r>
            <w:r w:rsidR="00B9334F">
              <w:rPr>
                <w:sz w:val="20"/>
                <w:szCs w:val="20"/>
              </w:rPr>
              <w:fldChar w:fldCharType="end"/>
            </w:r>
            <w:r w:rsidRPr="00925EA9">
              <w:rPr>
                <w:sz w:val="20"/>
                <w:szCs w:val="20"/>
              </w:rPr>
            </w:r>
            <w:r w:rsidRPr="00925EA9">
              <w:rPr>
                <w:sz w:val="20"/>
                <w:szCs w:val="20"/>
              </w:rPr>
              <w:fldChar w:fldCharType="separate"/>
            </w:r>
            <w:r w:rsidR="003C6F70">
              <w:rPr>
                <w:noProof/>
                <w:sz w:val="20"/>
                <w:szCs w:val="20"/>
              </w:rPr>
              <w:t>(Suchman et al., 2018; Suchman et al., 2017)</w:t>
            </w:r>
            <w:r w:rsidRPr="00925EA9">
              <w:rPr>
                <w:sz w:val="20"/>
                <w:szCs w:val="20"/>
              </w:rPr>
              <w:fldChar w:fldCharType="end"/>
            </w:r>
            <w:r w:rsidRPr="00925EA9">
              <w:rPr>
                <w:sz w:val="20"/>
                <w:szCs w:val="20"/>
              </w:rPr>
              <w:t xml:space="preserve">. </w:t>
            </w:r>
          </w:p>
        </w:tc>
      </w:tr>
      <w:tr w:rsidR="0025732F" w:rsidRPr="00925EA9" w14:paraId="668D9A43" w14:textId="77777777">
        <w:tc>
          <w:tcPr>
            <w:tcW w:w="3114" w:type="dxa"/>
          </w:tcPr>
          <w:p w14:paraId="52DBD82E" w14:textId="77777777" w:rsidR="0025732F" w:rsidRPr="00925EA9" w:rsidRDefault="0025732F">
            <w:pPr>
              <w:pStyle w:val="NoSpacing"/>
              <w:spacing w:line="240" w:lineRule="auto"/>
              <w:rPr>
                <w:sz w:val="20"/>
                <w:szCs w:val="20"/>
              </w:rPr>
            </w:pPr>
            <w:r w:rsidRPr="00925EA9">
              <w:rPr>
                <w:sz w:val="20"/>
                <w:szCs w:val="20"/>
              </w:rPr>
              <w:t>Intervention</w:t>
            </w:r>
          </w:p>
        </w:tc>
        <w:tc>
          <w:tcPr>
            <w:tcW w:w="10773" w:type="dxa"/>
          </w:tcPr>
          <w:p w14:paraId="570143A9" w14:textId="77777777" w:rsidR="0025732F" w:rsidRPr="00925EA9" w:rsidRDefault="0025732F">
            <w:pPr>
              <w:pStyle w:val="NoSpacing"/>
              <w:spacing w:line="240" w:lineRule="auto"/>
              <w:rPr>
                <w:sz w:val="20"/>
                <w:szCs w:val="20"/>
              </w:rPr>
            </w:pPr>
            <w:r w:rsidRPr="00925EA9">
              <w:rPr>
                <w:sz w:val="20"/>
                <w:szCs w:val="20"/>
              </w:rPr>
              <w:t>All participants received usual treatment for substance misuse in addition to either MIO or PE. MIO comprised 12 weekly one-hour sessions in an outpatient substance misuse treatment facility of parenting therapy. Its aim is</w:t>
            </w:r>
            <w:r>
              <w:rPr>
                <w:sz w:val="20"/>
                <w:szCs w:val="20"/>
              </w:rPr>
              <w:t xml:space="preserve"> to</w:t>
            </w:r>
            <w:r w:rsidRPr="00925EA9">
              <w:rPr>
                <w:sz w:val="20"/>
                <w:szCs w:val="20"/>
              </w:rPr>
              <w:t xml:space="preserve"> improve reﬂective functioning (RF) and mental parenting representations. PE comprised weekly one-hour ICM sessions and leaflets on parenting. </w:t>
            </w:r>
          </w:p>
        </w:tc>
      </w:tr>
      <w:tr w:rsidR="0025732F" w:rsidRPr="00925EA9" w14:paraId="7D57CC62" w14:textId="77777777">
        <w:tc>
          <w:tcPr>
            <w:tcW w:w="3114" w:type="dxa"/>
          </w:tcPr>
          <w:p w14:paraId="6163DD72" w14:textId="77777777" w:rsidR="0025732F" w:rsidRPr="00925EA9" w:rsidRDefault="0025732F">
            <w:pPr>
              <w:pStyle w:val="NoSpacing"/>
              <w:spacing w:line="240" w:lineRule="auto"/>
              <w:rPr>
                <w:sz w:val="20"/>
                <w:szCs w:val="20"/>
              </w:rPr>
            </w:pPr>
            <w:r w:rsidRPr="00925EA9">
              <w:rPr>
                <w:sz w:val="20"/>
                <w:szCs w:val="20"/>
              </w:rPr>
              <w:t>Country</w:t>
            </w:r>
          </w:p>
        </w:tc>
        <w:tc>
          <w:tcPr>
            <w:tcW w:w="10773" w:type="dxa"/>
          </w:tcPr>
          <w:p w14:paraId="4F3347D6" w14:textId="77777777" w:rsidR="0025732F" w:rsidRPr="00925EA9" w:rsidRDefault="0025732F">
            <w:pPr>
              <w:pStyle w:val="NoSpacing"/>
              <w:spacing w:line="240" w:lineRule="auto"/>
              <w:rPr>
                <w:sz w:val="20"/>
                <w:szCs w:val="20"/>
              </w:rPr>
            </w:pPr>
            <w:r w:rsidRPr="00925EA9">
              <w:rPr>
                <w:sz w:val="20"/>
                <w:szCs w:val="20"/>
              </w:rPr>
              <w:t>USA (New Haven, Connecticut).</w:t>
            </w:r>
          </w:p>
        </w:tc>
      </w:tr>
      <w:tr w:rsidR="0025732F" w:rsidRPr="00925EA9" w14:paraId="08193F64" w14:textId="77777777">
        <w:tc>
          <w:tcPr>
            <w:tcW w:w="3114" w:type="dxa"/>
          </w:tcPr>
          <w:p w14:paraId="2C48BE2B" w14:textId="77777777" w:rsidR="0025732F" w:rsidRPr="00925EA9" w:rsidRDefault="0025732F">
            <w:pPr>
              <w:pStyle w:val="NoSpacing"/>
              <w:spacing w:line="240" w:lineRule="auto"/>
              <w:rPr>
                <w:sz w:val="20"/>
                <w:szCs w:val="20"/>
              </w:rPr>
            </w:pPr>
            <w:r>
              <w:rPr>
                <w:sz w:val="20"/>
                <w:szCs w:val="20"/>
              </w:rPr>
              <w:t>O</w:t>
            </w:r>
            <w:r w:rsidRPr="00925EA9">
              <w:rPr>
                <w:sz w:val="20"/>
                <w:szCs w:val="20"/>
              </w:rPr>
              <w:t>utcomes</w:t>
            </w:r>
          </w:p>
        </w:tc>
        <w:tc>
          <w:tcPr>
            <w:tcW w:w="10773" w:type="dxa"/>
          </w:tcPr>
          <w:p w14:paraId="7DB4471E" w14:textId="315F89B2" w:rsidR="0025732F" w:rsidRPr="00925EA9" w:rsidRDefault="0025732F">
            <w:pPr>
              <w:pStyle w:val="NoSpacing"/>
              <w:spacing w:line="240" w:lineRule="auto"/>
              <w:rPr>
                <w:sz w:val="20"/>
                <w:szCs w:val="20"/>
              </w:rPr>
            </w:pPr>
            <w:r w:rsidRPr="00925EA9">
              <w:rPr>
                <w:sz w:val="20"/>
                <w:szCs w:val="20"/>
              </w:rPr>
              <w:t xml:space="preserve">At 6-week follow-up, as the sample was not large enough to provide sufficient power to identify statistical differences, effect sizes were calculated using estimated means and pooled standard deviations; medium effects where the effect size was greater than .20 were deemed substantial.  MIO mothers demonstrated more improvement most of the primary and secondary outcomes noted above post-treatment and follow-up. There was no improvement in child-focused RF suggesting that while improvement in recognising simple emotions was made, mothers in both trial groups had limited capacity to grasp how filial emotions affect behaviour and the dyadic relationship. Post-treatment psychiatric distress findings were mixed: MTP participants reported fewer symptoms at the end of treatment, while at follow-up PE participants reported less depression, albeit not less distress </w:t>
            </w:r>
            <w:r w:rsidRPr="00925EA9">
              <w:rPr>
                <w:sz w:val="20"/>
                <w:szCs w:val="20"/>
              </w:rPr>
              <w:fldChar w:fldCharType="begin"/>
            </w:r>
            <w:r w:rsidR="00B9334F">
              <w:rPr>
                <w:sz w:val="20"/>
                <w:szCs w:val="20"/>
              </w:rPr>
              <w:instrText xml:space="preserve"> ADDIN EN.CITE &lt;EndNote&gt;&lt;Cite&gt;&lt;Author&gt;Suchman&lt;/Author&gt;&lt;Year&gt;2010&lt;/Year&gt;&lt;RecNum&gt;117&lt;/RecNum&gt;&lt;DisplayText&gt;(Suchman et al., 2010)&lt;/DisplayText&gt;&lt;record&gt;&lt;rec-number&gt;117&lt;/rec-number&gt;&lt;foreign-keys&gt;&lt;key app="EN" db-id="ffzvr5fstavwxoe9v04xf0wmp5t50as52da0" timestamp="1731671643" guid="14189b9b-498a-4379-a16c-1e0b1a22b075"&gt;117&lt;/key&gt;&lt;/foreign-keys&gt;&lt;ref-type name="Journal Article"&gt;17&lt;/ref-type&gt;&lt;contributors&gt;&lt;authors&gt;&lt;author&gt;Suchman, Nancy E.&lt;/author&gt;&lt;author&gt;DeCoste, Cindy&lt;/author&gt;&lt;author&gt;Castiglioni, Nicole&lt;/author&gt;&lt;author&gt;McMahon, Thomas J.&lt;/author&gt;&lt;author&gt;Rounsaville, Bruce&lt;/author&gt;&lt;author&gt;Mayes, Linda&lt;/author&gt;&lt;/authors&gt;&lt;/contributors&gt;&lt;titles&gt;&lt;title&gt;The Mothers and Toddlers Program, an attachment-based parenting intervention for substance using women: Post-treatment results from a randomized clinical pilot&lt;/title&gt;&lt;secondary-title&gt;Attachment &amp;amp; human development&lt;/secondary-title&gt;&lt;/titles&gt;&lt;periodical&gt;&lt;full-title&gt;Attachment &amp;amp; human development&lt;/full-title&gt;&lt;/periodical&gt;&lt;pages&gt;483-504&lt;/pages&gt;&lt;volume&gt;12&lt;/volume&gt;&lt;number&gt;5&lt;/number&gt;&lt;dates&gt;&lt;year&gt;2010&lt;/year&gt;&lt;/dates&gt;&lt;isbn&gt;1461-6734&amp;#xD;1469-2988&lt;/isbn&gt;&lt;accession-num&gt;PMC2928150&lt;/accession-num&gt;&lt;urls&gt;&lt;related-urls&gt;&lt;url&gt;http://www.ncbi.nlm.nih.gov/pmc/articles/PMC2928150/&lt;/url&gt;&lt;/related-urls&gt;&lt;/urls&gt;&lt;electronic-resource-num&gt;10.1080/14616734.2010.501983&lt;/electronic-resource-num&gt;&lt;remote-database-name&gt;PMC&lt;/remote-database-name&gt;&lt;/record&gt;&lt;/Cite&gt;&lt;/EndNote&gt;</w:instrText>
            </w:r>
            <w:r w:rsidRPr="00925EA9">
              <w:rPr>
                <w:sz w:val="20"/>
                <w:szCs w:val="20"/>
              </w:rPr>
              <w:fldChar w:fldCharType="separate"/>
            </w:r>
            <w:r w:rsidR="00A77498">
              <w:rPr>
                <w:noProof/>
                <w:sz w:val="20"/>
                <w:szCs w:val="20"/>
              </w:rPr>
              <w:t>(Suchman et al., 2010)</w:t>
            </w:r>
            <w:r w:rsidRPr="00925EA9">
              <w:rPr>
                <w:sz w:val="20"/>
                <w:szCs w:val="20"/>
              </w:rPr>
              <w:fldChar w:fldCharType="end"/>
            </w:r>
            <w:r w:rsidRPr="00925EA9">
              <w:rPr>
                <w:sz w:val="20"/>
                <w:szCs w:val="20"/>
              </w:rPr>
              <w:t xml:space="preserve">.  At 12-month follow up, MIO mothers demonstrated significantly greater compassion and dyadic alignment. As addiction severity increased, MIO appeared to be a protective factor for RF, dyadic interactions, and child attachment, albeit not all differences were statistically significant </w:t>
            </w:r>
            <w:r w:rsidRPr="00925EA9">
              <w:rPr>
                <w:sz w:val="20"/>
                <w:szCs w:val="20"/>
              </w:rPr>
              <w:fldChar w:fldCharType="begin"/>
            </w:r>
            <w:r w:rsidR="00B9334F">
              <w:rPr>
                <w:sz w:val="20"/>
                <w:szCs w:val="20"/>
              </w:rPr>
              <w:instrText xml:space="preserve"> ADDIN EN.CITE &lt;EndNote&gt;&lt;Cite&gt;&lt;Author&gt;Suchman&lt;/Author&gt;&lt;Year&gt;2017&lt;/Year&gt;&lt;RecNum&gt;118&lt;/RecNum&gt;&lt;DisplayText&gt;(Suchman et al., 2017)&lt;/DisplayText&gt;&lt;record&gt;&lt;rec-number&gt;118&lt;/rec-number&gt;&lt;foreign-keys&gt;&lt;key app="EN" db-id="ffzvr5fstavwxoe9v04xf0wmp5t50as52da0" timestamp="1731671643" guid="7be11b41-5db2-4742-b2d0-174eb5266498"&gt;118&lt;/key&gt;&lt;/foreign-keys&gt;&lt;ref-type name="Journal Article"&gt;17&lt;/ref-type&gt;&lt;contributors&gt;&lt;authors&gt;&lt;author&gt;Suchman, Nancy E.&lt;/author&gt;&lt;author&gt;DeCoste, Cindy L.&lt;/author&gt;&lt;author&gt;McMahon, Thomas J.&lt;/author&gt;&lt;author&gt;Dalton, Rachel&lt;/author&gt;&lt;author&gt;Mayes, Linda C.&lt;/author&gt;&lt;author&gt;Borelli, Jessica&lt;/author&gt;&lt;/authors&gt;&lt;/contributors&gt;&lt;titles&gt;&lt;title&gt;Mothering from the Inside Out: Results of a second randomized clinical trial testing a mentalization-based intervention for mothers in addiction treatment&lt;/title&gt;&lt;secondary-title&gt;Development and psychopathology&lt;/secondary-title&gt;&lt;/titles&gt;&lt;periodical&gt;&lt;full-title&gt;Development and Psychopathology&lt;/full-title&gt;&lt;/periodical&gt;&lt;pages&gt;617-636&lt;/pages&gt;&lt;volume&gt;29&lt;/volume&gt;&lt;number&gt;2&lt;/number&gt;&lt;dates&gt;&lt;year&gt;2017&lt;/year&gt;&lt;/dates&gt;&lt;isbn&gt;0954-5794&amp;#xD;1469-2198&lt;/isbn&gt;&lt;accession-num&gt;PMC5407293&lt;/accession-num&gt;&lt;urls&gt;&lt;related-urls&gt;&lt;url&gt;http://www.ncbi.nlm.nih.gov/pmc/articles/PMC5407293/&lt;/url&gt;&lt;/related-urls&gt;&lt;/urls&gt;&lt;electronic-resource-num&gt;10.1017/S0954579417000220&lt;/electronic-resource-num&gt;&lt;remote-database-name&gt;PMC&lt;/remote-database-name&gt;&lt;/record&gt;&lt;/Cite&gt;&lt;/EndNote&gt;</w:instrText>
            </w:r>
            <w:r w:rsidRPr="00925EA9">
              <w:rPr>
                <w:sz w:val="20"/>
                <w:szCs w:val="20"/>
              </w:rPr>
              <w:fldChar w:fldCharType="separate"/>
            </w:r>
            <w:r w:rsidR="00A77498">
              <w:rPr>
                <w:noProof/>
                <w:sz w:val="20"/>
                <w:szCs w:val="20"/>
              </w:rPr>
              <w:t>(Suchman et al., 2017)</w:t>
            </w:r>
            <w:r w:rsidRPr="00925EA9">
              <w:rPr>
                <w:sz w:val="20"/>
                <w:szCs w:val="20"/>
              </w:rPr>
              <w:fldChar w:fldCharType="end"/>
            </w:r>
            <w:r w:rsidRPr="00925EA9">
              <w:rPr>
                <w:sz w:val="20"/>
                <w:szCs w:val="20"/>
              </w:rPr>
              <w:t xml:space="preserve">. MIO intervention fidelity was generally associated with improvements in RF and caregiving </w:t>
            </w:r>
            <w:r w:rsidRPr="00925EA9">
              <w:rPr>
                <w:sz w:val="20"/>
                <w:szCs w:val="20"/>
              </w:rPr>
              <w:fldChar w:fldCharType="begin">
                <w:fldData xml:space="preserve">PEVuZE5vdGU+PENpdGU+PEF1dGhvcj5TdWNobWFuPC9BdXRob3I+PFllYXI+MjAxODwvWWVhcj48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=
</w:fldData>
              </w:fldChar>
            </w:r>
            <w:r w:rsidR="00B9334F">
              <w:rPr>
                <w:sz w:val="20"/>
                <w:szCs w:val="20"/>
              </w:rPr>
              <w:instrText xml:space="preserve"> ADDIN EN.CITE </w:instrText>
            </w:r>
            <w:r w:rsidR="00B9334F">
              <w:rPr>
                <w:sz w:val="20"/>
                <w:szCs w:val="20"/>
              </w:rPr>
              <w:fldChar w:fldCharType="begin">
                <w:fldData xml:space="preserve">PEVuZE5vdGU+PENpdGU+PEF1dGhvcj5TdWNobWFuPC9BdXRob3I+PFllYXI+MjAxODwvWWVhcj48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=
</w:fldData>
              </w:fldChar>
            </w:r>
            <w:r w:rsidR="00B9334F">
              <w:rPr>
                <w:sz w:val="20"/>
                <w:szCs w:val="20"/>
              </w:rPr>
              <w:instrText xml:space="preserve"> ADDIN EN.CITE.DATA </w:instrText>
            </w:r>
            <w:r w:rsidR="00B9334F">
              <w:rPr>
                <w:sz w:val="20"/>
                <w:szCs w:val="20"/>
              </w:rPr>
            </w:r>
            <w:r w:rsidR="00B9334F">
              <w:rPr>
                <w:sz w:val="20"/>
                <w:szCs w:val="20"/>
              </w:rPr>
              <w:fldChar w:fldCharType="end"/>
            </w:r>
            <w:r w:rsidRPr="00925EA9">
              <w:rPr>
                <w:sz w:val="20"/>
                <w:szCs w:val="20"/>
              </w:rPr>
            </w:r>
            <w:r w:rsidRPr="00925EA9">
              <w:rPr>
                <w:sz w:val="20"/>
                <w:szCs w:val="20"/>
              </w:rPr>
              <w:fldChar w:fldCharType="separate"/>
            </w:r>
            <w:r w:rsidR="00A77498">
              <w:rPr>
                <w:noProof/>
                <w:sz w:val="20"/>
                <w:szCs w:val="20"/>
              </w:rPr>
              <w:t>(Suchman et al., 2018)</w:t>
            </w:r>
            <w:r w:rsidRPr="00925EA9">
              <w:rPr>
                <w:sz w:val="20"/>
                <w:szCs w:val="20"/>
              </w:rPr>
              <w:fldChar w:fldCharType="end"/>
            </w:r>
            <w:r w:rsidRPr="00925EA9">
              <w:rPr>
                <w:sz w:val="20"/>
                <w:szCs w:val="20"/>
              </w:rPr>
              <w:t>. MTP children communicated more frequently with and responding less contingently to their mothers than PE children</w:t>
            </w:r>
            <w:r>
              <w:rPr>
                <w:sz w:val="20"/>
                <w:szCs w:val="20"/>
              </w:rPr>
              <w:t>.</w:t>
            </w:r>
          </w:p>
        </w:tc>
      </w:tr>
      <w:tr w:rsidR="0025732F" w:rsidRPr="00925EA9" w14:paraId="345D311D" w14:textId="77777777">
        <w:tc>
          <w:tcPr>
            <w:tcW w:w="3114" w:type="dxa"/>
          </w:tcPr>
          <w:p w14:paraId="4BA18B9C" w14:textId="77777777" w:rsidR="0025732F" w:rsidRPr="00925EA9" w:rsidRDefault="0025732F">
            <w:pPr>
              <w:pStyle w:val="NoSpacing"/>
              <w:spacing w:line="240" w:lineRule="auto"/>
              <w:rPr>
                <w:sz w:val="20"/>
                <w:szCs w:val="20"/>
              </w:rPr>
            </w:pPr>
            <w:r w:rsidRPr="00925EA9">
              <w:rPr>
                <w:sz w:val="20"/>
                <w:szCs w:val="20"/>
              </w:rPr>
              <w:t>Cost-benefit/ cost-effectiveness</w:t>
            </w:r>
          </w:p>
        </w:tc>
        <w:tc>
          <w:tcPr>
            <w:tcW w:w="10773" w:type="dxa"/>
          </w:tcPr>
          <w:p w14:paraId="0F75C6ED" w14:textId="77777777" w:rsidR="0025732F" w:rsidRPr="00925EA9" w:rsidRDefault="0025732F">
            <w:pPr>
              <w:pStyle w:val="NoSpacing"/>
              <w:spacing w:line="240" w:lineRule="auto"/>
              <w:rPr>
                <w:sz w:val="20"/>
                <w:szCs w:val="20"/>
              </w:rPr>
            </w:pPr>
            <w:r w:rsidRPr="00925EA9">
              <w:rPr>
                <w:sz w:val="20"/>
                <w:szCs w:val="20"/>
              </w:rPr>
              <w:t>N/A.</w:t>
            </w:r>
          </w:p>
        </w:tc>
      </w:tr>
      <w:tr w:rsidR="0025732F" w:rsidRPr="00925EA9" w14:paraId="796B0EC5" w14:textId="77777777">
        <w:tc>
          <w:tcPr>
            <w:tcW w:w="3114" w:type="dxa"/>
          </w:tcPr>
          <w:p w14:paraId="7631F628" w14:textId="77777777" w:rsidR="0025732F" w:rsidRPr="00925EA9" w:rsidRDefault="0025732F">
            <w:pPr>
              <w:pStyle w:val="NoSpacing"/>
              <w:spacing w:line="240" w:lineRule="auto"/>
              <w:rPr>
                <w:sz w:val="20"/>
                <w:szCs w:val="20"/>
              </w:rPr>
            </w:pPr>
            <w:r w:rsidRPr="00925EA9">
              <w:rPr>
                <w:sz w:val="20"/>
                <w:szCs w:val="20"/>
              </w:rPr>
              <w:t>Overall quality rating</w:t>
            </w:r>
          </w:p>
        </w:tc>
        <w:tc>
          <w:tcPr>
            <w:tcW w:w="10773" w:type="dxa"/>
          </w:tcPr>
          <w:p w14:paraId="75BD4773" w14:textId="77777777" w:rsidR="0025732F" w:rsidRPr="00925EA9" w:rsidRDefault="0025732F">
            <w:pPr>
              <w:pStyle w:val="NoSpacing"/>
              <w:spacing w:line="240" w:lineRule="auto"/>
              <w:rPr>
                <w:sz w:val="20"/>
                <w:szCs w:val="20"/>
              </w:rPr>
            </w:pPr>
            <w:r w:rsidRPr="00925EA9">
              <w:rPr>
                <w:sz w:val="20"/>
                <w:szCs w:val="20"/>
              </w:rPr>
              <w:t>Moderate.</w:t>
            </w:r>
          </w:p>
        </w:tc>
      </w:tr>
      <w:tr w:rsidR="0025732F" w:rsidRPr="00F022D5" w14:paraId="1CE3555B" w14:textId="77777777">
        <w:tc>
          <w:tcPr>
            <w:tcW w:w="3114" w:type="dxa"/>
            <w:shd w:val="clear" w:color="auto" w:fill="D5DCE4" w:themeFill="text2" w:themeFillTint="33"/>
          </w:tcPr>
          <w:p w14:paraId="1B228F7C" w14:textId="77777777" w:rsidR="0025732F" w:rsidRPr="00F022D5" w:rsidRDefault="0025732F">
            <w:pPr>
              <w:rPr>
                <w:rFonts w:cs="Arial"/>
                <w:sz w:val="20"/>
                <w:szCs w:val="20"/>
              </w:rPr>
            </w:pPr>
            <w:r w:rsidRPr="00F022D5">
              <w:rPr>
                <w:rFonts w:cs="Arial"/>
                <w:sz w:val="20"/>
                <w:szCs w:val="20"/>
              </w:rPr>
              <w:t>Reference</w:t>
            </w:r>
          </w:p>
        </w:tc>
        <w:tc>
          <w:tcPr>
            <w:tcW w:w="10773" w:type="dxa"/>
            <w:shd w:val="clear" w:color="auto" w:fill="D5DCE4" w:themeFill="text2" w:themeFillTint="33"/>
          </w:tcPr>
          <w:p w14:paraId="17E73B86" w14:textId="0014B92E" w:rsidR="0025732F" w:rsidRPr="00F022D5" w:rsidRDefault="0025732F">
            <w:pPr>
              <w:rPr>
                <w:rFonts w:cs="Arial"/>
                <w:sz w:val="20"/>
                <w:szCs w:val="20"/>
              </w:rPr>
            </w:pPr>
            <w:r w:rsidRPr="00F022D5">
              <w:rPr>
                <w:rFonts w:cs="Arial"/>
                <w:sz w:val="20"/>
                <w:szCs w:val="20"/>
              </w:rPr>
              <w:fldChar w:fldCharType="begin">
                <w:fldData xml:space="preserve">PEVuZE5vdGU+PENpdGUgQXV0aG9yWWVhcj0iMSI+PEF1dGhvcj5UaGFuaDwvQXV0aG9yPjxZZWFy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=
</w:fldData>
              </w:fldChar>
            </w:r>
            <w:r w:rsidR="00B9334F">
              <w:rPr>
                <w:rFonts w:cs="Arial"/>
                <w:sz w:val="20"/>
                <w:szCs w:val="20"/>
              </w:rPr>
              <w:instrText xml:space="preserve"> ADDIN EN.CITE </w:instrText>
            </w:r>
            <w:r w:rsidR="00B9334F">
              <w:rPr>
                <w:rFonts w:cs="Arial"/>
                <w:sz w:val="20"/>
                <w:szCs w:val="20"/>
              </w:rPr>
              <w:fldChar w:fldCharType="begin">
                <w:fldData xml:space="preserve">PEVuZE5vdGU+PENpdGUgQXV0aG9yWWVhcj0iMSI+PEF1dGhvcj5UaGFuaDwvQXV0aG9yPjxZZWFy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=
</w:fldData>
              </w:fldChar>
            </w:r>
            <w:r w:rsidR="00B9334F">
              <w:rPr>
                <w:rFonts w:cs="Arial"/>
                <w:sz w:val="20"/>
                <w:szCs w:val="20"/>
              </w:rPr>
              <w:instrText xml:space="preserve"> ADDIN EN.CITE.DATA </w:instrText>
            </w:r>
            <w:r w:rsidR="00B9334F">
              <w:rPr>
                <w:rFonts w:cs="Arial"/>
                <w:sz w:val="20"/>
                <w:szCs w:val="20"/>
              </w:rPr>
            </w:r>
            <w:r w:rsidR="00B9334F">
              <w:rPr>
                <w:rFonts w:cs="Arial"/>
                <w:sz w:val="20"/>
                <w:szCs w:val="20"/>
              </w:rPr>
              <w:fldChar w:fldCharType="end"/>
            </w:r>
            <w:r w:rsidRPr="00F022D5">
              <w:rPr>
                <w:rFonts w:cs="Arial"/>
                <w:sz w:val="20"/>
                <w:szCs w:val="20"/>
              </w:rPr>
            </w:r>
            <w:r w:rsidRPr="00F022D5">
              <w:rPr>
                <w:rFonts w:cs="Arial"/>
                <w:sz w:val="20"/>
                <w:szCs w:val="20"/>
              </w:rPr>
              <w:fldChar w:fldCharType="separate"/>
            </w:r>
            <w:r w:rsidR="00A77498">
              <w:rPr>
                <w:rFonts w:cs="Arial"/>
                <w:noProof/>
                <w:sz w:val="20"/>
                <w:szCs w:val="20"/>
              </w:rPr>
              <w:t>Thanh et al. (2015)</w:t>
            </w:r>
            <w:r w:rsidRPr="00F022D5">
              <w:rPr>
                <w:rFonts w:cs="Arial"/>
                <w:sz w:val="20"/>
                <w:szCs w:val="20"/>
              </w:rPr>
              <w:fldChar w:fldCharType="end"/>
            </w:r>
            <w:r w:rsidRPr="00F022D5">
              <w:rPr>
                <w:rFonts w:cs="Arial"/>
                <w:sz w:val="20"/>
                <w:szCs w:val="20"/>
              </w:rPr>
              <w:t xml:space="preserve"> </w:t>
            </w:r>
          </w:p>
        </w:tc>
      </w:tr>
      <w:tr w:rsidR="0025732F" w:rsidRPr="00F022D5" w14:paraId="70CED118" w14:textId="77777777">
        <w:tc>
          <w:tcPr>
            <w:tcW w:w="3114" w:type="dxa"/>
          </w:tcPr>
          <w:p w14:paraId="584E3715" w14:textId="77777777" w:rsidR="0025732F" w:rsidRPr="00F022D5" w:rsidRDefault="0025732F">
            <w:pPr>
              <w:rPr>
                <w:rFonts w:cs="Arial"/>
                <w:sz w:val="20"/>
                <w:szCs w:val="20"/>
              </w:rPr>
            </w:pPr>
            <w:r w:rsidRPr="00F022D5">
              <w:rPr>
                <w:rFonts w:cs="Arial"/>
                <w:sz w:val="20"/>
                <w:szCs w:val="20"/>
              </w:rPr>
              <w:t>Aims</w:t>
            </w:r>
          </w:p>
        </w:tc>
        <w:tc>
          <w:tcPr>
            <w:tcW w:w="10773" w:type="dxa"/>
          </w:tcPr>
          <w:p w14:paraId="4BA41538" w14:textId="77777777" w:rsidR="0025732F" w:rsidRPr="00F022D5" w:rsidRDefault="0025732F">
            <w:pPr>
              <w:autoSpaceDE w:val="0"/>
              <w:autoSpaceDN w:val="0"/>
              <w:adjustRightInd w:val="0"/>
              <w:rPr>
                <w:rFonts w:cs="Arial"/>
                <w:sz w:val="20"/>
                <w:szCs w:val="20"/>
              </w:rPr>
            </w:pPr>
            <w:r w:rsidRPr="00F022D5">
              <w:rPr>
                <w:rFonts w:cs="Arial"/>
                <w:sz w:val="20"/>
                <w:szCs w:val="20"/>
              </w:rPr>
              <w:t>To evaluate the cost-effectiveness of the Parent-Child Assistance Programme (P-CAP) on preventing foetal alcohol spectrum disorder (FASD).</w:t>
            </w:r>
          </w:p>
        </w:tc>
      </w:tr>
      <w:tr w:rsidR="0025732F" w:rsidRPr="00925EA9" w14:paraId="644C2923" w14:textId="77777777">
        <w:tc>
          <w:tcPr>
            <w:tcW w:w="3114" w:type="dxa"/>
          </w:tcPr>
          <w:p w14:paraId="4938780F" w14:textId="77777777" w:rsidR="0025732F" w:rsidRPr="00F022D5" w:rsidRDefault="0025732F">
            <w:pPr>
              <w:rPr>
                <w:rFonts w:cs="Arial"/>
                <w:sz w:val="20"/>
                <w:szCs w:val="20"/>
              </w:rPr>
            </w:pPr>
            <w:r w:rsidRPr="00F022D5">
              <w:rPr>
                <w:rFonts w:cs="Arial"/>
                <w:sz w:val="20"/>
                <w:szCs w:val="20"/>
              </w:rPr>
              <w:lastRenderedPageBreak/>
              <w:t>Design</w:t>
            </w:r>
          </w:p>
        </w:tc>
        <w:tc>
          <w:tcPr>
            <w:tcW w:w="10773" w:type="dxa"/>
          </w:tcPr>
          <w:p w14:paraId="1662B87C" w14:textId="77777777" w:rsidR="0025732F" w:rsidRPr="00925EA9" w:rsidRDefault="0025732F">
            <w:pPr>
              <w:autoSpaceDE w:val="0"/>
              <w:autoSpaceDN w:val="0"/>
              <w:adjustRightInd w:val="0"/>
              <w:rPr>
                <w:rFonts w:cs="Arial"/>
                <w:sz w:val="20"/>
                <w:szCs w:val="20"/>
              </w:rPr>
            </w:pPr>
            <w:r w:rsidRPr="00F022D5">
              <w:rPr>
                <w:rFonts w:cs="Arial"/>
                <w:sz w:val="20"/>
                <w:szCs w:val="20"/>
              </w:rPr>
              <w:t>A decision analytic model estimating both the incremental cost–effectiveness ratio (ICER) and the net monetary beneﬁt (NMB) of the P-CAP. In the CEA the incremental cost was per prevented case, while in the CBA, prevented cases were monetised using a discounted incremental lifetime FASD cost of $800,000. A societal perspective and a time horizon of 3 years was adopted. The counterfactual scenario modelled was P-CAP not existing. Costs were discounted at 5%.</w:t>
            </w:r>
          </w:p>
        </w:tc>
      </w:tr>
      <w:tr w:rsidR="0025732F" w:rsidRPr="00925EA9" w14:paraId="56CC9589" w14:textId="77777777">
        <w:tc>
          <w:tcPr>
            <w:tcW w:w="3114" w:type="dxa"/>
          </w:tcPr>
          <w:p w14:paraId="58D3177A"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35389583" w14:textId="77777777" w:rsidR="0025732F" w:rsidRPr="00925EA9" w:rsidRDefault="0025732F">
            <w:pPr>
              <w:autoSpaceDE w:val="0"/>
              <w:autoSpaceDN w:val="0"/>
              <w:adjustRightInd w:val="0"/>
              <w:rPr>
                <w:rFonts w:cs="Arial"/>
                <w:sz w:val="20"/>
                <w:szCs w:val="20"/>
              </w:rPr>
            </w:pPr>
            <w:r w:rsidRPr="00925EA9">
              <w:rPr>
                <w:rFonts w:cs="Arial"/>
                <w:sz w:val="20"/>
                <w:szCs w:val="20"/>
              </w:rPr>
              <w:t>N=366.</w:t>
            </w:r>
          </w:p>
        </w:tc>
      </w:tr>
      <w:tr w:rsidR="0025732F" w:rsidRPr="00925EA9" w14:paraId="499F6718" w14:textId="77777777">
        <w:tc>
          <w:tcPr>
            <w:tcW w:w="3114" w:type="dxa"/>
          </w:tcPr>
          <w:p w14:paraId="01918589"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46BC874D" w14:textId="77777777" w:rsidR="0025732F" w:rsidRPr="00925EA9" w:rsidRDefault="0025732F">
            <w:pPr>
              <w:autoSpaceDE w:val="0"/>
              <w:autoSpaceDN w:val="0"/>
              <w:adjustRightInd w:val="0"/>
              <w:rPr>
                <w:rFonts w:cs="Arial"/>
                <w:sz w:val="20"/>
                <w:szCs w:val="20"/>
              </w:rPr>
            </w:pPr>
            <w:r w:rsidRPr="00925EA9">
              <w:rPr>
                <w:rFonts w:cs="Arial"/>
                <w:sz w:val="20"/>
                <w:szCs w:val="20"/>
              </w:rPr>
              <w:t xml:space="preserve">See Grant et al., 2005 above. </w:t>
            </w:r>
          </w:p>
        </w:tc>
      </w:tr>
      <w:tr w:rsidR="0025732F" w:rsidRPr="00925EA9" w14:paraId="7EADEA0C" w14:textId="77777777">
        <w:tc>
          <w:tcPr>
            <w:tcW w:w="3114" w:type="dxa"/>
          </w:tcPr>
          <w:p w14:paraId="0342EC06" w14:textId="77777777" w:rsidR="0025732F" w:rsidRPr="00925EA9" w:rsidRDefault="0025732F">
            <w:pPr>
              <w:rPr>
                <w:rFonts w:cs="Arial"/>
                <w:sz w:val="20"/>
                <w:szCs w:val="20"/>
              </w:rPr>
            </w:pPr>
            <w:r w:rsidRPr="00925EA9">
              <w:rPr>
                <w:rFonts w:cs="Arial"/>
                <w:sz w:val="20"/>
                <w:szCs w:val="20"/>
              </w:rPr>
              <w:t>Country</w:t>
            </w:r>
          </w:p>
        </w:tc>
        <w:tc>
          <w:tcPr>
            <w:tcW w:w="10773" w:type="dxa"/>
          </w:tcPr>
          <w:p w14:paraId="39654FA9" w14:textId="77777777" w:rsidR="0025732F" w:rsidRPr="00925EA9" w:rsidRDefault="0025732F">
            <w:pPr>
              <w:rPr>
                <w:rFonts w:cs="Arial"/>
                <w:sz w:val="20"/>
                <w:szCs w:val="20"/>
              </w:rPr>
            </w:pPr>
            <w:r w:rsidRPr="00925EA9">
              <w:rPr>
                <w:rFonts w:cs="Arial"/>
                <w:sz w:val="20"/>
                <w:szCs w:val="20"/>
              </w:rPr>
              <w:t>Canada (25 programmes in Alberta Province).</w:t>
            </w:r>
          </w:p>
        </w:tc>
      </w:tr>
      <w:tr w:rsidR="0025732F" w:rsidRPr="00925EA9" w14:paraId="36B383D8" w14:textId="77777777">
        <w:tc>
          <w:tcPr>
            <w:tcW w:w="3114" w:type="dxa"/>
          </w:tcPr>
          <w:p w14:paraId="70F8D587"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15248FF6" w14:textId="77777777" w:rsidR="0025732F" w:rsidRPr="00925EA9" w:rsidRDefault="0025732F">
            <w:pPr>
              <w:autoSpaceDE w:val="0"/>
              <w:autoSpaceDN w:val="0"/>
              <w:adjustRightInd w:val="0"/>
              <w:rPr>
                <w:rFonts w:cs="Arial"/>
                <w:sz w:val="20"/>
                <w:szCs w:val="20"/>
              </w:rPr>
            </w:pPr>
            <w:r w:rsidRPr="00925EA9">
              <w:rPr>
                <w:rFonts w:cs="Arial"/>
                <w:sz w:val="20"/>
                <w:szCs w:val="20"/>
              </w:rPr>
              <w:t xml:space="preserve">The intervention was estimated to prevent 31 (20-43) FASD cases. </w:t>
            </w:r>
          </w:p>
        </w:tc>
      </w:tr>
      <w:tr w:rsidR="0025732F" w:rsidRPr="00925EA9" w14:paraId="71B78ED1" w14:textId="77777777">
        <w:tc>
          <w:tcPr>
            <w:tcW w:w="3114" w:type="dxa"/>
          </w:tcPr>
          <w:p w14:paraId="1FD5C725"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67458977" w14:textId="77777777" w:rsidR="0025732F" w:rsidRPr="00925EA9" w:rsidRDefault="0025732F">
            <w:pPr>
              <w:rPr>
                <w:rFonts w:cs="Arial"/>
                <w:sz w:val="20"/>
                <w:szCs w:val="20"/>
              </w:rPr>
            </w:pPr>
            <w:r w:rsidRPr="00925EA9">
              <w:rPr>
                <w:rFonts w:cs="Arial"/>
                <w:sz w:val="20"/>
                <w:szCs w:val="20"/>
              </w:rPr>
              <w:t xml:space="preserve">ICER = $97,000 ($72,000-$153,000) and NMB = $22m ($13m-$31m). </w:t>
            </w:r>
          </w:p>
        </w:tc>
      </w:tr>
      <w:tr w:rsidR="0025732F" w:rsidRPr="00925EA9" w14:paraId="7DB54835" w14:textId="77777777">
        <w:tc>
          <w:tcPr>
            <w:tcW w:w="3114" w:type="dxa"/>
          </w:tcPr>
          <w:p w14:paraId="29EEDA0B"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4B2FA40C" w14:textId="77777777" w:rsidR="0025732F" w:rsidRPr="00925EA9" w:rsidRDefault="0025732F">
            <w:pPr>
              <w:rPr>
                <w:rFonts w:cs="Arial"/>
                <w:sz w:val="20"/>
                <w:szCs w:val="20"/>
              </w:rPr>
            </w:pPr>
            <w:r>
              <w:rPr>
                <w:rFonts w:cs="Arial"/>
                <w:sz w:val="20"/>
                <w:szCs w:val="20"/>
              </w:rPr>
              <w:t>High</w:t>
            </w:r>
            <w:r w:rsidRPr="00925EA9">
              <w:rPr>
                <w:rFonts w:cs="Arial"/>
                <w:sz w:val="20"/>
                <w:szCs w:val="20"/>
              </w:rPr>
              <w:t>.</w:t>
            </w:r>
          </w:p>
        </w:tc>
      </w:tr>
    </w:tbl>
    <w:p w14:paraId="2EA01004" w14:textId="77777777" w:rsidR="0025732F" w:rsidRDefault="0025732F" w:rsidP="0025732F">
      <w:pPr>
        <w:pStyle w:val="NoSpacing"/>
      </w:pPr>
    </w:p>
    <w:p w14:paraId="4D933F8C" w14:textId="77777777" w:rsidR="0025732F" w:rsidRDefault="0025732F" w:rsidP="0025732F">
      <w:pPr>
        <w:pStyle w:val="NoSpacing"/>
        <w:rPr>
          <w:color w:val="ED7D31" w:themeColor="accent2"/>
        </w:rPr>
      </w:pPr>
    </w:p>
    <w:p w14:paraId="24F9AC63" w14:textId="77777777" w:rsidR="0025732F" w:rsidRDefault="0025732F" w:rsidP="0025732F">
      <w:pPr>
        <w:pStyle w:val="NoSpacing"/>
      </w:pPr>
    </w:p>
    <w:p w14:paraId="1957133B" w14:textId="77777777" w:rsidR="0025732F" w:rsidRDefault="0025732F" w:rsidP="009C3BBC">
      <w:pPr>
        <w:pStyle w:val="Heading3"/>
        <w:numPr>
          <w:ilvl w:val="2"/>
          <w:numId w:val="19"/>
        </w:numPr>
        <w:ind w:left="2160" w:hanging="180"/>
        <w:sectPr w:rsidR="0025732F" w:rsidSect="0025732F">
          <w:pgSz w:w="16838" w:h="11906" w:orient="landscape"/>
          <w:pgMar w:top="1440" w:right="1440" w:bottom="1440" w:left="1440" w:header="709" w:footer="709" w:gutter="0"/>
          <w:cols w:space="708"/>
          <w:docGrid w:linePitch="360"/>
        </w:sectPr>
      </w:pPr>
      <w:bookmarkStart w:id="205" w:name="_Toc167810550"/>
    </w:p>
    <w:p w14:paraId="01B5F11E" w14:textId="22A332C6" w:rsidR="002E7D2A" w:rsidRDefault="002E7D2A" w:rsidP="00E969EB">
      <w:pPr>
        <w:pStyle w:val="Heading4"/>
        <w:spacing w:line="240" w:lineRule="auto"/>
      </w:pPr>
      <w:r>
        <w:lastRenderedPageBreak/>
        <w:t xml:space="preserve">Specialist treatment </w:t>
      </w:r>
      <w:r w:rsidR="00545D7B">
        <w:t>plus</w:t>
      </w:r>
      <w:r>
        <w:t xml:space="preserve"> statutory child welfare support, including parenting interventions</w:t>
      </w:r>
    </w:p>
    <w:p w14:paraId="560B7B18" w14:textId="77777777" w:rsidR="00E969EB" w:rsidRPr="00E969EB" w:rsidRDefault="00E969EB" w:rsidP="00E969EB"/>
    <w:p w14:paraId="1F9A3A87" w14:textId="439DDECD" w:rsidR="002E7D2A" w:rsidRDefault="002E7D2A" w:rsidP="00E969EB">
      <w:pPr>
        <w:pStyle w:val="NoSpacing"/>
        <w:spacing w:line="360" w:lineRule="auto"/>
      </w:pPr>
      <w:r w:rsidRPr="00CB1E87">
        <w:t xml:space="preserve">Specialist treatment </w:t>
      </w:r>
      <w:r w:rsidR="00545D7B">
        <w:t>plus</w:t>
      </w:r>
      <w:r w:rsidRPr="00CB1E87">
        <w:t xml:space="preserve"> statutory child welfare support, including parenting interventions typically offer</w:t>
      </w:r>
      <w:r w:rsidR="009305A0">
        <w:t>ed</w:t>
      </w:r>
      <w:r w:rsidRPr="00CB1E87">
        <w:t xml:space="preserve"> a combination of treatment, child social work and legal support to extremely vulnerable families whose children have been removed from their primary caregivers or are at risk of being put into care. Outcomes centre</w:t>
      </w:r>
      <w:r w:rsidR="009305A0">
        <w:t>d</w:t>
      </w:r>
      <w:r w:rsidRPr="00CB1E87">
        <w:t xml:space="preserve"> on familial reunification, no further maltreatment related to parental substance use and/or </w:t>
      </w:r>
      <w:r w:rsidR="00C1674E" w:rsidRPr="00CB1E87">
        <w:t>pl</w:t>
      </w:r>
      <w:r w:rsidR="00C1674E">
        <w:t>adverse</w:t>
      </w:r>
      <w:r w:rsidR="00C1674E" w:rsidRPr="00CB1E87">
        <w:t xml:space="preserve">ment </w:t>
      </w:r>
      <w:r w:rsidRPr="00CB1E87">
        <w:t xml:space="preserve">in a safe permanent home (‘permanency’), which may be achieved away from the familial home if it </w:t>
      </w:r>
      <w:r w:rsidR="009305A0">
        <w:t>were</w:t>
      </w:r>
      <w:r w:rsidRPr="00CB1E87">
        <w:t xml:space="preserve"> in the best interest of the child. </w:t>
      </w:r>
      <w:r w:rsidR="00E969EB">
        <w:t xml:space="preserve">Twenty three </w:t>
      </w:r>
      <w:r w:rsidRPr="000442CE">
        <w:t>studies were in the low- to high-quality range</w:t>
      </w:r>
      <w:r w:rsidR="00C57E95">
        <w:t xml:space="preserve"> </w:t>
      </w:r>
      <w:r w:rsidR="00D21896" w:rsidRPr="003E5789">
        <w:t xml:space="preserve">Tables </w:t>
      </w:r>
      <w:r w:rsidR="00AF4D08" w:rsidRPr="003E5789">
        <w:t>A</w:t>
      </w:r>
      <w:r w:rsidR="00D21896" w:rsidRPr="003E5789">
        <w:t xml:space="preserve">-6 and </w:t>
      </w:r>
      <w:r w:rsidR="00AF4D08" w:rsidRPr="003E5789">
        <w:t>A</w:t>
      </w:r>
      <w:r w:rsidR="00D21896" w:rsidRPr="003E5789">
        <w:t>-7</w:t>
      </w:r>
      <w:r w:rsidRPr="004F42F3">
        <w:t xml:space="preserve">. All were from the US except one Welsh </w:t>
      </w:r>
      <w:r w:rsidRPr="004F42F3">
        <w:fldChar w:fldCharType="begin">
          <w:fldData xml:space="preserve">PEVuZE5vdGU+PENpdGU+PEF1dGhvcj5Gb3JyZXN0ZXI8L0F1dGhvcj48WWVhcj4yMDA4PC9ZZWFy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</w:fldData>
        </w:fldChar>
      </w:r>
      <w:r w:rsidR="00B9334F">
        <w:instrText xml:space="preserve"> ADDIN EN.CITE </w:instrText>
      </w:r>
      <w:r w:rsidR="00B9334F">
        <w:fldChar w:fldCharType="begin">
          <w:fldData xml:space="preserve">PEVuZE5vdGU+PENpdGU+PEF1dGhvcj5Gb3JyZXN0ZXI8L0F1dGhvcj48WWVhcj4yMDA4PC9ZZWFy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</w:fldData>
        </w:fldChar>
      </w:r>
      <w:r w:rsidR="00B9334F">
        <w:instrText xml:space="preserve"> ADDIN EN.CITE.DATA </w:instrText>
      </w:r>
      <w:r w:rsidR="00B9334F">
        <w:fldChar w:fldCharType="end"/>
      </w:r>
      <w:r w:rsidRPr="004F42F3">
        <w:fldChar w:fldCharType="separate"/>
      </w:r>
      <w:r w:rsidR="003C6F70">
        <w:rPr>
          <w:noProof/>
        </w:rPr>
        <w:t>(Forrester et al., 2008; Forrester et al., 2014)</w:t>
      </w:r>
      <w:r w:rsidRPr="004F42F3">
        <w:fldChar w:fldCharType="end"/>
      </w:r>
      <w:r w:rsidRPr="004F42F3">
        <w:t xml:space="preserve"> and one English study </w:t>
      </w:r>
      <w:r w:rsidRPr="004F42F3">
        <w:fldChar w:fldCharType="begin">
          <w:fldData xml:space="preserve">PEVuZE5vdGU+PENpdGU+PEF1dGhvcj5IYXJ3aW48L0F1dGhvcj48WWVhcj4yMDE4PC9ZZWFyPjxS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</w:fldData>
        </w:fldChar>
      </w:r>
      <w:r w:rsidR="00B9334F">
        <w:instrText xml:space="preserve"> ADDIN EN.CITE </w:instrText>
      </w:r>
      <w:r w:rsidR="00B9334F">
        <w:fldChar w:fldCharType="begin">
          <w:fldData xml:space="preserve">PEVuZE5vdGU+PENpdGU+PEF1dGhvcj5IYXJ3aW48L0F1dGhvcj48WWVhcj4yMDE4PC9ZZWFyPjxS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</w:fldData>
        </w:fldChar>
      </w:r>
      <w:r w:rsidR="00B9334F">
        <w:instrText xml:space="preserve"> ADDIN EN.CITE.DATA </w:instrText>
      </w:r>
      <w:r w:rsidR="00B9334F">
        <w:fldChar w:fldCharType="end"/>
      </w:r>
      <w:r w:rsidRPr="004F42F3">
        <w:fldChar w:fldCharType="separate"/>
      </w:r>
      <w:r w:rsidR="003C6F70">
        <w:rPr>
          <w:noProof/>
        </w:rPr>
        <w:t>(Harwin et al., 2018; Harwin et al., 2016; Harwin et al., 2014)</w:t>
      </w:r>
      <w:r w:rsidRPr="004F42F3">
        <w:fldChar w:fldCharType="end"/>
      </w:r>
      <w:r w:rsidRPr="000442CE">
        <w:t xml:space="preserve">. Five economic evaluations were included the review </w:t>
      </w:r>
      <w:r w:rsidRPr="000442CE">
        <w:fldChar w:fldCharType="begin">
          <w:fldData xml:space="preserve">PEVuZE5vdGU+PENpdGU+PEF1dGhvcj5CdXJydXM8L0F1dGhvcj48WWVhcj4yMDExPC9ZZWFyPjxS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</w:fldData>
        </w:fldChar>
      </w:r>
      <w:r w:rsidR="00B9334F">
        <w:instrText xml:space="preserve"> ADDIN EN.CITE </w:instrText>
      </w:r>
      <w:r w:rsidR="00B9334F">
        <w:fldChar w:fldCharType="begin">
          <w:fldData xml:space="preserve">PEVuZE5vdGU+PENpdGU+PEF1dGhvcj5CdXJydXM8L0F1dGhvcj48WWVhcj4yMDExPC9ZZWFyPjxS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</w:fldData>
        </w:fldChar>
      </w:r>
      <w:r w:rsidR="00B9334F">
        <w:instrText xml:space="preserve"> ADDIN EN.CITE.DATA </w:instrText>
      </w:r>
      <w:r w:rsidR="00B9334F">
        <w:fldChar w:fldCharType="end"/>
      </w:r>
      <w:r w:rsidRPr="000442CE">
        <w:fldChar w:fldCharType="separate"/>
      </w:r>
      <w:r w:rsidR="003C6F70">
        <w:rPr>
          <w:noProof/>
        </w:rPr>
        <w:t>(Burrus et al., 2011; Forrester et al., 2008; Harwin et al., 2014; Ryan et al., 2006; Zeller et al., 2007)</w:t>
      </w:r>
      <w:r w:rsidRPr="000442CE">
        <w:fldChar w:fldCharType="end"/>
      </w:r>
      <w:r w:rsidRPr="000442CE">
        <w:t xml:space="preserve">. No study achieved a quality rating of 5 (very high) again owing </w:t>
      </w:r>
      <w:r w:rsidRPr="000442CE">
        <w:rPr>
          <w:noProof/>
        </w:rPr>
        <w:t xml:space="preserve">mainly to generalisability concerns from small sample sizes, insufficient follow-up periods or studies occurring only on one site. </w:t>
      </w:r>
    </w:p>
    <w:p w14:paraId="5887197E" w14:textId="77777777" w:rsidR="00C57E95" w:rsidRDefault="00C57E95" w:rsidP="00E969EB">
      <w:pPr>
        <w:pStyle w:val="NoSpacing"/>
        <w:spacing w:line="360" w:lineRule="auto"/>
      </w:pPr>
    </w:p>
    <w:p w14:paraId="2C8C0C2D" w14:textId="1A793AF0" w:rsidR="00C57E95" w:rsidRPr="00D21896" w:rsidRDefault="00D21896" w:rsidP="00D21896">
      <w:pPr>
        <w:pStyle w:val="Caption"/>
        <w:keepNext/>
        <w:ind w:left="1440" w:hanging="1440"/>
      </w:pPr>
      <w:bookmarkStart w:id="206" w:name="_Ref177033279"/>
      <w:r w:rsidRPr="00D21896">
        <w:rPr>
          <w:b w:val="0"/>
          <w:bCs w:val="0"/>
          <w:i/>
          <w:iCs/>
          <w:color w:val="auto"/>
          <w:sz w:val="24"/>
          <w:szCs w:val="24"/>
        </w:rPr>
        <w:t xml:space="preserve">Table </w:t>
      </w:r>
      <w:r w:rsidR="00AF4D08">
        <w:rPr>
          <w:b w:val="0"/>
          <w:bCs w:val="0"/>
          <w:i/>
          <w:iCs/>
          <w:color w:val="auto"/>
          <w:sz w:val="24"/>
          <w:szCs w:val="24"/>
        </w:rPr>
        <w:t>A</w:t>
      </w:r>
      <w:r w:rsidR="00367870">
        <w:rPr>
          <w:b w:val="0"/>
          <w:bCs w:val="0"/>
          <w:i/>
          <w:iCs/>
          <w:color w:val="auto"/>
          <w:sz w:val="24"/>
          <w:szCs w:val="24"/>
        </w:rPr>
        <w:noBreakHyphen/>
      </w:r>
      <w:bookmarkEnd w:id="206"/>
      <w:r w:rsidR="00881915">
        <w:rPr>
          <w:b w:val="0"/>
          <w:bCs w:val="0"/>
          <w:i/>
          <w:iCs/>
          <w:color w:val="auto"/>
          <w:sz w:val="24"/>
          <w:szCs w:val="24"/>
        </w:rPr>
        <w:t>6</w:t>
      </w:r>
      <w:r w:rsidR="00C57E95">
        <w:rPr>
          <w:b w:val="0"/>
          <w:bCs w:val="0"/>
          <w:i/>
          <w:iCs/>
          <w:color w:val="auto"/>
          <w:sz w:val="24"/>
          <w:szCs w:val="24"/>
        </w:rPr>
        <w:tab/>
        <w:t>Overview</w:t>
      </w:r>
      <w:r w:rsidR="00C57E95" w:rsidRPr="00591A2A">
        <w:rPr>
          <w:b w:val="0"/>
          <w:bCs w:val="0"/>
          <w:i/>
          <w:iCs/>
          <w:color w:val="auto"/>
          <w:sz w:val="24"/>
          <w:szCs w:val="24"/>
        </w:rPr>
        <w:t xml:space="preserve"> of studies on specialist treatment</w:t>
      </w:r>
      <w:r w:rsidR="00C57E95">
        <w:rPr>
          <w:b w:val="0"/>
          <w:bCs w:val="0"/>
          <w:i/>
          <w:iCs/>
          <w:color w:val="auto"/>
          <w:sz w:val="24"/>
          <w:szCs w:val="24"/>
        </w:rPr>
        <w:t xml:space="preserve"> </w:t>
      </w:r>
      <w:r w:rsidR="00545D7B">
        <w:rPr>
          <w:b w:val="0"/>
          <w:bCs w:val="0"/>
          <w:i/>
          <w:iCs/>
          <w:color w:val="auto"/>
          <w:sz w:val="24"/>
          <w:szCs w:val="24"/>
        </w:rPr>
        <w:t>plus</w:t>
      </w:r>
      <w:r w:rsidR="00C57E95">
        <w:rPr>
          <w:b w:val="0"/>
          <w:bCs w:val="0"/>
          <w:i/>
          <w:iCs/>
          <w:color w:val="auto"/>
          <w:sz w:val="24"/>
          <w:szCs w:val="24"/>
        </w:rPr>
        <w:t xml:space="preserve"> statutory child welfare</w:t>
      </w:r>
      <w:r w:rsidR="00C57E95" w:rsidRPr="00591A2A">
        <w:rPr>
          <w:b w:val="0"/>
          <w:bCs w:val="0"/>
          <w:i/>
          <w:iCs/>
          <w:color w:val="auto"/>
          <w:sz w:val="24"/>
          <w:szCs w:val="24"/>
        </w:rPr>
        <w:t xml:space="preserve"> (n=</w:t>
      </w:r>
      <w:r w:rsidR="00C57E95">
        <w:rPr>
          <w:b w:val="0"/>
          <w:bCs w:val="0"/>
          <w:i/>
          <w:iCs/>
          <w:color w:val="auto"/>
          <w:sz w:val="24"/>
          <w:szCs w:val="24"/>
        </w:rPr>
        <w:t>23</w:t>
      </w:r>
      <w:r w:rsidR="00C57E95" w:rsidRPr="00591A2A">
        <w:rPr>
          <w:b w:val="0"/>
          <w:bCs w:val="0"/>
          <w:i/>
          <w:iCs/>
          <w:color w:val="auto"/>
          <w:sz w:val="24"/>
          <w:szCs w:val="24"/>
        </w:rPr>
        <w:t>)</w:t>
      </w:r>
    </w:p>
    <w:p w14:paraId="4D65D3B4" w14:textId="77777777" w:rsidR="002E7D2A" w:rsidRPr="00DE05A5" w:rsidRDefault="002E7D2A" w:rsidP="002E7D2A">
      <w:pPr>
        <w:pStyle w:val="NoSpacing"/>
        <w:spacing w:line="240" w:lineRule="auto"/>
        <w:rPr>
          <w:b/>
          <w:bCs/>
          <w:highlight w:val="yellow"/>
        </w:rPr>
      </w:pPr>
    </w:p>
    <w:tbl>
      <w:tblPr>
        <w:tblStyle w:val="TableGrid"/>
        <w:tblW w:w="0" w:type="auto"/>
        <w:tblLook w:val="04A0" w:firstRow="1" w:lastRow="0" w:firstColumn="1" w:lastColumn="0" w:noHBand="0" w:noVBand="1"/>
      </w:tblPr>
      <w:tblGrid>
        <w:gridCol w:w="1212"/>
        <w:gridCol w:w="2601"/>
        <w:gridCol w:w="2601"/>
        <w:gridCol w:w="2602"/>
      </w:tblGrid>
      <w:tr w:rsidR="002E7D2A" w:rsidRPr="00DE05A5" w14:paraId="5DD04B46" w14:textId="77777777">
        <w:trPr>
          <w:trHeight w:val="727"/>
        </w:trPr>
        <w:tc>
          <w:tcPr>
            <w:tcW w:w="0" w:type="auto"/>
            <w:shd w:val="clear" w:color="auto" w:fill="44546A" w:themeFill="text2"/>
          </w:tcPr>
          <w:p w14:paraId="567771FD" w14:textId="77777777" w:rsidR="002E7D2A" w:rsidRPr="009A5916" w:rsidRDefault="002E7D2A">
            <w:pPr>
              <w:rPr>
                <w:rFonts w:cs="Arial"/>
                <w:color w:val="FFFFFF" w:themeColor="background1"/>
                <w:sz w:val="20"/>
                <w:szCs w:val="20"/>
              </w:rPr>
            </w:pPr>
            <w:r w:rsidRPr="009A5916">
              <w:rPr>
                <w:rFonts w:cs="Arial"/>
                <w:color w:val="FFFFFF" w:themeColor="background1"/>
                <w:sz w:val="20"/>
                <w:szCs w:val="20"/>
              </w:rPr>
              <w:t>Quality rating</w:t>
            </w:r>
          </w:p>
        </w:tc>
        <w:tc>
          <w:tcPr>
            <w:tcW w:w="2601" w:type="dxa"/>
            <w:shd w:val="clear" w:color="auto" w:fill="44546A" w:themeFill="text2"/>
          </w:tcPr>
          <w:p w14:paraId="3F5CC955" w14:textId="77777777" w:rsidR="002E7D2A" w:rsidRPr="009A5916" w:rsidRDefault="002E7D2A">
            <w:pPr>
              <w:rPr>
                <w:rFonts w:cs="Arial"/>
                <w:color w:val="FFFFFF" w:themeColor="background1"/>
                <w:sz w:val="20"/>
                <w:szCs w:val="20"/>
              </w:rPr>
            </w:pPr>
            <w:r w:rsidRPr="009A5916">
              <w:rPr>
                <w:rFonts w:cs="Arial"/>
                <w:color w:val="FFFFFF" w:themeColor="background1"/>
                <w:sz w:val="20"/>
                <w:szCs w:val="20"/>
              </w:rPr>
              <w:t>Intervention</w:t>
            </w:r>
          </w:p>
        </w:tc>
        <w:tc>
          <w:tcPr>
            <w:tcW w:w="2601" w:type="dxa"/>
            <w:shd w:val="clear" w:color="auto" w:fill="44546A" w:themeFill="text2"/>
          </w:tcPr>
          <w:p w14:paraId="65A49439" w14:textId="77777777" w:rsidR="002E7D2A" w:rsidRPr="009A5916" w:rsidRDefault="002E7D2A">
            <w:pPr>
              <w:rPr>
                <w:rFonts w:cs="Arial"/>
                <w:color w:val="FFFFFF" w:themeColor="background1"/>
                <w:sz w:val="20"/>
                <w:szCs w:val="20"/>
              </w:rPr>
            </w:pPr>
            <w:r w:rsidRPr="009A5916">
              <w:rPr>
                <w:rFonts w:cs="Arial"/>
                <w:color w:val="FFFFFF" w:themeColor="background1"/>
                <w:sz w:val="20"/>
                <w:szCs w:val="20"/>
              </w:rPr>
              <w:t xml:space="preserve">Outcomes </w:t>
            </w:r>
          </w:p>
        </w:tc>
        <w:tc>
          <w:tcPr>
            <w:tcW w:w="2602" w:type="dxa"/>
            <w:shd w:val="clear" w:color="auto" w:fill="44546A" w:themeFill="text2"/>
          </w:tcPr>
          <w:p w14:paraId="75D74072" w14:textId="77777777" w:rsidR="002E7D2A" w:rsidRPr="009A5916" w:rsidRDefault="002E7D2A">
            <w:pPr>
              <w:rPr>
                <w:rFonts w:cs="Arial"/>
                <w:color w:val="FFFFFF" w:themeColor="background1"/>
                <w:sz w:val="20"/>
                <w:szCs w:val="20"/>
              </w:rPr>
            </w:pPr>
            <w:r w:rsidRPr="009A5916">
              <w:rPr>
                <w:rFonts w:cs="Arial"/>
                <w:color w:val="FFFFFF" w:themeColor="background1"/>
                <w:sz w:val="20"/>
                <w:szCs w:val="20"/>
              </w:rPr>
              <w:t>Additional comments</w:t>
            </w:r>
          </w:p>
        </w:tc>
      </w:tr>
      <w:tr w:rsidR="002E7D2A" w:rsidRPr="00246D59" w14:paraId="05DB7EF7" w14:textId="77777777">
        <w:trPr>
          <w:trHeight w:val="894"/>
        </w:trPr>
        <w:tc>
          <w:tcPr>
            <w:tcW w:w="0" w:type="auto"/>
          </w:tcPr>
          <w:p w14:paraId="1AE4B1FF" w14:textId="77777777" w:rsidR="002E7D2A" w:rsidRPr="00246D59" w:rsidRDefault="002E7D2A">
            <w:pPr>
              <w:rPr>
                <w:rFonts w:cs="Arial"/>
                <w:sz w:val="20"/>
                <w:szCs w:val="20"/>
              </w:rPr>
            </w:pPr>
            <w:r w:rsidRPr="00246D59">
              <w:rPr>
                <w:rFonts w:cs="Arial"/>
                <w:sz w:val="20"/>
                <w:szCs w:val="20"/>
              </w:rPr>
              <w:t xml:space="preserve">2 (Low) </w:t>
            </w:r>
          </w:p>
        </w:tc>
        <w:tc>
          <w:tcPr>
            <w:tcW w:w="2601" w:type="dxa"/>
          </w:tcPr>
          <w:p w14:paraId="528D36E3" w14:textId="77777777" w:rsidR="002E7D2A" w:rsidRPr="00246D59" w:rsidRDefault="002E7D2A">
            <w:pPr>
              <w:rPr>
                <w:rFonts w:cs="Arial"/>
                <w:sz w:val="20"/>
                <w:szCs w:val="20"/>
              </w:rPr>
            </w:pPr>
            <w:r w:rsidRPr="00246D59">
              <w:rPr>
                <w:rFonts w:cs="Arial"/>
                <w:sz w:val="20"/>
                <w:szCs w:val="20"/>
              </w:rPr>
              <w:t>With a parenting intervention (n=4), without a parenting intervention (n=2), Family Treatment Drug Court (FTDC) (n=</w:t>
            </w:r>
            <w:r>
              <w:rPr>
                <w:rFonts w:cs="Arial"/>
                <w:sz w:val="20"/>
                <w:szCs w:val="20"/>
              </w:rPr>
              <w:t>3</w:t>
            </w:r>
            <w:r w:rsidRPr="00246D59">
              <w:rPr>
                <w:rFonts w:cs="Arial"/>
                <w:sz w:val="20"/>
                <w:szCs w:val="20"/>
              </w:rPr>
              <w:t xml:space="preserve">) </w:t>
            </w:r>
          </w:p>
        </w:tc>
        <w:tc>
          <w:tcPr>
            <w:tcW w:w="2601" w:type="dxa"/>
            <w:vMerge w:val="restart"/>
          </w:tcPr>
          <w:p w14:paraId="05000690" w14:textId="4669D818" w:rsidR="002E7D2A" w:rsidRPr="00246D59" w:rsidRDefault="002E7D2A">
            <w:pPr>
              <w:rPr>
                <w:rFonts w:cs="Arial"/>
                <w:sz w:val="20"/>
                <w:szCs w:val="20"/>
              </w:rPr>
            </w:pPr>
            <w:r w:rsidRPr="00246D59">
              <w:rPr>
                <w:rFonts w:cs="Arial"/>
                <w:sz w:val="20"/>
                <w:szCs w:val="20"/>
              </w:rPr>
              <w:t>Parenting interventions</w:t>
            </w:r>
            <w:r w:rsidR="00B85D0F">
              <w:rPr>
                <w:rFonts w:cs="Arial"/>
                <w:sz w:val="20"/>
                <w:szCs w:val="20"/>
              </w:rPr>
              <w:t xml:space="preserve"> for those involved </w:t>
            </w:r>
            <w:r w:rsidR="00E52857">
              <w:rPr>
                <w:rFonts w:cs="Arial"/>
                <w:sz w:val="20"/>
                <w:szCs w:val="20"/>
              </w:rPr>
              <w:t>with statutory child welfare</w:t>
            </w:r>
            <w:r w:rsidR="00B85D0F">
              <w:rPr>
                <w:rFonts w:cs="Arial"/>
                <w:sz w:val="20"/>
                <w:szCs w:val="20"/>
              </w:rPr>
              <w:t xml:space="preserve"> </w:t>
            </w:r>
            <w:r w:rsidRPr="00246D59">
              <w:rPr>
                <w:rFonts w:cs="Arial"/>
                <w:sz w:val="20"/>
                <w:szCs w:val="20"/>
              </w:rPr>
              <w:t>may be effective</w:t>
            </w:r>
            <w:r w:rsidR="008664E2">
              <w:rPr>
                <w:rFonts w:cs="Arial"/>
                <w:sz w:val="20"/>
                <w:szCs w:val="20"/>
              </w:rPr>
              <w:t xml:space="preserve"> and cost-effective</w:t>
            </w:r>
            <w:r w:rsidRPr="00246D59">
              <w:rPr>
                <w:rFonts w:cs="Arial"/>
                <w:sz w:val="20"/>
                <w:szCs w:val="20"/>
              </w:rPr>
              <w:t xml:space="preserve">. </w:t>
            </w:r>
          </w:p>
          <w:p w14:paraId="6D087244" w14:textId="77777777" w:rsidR="002E7D2A" w:rsidRPr="00246D59" w:rsidRDefault="002E7D2A">
            <w:pPr>
              <w:rPr>
                <w:rFonts w:cs="Arial"/>
                <w:sz w:val="20"/>
                <w:szCs w:val="20"/>
              </w:rPr>
            </w:pPr>
          </w:p>
          <w:p w14:paraId="78147E21" w14:textId="77777777" w:rsidR="002E7D2A" w:rsidRPr="00246D59" w:rsidRDefault="002E7D2A">
            <w:pPr>
              <w:rPr>
                <w:rFonts w:cs="Arial"/>
                <w:sz w:val="20"/>
                <w:szCs w:val="20"/>
              </w:rPr>
            </w:pPr>
            <w:r w:rsidRPr="00246D59">
              <w:rPr>
                <w:rFonts w:cs="Arial"/>
                <w:sz w:val="20"/>
                <w:szCs w:val="20"/>
              </w:rPr>
              <w:t xml:space="preserve">FTDCs have </w:t>
            </w:r>
            <w:r>
              <w:rPr>
                <w:rFonts w:cs="Arial"/>
                <w:sz w:val="20"/>
                <w:szCs w:val="20"/>
              </w:rPr>
              <w:t>moderate</w:t>
            </w:r>
            <w:r w:rsidRPr="00246D59">
              <w:rPr>
                <w:rFonts w:cs="Arial"/>
                <w:sz w:val="20"/>
                <w:szCs w:val="20"/>
              </w:rPr>
              <w:t xml:space="preserve"> </w:t>
            </w:r>
            <w:r>
              <w:rPr>
                <w:rFonts w:cs="Arial"/>
                <w:sz w:val="20"/>
                <w:szCs w:val="20"/>
              </w:rPr>
              <w:t xml:space="preserve">quality </w:t>
            </w:r>
            <w:r w:rsidRPr="00246D59">
              <w:rPr>
                <w:rFonts w:cs="Arial"/>
                <w:sz w:val="20"/>
                <w:szCs w:val="20"/>
              </w:rPr>
              <w:t xml:space="preserve">evidence supporting entry into treatment, but not for retention, completion, abstinence or permanency. </w:t>
            </w:r>
          </w:p>
        </w:tc>
        <w:tc>
          <w:tcPr>
            <w:tcW w:w="2602" w:type="dxa"/>
            <w:vMerge w:val="restart"/>
          </w:tcPr>
          <w:p w14:paraId="4537B9B0" w14:textId="77777777" w:rsidR="002E7D2A" w:rsidRPr="00246D59" w:rsidRDefault="002E7D2A">
            <w:pPr>
              <w:rPr>
                <w:rFonts w:cs="Arial"/>
                <w:sz w:val="20"/>
                <w:szCs w:val="20"/>
              </w:rPr>
            </w:pPr>
            <w:r w:rsidRPr="00246D59">
              <w:rPr>
                <w:rFonts w:cs="Arial"/>
                <w:sz w:val="20"/>
                <w:szCs w:val="20"/>
              </w:rPr>
              <w:t>One Welsh and One English based study. 5 economic analyses of low-high quality.</w:t>
            </w:r>
          </w:p>
        </w:tc>
      </w:tr>
      <w:tr w:rsidR="002E7D2A" w:rsidRPr="00246D59" w14:paraId="0327AB0C" w14:textId="77777777">
        <w:trPr>
          <w:trHeight w:val="416"/>
        </w:trPr>
        <w:tc>
          <w:tcPr>
            <w:tcW w:w="0" w:type="auto"/>
          </w:tcPr>
          <w:p w14:paraId="50A27E08" w14:textId="77777777" w:rsidR="002E7D2A" w:rsidRPr="00246D59" w:rsidRDefault="002E7D2A">
            <w:pPr>
              <w:rPr>
                <w:rFonts w:cs="Arial"/>
                <w:sz w:val="20"/>
                <w:szCs w:val="20"/>
              </w:rPr>
            </w:pPr>
            <w:r w:rsidRPr="00246D59">
              <w:rPr>
                <w:rFonts w:cs="Arial"/>
                <w:sz w:val="20"/>
                <w:szCs w:val="20"/>
              </w:rPr>
              <w:t>3 (Moderate)</w:t>
            </w:r>
          </w:p>
        </w:tc>
        <w:tc>
          <w:tcPr>
            <w:tcW w:w="2601" w:type="dxa"/>
          </w:tcPr>
          <w:p w14:paraId="04C9CA82" w14:textId="77777777" w:rsidR="002E7D2A" w:rsidRPr="00246D59" w:rsidRDefault="002E7D2A">
            <w:pPr>
              <w:spacing w:before="240"/>
              <w:rPr>
                <w:rFonts w:cs="Arial"/>
                <w:sz w:val="20"/>
                <w:szCs w:val="20"/>
              </w:rPr>
            </w:pPr>
            <w:r w:rsidRPr="00246D59">
              <w:rPr>
                <w:rFonts w:cs="Arial"/>
                <w:sz w:val="20"/>
                <w:szCs w:val="20"/>
              </w:rPr>
              <w:t>With a parenting intervention (n=1), without a parenting intervention (n=4)</w:t>
            </w:r>
          </w:p>
          <w:p w14:paraId="4C6A8949" w14:textId="77777777" w:rsidR="002E7D2A" w:rsidRPr="00246D59" w:rsidRDefault="002E7D2A">
            <w:pPr>
              <w:spacing w:before="240"/>
              <w:rPr>
                <w:rFonts w:cs="Arial"/>
                <w:sz w:val="20"/>
                <w:szCs w:val="20"/>
              </w:rPr>
            </w:pPr>
            <w:r w:rsidRPr="00246D59">
              <w:rPr>
                <w:rFonts w:cs="Arial"/>
                <w:sz w:val="20"/>
                <w:szCs w:val="20"/>
              </w:rPr>
              <w:t>FTDC (n=</w:t>
            </w:r>
            <w:r>
              <w:rPr>
                <w:rFonts w:cs="Arial"/>
                <w:sz w:val="20"/>
                <w:szCs w:val="20"/>
              </w:rPr>
              <w:t>8</w:t>
            </w:r>
            <w:r w:rsidRPr="00246D59">
              <w:rPr>
                <w:rFonts w:cs="Arial"/>
                <w:sz w:val="20"/>
                <w:szCs w:val="20"/>
              </w:rPr>
              <w:t>)</w:t>
            </w:r>
          </w:p>
        </w:tc>
        <w:tc>
          <w:tcPr>
            <w:tcW w:w="2601" w:type="dxa"/>
            <w:vMerge/>
          </w:tcPr>
          <w:p w14:paraId="2E2187DE" w14:textId="77777777" w:rsidR="002E7D2A" w:rsidRPr="00246D59" w:rsidRDefault="002E7D2A">
            <w:pPr>
              <w:rPr>
                <w:rFonts w:cs="Arial"/>
                <w:sz w:val="20"/>
                <w:szCs w:val="20"/>
              </w:rPr>
            </w:pPr>
          </w:p>
        </w:tc>
        <w:tc>
          <w:tcPr>
            <w:tcW w:w="2602" w:type="dxa"/>
            <w:vMerge/>
          </w:tcPr>
          <w:p w14:paraId="57661B06" w14:textId="77777777" w:rsidR="002E7D2A" w:rsidRPr="00246D59" w:rsidRDefault="002E7D2A">
            <w:pPr>
              <w:rPr>
                <w:rFonts w:cs="Arial"/>
                <w:b/>
                <w:sz w:val="20"/>
                <w:szCs w:val="20"/>
              </w:rPr>
            </w:pPr>
          </w:p>
        </w:tc>
      </w:tr>
      <w:tr w:rsidR="002E7D2A" w:rsidRPr="00925EA9" w14:paraId="5442A3F2" w14:textId="77777777">
        <w:trPr>
          <w:trHeight w:val="263"/>
        </w:trPr>
        <w:tc>
          <w:tcPr>
            <w:tcW w:w="0" w:type="auto"/>
          </w:tcPr>
          <w:p w14:paraId="23D9941F" w14:textId="77777777" w:rsidR="002E7D2A" w:rsidRPr="00246D59" w:rsidRDefault="002E7D2A">
            <w:pPr>
              <w:rPr>
                <w:rFonts w:cs="Arial"/>
                <w:sz w:val="20"/>
                <w:szCs w:val="20"/>
              </w:rPr>
            </w:pPr>
            <w:r w:rsidRPr="00246D59">
              <w:rPr>
                <w:rFonts w:cs="Arial"/>
                <w:sz w:val="20"/>
                <w:szCs w:val="20"/>
              </w:rPr>
              <w:t>4 (High)</w:t>
            </w:r>
          </w:p>
        </w:tc>
        <w:tc>
          <w:tcPr>
            <w:tcW w:w="2601" w:type="dxa"/>
          </w:tcPr>
          <w:p w14:paraId="6D143BE8" w14:textId="77777777" w:rsidR="002E7D2A" w:rsidRPr="00A54281" w:rsidRDefault="002E7D2A">
            <w:pPr>
              <w:rPr>
                <w:rFonts w:cs="Arial"/>
                <w:sz w:val="20"/>
                <w:szCs w:val="20"/>
              </w:rPr>
            </w:pPr>
            <w:r w:rsidRPr="00246D59">
              <w:rPr>
                <w:rFonts w:cs="Arial"/>
                <w:sz w:val="20"/>
                <w:szCs w:val="20"/>
              </w:rPr>
              <w:t>Without a parenting intervention (n=3).</w:t>
            </w:r>
          </w:p>
        </w:tc>
        <w:tc>
          <w:tcPr>
            <w:tcW w:w="2601" w:type="dxa"/>
            <w:vMerge/>
          </w:tcPr>
          <w:p w14:paraId="3C4B3189" w14:textId="77777777" w:rsidR="002E7D2A" w:rsidRPr="00925EA9" w:rsidRDefault="002E7D2A">
            <w:pPr>
              <w:rPr>
                <w:rFonts w:cs="Arial"/>
                <w:sz w:val="20"/>
                <w:szCs w:val="20"/>
              </w:rPr>
            </w:pPr>
          </w:p>
        </w:tc>
        <w:tc>
          <w:tcPr>
            <w:tcW w:w="2602" w:type="dxa"/>
            <w:vMerge/>
          </w:tcPr>
          <w:p w14:paraId="2BB83128" w14:textId="77777777" w:rsidR="002E7D2A" w:rsidRPr="00925EA9" w:rsidRDefault="002E7D2A">
            <w:pPr>
              <w:rPr>
                <w:rFonts w:cs="Arial"/>
                <w:b/>
                <w:sz w:val="20"/>
                <w:szCs w:val="20"/>
              </w:rPr>
            </w:pPr>
          </w:p>
        </w:tc>
      </w:tr>
      <w:bookmarkEnd w:id="205"/>
    </w:tbl>
    <w:p w14:paraId="21AC8E0E" w14:textId="77777777" w:rsidR="0025732F" w:rsidRDefault="0025732F" w:rsidP="0025732F">
      <w:pPr>
        <w:pStyle w:val="NoSpacing"/>
        <w:sectPr w:rsidR="0025732F" w:rsidSect="0025732F">
          <w:footerReference w:type="default" r:id="rId313"/>
          <w:pgSz w:w="11906" w:h="16838"/>
          <w:pgMar w:top="1440" w:right="1440" w:bottom="1440" w:left="1440" w:header="709" w:footer="709" w:gutter="0"/>
          <w:cols w:space="708"/>
          <w:docGrid w:linePitch="360"/>
        </w:sectPr>
      </w:pPr>
    </w:p>
    <w:p w14:paraId="54E940E1" w14:textId="2DFC620D" w:rsidR="004F42F3" w:rsidRPr="002E7D2A" w:rsidRDefault="00D21896" w:rsidP="004F42F3">
      <w:pPr>
        <w:pStyle w:val="Caption"/>
        <w:ind w:left="1440" w:hanging="1440"/>
        <w:rPr>
          <w:b w:val="0"/>
          <w:bCs w:val="0"/>
          <w:i/>
          <w:iCs/>
          <w:color w:val="auto"/>
          <w:sz w:val="24"/>
          <w:szCs w:val="24"/>
        </w:rPr>
      </w:pPr>
      <w:r w:rsidRPr="00D21896">
        <w:rPr>
          <w:b w:val="0"/>
          <w:bCs w:val="0"/>
          <w:i/>
          <w:iCs/>
          <w:color w:val="auto"/>
          <w:sz w:val="24"/>
          <w:szCs w:val="24"/>
        </w:rPr>
        <w:lastRenderedPageBreak/>
        <w:t xml:space="preserve">Table </w:t>
      </w:r>
      <w:r w:rsidR="00AF4D08">
        <w:rPr>
          <w:b w:val="0"/>
          <w:bCs w:val="0"/>
          <w:i/>
          <w:iCs/>
          <w:color w:val="auto"/>
          <w:sz w:val="24"/>
          <w:szCs w:val="24"/>
        </w:rPr>
        <w:t>A</w:t>
      </w:r>
      <w:r w:rsidR="00367870">
        <w:rPr>
          <w:b w:val="0"/>
          <w:bCs w:val="0"/>
          <w:i/>
          <w:iCs/>
          <w:color w:val="auto"/>
          <w:sz w:val="24"/>
          <w:szCs w:val="24"/>
        </w:rPr>
        <w:noBreakHyphen/>
      </w:r>
      <w:r w:rsidR="00881915">
        <w:rPr>
          <w:b w:val="0"/>
          <w:bCs w:val="0"/>
          <w:i/>
          <w:iCs/>
          <w:color w:val="auto"/>
          <w:sz w:val="24"/>
          <w:szCs w:val="24"/>
        </w:rPr>
        <w:t>7</w:t>
      </w:r>
      <w:r w:rsidR="004F42F3">
        <w:rPr>
          <w:b w:val="0"/>
          <w:bCs w:val="0"/>
          <w:i/>
          <w:iCs/>
          <w:color w:val="auto"/>
          <w:sz w:val="24"/>
          <w:szCs w:val="24"/>
        </w:rPr>
        <w:tab/>
      </w:r>
      <w:r w:rsidR="004F42F3" w:rsidRPr="00591A2A">
        <w:rPr>
          <w:b w:val="0"/>
          <w:bCs w:val="0"/>
          <w:i/>
          <w:iCs/>
          <w:color w:val="auto"/>
          <w:sz w:val="24"/>
          <w:szCs w:val="24"/>
        </w:rPr>
        <w:t xml:space="preserve">Data extracts of studies on </w:t>
      </w:r>
      <w:r w:rsidR="004F42F3" w:rsidRPr="002E7D2A">
        <w:rPr>
          <w:b w:val="0"/>
          <w:bCs w:val="0"/>
          <w:i/>
          <w:iCs/>
          <w:color w:val="auto"/>
          <w:sz w:val="24"/>
          <w:szCs w:val="24"/>
        </w:rPr>
        <w:t xml:space="preserve">specialist treatment </w:t>
      </w:r>
      <w:r w:rsidR="00545D7B">
        <w:rPr>
          <w:b w:val="0"/>
          <w:bCs w:val="0"/>
          <w:i/>
          <w:iCs/>
          <w:color w:val="auto"/>
          <w:sz w:val="24"/>
          <w:szCs w:val="24"/>
        </w:rPr>
        <w:t>plus</w:t>
      </w:r>
      <w:r w:rsidR="004F42F3">
        <w:rPr>
          <w:b w:val="0"/>
          <w:bCs w:val="0"/>
          <w:i/>
          <w:iCs/>
          <w:color w:val="auto"/>
          <w:sz w:val="24"/>
          <w:szCs w:val="24"/>
        </w:rPr>
        <w:t xml:space="preserve"> statutory child welfare</w:t>
      </w:r>
      <w:r w:rsidR="004F42F3" w:rsidRPr="002E7D2A">
        <w:rPr>
          <w:b w:val="0"/>
          <w:bCs w:val="0"/>
          <w:i/>
          <w:iCs/>
          <w:color w:val="auto"/>
          <w:sz w:val="24"/>
          <w:szCs w:val="24"/>
        </w:rPr>
        <w:t xml:space="preserve"> interventions </w:t>
      </w:r>
      <w:r w:rsidR="004F42F3" w:rsidRPr="00591A2A">
        <w:rPr>
          <w:b w:val="0"/>
          <w:bCs w:val="0"/>
          <w:i/>
          <w:iCs/>
          <w:color w:val="auto"/>
          <w:sz w:val="24"/>
          <w:szCs w:val="24"/>
        </w:rPr>
        <w:t>(n=</w:t>
      </w:r>
      <w:r w:rsidR="004F42F3">
        <w:rPr>
          <w:b w:val="0"/>
          <w:bCs w:val="0"/>
          <w:i/>
          <w:iCs/>
          <w:color w:val="auto"/>
          <w:sz w:val="24"/>
          <w:szCs w:val="24"/>
        </w:rPr>
        <w:t>23</w:t>
      </w:r>
      <w:r w:rsidR="004F42F3" w:rsidRPr="00591A2A">
        <w:rPr>
          <w:b w:val="0"/>
          <w:bCs w:val="0"/>
          <w:i/>
          <w:iCs/>
          <w:color w:val="auto"/>
          <w:sz w:val="24"/>
          <w:szCs w:val="24"/>
        </w:rPr>
        <w:t>)</w:t>
      </w:r>
    </w:p>
    <w:p w14:paraId="6DB3AB16" w14:textId="77777777" w:rsidR="0025732F" w:rsidRPr="007F5F87" w:rsidRDefault="0025732F" w:rsidP="0025732F">
      <w:pPr>
        <w:pStyle w:val="NoSpacing"/>
        <w:spacing w:line="240" w:lineRule="auto"/>
        <w:rPr>
          <w:b/>
          <w:bCs/>
        </w:rPr>
      </w:pPr>
    </w:p>
    <w:tbl>
      <w:tblPr>
        <w:tblStyle w:val="TableGrid"/>
        <w:tblW w:w="0" w:type="auto"/>
        <w:tblLook w:val="04A0" w:firstRow="1" w:lastRow="0" w:firstColumn="1" w:lastColumn="0" w:noHBand="0" w:noVBand="1"/>
      </w:tblPr>
      <w:tblGrid>
        <w:gridCol w:w="3114"/>
        <w:gridCol w:w="10773"/>
      </w:tblGrid>
      <w:tr w:rsidR="0025732F" w:rsidRPr="00925EA9" w14:paraId="740015F0" w14:textId="77777777">
        <w:tc>
          <w:tcPr>
            <w:tcW w:w="3114" w:type="dxa"/>
            <w:shd w:val="clear" w:color="auto" w:fill="D9E2F3" w:themeFill="accent1" w:themeFillTint="33"/>
          </w:tcPr>
          <w:p w14:paraId="20B76D4B"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37E8AB4A" w14:textId="7357CD1C"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AuthorYear="1"&gt;&lt;Author&gt;Akin&lt;/Author&gt;&lt;Year&gt;2017&lt;/Year&gt;&lt;RecNum&gt;164&lt;/RecNum&gt;&lt;DisplayText&gt;Akin et al. (2017)&lt;/DisplayText&gt;&lt;record&gt;&lt;rec-number&gt;164&lt;/rec-number&gt;&lt;foreign-keys&gt;&lt;key app="EN" db-id="ffzvr5fstavwxoe9v04xf0wmp5t50as52da0" timestamp="1731671646" guid="aeee141d-2e61-44b0-8841-41880a48d958"&gt;164&lt;/key&gt;&lt;/foreign-keys&gt;&lt;ref-type name="Journal Article"&gt;17&lt;/ref-type&gt;&lt;contributors&gt;&lt;authors&gt;&lt;author&gt;Akin, Becci A.&lt;/author&gt;&lt;author&gt;Brook, Jody&lt;/author&gt;&lt;author&gt;Lloyd, Margaret H.&lt;/author&gt;&lt;author&gt;McDonald, Thomas P.&lt;/author&gt;&lt;/authors&gt;&lt;/contributors&gt;&lt;titles&gt;&lt;title&gt;Effect of a Parenting Intervention on Foster Care Reentry After Reunification Among Substance-Affected Families: A Quasi-Experimental Study&lt;/title&gt;&lt;secondary-title&gt;Child Maltreatment&lt;/secondary-title&gt;&lt;/titles&gt;&lt;periodical&gt;&lt;full-title&gt;Child Maltreatment&lt;/full-title&gt;&lt;/periodical&gt;&lt;pages&gt;194-204&lt;/pages&gt;&lt;volume&gt;22&lt;/volume&gt;&lt;number&gt;3&lt;/number&gt;&lt;keywords&gt;&lt;keyword&gt;Evidence-Based Treatment&lt;/keyword&gt;&lt;keyword&gt;Intervention Research&lt;/keyword&gt;&lt;keyword&gt;Foster Care&lt;/keyword&gt;&lt;keyword&gt;Recidivism&lt;/keyword&gt;&lt;keyword&gt;Substance Abuse&lt;/keyword&gt;&lt;/keywords&gt;&lt;dates&gt;&lt;year&gt;2017&lt;/year&gt;&lt;/dates&gt;&lt;isbn&gt;1077-5595&lt;/isbn&gt;&lt;urls&gt;&lt;/urls&gt;&lt;electronic-resource-num&gt;10.1177/1077559517702743&lt;/electronic-resource-num&gt;&lt;/record&gt;&lt;/Cite&gt;&lt;/EndNote&gt;</w:instrText>
            </w:r>
            <w:r w:rsidRPr="00925EA9">
              <w:rPr>
                <w:rFonts w:cs="Arial"/>
                <w:sz w:val="20"/>
                <w:szCs w:val="20"/>
              </w:rPr>
              <w:fldChar w:fldCharType="separate"/>
            </w:r>
            <w:r w:rsidR="00A77498">
              <w:rPr>
                <w:rFonts w:cs="Arial"/>
                <w:noProof/>
                <w:sz w:val="20"/>
                <w:szCs w:val="20"/>
              </w:rPr>
              <w:t>Akin et al. (2017)</w:t>
            </w:r>
            <w:r w:rsidRPr="00925EA9">
              <w:rPr>
                <w:rFonts w:cs="Arial"/>
                <w:sz w:val="20"/>
                <w:szCs w:val="20"/>
              </w:rPr>
              <w:fldChar w:fldCharType="end"/>
            </w:r>
          </w:p>
        </w:tc>
      </w:tr>
      <w:tr w:rsidR="0025732F" w:rsidRPr="00925EA9" w14:paraId="59B1F2EA" w14:textId="77777777">
        <w:tc>
          <w:tcPr>
            <w:tcW w:w="3114" w:type="dxa"/>
          </w:tcPr>
          <w:p w14:paraId="42569325" w14:textId="77777777" w:rsidR="0025732F" w:rsidRPr="00925EA9" w:rsidRDefault="0025732F">
            <w:pPr>
              <w:rPr>
                <w:rFonts w:cs="Arial"/>
                <w:sz w:val="20"/>
                <w:szCs w:val="20"/>
              </w:rPr>
            </w:pPr>
            <w:r w:rsidRPr="00925EA9">
              <w:rPr>
                <w:rFonts w:cs="Arial"/>
                <w:sz w:val="20"/>
                <w:szCs w:val="20"/>
              </w:rPr>
              <w:t>Aims</w:t>
            </w:r>
          </w:p>
        </w:tc>
        <w:tc>
          <w:tcPr>
            <w:tcW w:w="10773" w:type="dxa"/>
          </w:tcPr>
          <w:p w14:paraId="0E57CF22" w14:textId="77777777" w:rsidR="0025732F" w:rsidRPr="00925EA9" w:rsidRDefault="0025732F">
            <w:pPr>
              <w:rPr>
                <w:rFonts w:cs="Arial"/>
                <w:sz w:val="20"/>
                <w:szCs w:val="20"/>
              </w:rPr>
            </w:pPr>
            <w:r w:rsidRPr="00925EA9">
              <w:rPr>
                <w:rFonts w:cs="Arial"/>
                <w:sz w:val="20"/>
                <w:szCs w:val="20"/>
              </w:rPr>
              <w:t xml:space="preserve">To analyse the effectiveness of the Strengthening Families Programme (SFP) </w:t>
            </w:r>
            <w:r>
              <w:rPr>
                <w:rFonts w:cs="Arial"/>
                <w:sz w:val="20"/>
                <w:szCs w:val="20"/>
              </w:rPr>
              <w:t xml:space="preserve">– a parenting intervention for parents with substance use disorder whose children are in foster care - </w:t>
            </w:r>
            <w:r w:rsidRPr="00925EA9">
              <w:rPr>
                <w:rFonts w:cs="Arial"/>
                <w:sz w:val="20"/>
                <w:szCs w:val="20"/>
              </w:rPr>
              <w:t>on re-entry into foster care.</w:t>
            </w:r>
          </w:p>
        </w:tc>
      </w:tr>
      <w:tr w:rsidR="0025732F" w:rsidRPr="00925EA9" w14:paraId="12130581" w14:textId="77777777">
        <w:tc>
          <w:tcPr>
            <w:tcW w:w="3114" w:type="dxa"/>
          </w:tcPr>
          <w:p w14:paraId="1AC0D141" w14:textId="77777777" w:rsidR="0025732F" w:rsidRPr="00925EA9" w:rsidRDefault="0025732F">
            <w:pPr>
              <w:rPr>
                <w:rFonts w:cs="Arial"/>
                <w:sz w:val="20"/>
                <w:szCs w:val="20"/>
              </w:rPr>
            </w:pPr>
            <w:r w:rsidRPr="00925EA9">
              <w:rPr>
                <w:rFonts w:cs="Arial"/>
                <w:sz w:val="20"/>
                <w:szCs w:val="20"/>
              </w:rPr>
              <w:t>Design</w:t>
            </w:r>
          </w:p>
        </w:tc>
        <w:tc>
          <w:tcPr>
            <w:tcW w:w="10773" w:type="dxa"/>
          </w:tcPr>
          <w:p w14:paraId="722860B5" w14:textId="77777777" w:rsidR="0025732F" w:rsidRPr="00925EA9" w:rsidRDefault="0025732F">
            <w:pPr>
              <w:autoSpaceDE w:val="0"/>
              <w:autoSpaceDN w:val="0"/>
              <w:adjustRightInd w:val="0"/>
              <w:rPr>
                <w:rFonts w:cs="Arial"/>
                <w:sz w:val="20"/>
                <w:szCs w:val="20"/>
              </w:rPr>
            </w:pPr>
            <w:r w:rsidRPr="00925EA9">
              <w:rPr>
                <w:rFonts w:cs="Arial"/>
                <w:sz w:val="20"/>
                <w:szCs w:val="20"/>
              </w:rPr>
              <w:t>Quasi-experimental, longitudinal study with five years follow-up post reunification. Propensity score matching was used to create a well-matched counterfactual, while survival analyses were used to analyse intervention effectiveness.</w:t>
            </w:r>
          </w:p>
        </w:tc>
      </w:tr>
      <w:tr w:rsidR="0025732F" w:rsidRPr="00925EA9" w14:paraId="5DC83C47" w14:textId="77777777">
        <w:tc>
          <w:tcPr>
            <w:tcW w:w="3114" w:type="dxa"/>
          </w:tcPr>
          <w:p w14:paraId="7EC6E22D"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2EDFE105" w14:textId="77777777" w:rsidR="0025732F" w:rsidRPr="00925EA9" w:rsidRDefault="0025732F">
            <w:pPr>
              <w:rPr>
                <w:rFonts w:cs="Arial"/>
                <w:sz w:val="20"/>
                <w:szCs w:val="20"/>
              </w:rPr>
            </w:pPr>
            <w:r w:rsidRPr="00925EA9">
              <w:rPr>
                <w:rFonts w:cs="Arial"/>
                <w:sz w:val="20"/>
                <w:szCs w:val="20"/>
              </w:rPr>
              <w:t>Intervention (n=219) and comparison (n=274) children previously reunified with their parents.</w:t>
            </w:r>
          </w:p>
        </w:tc>
      </w:tr>
      <w:tr w:rsidR="0025732F" w:rsidRPr="00925EA9" w14:paraId="7253E581" w14:textId="77777777">
        <w:tc>
          <w:tcPr>
            <w:tcW w:w="3114" w:type="dxa"/>
          </w:tcPr>
          <w:p w14:paraId="65BD6A39"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2EA10545" w14:textId="77777777" w:rsidR="0025732F" w:rsidRPr="00925EA9" w:rsidRDefault="0025732F">
            <w:pPr>
              <w:rPr>
                <w:rFonts w:cs="Arial"/>
                <w:sz w:val="20"/>
                <w:szCs w:val="20"/>
              </w:rPr>
            </w:pPr>
            <w:r w:rsidRPr="00925EA9">
              <w:rPr>
                <w:rFonts w:cs="Arial"/>
                <w:sz w:val="20"/>
                <w:szCs w:val="20"/>
              </w:rPr>
              <w:t xml:space="preserve">SFP. Children in the comparison group received usual care management provided by social care services. </w:t>
            </w:r>
          </w:p>
        </w:tc>
      </w:tr>
      <w:tr w:rsidR="0025732F" w:rsidRPr="00925EA9" w14:paraId="438EA827" w14:textId="77777777">
        <w:tc>
          <w:tcPr>
            <w:tcW w:w="3114" w:type="dxa"/>
          </w:tcPr>
          <w:p w14:paraId="179883F8" w14:textId="77777777" w:rsidR="0025732F" w:rsidRPr="00925EA9" w:rsidRDefault="0025732F">
            <w:pPr>
              <w:rPr>
                <w:rFonts w:cs="Arial"/>
                <w:sz w:val="20"/>
                <w:szCs w:val="20"/>
              </w:rPr>
            </w:pPr>
            <w:r w:rsidRPr="00925EA9">
              <w:rPr>
                <w:rFonts w:cs="Arial"/>
                <w:sz w:val="20"/>
                <w:szCs w:val="20"/>
              </w:rPr>
              <w:t>Country</w:t>
            </w:r>
          </w:p>
        </w:tc>
        <w:tc>
          <w:tcPr>
            <w:tcW w:w="10773" w:type="dxa"/>
          </w:tcPr>
          <w:p w14:paraId="510B8F8B" w14:textId="77777777" w:rsidR="0025732F" w:rsidRPr="00925EA9" w:rsidRDefault="0025732F">
            <w:pPr>
              <w:rPr>
                <w:rFonts w:cs="Arial"/>
                <w:sz w:val="20"/>
                <w:szCs w:val="20"/>
              </w:rPr>
            </w:pPr>
            <w:r w:rsidRPr="00925EA9">
              <w:rPr>
                <w:rFonts w:cs="Arial"/>
                <w:sz w:val="20"/>
                <w:szCs w:val="20"/>
              </w:rPr>
              <w:t>USA (10 sites in a mid-Western state).</w:t>
            </w:r>
          </w:p>
        </w:tc>
      </w:tr>
      <w:tr w:rsidR="0025732F" w:rsidRPr="00925EA9" w14:paraId="440414BB" w14:textId="77777777">
        <w:tc>
          <w:tcPr>
            <w:tcW w:w="3114" w:type="dxa"/>
          </w:tcPr>
          <w:p w14:paraId="52D5C625"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6E1F5B72" w14:textId="77777777" w:rsidR="0025732F" w:rsidRPr="00925EA9" w:rsidRDefault="0025732F">
            <w:pPr>
              <w:autoSpaceDE w:val="0"/>
              <w:autoSpaceDN w:val="0"/>
              <w:adjustRightInd w:val="0"/>
              <w:rPr>
                <w:rFonts w:cs="Arial"/>
                <w:sz w:val="20"/>
                <w:szCs w:val="20"/>
              </w:rPr>
            </w:pPr>
            <w:r w:rsidRPr="00925EA9">
              <w:rPr>
                <w:rFonts w:cs="Arial"/>
                <w:sz w:val="20"/>
                <w:szCs w:val="20"/>
              </w:rPr>
              <w:t>There was no statistical difference in reunification between the intervention (23.7%) and comparison (18.6%) group. The multivariate Cox regression model, showed that, while controlling for a range of characteristics, significant predictors of reentry were removal due to child behaviour (HR = 2.09, p = .019), poverty (HR = 2.49, p &lt; .001), and reunification between 15 and 18 months (compared with reunification in &lt;15 months; HR =1.95, p = .022).</w:t>
            </w:r>
          </w:p>
        </w:tc>
      </w:tr>
      <w:tr w:rsidR="0025732F" w:rsidRPr="00925EA9" w14:paraId="302B61BE" w14:textId="77777777">
        <w:tc>
          <w:tcPr>
            <w:tcW w:w="3114" w:type="dxa"/>
          </w:tcPr>
          <w:p w14:paraId="6B9C2E8F"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61B321FA" w14:textId="77777777" w:rsidR="0025732F" w:rsidRPr="00925EA9" w:rsidRDefault="0025732F">
            <w:pPr>
              <w:rPr>
                <w:rFonts w:cs="Arial"/>
                <w:sz w:val="20"/>
                <w:szCs w:val="20"/>
              </w:rPr>
            </w:pPr>
            <w:r w:rsidRPr="00925EA9">
              <w:rPr>
                <w:rFonts w:cs="Arial"/>
                <w:sz w:val="20"/>
                <w:szCs w:val="20"/>
              </w:rPr>
              <w:t>N/A.</w:t>
            </w:r>
          </w:p>
        </w:tc>
      </w:tr>
      <w:tr w:rsidR="0025732F" w:rsidRPr="00925EA9" w14:paraId="7DE0BE3D" w14:textId="77777777">
        <w:tc>
          <w:tcPr>
            <w:tcW w:w="3114" w:type="dxa"/>
          </w:tcPr>
          <w:p w14:paraId="0B517B69"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4FF82643" w14:textId="77777777" w:rsidR="0025732F" w:rsidRPr="00925EA9" w:rsidRDefault="0025732F">
            <w:pPr>
              <w:rPr>
                <w:rFonts w:cs="Arial"/>
                <w:sz w:val="20"/>
                <w:szCs w:val="20"/>
              </w:rPr>
            </w:pPr>
            <w:r w:rsidRPr="00925EA9">
              <w:rPr>
                <w:rFonts w:cs="Arial"/>
                <w:sz w:val="20"/>
                <w:szCs w:val="20"/>
              </w:rPr>
              <w:t>High.</w:t>
            </w:r>
          </w:p>
        </w:tc>
      </w:tr>
      <w:tr w:rsidR="0025732F" w:rsidRPr="00925EA9" w14:paraId="6DAFF703" w14:textId="77777777">
        <w:tc>
          <w:tcPr>
            <w:tcW w:w="3114" w:type="dxa"/>
            <w:shd w:val="clear" w:color="auto" w:fill="D9E2F3" w:themeFill="accent1" w:themeFillTint="33"/>
          </w:tcPr>
          <w:p w14:paraId="31EF2B90" w14:textId="77777777" w:rsidR="0025732F" w:rsidRPr="00925EA9" w:rsidRDefault="0025732F">
            <w:pPr>
              <w:pStyle w:val="NoSpacing"/>
              <w:spacing w:line="240" w:lineRule="auto"/>
              <w:rPr>
                <w:sz w:val="20"/>
                <w:szCs w:val="20"/>
              </w:rPr>
            </w:pPr>
            <w:r w:rsidRPr="00925EA9">
              <w:rPr>
                <w:sz w:val="20"/>
                <w:szCs w:val="20"/>
              </w:rPr>
              <w:t>Reference</w:t>
            </w:r>
          </w:p>
        </w:tc>
        <w:tc>
          <w:tcPr>
            <w:tcW w:w="10773" w:type="dxa"/>
            <w:shd w:val="clear" w:color="auto" w:fill="D9E2F3" w:themeFill="accent1" w:themeFillTint="33"/>
          </w:tcPr>
          <w:p w14:paraId="3F670177" w14:textId="75C8C22E" w:rsidR="0025732F" w:rsidRPr="00925EA9" w:rsidRDefault="0025732F">
            <w:pPr>
              <w:pStyle w:val="NoSpacing"/>
              <w:spacing w:line="240" w:lineRule="auto"/>
              <w:rPr>
                <w:sz w:val="20"/>
                <w:szCs w:val="20"/>
              </w:rPr>
            </w:pPr>
            <w:r w:rsidRPr="00925EA9">
              <w:rPr>
                <w:sz w:val="20"/>
                <w:szCs w:val="20"/>
              </w:rPr>
              <w:fldChar w:fldCharType="begin"/>
            </w:r>
            <w:r w:rsidR="00B9334F">
              <w:rPr>
                <w:sz w:val="20"/>
                <w:szCs w:val="20"/>
              </w:rPr>
              <w:instrText xml:space="preserve"> ADDIN EN.CITE &lt;EndNote&gt;&lt;Cite AuthorYear="1"&gt;&lt;Author&gt;Barth&lt;/Author&gt;&lt;Year&gt;2006&lt;/Year&gt;&lt;RecNum&gt;115&lt;/RecNum&gt;&lt;DisplayText&gt;Barth et al. (2006)&lt;/DisplayText&gt;&lt;record&gt;&lt;rec-number&gt;115&lt;/rec-number&gt;&lt;foreign-keys&gt;&lt;key app="EN" db-id="ffzvr5fstavwxoe9v04xf0wmp5t50as52da0" timestamp="1731671643" guid="7cd4df08-6bd5-40df-913d-ac81a73d2e04"&gt;115&lt;/key&gt;&lt;/foreign-keys&gt;&lt;ref-type name="Journal Article"&gt;17&lt;/ref-type&gt;&lt;contributors&gt;&lt;authors&gt;&lt;author&gt;Barth, Richard P.&lt;/author&gt;&lt;author&gt;Gibbons, Claire&lt;/author&gt;&lt;author&gt;Guo, Shenyang&lt;/author&gt;&lt;/authors&gt;&lt;/contributors&gt;&lt;titles&gt;&lt;title&gt;Substance abuse treatment and the recurrence of maltreatment among caregivers with children living at home: A propensity score analysis&lt;/title&gt;&lt;secondary-title&gt;Journal of Substance Abuse Treatment&lt;/secondary-title&gt;&lt;/titles&gt;&lt;periodical&gt;&lt;full-title&gt;Journal of Substance Abuse Treatment&lt;/full-title&gt;&lt;/periodical&gt;&lt;pages&gt;93-104&lt;/pages&gt;&lt;volume&gt;30&lt;/volume&gt;&lt;number&gt;2&lt;/number&gt;&lt;keywords&gt;&lt;keyword&gt;Child welfare&lt;/keyword&gt;&lt;keyword&gt;Reabuse&lt;/keyword&gt;&lt;keyword&gt;Substance abuse treatment&lt;/keyword&gt;&lt;keyword&gt;Propensity score&lt;/keyword&gt;&lt;/keywords&gt;&lt;dates&gt;&lt;year&gt;2006&lt;/year&gt;&lt;pub-dates&gt;&lt;date&gt;2006/03/01/&lt;/date&gt;&lt;/pub-dates&gt;&lt;/dates&gt;&lt;isbn&gt;0740-5472&lt;/isbn&gt;&lt;urls&gt;&lt;related-urls&gt;&lt;url&gt;http://www.sciencedirect.com/science/article/pii/S0740547205002023&lt;/url&gt;&lt;/related-urls&gt;&lt;/urls&gt;&lt;electronic-resource-num&gt;https://doi.org/10.1016/j.jsat.2005.10.008&lt;/electronic-resource-num&gt;&lt;/record&gt;&lt;/Cite&gt;&lt;/EndNote&gt;</w:instrText>
            </w:r>
            <w:r w:rsidRPr="00925EA9">
              <w:rPr>
                <w:sz w:val="20"/>
                <w:szCs w:val="20"/>
              </w:rPr>
              <w:fldChar w:fldCharType="separate"/>
            </w:r>
            <w:r w:rsidR="00A77498">
              <w:rPr>
                <w:noProof/>
                <w:sz w:val="20"/>
                <w:szCs w:val="20"/>
              </w:rPr>
              <w:t>Barth et al. (2006)</w:t>
            </w:r>
            <w:r w:rsidRPr="00925EA9">
              <w:rPr>
                <w:sz w:val="20"/>
                <w:szCs w:val="20"/>
              </w:rPr>
              <w:fldChar w:fldCharType="end"/>
            </w:r>
          </w:p>
        </w:tc>
      </w:tr>
      <w:tr w:rsidR="0025732F" w:rsidRPr="00925EA9" w14:paraId="30205ED9" w14:textId="77777777">
        <w:tc>
          <w:tcPr>
            <w:tcW w:w="3114" w:type="dxa"/>
          </w:tcPr>
          <w:p w14:paraId="12A4248E" w14:textId="77777777" w:rsidR="0025732F" w:rsidRPr="00925EA9" w:rsidRDefault="0025732F">
            <w:pPr>
              <w:pStyle w:val="NoSpacing"/>
              <w:spacing w:line="240" w:lineRule="auto"/>
              <w:rPr>
                <w:sz w:val="20"/>
                <w:szCs w:val="20"/>
              </w:rPr>
            </w:pPr>
            <w:r w:rsidRPr="00925EA9">
              <w:rPr>
                <w:sz w:val="20"/>
                <w:szCs w:val="20"/>
              </w:rPr>
              <w:t>Aims</w:t>
            </w:r>
          </w:p>
        </w:tc>
        <w:tc>
          <w:tcPr>
            <w:tcW w:w="10773" w:type="dxa"/>
          </w:tcPr>
          <w:p w14:paraId="3E1B15CE" w14:textId="77777777" w:rsidR="0025732F" w:rsidRPr="00925EA9" w:rsidRDefault="0025732F">
            <w:pPr>
              <w:pStyle w:val="NoSpacing"/>
              <w:spacing w:line="240" w:lineRule="auto"/>
              <w:rPr>
                <w:sz w:val="20"/>
                <w:szCs w:val="20"/>
              </w:rPr>
            </w:pPr>
            <w:r w:rsidRPr="00925EA9">
              <w:rPr>
                <w:sz w:val="20"/>
                <w:szCs w:val="20"/>
              </w:rPr>
              <w:t>To explore the relationship between parental treatment for clinical dependency on drugs and/or alcohol and recurrence of child maltreatment and abuse.</w:t>
            </w:r>
          </w:p>
        </w:tc>
      </w:tr>
      <w:tr w:rsidR="0025732F" w:rsidRPr="00925EA9" w14:paraId="7606C1F8" w14:textId="77777777">
        <w:tc>
          <w:tcPr>
            <w:tcW w:w="3114" w:type="dxa"/>
          </w:tcPr>
          <w:p w14:paraId="64E36A98" w14:textId="77777777" w:rsidR="0025732F" w:rsidRPr="00925EA9" w:rsidRDefault="0025732F">
            <w:pPr>
              <w:pStyle w:val="NoSpacing"/>
              <w:spacing w:line="240" w:lineRule="auto"/>
              <w:rPr>
                <w:sz w:val="20"/>
                <w:szCs w:val="20"/>
              </w:rPr>
            </w:pPr>
            <w:r w:rsidRPr="00925EA9">
              <w:rPr>
                <w:sz w:val="20"/>
                <w:szCs w:val="20"/>
              </w:rPr>
              <w:t>Design</w:t>
            </w:r>
          </w:p>
        </w:tc>
        <w:tc>
          <w:tcPr>
            <w:tcW w:w="10773" w:type="dxa"/>
          </w:tcPr>
          <w:p w14:paraId="037D392A" w14:textId="77777777" w:rsidR="0025732F" w:rsidRPr="00925EA9" w:rsidRDefault="0025732F">
            <w:pPr>
              <w:pStyle w:val="NoSpacing"/>
              <w:spacing w:line="240" w:lineRule="auto"/>
              <w:rPr>
                <w:sz w:val="20"/>
                <w:szCs w:val="20"/>
              </w:rPr>
            </w:pPr>
            <w:r w:rsidRPr="00925EA9">
              <w:rPr>
                <w:sz w:val="20"/>
                <w:szCs w:val="20"/>
              </w:rPr>
              <w:t>Quasi-experimental study design, using propensity score matching to create a comparison group with a similar propensity for treatment and account for bias, with 18 month follow-up. Data from the National Survey of Child and Adolescent Wellbeing (NSCAW) – a longitudinal study of child maltreatment and neglect – was analysed. Included participants were children living at home with female primary care givers with a treatment need.</w:t>
            </w:r>
          </w:p>
        </w:tc>
      </w:tr>
      <w:tr w:rsidR="0025732F" w:rsidRPr="00925EA9" w14:paraId="475124DF" w14:textId="77777777">
        <w:tc>
          <w:tcPr>
            <w:tcW w:w="3114" w:type="dxa"/>
          </w:tcPr>
          <w:p w14:paraId="7C4C2C65" w14:textId="77777777" w:rsidR="0025732F" w:rsidRPr="00925EA9" w:rsidRDefault="0025732F">
            <w:pPr>
              <w:pStyle w:val="NoSpacing"/>
              <w:spacing w:line="240" w:lineRule="auto"/>
              <w:rPr>
                <w:sz w:val="20"/>
                <w:szCs w:val="20"/>
              </w:rPr>
            </w:pPr>
            <w:r w:rsidRPr="00925EA9">
              <w:rPr>
                <w:sz w:val="20"/>
                <w:szCs w:val="20"/>
              </w:rPr>
              <w:t>Population</w:t>
            </w:r>
          </w:p>
        </w:tc>
        <w:tc>
          <w:tcPr>
            <w:tcW w:w="10773" w:type="dxa"/>
          </w:tcPr>
          <w:p w14:paraId="11500EB6" w14:textId="77777777" w:rsidR="0025732F" w:rsidRPr="00925EA9" w:rsidRDefault="0025732F">
            <w:pPr>
              <w:pStyle w:val="NoSpacing"/>
              <w:spacing w:line="240" w:lineRule="auto"/>
              <w:rPr>
                <w:sz w:val="20"/>
                <w:szCs w:val="20"/>
              </w:rPr>
            </w:pPr>
            <w:r w:rsidRPr="00925EA9">
              <w:rPr>
                <w:sz w:val="20"/>
                <w:szCs w:val="20"/>
              </w:rPr>
              <w:t>Intervention (n=219) and comparison group (n=219).</w:t>
            </w:r>
          </w:p>
        </w:tc>
      </w:tr>
      <w:tr w:rsidR="0025732F" w:rsidRPr="00925EA9" w14:paraId="31E24328" w14:textId="77777777">
        <w:tc>
          <w:tcPr>
            <w:tcW w:w="3114" w:type="dxa"/>
          </w:tcPr>
          <w:p w14:paraId="0F00672A" w14:textId="77777777" w:rsidR="0025732F" w:rsidRPr="00925EA9" w:rsidRDefault="0025732F">
            <w:pPr>
              <w:pStyle w:val="NoSpacing"/>
              <w:spacing w:line="240" w:lineRule="auto"/>
              <w:rPr>
                <w:sz w:val="20"/>
                <w:szCs w:val="20"/>
              </w:rPr>
            </w:pPr>
            <w:r w:rsidRPr="00925EA9">
              <w:rPr>
                <w:sz w:val="20"/>
                <w:szCs w:val="20"/>
              </w:rPr>
              <w:t>Intervention</w:t>
            </w:r>
          </w:p>
        </w:tc>
        <w:tc>
          <w:tcPr>
            <w:tcW w:w="10773" w:type="dxa"/>
          </w:tcPr>
          <w:p w14:paraId="1D827C2B" w14:textId="77777777" w:rsidR="0025732F" w:rsidRPr="00925EA9" w:rsidRDefault="0025732F">
            <w:pPr>
              <w:pStyle w:val="NoSpacing"/>
              <w:spacing w:line="240" w:lineRule="auto"/>
              <w:rPr>
                <w:sz w:val="20"/>
                <w:szCs w:val="20"/>
              </w:rPr>
            </w:pPr>
            <w:r w:rsidRPr="00925EA9">
              <w:rPr>
                <w:sz w:val="20"/>
                <w:szCs w:val="20"/>
              </w:rPr>
              <w:t>Variety of treatment interventions.</w:t>
            </w:r>
          </w:p>
        </w:tc>
      </w:tr>
      <w:tr w:rsidR="0025732F" w:rsidRPr="00925EA9" w14:paraId="446639F5" w14:textId="77777777">
        <w:tc>
          <w:tcPr>
            <w:tcW w:w="3114" w:type="dxa"/>
          </w:tcPr>
          <w:p w14:paraId="50371E96" w14:textId="77777777" w:rsidR="0025732F" w:rsidRPr="00925EA9" w:rsidRDefault="0025732F">
            <w:pPr>
              <w:pStyle w:val="NoSpacing"/>
              <w:spacing w:line="240" w:lineRule="auto"/>
              <w:rPr>
                <w:sz w:val="20"/>
                <w:szCs w:val="20"/>
              </w:rPr>
            </w:pPr>
            <w:r w:rsidRPr="00925EA9">
              <w:rPr>
                <w:sz w:val="20"/>
                <w:szCs w:val="20"/>
              </w:rPr>
              <w:t>Country</w:t>
            </w:r>
          </w:p>
        </w:tc>
        <w:tc>
          <w:tcPr>
            <w:tcW w:w="10773" w:type="dxa"/>
          </w:tcPr>
          <w:p w14:paraId="6D9D3E26" w14:textId="77777777" w:rsidR="0025732F" w:rsidRPr="00925EA9" w:rsidRDefault="0025732F">
            <w:pPr>
              <w:pStyle w:val="NoSpacing"/>
              <w:spacing w:line="240" w:lineRule="auto"/>
              <w:rPr>
                <w:sz w:val="20"/>
                <w:szCs w:val="20"/>
              </w:rPr>
            </w:pPr>
            <w:r w:rsidRPr="00925EA9">
              <w:rPr>
                <w:sz w:val="20"/>
                <w:szCs w:val="20"/>
              </w:rPr>
              <w:t>USA (covering 36 states).</w:t>
            </w:r>
          </w:p>
        </w:tc>
      </w:tr>
      <w:tr w:rsidR="0025732F" w:rsidRPr="00925EA9" w14:paraId="0D9A72CE" w14:textId="77777777">
        <w:tc>
          <w:tcPr>
            <w:tcW w:w="3114" w:type="dxa"/>
          </w:tcPr>
          <w:p w14:paraId="20CA331D" w14:textId="77777777" w:rsidR="0025732F" w:rsidRPr="00925EA9" w:rsidRDefault="0025732F">
            <w:pPr>
              <w:pStyle w:val="NoSpacing"/>
              <w:spacing w:line="240" w:lineRule="auto"/>
              <w:rPr>
                <w:sz w:val="20"/>
                <w:szCs w:val="20"/>
              </w:rPr>
            </w:pPr>
            <w:r>
              <w:rPr>
                <w:sz w:val="20"/>
                <w:szCs w:val="20"/>
              </w:rPr>
              <w:t>O</w:t>
            </w:r>
            <w:r w:rsidRPr="00925EA9">
              <w:rPr>
                <w:sz w:val="20"/>
                <w:szCs w:val="20"/>
              </w:rPr>
              <w:t>utcomes</w:t>
            </w:r>
          </w:p>
        </w:tc>
        <w:tc>
          <w:tcPr>
            <w:tcW w:w="10773" w:type="dxa"/>
          </w:tcPr>
          <w:p w14:paraId="0817A17A" w14:textId="77777777" w:rsidR="0025732F" w:rsidRPr="00925EA9" w:rsidRDefault="0025732F">
            <w:pPr>
              <w:pStyle w:val="NoSpacing"/>
              <w:spacing w:line="240" w:lineRule="auto"/>
              <w:rPr>
                <w:sz w:val="20"/>
                <w:szCs w:val="20"/>
              </w:rPr>
            </w:pPr>
            <w:r>
              <w:rPr>
                <w:sz w:val="20"/>
                <w:szCs w:val="20"/>
              </w:rPr>
              <w:t>A</w:t>
            </w:r>
            <w:r w:rsidRPr="003F5528">
              <w:rPr>
                <w:sz w:val="20"/>
                <w:szCs w:val="20"/>
              </w:rPr>
              <w:t xml:space="preserve">fter-matching, by the end of the 18-month study period, 19.3% of caregivers that received treatment had a repeat child abuse report versus 8.6% of caregivers not in treatment. Thus, children whose caregivers </w:t>
            </w:r>
            <w:r>
              <w:rPr>
                <w:sz w:val="20"/>
                <w:szCs w:val="20"/>
              </w:rPr>
              <w:t>were in treatment were</w:t>
            </w:r>
            <w:r w:rsidRPr="003F5528">
              <w:rPr>
                <w:sz w:val="20"/>
                <w:szCs w:val="20"/>
              </w:rPr>
              <w:t xml:space="preserve"> more likely to have a child maltreatment rereport</w:t>
            </w:r>
            <w:r>
              <w:rPr>
                <w:sz w:val="20"/>
                <w:szCs w:val="20"/>
              </w:rPr>
              <w:t xml:space="preserve"> than those who declined treatment</w:t>
            </w:r>
            <w:r w:rsidRPr="003F5528">
              <w:rPr>
                <w:sz w:val="20"/>
                <w:szCs w:val="20"/>
              </w:rPr>
              <w:t>.</w:t>
            </w:r>
            <w:r>
              <w:rPr>
                <w:sz w:val="20"/>
                <w:szCs w:val="20"/>
              </w:rPr>
              <w:t xml:space="preserve"> </w:t>
            </w:r>
            <w:r w:rsidRPr="00925EA9">
              <w:rPr>
                <w:sz w:val="20"/>
                <w:szCs w:val="20"/>
              </w:rPr>
              <w:t>The intervention group were significantly more likely to experience a recurrence of child abuse being reported to welfare services than the comparison group (19.3% vs. 8.6%). Mental health problems among caregivers (HR = 1.75, p &lt;.05) and previous involvement with child welfare services (HR = 1.80, p&lt;.05) were significantly associated with the hazard ratio.</w:t>
            </w:r>
          </w:p>
        </w:tc>
      </w:tr>
      <w:tr w:rsidR="0025732F" w:rsidRPr="00925EA9" w14:paraId="60DBE770" w14:textId="77777777">
        <w:tc>
          <w:tcPr>
            <w:tcW w:w="3114" w:type="dxa"/>
          </w:tcPr>
          <w:p w14:paraId="79330620" w14:textId="77777777" w:rsidR="0025732F" w:rsidRPr="00925EA9" w:rsidRDefault="0025732F">
            <w:pPr>
              <w:pStyle w:val="NoSpacing"/>
              <w:spacing w:line="240" w:lineRule="auto"/>
              <w:rPr>
                <w:sz w:val="20"/>
                <w:szCs w:val="20"/>
              </w:rPr>
            </w:pPr>
            <w:r w:rsidRPr="00925EA9">
              <w:rPr>
                <w:sz w:val="20"/>
                <w:szCs w:val="20"/>
              </w:rPr>
              <w:t>Cost-benefit/ cost-effectiveness</w:t>
            </w:r>
          </w:p>
        </w:tc>
        <w:tc>
          <w:tcPr>
            <w:tcW w:w="10773" w:type="dxa"/>
          </w:tcPr>
          <w:p w14:paraId="357EE9CB" w14:textId="77777777" w:rsidR="0025732F" w:rsidRPr="00925EA9" w:rsidRDefault="0025732F">
            <w:pPr>
              <w:pStyle w:val="NoSpacing"/>
              <w:spacing w:line="240" w:lineRule="auto"/>
              <w:rPr>
                <w:sz w:val="20"/>
                <w:szCs w:val="20"/>
              </w:rPr>
            </w:pPr>
            <w:r w:rsidRPr="00925EA9">
              <w:rPr>
                <w:sz w:val="20"/>
                <w:szCs w:val="20"/>
              </w:rPr>
              <w:t>N/A.</w:t>
            </w:r>
          </w:p>
        </w:tc>
      </w:tr>
      <w:tr w:rsidR="0025732F" w:rsidRPr="00925EA9" w14:paraId="60DAD816" w14:textId="77777777">
        <w:tc>
          <w:tcPr>
            <w:tcW w:w="3114" w:type="dxa"/>
          </w:tcPr>
          <w:p w14:paraId="6F4A9398"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1B0D1B3E" w14:textId="77777777" w:rsidR="0025732F" w:rsidRPr="00925EA9" w:rsidRDefault="0025732F">
            <w:pPr>
              <w:rPr>
                <w:rFonts w:cs="Arial"/>
                <w:sz w:val="20"/>
                <w:szCs w:val="20"/>
              </w:rPr>
            </w:pPr>
            <w:r w:rsidRPr="00925EA9">
              <w:rPr>
                <w:rFonts w:cs="Arial"/>
                <w:sz w:val="20"/>
                <w:szCs w:val="20"/>
              </w:rPr>
              <w:t>Moderate.</w:t>
            </w:r>
          </w:p>
        </w:tc>
      </w:tr>
      <w:tr w:rsidR="0025732F" w:rsidRPr="00925EA9" w14:paraId="09B99A9D" w14:textId="77777777">
        <w:tc>
          <w:tcPr>
            <w:tcW w:w="3114" w:type="dxa"/>
            <w:shd w:val="clear" w:color="auto" w:fill="D9E2F3" w:themeFill="accent1" w:themeFillTint="33"/>
          </w:tcPr>
          <w:p w14:paraId="46A0B788"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1EADB9B2" w14:textId="0787C68F"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AuthorYear="1"&gt;&lt;Author&gt;Boles&lt;/Author&gt;&lt;Year&gt;2007&lt;/Year&gt;&lt;RecNum&gt;130&lt;/RecNum&gt;&lt;DisplayText&gt;Boles et al. (2007)&lt;/DisplayText&gt;&lt;record&gt;&lt;rec-number&gt;130&lt;/rec-number&gt;&lt;foreign-keys&gt;&lt;key app="EN" db-id="ffzvr5fstavwxoe9v04xf0wmp5t50as52da0" timestamp="1731671644" guid="b8ac15b6-54c9-44fd-b2ab-1be0e3de15a0"&gt;130&lt;/key&gt;&lt;/foreign-keys&gt;&lt;ref-type name="Journal Article"&gt;17&lt;/ref-type&gt;&lt;contributors&gt;&lt;authors&gt;&lt;author&gt;Boles, Sharon M.&lt;/author&gt;&lt;author&gt;Young, Nancy K.&lt;/author&gt;&lt;author&gt;Moore, Toni&lt;/author&gt;&lt;author&gt;DiPirro-Beard, Sharon&lt;/author&gt;&lt;/authors&gt;&lt;/contributors&gt;&lt;titles&gt;&lt;title&gt;The Sacramento Dependency Drug Court: Development and Outcomes&lt;/title&gt;&lt;secondary-title&gt;Child Maltreatment&lt;/secondary-title&gt;&lt;/titles&gt;&lt;periodical&gt;&lt;full-title&gt;Child Maltreatment&lt;/full-title&gt;&lt;/periodical&gt;&lt;pages&gt;161-171&lt;/pages&gt;&lt;volume&gt;12&lt;/volume&gt;&lt;number&gt;2&lt;/number&gt;&lt;keywords&gt;&lt;keyword&gt;Dependency Drug Court,parents,child welfare,substance abuse&lt;/keyword&gt;&lt;/keywords&gt;&lt;dates&gt;&lt;year&gt;2007&lt;/year&gt;&lt;/dates&gt;&lt;accession-num&gt;17446569&lt;/accession-num&gt;&lt;urls&gt;&lt;related-urls&gt;&lt;url&gt;http://journals.sagepub.com/doi/abs/10.1177/1077559507300643&lt;/url&gt;&lt;/related-urls&gt;&lt;/urls&gt;&lt;electronic-resource-num&gt;10.1177/1077559507300643&lt;/electronic-resource-num&gt;&lt;/record&gt;&lt;/Cite&gt;&lt;/EndNote&gt;</w:instrText>
            </w:r>
            <w:r w:rsidRPr="00925EA9">
              <w:rPr>
                <w:rFonts w:cs="Arial"/>
                <w:sz w:val="20"/>
                <w:szCs w:val="20"/>
              </w:rPr>
              <w:fldChar w:fldCharType="separate"/>
            </w:r>
            <w:r w:rsidR="00A77498">
              <w:rPr>
                <w:rFonts w:cs="Arial"/>
                <w:noProof/>
                <w:sz w:val="20"/>
                <w:szCs w:val="20"/>
              </w:rPr>
              <w:t>Boles et al. (2007)</w:t>
            </w:r>
            <w:r w:rsidRPr="00925EA9">
              <w:rPr>
                <w:rFonts w:cs="Arial"/>
                <w:sz w:val="20"/>
                <w:szCs w:val="20"/>
              </w:rPr>
              <w:fldChar w:fldCharType="end"/>
            </w:r>
          </w:p>
        </w:tc>
      </w:tr>
      <w:tr w:rsidR="0025732F" w:rsidRPr="00925EA9" w14:paraId="10C0241C" w14:textId="77777777">
        <w:tc>
          <w:tcPr>
            <w:tcW w:w="3114" w:type="dxa"/>
          </w:tcPr>
          <w:p w14:paraId="306D2E4F" w14:textId="77777777" w:rsidR="0025732F" w:rsidRPr="00925EA9" w:rsidRDefault="0025732F">
            <w:pPr>
              <w:rPr>
                <w:rFonts w:cs="Arial"/>
                <w:sz w:val="20"/>
                <w:szCs w:val="20"/>
              </w:rPr>
            </w:pPr>
            <w:r w:rsidRPr="00925EA9">
              <w:rPr>
                <w:rFonts w:cs="Arial"/>
                <w:sz w:val="20"/>
                <w:szCs w:val="20"/>
              </w:rPr>
              <w:t>Aims</w:t>
            </w:r>
          </w:p>
        </w:tc>
        <w:tc>
          <w:tcPr>
            <w:tcW w:w="10773" w:type="dxa"/>
          </w:tcPr>
          <w:p w14:paraId="67966C28" w14:textId="77777777" w:rsidR="0025732F" w:rsidRPr="00925EA9" w:rsidRDefault="0025732F">
            <w:pPr>
              <w:rPr>
                <w:rFonts w:cs="Arial"/>
                <w:sz w:val="20"/>
                <w:szCs w:val="20"/>
              </w:rPr>
            </w:pPr>
            <w:r w:rsidRPr="00925EA9">
              <w:rPr>
                <w:rFonts w:cs="Arial"/>
                <w:sz w:val="20"/>
                <w:szCs w:val="20"/>
              </w:rPr>
              <w:t>To present 24 month reunification rates following FTDC interventions in Sacramento.</w:t>
            </w:r>
          </w:p>
        </w:tc>
      </w:tr>
      <w:tr w:rsidR="0025732F" w:rsidRPr="00925EA9" w14:paraId="2CBEA40A" w14:textId="77777777">
        <w:tc>
          <w:tcPr>
            <w:tcW w:w="3114" w:type="dxa"/>
          </w:tcPr>
          <w:p w14:paraId="3635F707" w14:textId="77777777" w:rsidR="0025732F" w:rsidRPr="00925EA9" w:rsidRDefault="0025732F">
            <w:pPr>
              <w:rPr>
                <w:rFonts w:cs="Arial"/>
                <w:sz w:val="20"/>
                <w:szCs w:val="20"/>
              </w:rPr>
            </w:pPr>
            <w:r w:rsidRPr="00925EA9">
              <w:rPr>
                <w:rFonts w:cs="Arial"/>
                <w:sz w:val="20"/>
                <w:szCs w:val="20"/>
              </w:rPr>
              <w:lastRenderedPageBreak/>
              <w:t>Design</w:t>
            </w:r>
          </w:p>
        </w:tc>
        <w:tc>
          <w:tcPr>
            <w:tcW w:w="10773" w:type="dxa"/>
          </w:tcPr>
          <w:p w14:paraId="4F528B81" w14:textId="77777777" w:rsidR="0025732F" w:rsidRPr="00925EA9" w:rsidRDefault="0025732F">
            <w:pPr>
              <w:rPr>
                <w:rFonts w:cs="Arial"/>
                <w:sz w:val="20"/>
                <w:szCs w:val="20"/>
              </w:rPr>
            </w:pPr>
            <w:r w:rsidRPr="00925EA9">
              <w:rPr>
                <w:rFonts w:cs="Arial"/>
                <w:sz w:val="20"/>
                <w:szCs w:val="20"/>
              </w:rPr>
              <w:t>Quasi-experimental, 24 months follow-up. Linkage of Child Protective Services, Alcohol and Drug Services, and court administrative data systems. Comparison group derived of families known to services in the six months prior to the establishment of the parallel FTDC. Parental demographics and baseline characteristics were controlled for in the analysis.</w:t>
            </w:r>
          </w:p>
        </w:tc>
      </w:tr>
      <w:tr w:rsidR="0025732F" w:rsidRPr="00925EA9" w14:paraId="1F82D5F6" w14:textId="77777777">
        <w:tc>
          <w:tcPr>
            <w:tcW w:w="3114" w:type="dxa"/>
          </w:tcPr>
          <w:p w14:paraId="28A7D4BF"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4999774E" w14:textId="77777777" w:rsidR="0025732F" w:rsidRPr="00925EA9" w:rsidRDefault="0025732F">
            <w:pPr>
              <w:rPr>
                <w:rFonts w:cs="Arial"/>
                <w:sz w:val="20"/>
                <w:szCs w:val="20"/>
              </w:rPr>
            </w:pPr>
            <w:r w:rsidRPr="00925EA9">
              <w:rPr>
                <w:rFonts w:cs="Arial"/>
                <w:sz w:val="20"/>
                <w:szCs w:val="20"/>
              </w:rPr>
              <w:t>Intervention (573 parents and 861 children) and Comparison (111 parents and 173 children).</w:t>
            </w:r>
          </w:p>
        </w:tc>
      </w:tr>
      <w:tr w:rsidR="0025732F" w:rsidRPr="00925EA9" w14:paraId="20A36AFA" w14:textId="77777777">
        <w:tc>
          <w:tcPr>
            <w:tcW w:w="3114" w:type="dxa"/>
          </w:tcPr>
          <w:p w14:paraId="7957040C"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1A433DB8" w14:textId="77777777" w:rsidR="0025732F" w:rsidRPr="00925EA9" w:rsidRDefault="0025732F">
            <w:pPr>
              <w:rPr>
                <w:rFonts w:cs="Arial"/>
                <w:sz w:val="20"/>
                <w:szCs w:val="20"/>
              </w:rPr>
            </w:pPr>
            <w:r w:rsidRPr="00925EA9">
              <w:rPr>
                <w:rFonts w:cs="Arial"/>
                <w:sz w:val="20"/>
                <w:szCs w:val="20"/>
              </w:rPr>
              <w:t>Parallel FTDC.</w:t>
            </w:r>
          </w:p>
        </w:tc>
      </w:tr>
      <w:tr w:rsidR="0025732F" w:rsidRPr="00925EA9" w14:paraId="01A24C72" w14:textId="77777777">
        <w:tc>
          <w:tcPr>
            <w:tcW w:w="3114" w:type="dxa"/>
          </w:tcPr>
          <w:p w14:paraId="384BB5F6" w14:textId="77777777" w:rsidR="0025732F" w:rsidRPr="00925EA9" w:rsidRDefault="0025732F">
            <w:pPr>
              <w:rPr>
                <w:rFonts w:cs="Arial"/>
                <w:sz w:val="20"/>
                <w:szCs w:val="20"/>
              </w:rPr>
            </w:pPr>
            <w:r w:rsidRPr="00925EA9">
              <w:rPr>
                <w:rFonts w:cs="Arial"/>
                <w:sz w:val="20"/>
                <w:szCs w:val="20"/>
              </w:rPr>
              <w:t>Country</w:t>
            </w:r>
          </w:p>
        </w:tc>
        <w:tc>
          <w:tcPr>
            <w:tcW w:w="10773" w:type="dxa"/>
          </w:tcPr>
          <w:p w14:paraId="4B908099" w14:textId="77777777" w:rsidR="0025732F" w:rsidRPr="00925EA9" w:rsidRDefault="0025732F">
            <w:pPr>
              <w:rPr>
                <w:rFonts w:cs="Arial"/>
                <w:sz w:val="20"/>
                <w:szCs w:val="20"/>
              </w:rPr>
            </w:pPr>
            <w:r w:rsidRPr="00925EA9">
              <w:rPr>
                <w:rFonts w:cs="Arial"/>
                <w:sz w:val="20"/>
                <w:szCs w:val="20"/>
              </w:rPr>
              <w:t>USA (Sacramento, California).</w:t>
            </w:r>
          </w:p>
        </w:tc>
      </w:tr>
      <w:tr w:rsidR="0025732F" w:rsidRPr="00925EA9" w14:paraId="712209C2" w14:textId="77777777">
        <w:tc>
          <w:tcPr>
            <w:tcW w:w="3114" w:type="dxa"/>
          </w:tcPr>
          <w:p w14:paraId="4A5B633E"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2EFB1359" w14:textId="77777777" w:rsidR="0025732F" w:rsidRPr="00925EA9" w:rsidRDefault="0025732F">
            <w:pPr>
              <w:rPr>
                <w:rFonts w:cs="Arial"/>
                <w:sz w:val="20"/>
                <w:szCs w:val="20"/>
              </w:rPr>
            </w:pPr>
            <w:r w:rsidRPr="00925EA9">
              <w:rPr>
                <w:rFonts w:cs="Arial"/>
                <w:sz w:val="20"/>
                <w:szCs w:val="20"/>
              </w:rPr>
              <w:t>Parents on the programme were more likely to enter treatment; however they spent significantly fewer days in treatment (F(1, 539) = 5.0, p &lt; .05). No differences in the likelihood of completing treatment were observed.</w:t>
            </w:r>
            <w:r>
              <w:rPr>
                <w:rFonts w:cs="Arial"/>
                <w:sz w:val="20"/>
                <w:szCs w:val="20"/>
              </w:rPr>
              <w:t xml:space="preserve"> </w:t>
            </w:r>
            <w:r w:rsidRPr="00925EA9">
              <w:rPr>
                <w:rFonts w:cs="Arial"/>
                <w:sz w:val="20"/>
                <w:szCs w:val="20"/>
              </w:rPr>
              <w:t>Children on the programme were more likely to reunify (OR = 1.38, CI = 1.14, 1.68, p = 0.001). No difference was observed in the time to reunification, possibly because of the high rate of homelessness between both groups. Heroin-using parents had the lowest rates of reunification with their children at 24 months (33.3%) while marijuana users had the highest (45.4%). No differences in probability of re-entering foster care</w:t>
            </w:r>
          </w:p>
        </w:tc>
      </w:tr>
      <w:tr w:rsidR="0025732F" w:rsidRPr="00925EA9" w14:paraId="08DCDB0A" w14:textId="77777777">
        <w:tc>
          <w:tcPr>
            <w:tcW w:w="3114" w:type="dxa"/>
          </w:tcPr>
          <w:p w14:paraId="41DD3BCE"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5F4C3011" w14:textId="77777777" w:rsidR="0025732F" w:rsidRPr="00925EA9" w:rsidRDefault="0025732F">
            <w:pPr>
              <w:rPr>
                <w:rFonts w:cs="Arial"/>
                <w:sz w:val="20"/>
                <w:szCs w:val="20"/>
              </w:rPr>
            </w:pPr>
            <w:r w:rsidRPr="00925EA9">
              <w:rPr>
                <w:rFonts w:cs="Arial"/>
                <w:sz w:val="20"/>
                <w:szCs w:val="20"/>
              </w:rPr>
              <w:t>N/A.</w:t>
            </w:r>
          </w:p>
        </w:tc>
      </w:tr>
      <w:tr w:rsidR="0025732F" w:rsidRPr="00925EA9" w14:paraId="7BF58743" w14:textId="77777777">
        <w:tc>
          <w:tcPr>
            <w:tcW w:w="3114" w:type="dxa"/>
          </w:tcPr>
          <w:p w14:paraId="1BCBC076"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72A340B0" w14:textId="77777777" w:rsidR="0025732F" w:rsidRPr="00925EA9" w:rsidRDefault="0025732F">
            <w:pPr>
              <w:rPr>
                <w:rFonts w:cs="Arial"/>
                <w:sz w:val="20"/>
                <w:szCs w:val="20"/>
              </w:rPr>
            </w:pPr>
            <w:r w:rsidRPr="00925EA9">
              <w:rPr>
                <w:rFonts w:cs="Arial"/>
                <w:sz w:val="20"/>
                <w:szCs w:val="20"/>
              </w:rPr>
              <w:t>Moderate.</w:t>
            </w:r>
          </w:p>
        </w:tc>
      </w:tr>
      <w:tr w:rsidR="0025732F" w:rsidRPr="00925EA9" w14:paraId="7C12C2BE" w14:textId="77777777">
        <w:tc>
          <w:tcPr>
            <w:tcW w:w="3114" w:type="dxa"/>
            <w:shd w:val="clear" w:color="auto" w:fill="D9E2F3" w:themeFill="accent1" w:themeFillTint="33"/>
          </w:tcPr>
          <w:p w14:paraId="155301C4"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2C776963" w14:textId="4C64ED58" w:rsidR="0025732F" w:rsidRPr="00925EA9" w:rsidRDefault="0025732F">
            <w:pPr>
              <w:tabs>
                <w:tab w:val="left" w:pos="1067"/>
              </w:tabs>
              <w:rPr>
                <w:rFonts w:cs="Arial"/>
                <w:sz w:val="20"/>
                <w:szCs w:val="20"/>
              </w:rPr>
            </w:pPr>
            <w:r>
              <w:rPr>
                <w:rFonts w:cs="Arial"/>
                <w:sz w:val="20"/>
                <w:szCs w:val="20"/>
              </w:rPr>
              <w:fldChar w:fldCharType="begin"/>
            </w:r>
            <w:r w:rsidR="00B9334F">
              <w:rPr>
                <w:rFonts w:cs="Arial"/>
                <w:sz w:val="20"/>
                <w:szCs w:val="20"/>
              </w:rPr>
              <w:instrText xml:space="preserve"> ADDIN EN.CITE &lt;EndNote&gt;&lt;Cite AuthorYear="1"&gt;&lt;Author&gt;Brown&lt;/Author&gt;&lt;Year&gt;2021&lt;/Year&gt;&lt;RecNum&gt;471&lt;/RecNum&gt;&lt;DisplayText&gt;Brown et al. (2021)&lt;/DisplayText&gt;&lt;record&gt;&lt;rec-number&gt;471&lt;/rec-number&gt;&lt;foreign-keys&gt;&lt;key app="EN" db-id="ffzvr5fstavwxoe9v04xf0wmp5t50as52da0" timestamp="1731671680" guid="eb6916be-658f-424d-a5b3-97bce82e19af"&gt;471&lt;/key&gt;&lt;/foreign-keys&gt;&lt;ref-type name="Journal Article"&gt;17&lt;/ref-type&gt;&lt;contributors&gt;&lt;authors&gt;&lt;author&gt;Brown, Samantha M.&lt;/author&gt;&lt;author&gt;Bender, Kimberly A.&lt;/author&gt;&lt;author&gt;Bellamy, Jennifer L.&lt;/author&gt;&lt;author&gt;Garland, Eric L.&lt;/author&gt;&lt;author&gt;Dmitrieva, Julia&lt;/author&gt;&lt;author&gt;Jenson, Jeffrey M.&lt;/author&gt;&lt;/authors&gt;&lt;/contributors&gt;&lt;titles&gt;&lt;title&gt;Correction to: A Pilot Randomized Trial of a Mindfulness-Informed Intervention for Child Welfare-Involved Families&lt;/title&gt;&lt;secondary-title&gt;Mindfulness&lt;/secondary-title&gt;&lt;/titles&gt;&lt;periodical&gt;&lt;full-title&gt;Mindfulness&lt;/full-title&gt;&lt;/periodical&gt;&lt;pages&gt;436-437&lt;/pages&gt;&lt;volume&gt;12&lt;/volume&gt;&lt;number&gt;2&lt;/number&gt;&lt;dates&gt;&lt;year&gt;2021&lt;/year&gt;&lt;pub-dates&gt;&lt;date&gt;2021/02/01&lt;/date&gt;&lt;/pub-dates&gt;&lt;/dates&gt;&lt;isbn&gt;1868-8535&lt;/isbn&gt;&lt;urls&gt;&lt;related-urls&gt;&lt;url&gt;https://doi.org/10.1007/s12671-018-1025-x&lt;/url&gt;&lt;/related-urls&gt;&lt;/urls&gt;&lt;electronic-resource-num&gt;10.1007/s12671-018-1025-x&lt;/electronic-resource-num&gt;&lt;/record&gt;&lt;/Cite&gt;&lt;/EndNote&gt;</w:instrText>
            </w:r>
            <w:r>
              <w:rPr>
                <w:rFonts w:cs="Arial"/>
                <w:sz w:val="20"/>
                <w:szCs w:val="20"/>
              </w:rPr>
              <w:fldChar w:fldCharType="separate"/>
            </w:r>
            <w:r w:rsidR="00A77498">
              <w:rPr>
                <w:rFonts w:cs="Arial"/>
                <w:noProof/>
                <w:sz w:val="20"/>
                <w:szCs w:val="20"/>
              </w:rPr>
              <w:t>Brown et al. (2021)</w:t>
            </w:r>
            <w:r>
              <w:rPr>
                <w:rFonts w:cs="Arial"/>
                <w:sz w:val="20"/>
                <w:szCs w:val="20"/>
              </w:rPr>
              <w:fldChar w:fldCharType="end"/>
            </w:r>
          </w:p>
        </w:tc>
      </w:tr>
      <w:tr w:rsidR="0025732F" w:rsidRPr="00925EA9" w14:paraId="6BC1B2B3" w14:textId="77777777">
        <w:tc>
          <w:tcPr>
            <w:tcW w:w="3114" w:type="dxa"/>
          </w:tcPr>
          <w:p w14:paraId="76C5F3AC" w14:textId="77777777" w:rsidR="0025732F" w:rsidRPr="00925EA9" w:rsidRDefault="0025732F">
            <w:pPr>
              <w:rPr>
                <w:rFonts w:cs="Arial"/>
                <w:sz w:val="20"/>
                <w:szCs w:val="20"/>
              </w:rPr>
            </w:pPr>
            <w:r w:rsidRPr="00925EA9">
              <w:rPr>
                <w:rFonts w:cs="Arial"/>
                <w:sz w:val="20"/>
                <w:szCs w:val="20"/>
              </w:rPr>
              <w:t>Aims</w:t>
            </w:r>
          </w:p>
        </w:tc>
        <w:tc>
          <w:tcPr>
            <w:tcW w:w="10773" w:type="dxa"/>
          </w:tcPr>
          <w:p w14:paraId="2322090B" w14:textId="77777777" w:rsidR="0025732F" w:rsidRPr="00925EA9" w:rsidRDefault="0025732F">
            <w:pPr>
              <w:tabs>
                <w:tab w:val="left" w:pos="1067"/>
              </w:tabs>
              <w:autoSpaceDE w:val="0"/>
              <w:autoSpaceDN w:val="0"/>
              <w:adjustRightInd w:val="0"/>
              <w:rPr>
                <w:rFonts w:cs="Arial"/>
                <w:sz w:val="20"/>
                <w:szCs w:val="20"/>
              </w:rPr>
            </w:pPr>
            <w:r>
              <w:rPr>
                <w:rFonts w:cs="Arial"/>
                <w:sz w:val="20"/>
                <w:szCs w:val="20"/>
              </w:rPr>
              <w:t>To evaluate the feasibility of a pilot mindfulness intervention for parents with SID involved with statutory child welfare services.</w:t>
            </w:r>
          </w:p>
        </w:tc>
      </w:tr>
      <w:tr w:rsidR="0025732F" w:rsidRPr="00925EA9" w14:paraId="78FB72B5" w14:textId="77777777">
        <w:tc>
          <w:tcPr>
            <w:tcW w:w="3114" w:type="dxa"/>
          </w:tcPr>
          <w:p w14:paraId="00F176B7" w14:textId="77777777" w:rsidR="0025732F" w:rsidRPr="00925EA9" w:rsidRDefault="0025732F">
            <w:pPr>
              <w:rPr>
                <w:rFonts w:cs="Arial"/>
                <w:sz w:val="20"/>
                <w:szCs w:val="20"/>
              </w:rPr>
            </w:pPr>
            <w:r w:rsidRPr="00925EA9">
              <w:rPr>
                <w:rFonts w:cs="Arial"/>
                <w:sz w:val="20"/>
                <w:szCs w:val="20"/>
              </w:rPr>
              <w:t>Design</w:t>
            </w:r>
          </w:p>
        </w:tc>
        <w:tc>
          <w:tcPr>
            <w:tcW w:w="10773" w:type="dxa"/>
          </w:tcPr>
          <w:p w14:paraId="4A63FD5B" w14:textId="77777777" w:rsidR="0025732F" w:rsidRPr="00925EA9" w:rsidRDefault="0025732F">
            <w:pPr>
              <w:tabs>
                <w:tab w:val="left" w:pos="1067"/>
              </w:tabs>
              <w:autoSpaceDE w:val="0"/>
              <w:autoSpaceDN w:val="0"/>
              <w:adjustRightInd w:val="0"/>
              <w:rPr>
                <w:rFonts w:cs="Arial"/>
                <w:color w:val="000000"/>
                <w:sz w:val="20"/>
                <w:szCs w:val="20"/>
              </w:rPr>
            </w:pPr>
            <w:r>
              <w:rPr>
                <w:rFonts w:cs="Arial"/>
                <w:color w:val="000000"/>
                <w:sz w:val="20"/>
                <w:szCs w:val="20"/>
              </w:rPr>
              <w:t>Intention to treat RCT.</w:t>
            </w:r>
          </w:p>
        </w:tc>
      </w:tr>
      <w:tr w:rsidR="0025732F" w:rsidRPr="00925EA9" w14:paraId="7B5884C6" w14:textId="77777777">
        <w:tc>
          <w:tcPr>
            <w:tcW w:w="3114" w:type="dxa"/>
          </w:tcPr>
          <w:p w14:paraId="616C8F93"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1CCCE421" w14:textId="77777777" w:rsidR="0025732F" w:rsidRPr="002846E4" w:rsidRDefault="0025732F">
            <w:pPr>
              <w:pStyle w:val="NoSpacing"/>
              <w:spacing w:line="240" w:lineRule="auto"/>
              <w:rPr>
                <w:sz w:val="20"/>
                <w:szCs w:val="20"/>
              </w:rPr>
            </w:pPr>
            <w:r w:rsidRPr="002846E4">
              <w:rPr>
                <w:sz w:val="20"/>
                <w:szCs w:val="20"/>
              </w:rPr>
              <w:t>Intervention (n=11) and comparison (n=10).</w:t>
            </w:r>
          </w:p>
        </w:tc>
      </w:tr>
      <w:tr w:rsidR="0025732F" w:rsidRPr="00925EA9" w14:paraId="00E7C16B" w14:textId="77777777">
        <w:tc>
          <w:tcPr>
            <w:tcW w:w="3114" w:type="dxa"/>
          </w:tcPr>
          <w:p w14:paraId="0DEAA861"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7E4A3BDE" w14:textId="77777777" w:rsidR="0025732F" w:rsidRPr="00925EA9" w:rsidRDefault="0025732F">
            <w:pPr>
              <w:tabs>
                <w:tab w:val="left" w:pos="1067"/>
              </w:tabs>
              <w:rPr>
                <w:rFonts w:cs="Arial"/>
                <w:sz w:val="20"/>
                <w:szCs w:val="20"/>
              </w:rPr>
            </w:pPr>
            <w:r>
              <w:rPr>
                <w:rFonts w:cs="Arial"/>
                <w:sz w:val="20"/>
                <w:szCs w:val="20"/>
              </w:rPr>
              <w:t xml:space="preserve">The </w:t>
            </w:r>
            <w:r w:rsidRPr="005C5F68">
              <w:rPr>
                <w:rFonts w:cs="Arial"/>
                <w:sz w:val="20"/>
                <w:szCs w:val="20"/>
              </w:rPr>
              <w:t xml:space="preserve">intervention was delivered at home to parents in six weekly lasting approximately 1 h each. Parents received psychoeducational content </w:t>
            </w:r>
            <w:r>
              <w:rPr>
                <w:rFonts w:cs="Arial"/>
                <w:sz w:val="20"/>
                <w:szCs w:val="20"/>
              </w:rPr>
              <w:t>and</w:t>
            </w:r>
            <w:r w:rsidRPr="005C5F68">
              <w:rPr>
                <w:rFonts w:cs="Arial"/>
                <w:sz w:val="20"/>
                <w:szCs w:val="20"/>
              </w:rPr>
              <w:t xml:space="preserve"> parenting training.</w:t>
            </w:r>
            <w:r w:rsidRPr="001C6F02">
              <w:rPr>
                <w:rFonts w:cs="Arial"/>
                <w:sz w:val="20"/>
                <w:szCs w:val="20"/>
              </w:rPr>
              <w:t xml:space="preserve"> TAU involved </w:t>
            </w:r>
            <w:r>
              <w:rPr>
                <w:rFonts w:cs="Arial"/>
                <w:sz w:val="20"/>
                <w:szCs w:val="20"/>
              </w:rPr>
              <w:t>care</w:t>
            </w:r>
            <w:r w:rsidRPr="001C6F02">
              <w:rPr>
                <w:rFonts w:cs="Arial"/>
                <w:sz w:val="20"/>
                <w:szCs w:val="20"/>
              </w:rPr>
              <w:t xml:space="preserve"> management activities. All wait-list control group families received weekly-to-monthly visits </w:t>
            </w:r>
            <w:r>
              <w:rPr>
                <w:rFonts w:cs="Arial"/>
                <w:sz w:val="20"/>
                <w:szCs w:val="20"/>
              </w:rPr>
              <w:t xml:space="preserve">at home </w:t>
            </w:r>
            <w:r w:rsidRPr="001C6F02">
              <w:rPr>
                <w:rFonts w:cs="Arial"/>
                <w:sz w:val="20"/>
                <w:szCs w:val="20"/>
              </w:rPr>
              <w:t xml:space="preserve">as well as other </w:t>
            </w:r>
            <w:r>
              <w:rPr>
                <w:rFonts w:cs="Arial"/>
                <w:sz w:val="20"/>
                <w:szCs w:val="20"/>
              </w:rPr>
              <w:t>care</w:t>
            </w:r>
            <w:r w:rsidRPr="001C6F02">
              <w:rPr>
                <w:rFonts w:cs="Arial"/>
                <w:sz w:val="20"/>
                <w:szCs w:val="20"/>
              </w:rPr>
              <w:t xml:space="preserve"> management s</w:t>
            </w:r>
            <w:r>
              <w:rPr>
                <w:rFonts w:cs="Arial"/>
                <w:sz w:val="20"/>
                <w:szCs w:val="20"/>
              </w:rPr>
              <w:t>upport</w:t>
            </w:r>
            <w:r w:rsidRPr="001C6F02">
              <w:rPr>
                <w:rFonts w:cs="Arial"/>
                <w:sz w:val="20"/>
                <w:szCs w:val="20"/>
              </w:rPr>
              <w:t>.</w:t>
            </w:r>
          </w:p>
        </w:tc>
      </w:tr>
      <w:tr w:rsidR="0025732F" w:rsidRPr="00925EA9" w14:paraId="28D8CF06" w14:textId="77777777">
        <w:tc>
          <w:tcPr>
            <w:tcW w:w="3114" w:type="dxa"/>
          </w:tcPr>
          <w:p w14:paraId="55F3CC75" w14:textId="77777777" w:rsidR="0025732F" w:rsidRPr="00925EA9" w:rsidRDefault="0025732F">
            <w:pPr>
              <w:rPr>
                <w:rFonts w:cs="Arial"/>
                <w:sz w:val="20"/>
                <w:szCs w:val="20"/>
              </w:rPr>
            </w:pPr>
            <w:r w:rsidRPr="00925EA9">
              <w:rPr>
                <w:rFonts w:cs="Arial"/>
                <w:sz w:val="20"/>
                <w:szCs w:val="20"/>
              </w:rPr>
              <w:t>Country</w:t>
            </w:r>
          </w:p>
        </w:tc>
        <w:tc>
          <w:tcPr>
            <w:tcW w:w="10773" w:type="dxa"/>
          </w:tcPr>
          <w:p w14:paraId="04F79341" w14:textId="77777777" w:rsidR="0025732F" w:rsidRPr="00925EA9" w:rsidRDefault="0025732F">
            <w:pPr>
              <w:tabs>
                <w:tab w:val="left" w:pos="1067"/>
              </w:tabs>
              <w:rPr>
                <w:rFonts w:cs="Arial"/>
                <w:sz w:val="20"/>
                <w:szCs w:val="20"/>
              </w:rPr>
            </w:pPr>
            <w:r>
              <w:rPr>
                <w:rFonts w:cs="Arial"/>
                <w:sz w:val="20"/>
                <w:szCs w:val="20"/>
              </w:rPr>
              <w:t>USA (unspecified).</w:t>
            </w:r>
          </w:p>
        </w:tc>
      </w:tr>
      <w:tr w:rsidR="0025732F" w:rsidRPr="00925EA9" w14:paraId="2B1E8384" w14:textId="77777777">
        <w:tc>
          <w:tcPr>
            <w:tcW w:w="3114" w:type="dxa"/>
          </w:tcPr>
          <w:p w14:paraId="208AEBAE" w14:textId="77777777" w:rsidR="0025732F" w:rsidRPr="00925EA9" w:rsidRDefault="0025732F">
            <w:pPr>
              <w:rPr>
                <w:rFonts w:cs="Arial"/>
                <w:sz w:val="20"/>
                <w:szCs w:val="20"/>
              </w:rPr>
            </w:pPr>
            <w:r>
              <w:rPr>
                <w:rFonts w:cs="Arial"/>
                <w:sz w:val="20"/>
                <w:szCs w:val="20"/>
              </w:rPr>
              <w:t>Outcomes</w:t>
            </w:r>
          </w:p>
        </w:tc>
        <w:tc>
          <w:tcPr>
            <w:tcW w:w="10773" w:type="dxa"/>
          </w:tcPr>
          <w:p w14:paraId="0C80252A" w14:textId="77777777" w:rsidR="0025732F" w:rsidRPr="00925EA9" w:rsidRDefault="0025732F">
            <w:pPr>
              <w:tabs>
                <w:tab w:val="left" w:pos="1067"/>
              </w:tabs>
              <w:rPr>
                <w:rFonts w:cs="Arial"/>
                <w:sz w:val="20"/>
                <w:szCs w:val="20"/>
              </w:rPr>
            </w:pPr>
            <w:r w:rsidRPr="00FA1021">
              <w:rPr>
                <w:rFonts w:cs="Arial"/>
                <w:sz w:val="20"/>
                <w:szCs w:val="20"/>
              </w:rPr>
              <w:t xml:space="preserve">Intervention participants experienced </w:t>
            </w:r>
            <w:r>
              <w:rPr>
                <w:rFonts w:cs="Arial"/>
                <w:sz w:val="20"/>
                <w:szCs w:val="20"/>
              </w:rPr>
              <w:t>decreases</w:t>
            </w:r>
            <w:r w:rsidRPr="00FA1021">
              <w:rPr>
                <w:rFonts w:cs="Arial"/>
                <w:sz w:val="20"/>
                <w:szCs w:val="20"/>
              </w:rPr>
              <w:t xml:space="preserve"> in parenting stress (p &lt; 0.05, Cohen’s d = 0.98), child abuse potential (p &lt; 0.05, Cohen’s d = 1.03), and child behaviour problems (p &lt; 0.001, Cohen’s d = 3.28), as well as increases in mindfulness awareness (p &lt; 0.01, Cohen’s d = 1.37) and non-judgment (p &lt; 0.05, Cohen’s d = 1.21) compared to the control group.</w:t>
            </w:r>
          </w:p>
        </w:tc>
      </w:tr>
      <w:tr w:rsidR="0025732F" w:rsidRPr="00925EA9" w14:paraId="43B6FFCD" w14:textId="77777777">
        <w:tc>
          <w:tcPr>
            <w:tcW w:w="3114" w:type="dxa"/>
          </w:tcPr>
          <w:p w14:paraId="4CA82ED4"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6B19469E" w14:textId="77777777" w:rsidR="0025732F" w:rsidRPr="00925EA9" w:rsidRDefault="0025732F">
            <w:pPr>
              <w:tabs>
                <w:tab w:val="left" w:pos="1067"/>
              </w:tabs>
              <w:rPr>
                <w:rFonts w:cs="Arial"/>
                <w:sz w:val="20"/>
                <w:szCs w:val="20"/>
              </w:rPr>
            </w:pPr>
            <w:r>
              <w:rPr>
                <w:rFonts w:cs="Arial"/>
                <w:sz w:val="20"/>
                <w:szCs w:val="20"/>
              </w:rPr>
              <w:t>n/a</w:t>
            </w:r>
          </w:p>
        </w:tc>
      </w:tr>
      <w:tr w:rsidR="0025732F" w:rsidRPr="00925EA9" w14:paraId="66A6DA61" w14:textId="77777777">
        <w:tc>
          <w:tcPr>
            <w:tcW w:w="3114" w:type="dxa"/>
            <w:tcBorders>
              <w:bottom w:val="single" w:sz="4" w:space="0" w:color="auto"/>
            </w:tcBorders>
          </w:tcPr>
          <w:p w14:paraId="5E804498" w14:textId="77777777" w:rsidR="0025732F" w:rsidRPr="00925EA9" w:rsidRDefault="0025732F">
            <w:pPr>
              <w:rPr>
                <w:rFonts w:cs="Arial"/>
                <w:sz w:val="20"/>
                <w:szCs w:val="20"/>
              </w:rPr>
            </w:pPr>
            <w:r w:rsidRPr="00925EA9">
              <w:rPr>
                <w:rFonts w:cs="Arial"/>
                <w:sz w:val="20"/>
                <w:szCs w:val="20"/>
              </w:rPr>
              <w:t>Overall quality rating</w:t>
            </w:r>
          </w:p>
        </w:tc>
        <w:tc>
          <w:tcPr>
            <w:tcW w:w="10773" w:type="dxa"/>
            <w:tcBorders>
              <w:bottom w:val="single" w:sz="4" w:space="0" w:color="auto"/>
            </w:tcBorders>
          </w:tcPr>
          <w:p w14:paraId="79D47559" w14:textId="77777777" w:rsidR="0025732F" w:rsidRPr="00925EA9" w:rsidRDefault="0025732F">
            <w:pPr>
              <w:rPr>
                <w:rFonts w:cs="Arial"/>
                <w:sz w:val="20"/>
                <w:szCs w:val="20"/>
              </w:rPr>
            </w:pPr>
            <w:r>
              <w:rPr>
                <w:rFonts w:cs="Arial"/>
                <w:sz w:val="20"/>
                <w:szCs w:val="20"/>
              </w:rPr>
              <w:t>Low</w:t>
            </w:r>
          </w:p>
        </w:tc>
      </w:tr>
      <w:tr w:rsidR="0025732F" w:rsidRPr="00925EA9" w14:paraId="2D57CAE0" w14:textId="77777777">
        <w:tc>
          <w:tcPr>
            <w:tcW w:w="3114" w:type="dxa"/>
            <w:shd w:val="clear" w:color="auto" w:fill="D9E2F3" w:themeFill="accent1" w:themeFillTint="33"/>
          </w:tcPr>
          <w:p w14:paraId="2A14AF9B"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76A18427" w14:textId="35762C5C"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AuthorYear="1"&gt;&lt;Author&gt;Bruns&lt;/Author&gt;&lt;Year&gt;2012&lt;/Year&gt;&lt;RecNum&gt;134&lt;/RecNum&gt;&lt;DisplayText&gt;Bruns et al. (2012)&lt;/DisplayText&gt;&lt;record&gt;&lt;rec-number&gt;134&lt;/rec-number&gt;&lt;foreign-keys&gt;&lt;key app="EN" db-id="ffzvr5fstavwxoe9v04xf0wmp5t50as52da0" timestamp="1731671644" guid="c32176f1-d2cf-4e70-8315-e920ed8ee250"&gt;134&lt;/key&gt;&lt;/foreign-keys&gt;&lt;ref-type name="Journal Article"&gt;17&lt;/ref-type&gt;&lt;contributors&gt;&lt;authors&gt;&lt;author&gt;Bruns, Eric J.&lt;/author&gt;&lt;author&gt;Pullmann, Michael D.&lt;/author&gt;&lt;author&gt;Weathers, Ericka S.&lt;/author&gt;&lt;author&gt;Wirschem, Mark L.&lt;/author&gt;&lt;author&gt;Murphy, Jill K.&lt;/author&gt;&lt;/authors&gt;&lt;/contributors&gt;&lt;titles&gt;&lt;title&gt;Effects of a Multidisciplinary Family Treatment Drug Court on Child and Family Outcomes: Results of a Quasi-Experimental Study&lt;/title&gt;&lt;secondary-title&gt;Child Maltreatment&lt;/secondary-title&gt;&lt;/titles&gt;&lt;periodical&gt;&lt;full-title&gt;Child Maltreatment&lt;/full-title&gt;&lt;/periodical&gt;&lt;pages&gt;218-230&lt;/pages&gt;&lt;volume&gt;17&lt;/volume&gt;&lt;number&gt;3&lt;/number&gt;&lt;keywords&gt;&lt;keyword&gt;treatment,substance abuse,child welfare,parents/adults,children in child welfare&lt;/keyword&gt;&lt;/keywords&gt;&lt;dates&gt;&lt;year&gt;2012&lt;/year&gt;&lt;/dates&gt;&lt;accession-num&gt;22887954&lt;/accession-num&gt;&lt;urls&gt;&lt;related-urls&gt;&lt;url&gt;&lt;style face="underline" font="default" size="100%"&gt;http://journals.sagepub.com/doi/abs/10.1177/1077559512454216&lt;/style&gt;&lt;/url&gt;&lt;/related-urls&gt;&lt;/urls&gt;&lt;electronic-resource-num&gt;10.1177/1077559512454216&lt;/electronic-resource-num&gt;&lt;/record&gt;&lt;/Cite&gt;&lt;/EndNote&gt;</w:instrText>
            </w:r>
            <w:r w:rsidRPr="00925EA9">
              <w:rPr>
                <w:rFonts w:cs="Arial"/>
                <w:sz w:val="20"/>
                <w:szCs w:val="20"/>
              </w:rPr>
              <w:fldChar w:fldCharType="separate"/>
            </w:r>
            <w:r w:rsidR="00A77498">
              <w:rPr>
                <w:rFonts w:cs="Arial"/>
                <w:noProof/>
                <w:sz w:val="20"/>
                <w:szCs w:val="20"/>
              </w:rPr>
              <w:t>Bruns et al. (2012)</w:t>
            </w:r>
            <w:r w:rsidRPr="00925EA9">
              <w:rPr>
                <w:rFonts w:cs="Arial"/>
                <w:sz w:val="20"/>
                <w:szCs w:val="20"/>
              </w:rPr>
              <w:fldChar w:fldCharType="end"/>
            </w:r>
          </w:p>
        </w:tc>
      </w:tr>
      <w:tr w:rsidR="0025732F" w:rsidRPr="00925EA9" w14:paraId="632B974A" w14:textId="77777777">
        <w:tc>
          <w:tcPr>
            <w:tcW w:w="3114" w:type="dxa"/>
          </w:tcPr>
          <w:p w14:paraId="1C0EACD9" w14:textId="77777777" w:rsidR="0025732F" w:rsidRPr="00925EA9" w:rsidRDefault="0025732F">
            <w:pPr>
              <w:rPr>
                <w:rFonts w:cs="Arial"/>
                <w:sz w:val="20"/>
                <w:szCs w:val="20"/>
              </w:rPr>
            </w:pPr>
            <w:r w:rsidRPr="00925EA9">
              <w:rPr>
                <w:rFonts w:cs="Arial"/>
                <w:sz w:val="20"/>
                <w:szCs w:val="20"/>
              </w:rPr>
              <w:t>Aims</w:t>
            </w:r>
          </w:p>
        </w:tc>
        <w:tc>
          <w:tcPr>
            <w:tcW w:w="10773" w:type="dxa"/>
          </w:tcPr>
          <w:p w14:paraId="7A09C085" w14:textId="77777777" w:rsidR="0025732F" w:rsidRPr="00925EA9" w:rsidRDefault="0025732F">
            <w:pPr>
              <w:rPr>
                <w:rFonts w:cs="Arial"/>
                <w:sz w:val="20"/>
                <w:szCs w:val="20"/>
              </w:rPr>
            </w:pPr>
            <w:r w:rsidRPr="00925EA9">
              <w:rPr>
                <w:rFonts w:cs="Arial"/>
                <w:sz w:val="20"/>
                <w:szCs w:val="20"/>
              </w:rPr>
              <w:t xml:space="preserve">To examine the outcomes of participants in an FTDC, as compared to participants in the regular dependency court within the same jurisdiction. </w:t>
            </w:r>
          </w:p>
        </w:tc>
      </w:tr>
      <w:tr w:rsidR="0025732F" w:rsidRPr="00925EA9" w14:paraId="69DBD73B" w14:textId="77777777">
        <w:tc>
          <w:tcPr>
            <w:tcW w:w="3114" w:type="dxa"/>
          </w:tcPr>
          <w:p w14:paraId="1A57DE28" w14:textId="77777777" w:rsidR="0025732F" w:rsidRPr="00925EA9" w:rsidRDefault="0025732F">
            <w:pPr>
              <w:rPr>
                <w:rFonts w:cs="Arial"/>
                <w:sz w:val="20"/>
                <w:szCs w:val="20"/>
              </w:rPr>
            </w:pPr>
            <w:r w:rsidRPr="00925EA9">
              <w:rPr>
                <w:rFonts w:cs="Arial"/>
                <w:sz w:val="20"/>
                <w:szCs w:val="20"/>
              </w:rPr>
              <w:t>Design</w:t>
            </w:r>
          </w:p>
        </w:tc>
        <w:tc>
          <w:tcPr>
            <w:tcW w:w="10773" w:type="dxa"/>
          </w:tcPr>
          <w:p w14:paraId="37F26A11" w14:textId="77777777" w:rsidR="0025732F" w:rsidRPr="00925EA9" w:rsidRDefault="0025732F">
            <w:pPr>
              <w:rPr>
                <w:rFonts w:cs="Arial"/>
                <w:sz w:val="20"/>
                <w:szCs w:val="20"/>
              </w:rPr>
            </w:pPr>
            <w:r w:rsidRPr="00925EA9">
              <w:rPr>
                <w:rFonts w:cs="Arial"/>
                <w:sz w:val="20"/>
                <w:szCs w:val="20"/>
              </w:rPr>
              <w:t>Quasi-experimental study, using propensity score matching to adjust for differences between groups. Follow-up window: 1-3 years. Data were obtained from the Superior court, FTDC, children’s social care and substance misuse treatment administrative databases.</w:t>
            </w:r>
          </w:p>
        </w:tc>
      </w:tr>
      <w:tr w:rsidR="0025732F" w:rsidRPr="00925EA9" w14:paraId="3D41B642" w14:textId="77777777">
        <w:tc>
          <w:tcPr>
            <w:tcW w:w="3114" w:type="dxa"/>
          </w:tcPr>
          <w:p w14:paraId="31DCD018"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7F280481" w14:textId="77777777" w:rsidR="0025732F" w:rsidRPr="00925EA9" w:rsidRDefault="0025732F">
            <w:pPr>
              <w:rPr>
                <w:rFonts w:cs="Arial"/>
                <w:sz w:val="20"/>
                <w:szCs w:val="20"/>
              </w:rPr>
            </w:pPr>
            <w:r w:rsidRPr="00925EA9">
              <w:rPr>
                <w:rFonts w:cs="Arial"/>
                <w:sz w:val="20"/>
                <w:szCs w:val="20"/>
              </w:rPr>
              <w:t>Intervention (n=76) and Comparison (n=76).</w:t>
            </w:r>
          </w:p>
        </w:tc>
      </w:tr>
      <w:tr w:rsidR="0025732F" w:rsidRPr="00925EA9" w14:paraId="36BBCE0A" w14:textId="77777777">
        <w:tc>
          <w:tcPr>
            <w:tcW w:w="3114" w:type="dxa"/>
          </w:tcPr>
          <w:p w14:paraId="1CF9E350"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399225AA" w14:textId="77777777" w:rsidR="0025732F" w:rsidRPr="00925EA9" w:rsidRDefault="0025732F">
            <w:pPr>
              <w:rPr>
                <w:rFonts w:cs="Arial"/>
                <w:sz w:val="20"/>
                <w:szCs w:val="20"/>
              </w:rPr>
            </w:pPr>
            <w:r w:rsidRPr="00925EA9">
              <w:rPr>
                <w:rFonts w:cs="Arial"/>
                <w:sz w:val="20"/>
                <w:szCs w:val="20"/>
              </w:rPr>
              <w:t>Integrated FTDC, plus wraparound care.</w:t>
            </w:r>
          </w:p>
        </w:tc>
      </w:tr>
      <w:tr w:rsidR="0025732F" w:rsidRPr="00925EA9" w14:paraId="6F1A1422" w14:textId="77777777">
        <w:tc>
          <w:tcPr>
            <w:tcW w:w="3114" w:type="dxa"/>
          </w:tcPr>
          <w:p w14:paraId="5DDC22F5" w14:textId="77777777" w:rsidR="0025732F" w:rsidRPr="00925EA9" w:rsidRDefault="0025732F">
            <w:pPr>
              <w:rPr>
                <w:rFonts w:cs="Arial"/>
                <w:sz w:val="20"/>
                <w:szCs w:val="20"/>
              </w:rPr>
            </w:pPr>
            <w:r w:rsidRPr="00925EA9">
              <w:rPr>
                <w:rFonts w:cs="Arial"/>
                <w:sz w:val="20"/>
                <w:szCs w:val="20"/>
              </w:rPr>
              <w:lastRenderedPageBreak/>
              <w:t>Country</w:t>
            </w:r>
          </w:p>
        </w:tc>
        <w:tc>
          <w:tcPr>
            <w:tcW w:w="10773" w:type="dxa"/>
          </w:tcPr>
          <w:p w14:paraId="6135FC39" w14:textId="77777777" w:rsidR="0025732F" w:rsidRPr="00925EA9" w:rsidRDefault="0025732F">
            <w:pPr>
              <w:rPr>
                <w:rFonts w:cs="Arial"/>
                <w:sz w:val="20"/>
                <w:szCs w:val="20"/>
              </w:rPr>
            </w:pPr>
            <w:r w:rsidRPr="00925EA9">
              <w:rPr>
                <w:rFonts w:cs="Arial"/>
                <w:sz w:val="20"/>
                <w:szCs w:val="20"/>
              </w:rPr>
              <w:t>USA (King County, Washington).</w:t>
            </w:r>
          </w:p>
        </w:tc>
      </w:tr>
      <w:tr w:rsidR="0025732F" w:rsidRPr="00925EA9" w14:paraId="76800B28" w14:textId="77777777">
        <w:tc>
          <w:tcPr>
            <w:tcW w:w="3114" w:type="dxa"/>
          </w:tcPr>
          <w:p w14:paraId="56835F1A"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08E440F0" w14:textId="77777777" w:rsidR="0025732F" w:rsidRPr="00925EA9" w:rsidRDefault="0025732F">
            <w:pPr>
              <w:rPr>
                <w:rFonts w:cs="Arial"/>
                <w:sz w:val="20"/>
                <w:szCs w:val="20"/>
              </w:rPr>
            </w:pPr>
            <w:r w:rsidRPr="00925EA9">
              <w:rPr>
                <w:rFonts w:cs="Arial"/>
                <w:sz w:val="20"/>
                <w:szCs w:val="20"/>
              </w:rPr>
              <w:t>FTDC parents were 1.5 times more likely than non-FTDC parents to be admitted to substance use treatment (84% vs. 57%, X</w:t>
            </w:r>
            <w:r w:rsidRPr="00925EA9">
              <w:rPr>
                <w:rFonts w:cs="Arial"/>
                <w:sz w:val="20"/>
                <w:szCs w:val="20"/>
                <w:vertAlign w:val="superscript"/>
              </w:rPr>
              <w:t>2</w:t>
            </w:r>
            <w:r w:rsidRPr="00925EA9">
              <w:rPr>
                <w:rFonts w:cs="Arial"/>
                <w:sz w:val="20"/>
                <w:szCs w:val="20"/>
              </w:rPr>
              <w:t xml:space="preserve"> (1) = 12.79, p &lt; .01) and they entered treatment quicker (median 36 vs. 120 days, log-rank X</w:t>
            </w:r>
            <w:r w:rsidRPr="00925EA9">
              <w:rPr>
                <w:rFonts w:cs="Arial"/>
                <w:sz w:val="20"/>
                <w:szCs w:val="20"/>
                <w:vertAlign w:val="superscript"/>
              </w:rPr>
              <w:t>2</w:t>
            </w:r>
            <w:r w:rsidRPr="00925EA9">
              <w:rPr>
                <w:rFonts w:cs="Arial"/>
                <w:sz w:val="20"/>
                <w:szCs w:val="20"/>
              </w:rPr>
              <w:t xml:space="preserve"> = 10.9, p &lt; .01). FTDC parents were more likely than non-FTDC parents to receive treatment (116 mean treatment events [SD = 97] vs. 51 events [SD = 57], albeit both distributions were highly skewed (Mann-Whitney U = 694, p &lt; .01). </w:t>
            </w:r>
          </w:p>
          <w:p w14:paraId="379BFE85" w14:textId="77777777" w:rsidR="0025732F" w:rsidRPr="00925EA9" w:rsidRDefault="0025732F">
            <w:pPr>
              <w:rPr>
                <w:rFonts w:cs="Arial"/>
                <w:sz w:val="20"/>
                <w:szCs w:val="20"/>
              </w:rPr>
            </w:pPr>
            <w:r w:rsidRPr="00925EA9">
              <w:rPr>
                <w:rFonts w:cs="Arial"/>
                <w:sz w:val="20"/>
                <w:szCs w:val="20"/>
              </w:rPr>
              <w:t>FTDC parents remained in treatment longer, (log rank X</w:t>
            </w:r>
            <w:r w:rsidRPr="00925EA9">
              <w:rPr>
                <w:rFonts w:cs="Arial"/>
                <w:sz w:val="20"/>
                <w:szCs w:val="20"/>
                <w:vertAlign w:val="superscript"/>
              </w:rPr>
              <w:t>2</w:t>
            </w:r>
            <w:r w:rsidRPr="00925EA9">
              <w:rPr>
                <w:rFonts w:cs="Arial"/>
                <w:sz w:val="20"/>
                <w:szCs w:val="20"/>
              </w:rPr>
              <w:t xml:space="preserve"> = 3.7, ns, Breslow X</w:t>
            </w:r>
            <w:r w:rsidRPr="00925EA9">
              <w:rPr>
                <w:rFonts w:cs="Arial"/>
                <w:sz w:val="20"/>
                <w:szCs w:val="20"/>
                <w:vertAlign w:val="superscript"/>
              </w:rPr>
              <w:t>2</w:t>
            </w:r>
            <w:r w:rsidRPr="00925EA9">
              <w:rPr>
                <w:rFonts w:cs="Arial"/>
                <w:sz w:val="20"/>
                <w:szCs w:val="20"/>
              </w:rPr>
              <w:t xml:space="preserve"> = 5.4, ns, Tarone-Ware X</w:t>
            </w:r>
            <w:r w:rsidRPr="00925EA9">
              <w:rPr>
                <w:rFonts w:cs="Arial"/>
                <w:sz w:val="20"/>
                <w:szCs w:val="20"/>
                <w:vertAlign w:val="superscript"/>
              </w:rPr>
              <w:t>2</w:t>
            </w:r>
            <w:r w:rsidRPr="00925EA9">
              <w:rPr>
                <w:rFonts w:cs="Arial"/>
                <w:sz w:val="20"/>
                <w:szCs w:val="20"/>
              </w:rPr>
              <w:t xml:space="preserve"> = 5.0, ns), and were 1.3 times more likely to successfully complete treatment (72% vs. 54%, X</w:t>
            </w:r>
            <w:r w:rsidRPr="00925EA9">
              <w:rPr>
                <w:rFonts w:cs="Arial"/>
                <w:sz w:val="20"/>
                <w:szCs w:val="20"/>
                <w:vertAlign w:val="superscript"/>
              </w:rPr>
              <w:t>2</w:t>
            </w:r>
            <w:r w:rsidRPr="00925EA9">
              <w:rPr>
                <w:rFonts w:cs="Arial"/>
                <w:sz w:val="20"/>
                <w:szCs w:val="20"/>
              </w:rPr>
              <w:t xml:space="preserve"> (2) = 6.4, ns), however findings were not significant.</w:t>
            </w:r>
            <w:r>
              <w:rPr>
                <w:rFonts w:cs="Arial"/>
                <w:sz w:val="20"/>
                <w:szCs w:val="20"/>
              </w:rPr>
              <w:t xml:space="preserve"> </w:t>
            </w:r>
            <w:r w:rsidRPr="00925EA9">
              <w:rPr>
                <w:rFonts w:cs="Arial"/>
                <w:sz w:val="20"/>
                <w:szCs w:val="20"/>
              </w:rPr>
              <w:t>FTDC children spent less time in care (median 718 vs. 813 days, log rank X</w:t>
            </w:r>
            <w:r w:rsidRPr="00925EA9">
              <w:rPr>
                <w:rFonts w:cs="Arial"/>
                <w:sz w:val="20"/>
                <w:szCs w:val="20"/>
                <w:vertAlign w:val="superscript"/>
              </w:rPr>
              <w:t>2</w:t>
            </w:r>
            <w:r w:rsidRPr="00925EA9">
              <w:rPr>
                <w:rFonts w:cs="Arial"/>
                <w:sz w:val="20"/>
                <w:szCs w:val="20"/>
              </w:rPr>
              <w:t xml:space="preserve"> = 4.2, ns) returned home more quickly (median 476 vs. 689 days, log rank X</w:t>
            </w:r>
            <w:r w:rsidRPr="00925EA9">
              <w:rPr>
                <w:rFonts w:cs="Arial"/>
                <w:sz w:val="20"/>
                <w:szCs w:val="20"/>
                <w:vertAlign w:val="superscript"/>
              </w:rPr>
              <w:t>2</w:t>
            </w:r>
            <w:r w:rsidRPr="00925EA9">
              <w:rPr>
                <w:rFonts w:cs="Arial"/>
                <w:sz w:val="20"/>
                <w:szCs w:val="20"/>
              </w:rPr>
              <w:t xml:space="preserve"> = 4.6, ns) and were more likely to achieve permanency (61% vs. 43%, X</w:t>
            </w:r>
            <w:r w:rsidRPr="00925EA9">
              <w:rPr>
                <w:rFonts w:cs="Arial"/>
                <w:sz w:val="20"/>
                <w:szCs w:val="20"/>
                <w:vertAlign w:val="superscript"/>
              </w:rPr>
              <w:t>2</w:t>
            </w:r>
            <w:r w:rsidRPr="00925EA9">
              <w:rPr>
                <w:rFonts w:cs="Arial"/>
                <w:sz w:val="20"/>
                <w:szCs w:val="20"/>
              </w:rPr>
              <w:t xml:space="preserve"> = 4.5, ns). However, these outcomes were not statistically significant. FTDC children were 1.9 times more likely to be returned home (“returned to custody, on trial home visit, or reunified”; 55% vs. 29%, X</w:t>
            </w:r>
            <w:r w:rsidRPr="00925EA9">
              <w:rPr>
                <w:rFonts w:cs="Arial"/>
                <w:sz w:val="20"/>
                <w:szCs w:val="20"/>
                <w:vertAlign w:val="superscript"/>
              </w:rPr>
              <w:t>2</w:t>
            </w:r>
            <w:r w:rsidRPr="00925EA9">
              <w:rPr>
                <w:rFonts w:cs="Arial"/>
                <w:sz w:val="20"/>
                <w:szCs w:val="20"/>
              </w:rPr>
              <w:t xml:space="preserve"> (1) = 9.1, p &lt; .05). FTDC families were about half as likely as comparison families to have a subsequent child welfare investigation, however numbers were very small and results were not significant.</w:t>
            </w:r>
          </w:p>
        </w:tc>
      </w:tr>
      <w:tr w:rsidR="0025732F" w:rsidRPr="00925EA9" w14:paraId="38CDFA03" w14:textId="77777777">
        <w:tc>
          <w:tcPr>
            <w:tcW w:w="3114" w:type="dxa"/>
          </w:tcPr>
          <w:p w14:paraId="2938EB61"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07AAA6CF" w14:textId="77777777" w:rsidR="0025732F" w:rsidRPr="00925EA9" w:rsidRDefault="0025732F">
            <w:pPr>
              <w:rPr>
                <w:rFonts w:cs="Arial"/>
                <w:sz w:val="20"/>
                <w:szCs w:val="20"/>
              </w:rPr>
            </w:pPr>
            <w:r w:rsidRPr="00925EA9">
              <w:rPr>
                <w:rFonts w:cs="Arial"/>
                <w:sz w:val="20"/>
                <w:szCs w:val="20"/>
              </w:rPr>
              <w:t>N/A.</w:t>
            </w:r>
          </w:p>
        </w:tc>
      </w:tr>
      <w:tr w:rsidR="0025732F" w:rsidRPr="00925EA9" w14:paraId="56A092B6" w14:textId="77777777">
        <w:tc>
          <w:tcPr>
            <w:tcW w:w="3114" w:type="dxa"/>
          </w:tcPr>
          <w:p w14:paraId="50FD2260"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1A1C9C30" w14:textId="77777777" w:rsidR="0025732F" w:rsidRPr="00925EA9" w:rsidRDefault="0025732F">
            <w:pPr>
              <w:rPr>
                <w:rFonts w:cs="Arial"/>
                <w:sz w:val="20"/>
                <w:szCs w:val="20"/>
              </w:rPr>
            </w:pPr>
            <w:r w:rsidRPr="00925EA9">
              <w:rPr>
                <w:rFonts w:cs="Arial"/>
                <w:sz w:val="20"/>
                <w:szCs w:val="20"/>
              </w:rPr>
              <w:t>Moderate.</w:t>
            </w:r>
          </w:p>
        </w:tc>
      </w:tr>
      <w:tr w:rsidR="0025732F" w:rsidRPr="00925EA9" w14:paraId="308C650A" w14:textId="77777777">
        <w:tc>
          <w:tcPr>
            <w:tcW w:w="3114" w:type="dxa"/>
            <w:shd w:val="clear" w:color="auto" w:fill="D9E2F3" w:themeFill="accent1" w:themeFillTint="33"/>
          </w:tcPr>
          <w:p w14:paraId="69292F93"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6C1303F9" w14:textId="2139E10C"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AuthorYear="1"&gt;&lt;Author&gt;Burrus&lt;/Author&gt;&lt;Year&gt;2011&lt;/Year&gt;&lt;RecNum&gt;133&lt;/RecNum&gt;&lt;DisplayText&gt;Burrus et al. (2011)&lt;/DisplayText&gt;&lt;record&gt;&lt;rec-number&gt;133&lt;/rec-number&gt;&lt;foreign-keys&gt;&lt;key app="EN" db-id="ffzvr5fstavwxoe9v04xf0wmp5t50as52da0" timestamp="1731671644" guid="b00b1a6c-1426-4273-9501-5f4690c106a3"&gt;133&lt;/key&gt;&lt;/foreign-keys&gt;&lt;ref-type name="Journal Article"&gt;17&lt;/ref-type&gt;&lt;contributors&gt;&lt;authors&gt;&lt;author&gt;Burrus, S. W. M.,&lt;/author&gt;&lt;author&gt;Mackin, J. R., &lt;/author&gt;&lt;author&gt;Finigan, M. W.,&lt;/author&gt;&lt;/authors&gt;&lt;/contributors&gt;&lt;titles&gt;&lt;title&gt;Show Me the Money: Child Welfare Cost Savings of a Family Drug Court&lt;/title&gt;&lt;secondary-title&gt;Juvenile and Family Court Journal&lt;/secondary-title&gt;&lt;/titles&gt;&lt;periodical&gt;&lt;full-title&gt;Juvenile and Family Court Journal&lt;/full-title&gt;&lt;/periodical&gt;&lt;pages&gt;1-14&lt;/pages&gt;&lt;volume&gt;62&lt;/volume&gt;&lt;number&gt;3&lt;/number&gt;&lt;dates&gt;&lt;year&gt;2011&lt;/year&gt;&lt;/dates&gt;&lt;pub-location&gt;Portland, Oregon&lt;/pub-location&gt;&lt;publisher&gt;National Council of Juvenile and Family Court Judges,&lt;/publisher&gt;&lt;urls&gt;&lt;/urls&gt;&lt;/record&gt;&lt;/Cite&gt;&lt;/EndNote&gt;</w:instrText>
            </w:r>
            <w:r w:rsidRPr="00925EA9">
              <w:rPr>
                <w:rFonts w:cs="Arial"/>
                <w:sz w:val="20"/>
                <w:szCs w:val="20"/>
              </w:rPr>
              <w:fldChar w:fldCharType="separate"/>
            </w:r>
            <w:r w:rsidR="00A77498">
              <w:rPr>
                <w:rFonts w:cs="Arial"/>
                <w:noProof/>
                <w:sz w:val="20"/>
                <w:szCs w:val="20"/>
              </w:rPr>
              <w:t>Burrus et al. (2011)</w:t>
            </w:r>
            <w:r w:rsidRPr="00925EA9">
              <w:rPr>
                <w:rFonts w:cs="Arial"/>
                <w:sz w:val="20"/>
                <w:szCs w:val="20"/>
              </w:rPr>
              <w:fldChar w:fldCharType="end"/>
            </w:r>
          </w:p>
        </w:tc>
      </w:tr>
      <w:tr w:rsidR="0025732F" w:rsidRPr="00925EA9" w14:paraId="62C352CD" w14:textId="77777777">
        <w:tc>
          <w:tcPr>
            <w:tcW w:w="3114" w:type="dxa"/>
          </w:tcPr>
          <w:p w14:paraId="150CF499" w14:textId="77777777" w:rsidR="0025732F" w:rsidRPr="00925EA9" w:rsidRDefault="0025732F">
            <w:pPr>
              <w:rPr>
                <w:rFonts w:cs="Arial"/>
                <w:sz w:val="20"/>
                <w:szCs w:val="20"/>
              </w:rPr>
            </w:pPr>
            <w:r w:rsidRPr="00925EA9">
              <w:rPr>
                <w:rFonts w:cs="Arial"/>
                <w:sz w:val="20"/>
                <w:szCs w:val="20"/>
              </w:rPr>
              <w:t>Aims</w:t>
            </w:r>
          </w:p>
        </w:tc>
        <w:tc>
          <w:tcPr>
            <w:tcW w:w="10773" w:type="dxa"/>
          </w:tcPr>
          <w:p w14:paraId="2D103B65" w14:textId="77777777" w:rsidR="0025732F" w:rsidRPr="00925EA9" w:rsidRDefault="0025732F">
            <w:pPr>
              <w:rPr>
                <w:rFonts w:cs="Arial"/>
                <w:sz w:val="20"/>
                <w:szCs w:val="20"/>
              </w:rPr>
            </w:pPr>
            <w:r w:rsidRPr="00925EA9">
              <w:rPr>
                <w:rFonts w:cs="Arial"/>
                <w:sz w:val="20"/>
                <w:szCs w:val="20"/>
              </w:rPr>
              <w:t xml:space="preserve">To examine the costs and effects of FTDC on treatment and child welfare outcomes. </w:t>
            </w:r>
          </w:p>
        </w:tc>
      </w:tr>
      <w:tr w:rsidR="0025732F" w:rsidRPr="00925EA9" w14:paraId="30B9326B" w14:textId="77777777">
        <w:tc>
          <w:tcPr>
            <w:tcW w:w="3114" w:type="dxa"/>
          </w:tcPr>
          <w:p w14:paraId="7A4C7CC1" w14:textId="77777777" w:rsidR="0025732F" w:rsidRPr="00925EA9" w:rsidRDefault="0025732F">
            <w:pPr>
              <w:rPr>
                <w:rFonts w:cs="Arial"/>
                <w:sz w:val="20"/>
                <w:szCs w:val="20"/>
              </w:rPr>
            </w:pPr>
            <w:r w:rsidRPr="00925EA9">
              <w:rPr>
                <w:rFonts w:cs="Arial"/>
                <w:sz w:val="20"/>
                <w:szCs w:val="20"/>
              </w:rPr>
              <w:t>Design</w:t>
            </w:r>
          </w:p>
        </w:tc>
        <w:tc>
          <w:tcPr>
            <w:tcW w:w="10773" w:type="dxa"/>
          </w:tcPr>
          <w:p w14:paraId="635AE2BC" w14:textId="77777777" w:rsidR="0025732F" w:rsidRPr="00925EA9" w:rsidRDefault="0025732F">
            <w:pPr>
              <w:rPr>
                <w:rFonts w:cs="Arial"/>
                <w:sz w:val="20"/>
                <w:szCs w:val="20"/>
              </w:rPr>
            </w:pPr>
            <w:r w:rsidRPr="00925EA9">
              <w:rPr>
                <w:rFonts w:cs="Arial"/>
                <w:sz w:val="20"/>
                <w:szCs w:val="20"/>
              </w:rPr>
              <w:t>Quasi-experimental using an administrative data extraction tool used in previous studies.</w:t>
            </w:r>
          </w:p>
        </w:tc>
      </w:tr>
      <w:tr w:rsidR="0025732F" w:rsidRPr="00925EA9" w14:paraId="307BA5C3" w14:textId="77777777">
        <w:tc>
          <w:tcPr>
            <w:tcW w:w="3114" w:type="dxa"/>
          </w:tcPr>
          <w:p w14:paraId="4BD010D5"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08228CAE" w14:textId="77777777" w:rsidR="0025732F" w:rsidRPr="00925EA9" w:rsidRDefault="0025732F">
            <w:pPr>
              <w:rPr>
                <w:rFonts w:cs="Arial"/>
                <w:sz w:val="20"/>
                <w:szCs w:val="20"/>
              </w:rPr>
            </w:pPr>
            <w:r w:rsidRPr="00925EA9">
              <w:rPr>
                <w:rFonts w:cs="Arial"/>
                <w:sz w:val="20"/>
                <w:szCs w:val="20"/>
              </w:rPr>
              <w:t>Intervention (n=200) and Comparison (n=200).</w:t>
            </w:r>
          </w:p>
        </w:tc>
      </w:tr>
      <w:tr w:rsidR="0025732F" w:rsidRPr="00925EA9" w14:paraId="3DF9C15A" w14:textId="77777777">
        <w:tc>
          <w:tcPr>
            <w:tcW w:w="3114" w:type="dxa"/>
          </w:tcPr>
          <w:p w14:paraId="1292E64F"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289A2E95" w14:textId="77777777" w:rsidR="0025732F" w:rsidRPr="00925EA9" w:rsidRDefault="0025732F">
            <w:pPr>
              <w:rPr>
                <w:rFonts w:cs="Arial"/>
                <w:sz w:val="20"/>
                <w:szCs w:val="20"/>
              </w:rPr>
            </w:pPr>
            <w:r w:rsidRPr="00925EA9">
              <w:rPr>
                <w:rFonts w:cs="Arial"/>
                <w:sz w:val="20"/>
                <w:szCs w:val="20"/>
              </w:rPr>
              <w:t>Integrated FTDC.</w:t>
            </w:r>
          </w:p>
        </w:tc>
      </w:tr>
      <w:tr w:rsidR="0025732F" w:rsidRPr="00925EA9" w14:paraId="57D7B1C4" w14:textId="77777777">
        <w:tc>
          <w:tcPr>
            <w:tcW w:w="3114" w:type="dxa"/>
          </w:tcPr>
          <w:p w14:paraId="317B6E84" w14:textId="77777777" w:rsidR="0025732F" w:rsidRPr="00925EA9" w:rsidRDefault="0025732F">
            <w:pPr>
              <w:rPr>
                <w:rFonts w:cs="Arial"/>
                <w:sz w:val="20"/>
                <w:szCs w:val="20"/>
              </w:rPr>
            </w:pPr>
            <w:r w:rsidRPr="00925EA9">
              <w:rPr>
                <w:rFonts w:cs="Arial"/>
                <w:sz w:val="20"/>
                <w:szCs w:val="20"/>
              </w:rPr>
              <w:t>Country</w:t>
            </w:r>
          </w:p>
        </w:tc>
        <w:tc>
          <w:tcPr>
            <w:tcW w:w="10773" w:type="dxa"/>
          </w:tcPr>
          <w:p w14:paraId="674B891B" w14:textId="77777777" w:rsidR="0025732F" w:rsidRPr="00925EA9" w:rsidRDefault="0025732F">
            <w:pPr>
              <w:rPr>
                <w:rFonts w:cs="Arial"/>
                <w:sz w:val="20"/>
                <w:szCs w:val="20"/>
              </w:rPr>
            </w:pPr>
            <w:r w:rsidRPr="00925EA9">
              <w:rPr>
                <w:rFonts w:cs="Arial"/>
                <w:sz w:val="20"/>
                <w:szCs w:val="20"/>
              </w:rPr>
              <w:t>USA (Baltimore City, Maryland).</w:t>
            </w:r>
          </w:p>
        </w:tc>
      </w:tr>
      <w:tr w:rsidR="0025732F" w:rsidRPr="00925EA9" w14:paraId="32D9041B" w14:textId="77777777">
        <w:tc>
          <w:tcPr>
            <w:tcW w:w="3114" w:type="dxa"/>
          </w:tcPr>
          <w:p w14:paraId="08CB87B2"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032162D4" w14:textId="77777777" w:rsidR="0025732F" w:rsidRPr="00925EA9" w:rsidRDefault="0025732F">
            <w:pPr>
              <w:rPr>
                <w:rFonts w:cs="Arial"/>
                <w:sz w:val="20"/>
                <w:szCs w:val="20"/>
              </w:rPr>
            </w:pPr>
            <w:r w:rsidRPr="00925EA9">
              <w:rPr>
                <w:rFonts w:cs="Arial"/>
                <w:sz w:val="20"/>
                <w:szCs w:val="20"/>
              </w:rPr>
              <w:t>Parents on the programme entered treatment sooner (57 vs 88 days (F(1, 233) = -4.72, p &lt; .01) and were retained for longer (138 vs 82 days) (F(1, 233) = 6.84, p &lt; .01). Of parents who entered treatment, 64% of those on the programme completed compared with 36% parents not on the programme (X</w:t>
            </w:r>
            <w:r w:rsidRPr="00925EA9">
              <w:rPr>
                <w:rFonts w:cs="Arial"/>
                <w:sz w:val="20"/>
                <w:szCs w:val="20"/>
                <w:vertAlign w:val="superscript"/>
              </w:rPr>
              <w:t>2</w:t>
            </w:r>
            <w:r w:rsidRPr="00925EA9">
              <w:rPr>
                <w:rFonts w:cs="Arial"/>
                <w:sz w:val="20"/>
                <w:szCs w:val="20"/>
              </w:rPr>
              <w:t xml:space="preserve"> (1) = 5.8, p &lt; .01).</w:t>
            </w:r>
            <w:r>
              <w:rPr>
                <w:rFonts w:cs="Arial"/>
                <w:sz w:val="20"/>
                <w:szCs w:val="20"/>
              </w:rPr>
              <w:t xml:space="preserve"> </w:t>
            </w:r>
            <w:r w:rsidRPr="00925EA9">
              <w:rPr>
                <w:rFonts w:cs="Arial"/>
                <w:sz w:val="20"/>
                <w:szCs w:val="20"/>
              </w:rPr>
              <w:t>Children whose parents were on the programme spent significantly less time in foster care: 252 vs. 346 days (F(1, 303) = 14, p &lt; .00). Of cases that did reach permanency, the non-programme cases did so faster (249 vs. 325 days) (F(1, 116) = 7.19, p &lt; .01).There were significantly more family reunifications in the families on the programme: 70% vs 45%. (X</w:t>
            </w:r>
            <w:r w:rsidRPr="00925EA9">
              <w:rPr>
                <w:rFonts w:cs="Arial"/>
                <w:sz w:val="20"/>
                <w:szCs w:val="20"/>
                <w:vertAlign w:val="superscript"/>
              </w:rPr>
              <w:t>2</w:t>
            </w:r>
            <w:r w:rsidRPr="00925EA9">
              <w:rPr>
                <w:rFonts w:cs="Arial"/>
                <w:sz w:val="20"/>
                <w:szCs w:val="20"/>
              </w:rPr>
              <w:t xml:space="preserve"> (1) = 9.49, p = .000).</w:t>
            </w:r>
          </w:p>
        </w:tc>
      </w:tr>
      <w:tr w:rsidR="0025732F" w:rsidRPr="00925EA9" w14:paraId="1AED596E" w14:textId="77777777">
        <w:tc>
          <w:tcPr>
            <w:tcW w:w="3114" w:type="dxa"/>
          </w:tcPr>
          <w:p w14:paraId="4A7F5647"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121DC3CD" w14:textId="77777777" w:rsidR="0025732F" w:rsidRPr="00925EA9" w:rsidRDefault="0025732F">
            <w:pPr>
              <w:rPr>
                <w:rFonts w:cs="Arial"/>
                <w:sz w:val="20"/>
                <w:szCs w:val="20"/>
              </w:rPr>
            </w:pPr>
            <w:r w:rsidRPr="00925EA9">
              <w:rPr>
                <w:rFonts w:cs="Arial"/>
                <w:sz w:val="20"/>
                <w:szCs w:val="20"/>
              </w:rPr>
              <w:t>Net savings of $5,478 per family.</w:t>
            </w:r>
          </w:p>
        </w:tc>
      </w:tr>
      <w:tr w:rsidR="0025732F" w:rsidRPr="00925EA9" w14:paraId="28D45F2E" w14:textId="77777777">
        <w:trPr>
          <w:trHeight w:val="188"/>
        </w:trPr>
        <w:tc>
          <w:tcPr>
            <w:tcW w:w="3114" w:type="dxa"/>
          </w:tcPr>
          <w:p w14:paraId="1E8C8F27"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115C9BDE" w14:textId="77777777" w:rsidR="0025732F" w:rsidRPr="00925EA9" w:rsidRDefault="0025732F">
            <w:pPr>
              <w:rPr>
                <w:rFonts w:cs="Arial"/>
                <w:sz w:val="20"/>
                <w:szCs w:val="20"/>
              </w:rPr>
            </w:pPr>
            <w:r w:rsidRPr="00925EA9">
              <w:rPr>
                <w:rFonts w:cs="Arial"/>
                <w:sz w:val="20"/>
                <w:szCs w:val="20"/>
              </w:rPr>
              <w:t>Moderate.</w:t>
            </w:r>
          </w:p>
        </w:tc>
      </w:tr>
      <w:tr w:rsidR="0025732F" w:rsidRPr="00925EA9" w14:paraId="3BF43077" w14:textId="77777777">
        <w:tc>
          <w:tcPr>
            <w:tcW w:w="3114" w:type="dxa"/>
            <w:shd w:val="clear" w:color="auto" w:fill="D9E2F3" w:themeFill="accent1" w:themeFillTint="33"/>
          </w:tcPr>
          <w:p w14:paraId="76541EC8"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142DCBE8" w14:textId="26AD492F"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AuthorYear="1"&gt;&lt;Author&gt;Chuang&lt;/Author&gt;&lt;Year&gt;2012&lt;/Year&gt;&lt;RecNum&gt;132&lt;/RecNum&gt;&lt;DisplayText&gt;Chuang et al. (2012)&lt;/DisplayText&gt;&lt;record&gt;&lt;rec-number&gt;132&lt;/rec-number&gt;&lt;foreign-keys&gt;&lt;key app="EN" db-id="ffzvr5fstavwxoe9v04xf0wmp5t50as52da0" timestamp="1731671644" guid="6eab477d-5f5e-4f1e-beda-012c7eadf05f"&gt;132&lt;/key&gt;&lt;/foreign-keys&gt;&lt;ref-type name="Journal Article"&gt;17&lt;/ref-type&gt;&lt;contributors&gt;&lt;authors&gt;&lt;author&gt;Chuang, Emmeline&lt;/author&gt;&lt;author&gt;Moore, Kathleen&lt;/author&gt;&lt;author&gt;Barrett, Blake&lt;/author&gt;&lt;author&gt;Young, M. Scott&lt;/author&gt;&lt;/authors&gt;&lt;/contributors&gt;&lt;titles&gt;&lt;title&gt;Effect of an integrated family dependency treatment court on child welfare reunification, time to permanency and re-entry rates&lt;/title&gt;&lt;secondary-title&gt;Children and Youth Services Review&lt;/secondary-title&gt;&lt;/titles&gt;&lt;periodical&gt;&lt;full-title&gt;Children and Youth Services Review&lt;/full-title&gt;&lt;/periodical&gt;&lt;pages&gt;1896-1902&lt;/pages&gt;&lt;volume&gt;34&lt;/volume&gt;&lt;number&gt;9&lt;/number&gt;&lt;keywords&gt;&lt;keyword&gt;Substance abuse treatment&lt;/keyword&gt;&lt;keyword&gt;Child welfare&lt;/keyword&gt;&lt;keyword&gt;Family dependency treatment court&lt;/keyword&gt;&lt;/keywords&gt;&lt;dates&gt;&lt;year&gt;2012&lt;/year&gt;&lt;pub-dates&gt;&lt;date&gt;2012/09/01/&lt;/date&gt;&lt;/pub-dates&gt;&lt;/dates&gt;&lt;isbn&gt;0190-7409&lt;/isbn&gt;&lt;urls&gt;&lt;related-urls&gt;&lt;url&gt;http://www.sciencedirect.com/science/article/pii/S0190740912002459&lt;/url&gt;&lt;/related-urls&gt;&lt;/urls&gt;&lt;electronic-resource-num&gt;https://doi.org/10.1016/j.childyouth.2012.06.001&lt;/electronic-resource-num&gt;&lt;/record&gt;&lt;/Cite&gt;&lt;/EndNote&gt;</w:instrText>
            </w:r>
            <w:r w:rsidRPr="00925EA9">
              <w:rPr>
                <w:rFonts w:cs="Arial"/>
                <w:sz w:val="20"/>
                <w:szCs w:val="20"/>
              </w:rPr>
              <w:fldChar w:fldCharType="separate"/>
            </w:r>
            <w:r w:rsidR="00A77498">
              <w:rPr>
                <w:rFonts w:cs="Arial"/>
                <w:noProof/>
                <w:sz w:val="20"/>
                <w:szCs w:val="20"/>
              </w:rPr>
              <w:t>Chuang et al. (2012)</w:t>
            </w:r>
            <w:r w:rsidRPr="00925EA9">
              <w:rPr>
                <w:rFonts w:cs="Arial"/>
                <w:sz w:val="20"/>
                <w:szCs w:val="20"/>
              </w:rPr>
              <w:fldChar w:fldCharType="end"/>
            </w:r>
          </w:p>
        </w:tc>
      </w:tr>
      <w:tr w:rsidR="0025732F" w:rsidRPr="00925EA9" w14:paraId="71958C5B" w14:textId="77777777">
        <w:tc>
          <w:tcPr>
            <w:tcW w:w="3114" w:type="dxa"/>
          </w:tcPr>
          <w:p w14:paraId="21F40D04" w14:textId="77777777" w:rsidR="0025732F" w:rsidRPr="00925EA9" w:rsidRDefault="0025732F">
            <w:pPr>
              <w:rPr>
                <w:rFonts w:cs="Arial"/>
                <w:sz w:val="20"/>
                <w:szCs w:val="20"/>
              </w:rPr>
            </w:pPr>
            <w:r w:rsidRPr="00925EA9">
              <w:rPr>
                <w:rFonts w:cs="Arial"/>
                <w:sz w:val="20"/>
                <w:szCs w:val="20"/>
              </w:rPr>
              <w:t>Aims</w:t>
            </w:r>
          </w:p>
        </w:tc>
        <w:tc>
          <w:tcPr>
            <w:tcW w:w="10773" w:type="dxa"/>
          </w:tcPr>
          <w:p w14:paraId="2AA40661" w14:textId="77777777" w:rsidR="0025732F" w:rsidRPr="00925EA9" w:rsidRDefault="0025732F">
            <w:pPr>
              <w:rPr>
                <w:rFonts w:cs="Arial"/>
                <w:sz w:val="20"/>
                <w:szCs w:val="20"/>
              </w:rPr>
            </w:pPr>
            <w:r w:rsidRPr="00925EA9">
              <w:rPr>
                <w:rFonts w:cs="Arial"/>
                <w:sz w:val="20"/>
                <w:szCs w:val="20"/>
              </w:rPr>
              <w:t>To examine whether caregiver participation in an integrated FTDC positively impacted three child welfare outcomes: reunification, time to permanency, and re-entry into care.</w:t>
            </w:r>
          </w:p>
        </w:tc>
      </w:tr>
      <w:tr w:rsidR="0025732F" w:rsidRPr="00925EA9" w14:paraId="1B27D417" w14:textId="77777777">
        <w:tc>
          <w:tcPr>
            <w:tcW w:w="3114" w:type="dxa"/>
          </w:tcPr>
          <w:p w14:paraId="11366617" w14:textId="77777777" w:rsidR="0025732F" w:rsidRPr="00925EA9" w:rsidRDefault="0025732F">
            <w:pPr>
              <w:rPr>
                <w:rFonts w:cs="Arial"/>
                <w:sz w:val="20"/>
                <w:szCs w:val="20"/>
              </w:rPr>
            </w:pPr>
            <w:r w:rsidRPr="00925EA9">
              <w:rPr>
                <w:rFonts w:cs="Arial"/>
                <w:sz w:val="20"/>
                <w:szCs w:val="20"/>
              </w:rPr>
              <w:t>Design</w:t>
            </w:r>
          </w:p>
        </w:tc>
        <w:tc>
          <w:tcPr>
            <w:tcW w:w="10773" w:type="dxa"/>
          </w:tcPr>
          <w:p w14:paraId="6EF72A8A" w14:textId="77777777" w:rsidR="0025732F" w:rsidRPr="00925EA9" w:rsidRDefault="0025732F">
            <w:pPr>
              <w:rPr>
                <w:rFonts w:cs="Arial"/>
                <w:sz w:val="20"/>
                <w:szCs w:val="20"/>
              </w:rPr>
            </w:pPr>
            <w:r w:rsidRPr="00925EA9">
              <w:rPr>
                <w:rFonts w:cs="Arial"/>
                <w:sz w:val="20"/>
                <w:szCs w:val="20"/>
              </w:rPr>
              <w:t>Quasi-experimental study. Comparison group taken from child welfare administrative data comprising similar families in a neighbouring county similar to the intervention site, using propensity score matching to adjust for differences between groups. Follow-up of two years.</w:t>
            </w:r>
          </w:p>
        </w:tc>
      </w:tr>
      <w:tr w:rsidR="0025732F" w:rsidRPr="00925EA9" w14:paraId="31C4D49F" w14:textId="77777777">
        <w:tc>
          <w:tcPr>
            <w:tcW w:w="3114" w:type="dxa"/>
          </w:tcPr>
          <w:p w14:paraId="620035D1"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3D1D8D5C" w14:textId="77777777" w:rsidR="0025732F" w:rsidRPr="00925EA9" w:rsidRDefault="0025732F">
            <w:pPr>
              <w:rPr>
                <w:rFonts w:cs="Arial"/>
                <w:sz w:val="20"/>
                <w:szCs w:val="20"/>
              </w:rPr>
            </w:pPr>
            <w:r w:rsidRPr="00925EA9">
              <w:rPr>
                <w:rFonts w:cs="Arial"/>
                <w:sz w:val="20"/>
                <w:szCs w:val="20"/>
              </w:rPr>
              <w:t>Intervention (n=95) and Comparison (n=424).</w:t>
            </w:r>
          </w:p>
        </w:tc>
      </w:tr>
      <w:tr w:rsidR="0025732F" w:rsidRPr="00925EA9" w14:paraId="79EAEC39" w14:textId="77777777">
        <w:tc>
          <w:tcPr>
            <w:tcW w:w="3114" w:type="dxa"/>
          </w:tcPr>
          <w:p w14:paraId="671D9533"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74F1C3A1" w14:textId="77777777" w:rsidR="0025732F" w:rsidRPr="00925EA9" w:rsidRDefault="0025732F">
            <w:pPr>
              <w:rPr>
                <w:rFonts w:cs="Arial"/>
                <w:sz w:val="20"/>
                <w:szCs w:val="20"/>
              </w:rPr>
            </w:pPr>
            <w:r w:rsidRPr="00925EA9">
              <w:rPr>
                <w:rFonts w:cs="Arial"/>
                <w:sz w:val="20"/>
                <w:szCs w:val="20"/>
              </w:rPr>
              <w:t xml:space="preserve">Integrated FTDC, plus group counselling, parent and vocational programmes. Parents received 9-12 months of intensive outpatient treatment and were required to attend weekly AA/NA meetings. </w:t>
            </w:r>
          </w:p>
        </w:tc>
      </w:tr>
      <w:tr w:rsidR="0025732F" w:rsidRPr="00925EA9" w14:paraId="201D1EB0" w14:textId="77777777">
        <w:tc>
          <w:tcPr>
            <w:tcW w:w="3114" w:type="dxa"/>
          </w:tcPr>
          <w:p w14:paraId="447546E9" w14:textId="77777777" w:rsidR="0025732F" w:rsidRPr="00925EA9" w:rsidRDefault="0025732F">
            <w:pPr>
              <w:rPr>
                <w:rFonts w:cs="Arial"/>
                <w:sz w:val="20"/>
                <w:szCs w:val="20"/>
              </w:rPr>
            </w:pPr>
            <w:r w:rsidRPr="00925EA9">
              <w:rPr>
                <w:rFonts w:cs="Arial"/>
                <w:sz w:val="20"/>
                <w:szCs w:val="20"/>
              </w:rPr>
              <w:lastRenderedPageBreak/>
              <w:t>Country</w:t>
            </w:r>
          </w:p>
        </w:tc>
        <w:tc>
          <w:tcPr>
            <w:tcW w:w="10773" w:type="dxa"/>
          </w:tcPr>
          <w:p w14:paraId="622E2A64" w14:textId="77777777" w:rsidR="0025732F" w:rsidRPr="00925EA9" w:rsidRDefault="0025732F">
            <w:pPr>
              <w:rPr>
                <w:rFonts w:cs="Arial"/>
                <w:sz w:val="20"/>
                <w:szCs w:val="20"/>
              </w:rPr>
            </w:pPr>
            <w:r w:rsidRPr="00925EA9">
              <w:rPr>
                <w:rFonts w:cs="Arial"/>
                <w:sz w:val="20"/>
                <w:szCs w:val="20"/>
              </w:rPr>
              <w:t>USA (Hillsborough County, Florida).</w:t>
            </w:r>
          </w:p>
        </w:tc>
      </w:tr>
      <w:tr w:rsidR="0025732F" w:rsidRPr="00925EA9" w14:paraId="40008E15" w14:textId="77777777">
        <w:tc>
          <w:tcPr>
            <w:tcW w:w="3114" w:type="dxa"/>
          </w:tcPr>
          <w:p w14:paraId="182F100B" w14:textId="77777777" w:rsidR="0025732F" w:rsidRPr="00925EA9" w:rsidRDefault="0025732F">
            <w:pPr>
              <w:rPr>
                <w:rFonts w:cs="Arial"/>
                <w:sz w:val="20"/>
                <w:szCs w:val="20"/>
              </w:rPr>
            </w:pPr>
            <w:r w:rsidRPr="00925EA9">
              <w:rPr>
                <w:rFonts w:cs="Arial"/>
                <w:sz w:val="20"/>
                <w:szCs w:val="20"/>
              </w:rPr>
              <w:t>Parental outcomes</w:t>
            </w:r>
          </w:p>
        </w:tc>
        <w:tc>
          <w:tcPr>
            <w:tcW w:w="10773" w:type="dxa"/>
          </w:tcPr>
          <w:p w14:paraId="6087421F" w14:textId="77777777" w:rsidR="0025732F" w:rsidRPr="00925EA9" w:rsidRDefault="0025732F">
            <w:pPr>
              <w:rPr>
                <w:rFonts w:cs="Arial"/>
                <w:sz w:val="20"/>
                <w:szCs w:val="20"/>
              </w:rPr>
            </w:pPr>
            <w:r w:rsidRPr="00925EA9">
              <w:rPr>
                <w:rFonts w:cs="Arial"/>
                <w:sz w:val="20"/>
                <w:szCs w:val="20"/>
              </w:rPr>
              <w:t>Children on the programme were more likely to be reunified (53% vs. 42%) and less likely to re-enter care within 12 months of permanency (2% vs 12%).  However, families on the programme took longer to achieve permanency: 495 days (s.d. 300) vs. 395 days (s.d. 208). All observed differences were statistically significant (p&lt;.05).</w:t>
            </w:r>
          </w:p>
        </w:tc>
      </w:tr>
      <w:tr w:rsidR="0025732F" w:rsidRPr="00925EA9" w14:paraId="18B1A1F6" w14:textId="77777777">
        <w:tc>
          <w:tcPr>
            <w:tcW w:w="3114" w:type="dxa"/>
          </w:tcPr>
          <w:p w14:paraId="705787E7"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6905A5AC" w14:textId="77777777" w:rsidR="0025732F" w:rsidRPr="00925EA9" w:rsidRDefault="0025732F">
            <w:pPr>
              <w:rPr>
                <w:rFonts w:cs="Arial"/>
                <w:sz w:val="20"/>
                <w:szCs w:val="20"/>
              </w:rPr>
            </w:pPr>
            <w:r w:rsidRPr="00925EA9">
              <w:rPr>
                <w:rFonts w:cs="Arial"/>
                <w:sz w:val="20"/>
                <w:szCs w:val="20"/>
              </w:rPr>
              <w:t>N/A.</w:t>
            </w:r>
          </w:p>
        </w:tc>
      </w:tr>
      <w:tr w:rsidR="0025732F" w:rsidRPr="00925EA9" w14:paraId="12C47750" w14:textId="77777777">
        <w:tc>
          <w:tcPr>
            <w:tcW w:w="3114" w:type="dxa"/>
          </w:tcPr>
          <w:p w14:paraId="719F121C"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7E86C1C4" w14:textId="77777777" w:rsidR="0025732F" w:rsidRPr="00925EA9" w:rsidRDefault="0025732F">
            <w:pPr>
              <w:rPr>
                <w:rFonts w:cs="Arial"/>
                <w:sz w:val="20"/>
                <w:szCs w:val="20"/>
              </w:rPr>
            </w:pPr>
            <w:r w:rsidRPr="00925EA9">
              <w:rPr>
                <w:rFonts w:cs="Arial"/>
                <w:sz w:val="20"/>
                <w:szCs w:val="20"/>
              </w:rPr>
              <w:t>Moderate.</w:t>
            </w:r>
          </w:p>
        </w:tc>
      </w:tr>
      <w:tr w:rsidR="0025732F" w:rsidRPr="00192100" w14:paraId="2CEE05BC" w14:textId="77777777">
        <w:tc>
          <w:tcPr>
            <w:tcW w:w="3114" w:type="dxa"/>
            <w:shd w:val="clear" w:color="auto" w:fill="D9E2F3" w:themeFill="accent1" w:themeFillTint="33"/>
          </w:tcPr>
          <w:p w14:paraId="1621FC53"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30D9C1D6" w14:textId="4EFC13F8"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AuthorYear="1"&gt;&lt;Author&gt;Dakof&lt;/Author&gt;&lt;Year&gt;2010&lt;/Year&gt;&lt;RecNum&gt;704&lt;/RecNum&gt;&lt;DisplayText&gt;Dakof et al. (2010)&lt;/DisplayText&gt;&lt;record&gt;&lt;rec-number&gt;704&lt;/rec-number&gt;&lt;foreign-keys&gt;&lt;key app="EN" db-id="ffzvr5fstavwxoe9v04xf0wmp5t50as52da0" timestamp="1731671738" guid="9096c17b-7339-4e89-8ecd-4c5dadef04a1"&gt;704&lt;/key&gt;&lt;/foreign-keys&gt;&lt;ref-type name="Journal Article"&gt;17&lt;/ref-type&gt;&lt;contributors&gt;&lt;authors&gt;&lt;author&gt;Dakof, Gayle A. &lt;/author&gt;&lt;author&gt;Cohen, Jeri B. J. D.&lt;/author&gt;&lt;author&gt;Henderson, Craig E. &lt;/author&gt;&lt;author&gt;Duarte, Eliette M. A.&lt;/author&gt;&lt;author&gt;Boustani, Maya M. S.&lt;/author&gt;&lt;author&gt;Blackburn, Audra B. A.&lt;/author&gt;&lt;author&gt;Venzer, Ellen J. D.&lt;/author&gt;&lt;author&gt;Hawes, Sam M. S.&lt;/author&gt;&lt;/authors&gt;&lt;/contributors&gt;&lt;titles&gt;&lt;title&gt;A randomized pilot study of the Engaging Moms Program for family drug court&lt;/title&gt;&lt;secondary-title&gt;Journal of Substance Abuse Treatment&lt;/secondary-title&gt;&lt;/titles&gt;&lt;periodical&gt;&lt;full-title&gt;Journal of Substance Abuse Treatment&lt;/full-title&gt;&lt;/periodical&gt;&lt;pages&gt;263&lt;/pages&gt;&lt;volume&gt;38&lt;/volume&gt;&lt;number&gt;3&lt;/number&gt;&lt;keywords&gt;&lt;keyword&gt;Drug Abuse And Alcoholism&lt;/keyword&gt;&lt;keyword&gt;Families &amp;amp; family life&lt;/keyword&gt;&lt;keyword&gt;Mothers&lt;/keyword&gt;&lt;keyword&gt;Effectiveness studies&lt;/keyword&gt;&lt;keyword&gt;Substance abuse treatment&lt;/keyword&gt;&lt;keyword&gt;Behavior modification&lt;/keyword&gt;&lt;/keywords&gt;&lt;dates&gt;&lt;year&gt;2010&lt;/year&gt;&lt;pub-dates&gt;&lt;date&gt;16/05/2017&lt;/date&gt;&lt;/pub-dates&gt;&lt;/dates&gt;&lt;pub-location&gt;Elmsford&lt;/pub-location&gt;&lt;publisher&gt;Pergamon Press Inc.&lt;/publisher&gt;&lt;isbn&gt;07405472&lt;/isbn&gt;&lt;accession-num&gt;217319016&lt;/accession-num&gt;&lt;urls&gt;&lt;/urls&gt;&lt;electronic-resource-num&gt;https://doi.org/10.1016/j.jsat.2010.01.002&lt;/electronic-resource-num&gt;&lt;remote-database-name&gt;Applied Social Sciences Index &amp;amp; Abstracts (ASSIA)&lt;/remote-database-name&gt;&lt;language&gt;English&lt;/language&gt;&lt;/record&gt;&lt;/Cite&gt;&lt;/EndNote&gt;</w:instrText>
            </w:r>
            <w:r w:rsidRPr="00925EA9">
              <w:rPr>
                <w:rFonts w:cs="Arial"/>
                <w:sz w:val="20"/>
                <w:szCs w:val="20"/>
              </w:rPr>
              <w:fldChar w:fldCharType="separate"/>
            </w:r>
            <w:r w:rsidR="00A77498">
              <w:rPr>
                <w:rFonts w:cs="Arial"/>
                <w:noProof/>
                <w:sz w:val="20"/>
                <w:szCs w:val="20"/>
              </w:rPr>
              <w:t>Dakof et al. (2010)</w:t>
            </w:r>
            <w:r w:rsidRPr="00925EA9">
              <w:rPr>
                <w:rFonts w:cs="Arial"/>
                <w:sz w:val="20"/>
                <w:szCs w:val="20"/>
              </w:rPr>
              <w:fldChar w:fldCharType="end"/>
            </w:r>
          </w:p>
        </w:tc>
      </w:tr>
      <w:tr w:rsidR="0025732F" w:rsidRPr="00925EA9" w14:paraId="3F02E6CE" w14:textId="77777777">
        <w:tc>
          <w:tcPr>
            <w:tcW w:w="3114" w:type="dxa"/>
          </w:tcPr>
          <w:p w14:paraId="425ED2B7" w14:textId="77777777" w:rsidR="0025732F" w:rsidRPr="00925EA9" w:rsidRDefault="0025732F">
            <w:pPr>
              <w:rPr>
                <w:rFonts w:cs="Arial"/>
                <w:sz w:val="20"/>
                <w:szCs w:val="20"/>
              </w:rPr>
            </w:pPr>
            <w:r w:rsidRPr="00925EA9">
              <w:rPr>
                <w:rFonts w:cs="Arial"/>
                <w:sz w:val="20"/>
                <w:szCs w:val="20"/>
              </w:rPr>
              <w:t>Aims</w:t>
            </w:r>
          </w:p>
        </w:tc>
        <w:tc>
          <w:tcPr>
            <w:tcW w:w="10773" w:type="dxa"/>
          </w:tcPr>
          <w:p w14:paraId="4AC69304" w14:textId="77777777" w:rsidR="0025732F" w:rsidRPr="00925EA9" w:rsidRDefault="0025732F">
            <w:pPr>
              <w:rPr>
                <w:rFonts w:cs="Arial"/>
                <w:sz w:val="20"/>
                <w:szCs w:val="20"/>
              </w:rPr>
            </w:pPr>
            <w:r w:rsidRPr="00925EA9">
              <w:rPr>
                <w:rFonts w:cs="Arial"/>
                <w:color w:val="000000"/>
                <w:sz w:val="20"/>
                <w:szCs w:val="20"/>
                <w:shd w:val="clear" w:color="auto" w:fill="FFFFFF"/>
              </w:rPr>
              <w:t>To examine the effectiveness of the Engaging Moms Program (EMP) compared with ICM on outcomes for mothers registered with an FTDC. </w:t>
            </w:r>
          </w:p>
        </w:tc>
      </w:tr>
      <w:tr w:rsidR="0025732F" w:rsidRPr="00925EA9" w14:paraId="625F68ED" w14:textId="77777777">
        <w:tc>
          <w:tcPr>
            <w:tcW w:w="3114" w:type="dxa"/>
          </w:tcPr>
          <w:p w14:paraId="6D5D4B51" w14:textId="77777777" w:rsidR="0025732F" w:rsidRPr="00925EA9" w:rsidRDefault="0025732F">
            <w:pPr>
              <w:rPr>
                <w:rFonts w:cs="Arial"/>
                <w:sz w:val="20"/>
                <w:szCs w:val="20"/>
              </w:rPr>
            </w:pPr>
            <w:r w:rsidRPr="00925EA9">
              <w:rPr>
                <w:rFonts w:cs="Arial"/>
                <w:sz w:val="20"/>
                <w:szCs w:val="20"/>
              </w:rPr>
              <w:t>Design</w:t>
            </w:r>
          </w:p>
        </w:tc>
        <w:tc>
          <w:tcPr>
            <w:tcW w:w="10773" w:type="dxa"/>
          </w:tcPr>
          <w:p w14:paraId="2F1F6481" w14:textId="77777777" w:rsidR="0025732F" w:rsidRPr="00925EA9" w:rsidRDefault="0025732F">
            <w:pPr>
              <w:rPr>
                <w:rFonts w:cs="Arial"/>
                <w:sz w:val="20"/>
                <w:szCs w:val="20"/>
              </w:rPr>
            </w:pPr>
            <w:r>
              <w:rPr>
                <w:rFonts w:cs="Arial"/>
                <w:sz w:val="20"/>
                <w:szCs w:val="20"/>
              </w:rPr>
              <w:t>RCT, i</w:t>
            </w:r>
            <w:r w:rsidRPr="00925EA9">
              <w:rPr>
                <w:rFonts w:cs="Arial"/>
                <w:sz w:val="20"/>
                <w:szCs w:val="20"/>
              </w:rPr>
              <w:t xml:space="preserve">ntention-to-treat study. </w:t>
            </w:r>
            <w:r w:rsidRPr="00925EA9">
              <w:rPr>
                <w:rFonts w:cs="Arial"/>
                <w:color w:val="000000"/>
                <w:sz w:val="20"/>
                <w:szCs w:val="20"/>
                <w:shd w:val="clear" w:color="auto" w:fill="FFFFFF"/>
              </w:rPr>
              <w:t>Mothers were assessed at intake, then at 3, 6, 12, and 18 months thereafter. Child welfare outcomes extracted from the court administrative data, other outcomes were measured via face-to-face interviews and use of standard instruments such as the Addiction Severity Index</w:t>
            </w:r>
            <w:r>
              <w:rPr>
                <w:rFonts w:cs="Arial"/>
                <w:color w:val="000000"/>
                <w:sz w:val="20"/>
                <w:szCs w:val="20"/>
                <w:shd w:val="clear" w:color="auto" w:fill="FFFFFF"/>
              </w:rPr>
              <w:t xml:space="preserve"> (ASI)</w:t>
            </w:r>
            <w:r w:rsidRPr="00925EA9">
              <w:rPr>
                <w:rFonts w:cs="Arial"/>
                <w:color w:val="000000"/>
                <w:sz w:val="20"/>
                <w:szCs w:val="20"/>
                <w:shd w:val="clear" w:color="auto" w:fill="FFFFFF"/>
              </w:rPr>
              <w:t>.</w:t>
            </w:r>
          </w:p>
        </w:tc>
      </w:tr>
      <w:tr w:rsidR="0025732F" w:rsidRPr="00925EA9" w14:paraId="1BF7A35E" w14:textId="77777777">
        <w:tc>
          <w:tcPr>
            <w:tcW w:w="3114" w:type="dxa"/>
          </w:tcPr>
          <w:p w14:paraId="0149318E"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6FFEC5D0" w14:textId="77777777" w:rsidR="0025732F" w:rsidRPr="00925EA9" w:rsidRDefault="0025732F">
            <w:pPr>
              <w:rPr>
                <w:rFonts w:cs="Arial"/>
                <w:sz w:val="20"/>
                <w:szCs w:val="20"/>
              </w:rPr>
            </w:pPr>
            <w:r w:rsidRPr="00925EA9">
              <w:rPr>
                <w:rFonts w:cs="Arial"/>
                <w:sz w:val="20"/>
                <w:szCs w:val="20"/>
              </w:rPr>
              <w:t>Intervention (n=31) and Comparison (n=31).</w:t>
            </w:r>
          </w:p>
        </w:tc>
      </w:tr>
      <w:tr w:rsidR="0025732F" w:rsidRPr="00925EA9" w14:paraId="2B5689DB" w14:textId="77777777">
        <w:tc>
          <w:tcPr>
            <w:tcW w:w="3114" w:type="dxa"/>
          </w:tcPr>
          <w:p w14:paraId="06431442"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566CE9EA" w14:textId="77777777" w:rsidR="0025732F" w:rsidRPr="00925EA9" w:rsidRDefault="0025732F">
            <w:pPr>
              <w:rPr>
                <w:rFonts w:cs="Arial"/>
                <w:sz w:val="20"/>
                <w:szCs w:val="20"/>
              </w:rPr>
            </w:pPr>
            <w:r w:rsidRPr="00925EA9">
              <w:rPr>
                <w:rFonts w:cs="Arial"/>
                <w:sz w:val="20"/>
                <w:szCs w:val="20"/>
              </w:rPr>
              <w:t xml:space="preserve">EMP treatment in an FTDC. EMP is based on multidimensional family therapy. Counsellors conduct sessions with mothers and families focusing on the mother’s motivation to change, emotional attachment, relationships, parenting, problem solving and communication skills. </w:t>
            </w:r>
          </w:p>
        </w:tc>
      </w:tr>
      <w:tr w:rsidR="0025732F" w:rsidRPr="00925EA9" w14:paraId="0341829F" w14:textId="77777777">
        <w:tc>
          <w:tcPr>
            <w:tcW w:w="3114" w:type="dxa"/>
          </w:tcPr>
          <w:p w14:paraId="31F353DA" w14:textId="77777777" w:rsidR="0025732F" w:rsidRPr="00925EA9" w:rsidRDefault="0025732F">
            <w:pPr>
              <w:rPr>
                <w:rFonts w:cs="Arial"/>
                <w:sz w:val="20"/>
                <w:szCs w:val="20"/>
              </w:rPr>
            </w:pPr>
            <w:r w:rsidRPr="00925EA9">
              <w:rPr>
                <w:rFonts w:cs="Arial"/>
                <w:sz w:val="20"/>
                <w:szCs w:val="20"/>
              </w:rPr>
              <w:t>Country</w:t>
            </w:r>
          </w:p>
        </w:tc>
        <w:tc>
          <w:tcPr>
            <w:tcW w:w="10773" w:type="dxa"/>
          </w:tcPr>
          <w:p w14:paraId="5EE49C00" w14:textId="77777777" w:rsidR="0025732F" w:rsidRPr="00925EA9" w:rsidRDefault="0025732F">
            <w:pPr>
              <w:rPr>
                <w:rFonts w:cs="Arial"/>
                <w:sz w:val="20"/>
                <w:szCs w:val="20"/>
              </w:rPr>
            </w:pPr>
            <w:r w:rsidRPr="00925EA9">
              <w:rPr>
                <w:rFonts w:cs="Arial"/>
                <w:sz w:val="20"/>
                <w:szCs w:val="20"/>
              </w:rPr>
              <w:t>USA (Miami, Florida).</w:t>
            </w:r>
          </w:p>
        </w:tc>
      </w:tr>
      <w:tr w:rsidR="0025732F" w:rsidRPr="00925EA9" w14:paraId="6D686F14" w14:textId="77777777">
        <w:tc>
          <w:tcPr>
            <w:tcW w:w="3114" w:type="dxa"/>
          </w:tcPr>
          <w:p w14:paraId="033CC058"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4CAB9463" w14:textId="77777777" w:rsidR="0025732F" w:rsidRPr="00925EA9" w:rsidRDefault="0025732F">
            <w:pPr>
              <w:rPr>
                <w:rFonts w:cs="Arial"/>
                <w:sz w:val="20"/>
                <w:szCs w:val="20"/>
              </w:rPr>
            </w:pPr>
            <w:r w:rsidRPr="00925EA9">
              <w:rPr>
                <w:rFonts w:cs="Arial"/>
                <w:sz w:val="20"/>
                <w:szCs w:val="20"/>
              </w:rPr>
              <w:t>Mothers in the EMP were more likely to graduate from FTDC: 73% vs 38% (X</w:t>
            </w:r>
            <w:r w:rsidRPr="00925EA9">
              <w:rPr>
                <w:rFonts w:cs="Arial"/>
                <w:sz w:val="20"/>
                <w:szCs w:val="20"/>
                <w:vertAlign w:val="superscript"/>
              </w:rPr>
              <w:t>2</w:t>
            </w:r>
            <w:r w:rsidRPr="00925EA9">
              <w:rPr>
                <w:rFonts w:cs="Arial"/>
                <w:sz w:val="20"/>
                <w:szCs w:val="20"/>
              </w:rPr>
              <w:t xml:space="preserve"> (1) = 9.43, p = 0.002). Children whose mothers were in EMP were more likely to be reunified 15 months after engaging than mothers assigned to ICM: 70% vs 40% (X</w:t>
            </w:r>
            <w:r w:rsidRPr="00925EA9">
              <w:rPr>
                <w:rFonts w:cs="Arial"/>
                <w:sz w:val="20"/>
                <w:szCs w:val="20"/>
                <w:vertAlign w:val="superscript"/>
              </w:rPr>
              <w:t>2</w:t>
            </w:r>
            <w:r w:rsidRPr="00925EA9">
              <w:rPr>
                <w:rFonts w:cs="Arial"/>
                <w:sz w:val="20"/>
                <w:szCs w:val="20"/>
              </w:rPr>
              <w:t xml:space="preserve"> (2) = 7.59, ns)</w:t>
            </w:r>
            <w:r>
              <w:rPr>
                <w:rFonts w:cs="Arial"/>
                <w:sz w:val="20"/>
                <w:szCs w:val="20"/>
              </w:rPr>
              <w:t>’</w:t>
            </w:r>
          </w:p>
        </w:tc>
      </w:tr>
      <w:tr w:rsidR="0025732F" w:rsidRPr="00925EA9" w14:paraId="61D398DA" w14:textId="77777777">
        <w:tc>
          <w:tcPr>
            <w:tcW w:w="3114" w:type="dxa"/>
          </w:tcPr>
          <w:p w14:paraId="5A7A31A6"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1CCF8FFD" w14:textId="77777777" w:rsidR="0025732F" w:rsidRPr="00925EA9" w:rsidRDefault="0025732F">
            <w:pPr>
              <w:rPr>
                <w:rFonts w:cs="Arial"/>
                <w:sz w:val="20"/>
                <w:szCs w:val="20"/>
              </w:rPr>
            </w:pPr>
            <w:r w:rsidRPr="00925EA9">
              <w:rPr>
                <w:rFonts w:cs="Arial"/>
                <w:sz w:val="20"/>
                <w:szCs w:val="20"/>
              </w:rPr>
              <w:t>N/A.</w:t>
            </w:r>
          </w:p>
        </w:tc>
      </w:tr>
      <w:tr w:rsidR="0025732F" w:rsidRPr="00925EA9" w14:paraId="2264CC73" w14:textId="77777777">
        <w:tc>
          <w:tcPr>
            <w:tcW w:w="3114" w:type="dxa"/>
          </w:tcPr>
          <w:p w14:paraId="0D9BC907"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2C7BBF40" w14:textId="77777777" w:rsidR="0025732F" w:rsidRPr="00925EA9" w:rsidRDefault="0025732F">
            <w:pPr>
              <w:rPr>
                <w:rFonts w:cs="Arial"/>
                <w:sz w:val="20"/>
                <w:szCs w:val="20"/>
              </w:rPr>
            </w:pPr>
            <w:r>
              <w:rPr>
                <w:rFonts w:cs="Arial"/>
                <w:sz w:val="20"/>
                <w:szCs w:val="20"/>
              </w:rPr>
              <w:t>Moderate</w:t>
            </w:r>
            <w:r w:rsidRPr="00925EA9">
              <w:rPr>
                <w:rFonts w:cs="Arial"/>
                <w:sz w:val="20"/>
                <w:szCs w:val="20"/>
              </w:rPr>
              <w:t>.</w:t>
            </w:r>
          </w:p>
        </w:tc>
      </w:tr>
      <w:tr w:rsidR="0025732F" w:rsidRPr="00925EA9" w14:paraId="5A64635E" w14:textId="77777777">
        <w:tc>
          <w:tcPr>
            <w:tcW w:w="3114" w:type="dxa"/>
            <w:shd w:val="clear" w:color="auto" w:fill="D9E2F3" w:themeFill="accent1" w:themeFillTint="33"/>
          </w:tcPr>
          <w:p w14:paraId="10041539"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07AEDD17" w14:textId="3BA8D9A1" w:rsidR="0025732F" w:rsidRPr="00925EA9" w:rsidRDefault="0025732F">
            <w:pPr>
              <w:rPr>
                <w:rFonts w:cs="Arial"/>
                <w:sz w:val="20"/>
                <w:szCs w:val="20"/>
              </w:rPr>
            </w:pPr>
            <w:r w:rsidRPr="00925EA9">
              <w:rPr>
                <w:rFonts w:cs="Arial"/>
                <w:sz w:val="20"/>
                <w:szCs w:val="20"/>
              </w:rPr>
              <w:fldChar w:fldCharType="begin">
                <w:fldData xml:space="preserve">PEVuZE5vdGU+PENpdGUgQXV0aG9yWWVhcj0iMSI+PEF1dGhvcj5EYXViZXI8L0F1dGhvcj48WWVh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</w:fldData>
              </w:fldChar>
            </w:r>
            <w:r w:rsidR="00B9334F">
              <w:rPr>
                <w:rFonts w:cs="Arial"/>
                <w:sz w:val="20"/>
                <w:szCs w:val="20"/>
              </w:rPr>
              <w:instrText xml:space="preserve"> ADDIN EN.CITE </w:instrText>
            </w:r>
            <w:r w:rsidR="00B9334F">
              <w:rPr>
                <w:rFonts w:cs="Arial"/>
                <w:sz w:val="20"/>
                <w:szCs w:val="20"/>
              </w:rPr>
              <w:fldChar w:fldCharType="begin">
                <w:fldData xml:space="preserve">PEVuZE5vdGU+PENpdGUgQXV0aG9yWWVhcj0iMSI+PEF1dGhvcj5EYXViZXI8L0F1dGhvcj48WWVh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</w:fldData>
              </w:fldChar>
            </w:r>
            <w:r w:rsidR="00B9334F">
              <w:rPr>
                <w:rFonts w:cs="Arial"/>
                <w:sz w:val="20"/>
                <w:szCs w:val="20"/>
              </w:rPr>
              <w:instrText xml:space="preserve"> ADDIN EN.CITE.DATA </w:instrText>
            </w:r>
            <w:r w:rsidR="00B9334F">
              <w:rPr>
                <w:rFonts w:cs="Arial"/>
                <w:sz w:val="20"/>
                <w:szCs w:val="20"/>
              </w:rPr>
            </w:r>
            <w:r w:rsidR="00B9334F">
              <w:rPr>
                <w:rFonts w:cs="Arial"/>
                <w:sz w:val="20"/>
                <w:szCs w:val="20"/>
              </w:rPr>
              <w:fldChar w:fldCharType="end"/>
            </w:r>
            <w:r w:rsidRPr="00925EA9">
              <w:rPr>
                <w:rFonts w:cs="Arial"/>
                <w:sz w:val="20"/>
                <w:szCs w:val="20"/>
              </w:rPr>
            </w:r>
            <w:r w:rsidRPr="00925EA9">
              <w:rPr>
                <w:rFonts w:cs="Arial"/>
                <w:sz w:val="20"/>
                <w:szCs w:val="20"/>
              </w:rPr>
              <w:fldChar w:fldCharType="separate"/>
            </w:r>
            <w:r w:rsidR="00A77498">
              <w:rPr>
                <w:rFonts w:cs="Arial"/>
                <w:noProof/>
                <w:sz w:val="20"/>
                <w:szCs w:val="20"/>
              </w:rPr>
              <w:t>Dauber et al. (2012)</w:t>
            </w:r>
            <w:r w:rsidRPr="00925EA9">
              <w:rPr>
                <w:rFonts w:cs="Arial"/>
                <w:sz w:val="20"/>
                <w:szCs w:val="20"/>
              </w:rPr>
              <w:fldChar w:fldCharType="end"/>
            </w:r>
            <w:r w:rsidRPr="00F979F4">
              <w:rPr>
                <w:rFonts w:cs="Arial"/>
                <w:sz w:val="20"/>
                <w:szCs w:val="20"/>
                <w:lang w:val="de-DE"/>
              </w:rPr>
              <w:t xml:space="preserve"> and </w:t>
            </w:r>
            <w:r w:rsidRPr="00925EA9">
              <w:rPr>
                <w:rFonts w:cs="Arial"/>
                <w:sz w:val="20"/>
                <w:szCs w:val="20"/>
              </w:rPr>
              <w:fldChar w:fldCharType="begin"/>
            </w:r>
            <w:r w:rsidR="00B9334F">
              <w:rPr>
                <w:rFonts w:cs="Arial"/>
                <w:sz w:val="20"/>
                <w:szCs w:val="20"/>
              </w:rPr>
              <w:instrText xml:space="preserve"> ADDIN EN.CITE &lt;EndNote&gt;&lt;Cite AuthorYear="1"&gt;&lt;Author&gt;Morgenstern&lt;/Author&gt;&lt;Year&gt;2006&lt;/Year&gt;&lt;RecNum&gt;138&lt;/RecNum&gt;&lt;DisplayText&gt;Morgenstern et al. (2006)&lt;/DisplayText&gt;&lt;record&gt;&lt;rec-number&gt;138&lt;/rec-number&gt;&lt;foreign-keys&gt;&lt;key app="EN" db-id="ffzvr5fstavwxoe9v04xf0wmp5t50as52da0" timestamp="1731671644" guid="eca23726-4174-49f3-b45d-d605935734ab"&gt;138&lt;/key&gt;&lt;/foreign-keys&gt;&lt;ref-type name="Journal Article"&gt;17&lt;/ref-type&gt;&lt;contributors&gt;&lt;authors&gt;&lt;author&gt;Morgenstern, Jon&lt;/author&gt;&lt;author&gt;Blanchard, Kimberly A.&lt;/author&gt;&lt;author&gt;McCrady, Barbara S.&lt;/author&gt;&lt;author&gt;McVeigh, Katharine H.&lt;/author&gt;&lt;author&gt;Morgan, Thomas J.&lt;/author&gt;&lt;author&gt;Pandina, Robert J.&lt;/author&gt;&lt;/authors&gt;&lt;/contributors&gt;&lt;titles&gt;&lt;title&gt;Effectiveness of Intensive Case Management for Substance-Dependent Women Receiving Temporary Assistance for Needy Families&lt;/title&gt;&lt;secondary-title&gt;American Journal of Public Health&lt;/secondary-title&gt;&lt;/titles&gt;&lt;periodical&gt;&lt;full-title&gt;American Journal of Public Health&lt;/full-title&gt;&lt;/periodical&gt;&lt;pages&gt;2016-2023&lt;/pages&gt;&lt;volume&gt;96&lt;/volume&gt;&lt;number&gt;11&lt;/number&gt;&lt;dates&gt;&lt;year&gt;2006&lt;/year&gt;&lt;pub-dates&gt;&lt;date&gt;10/28/accepted&lt;/date&gt;&lt;/pub-dates&gt;&lt;/dates&gt;&lt;publisher&gt;© American Journal of Public Health 2006&lt;/publisher&gt;&lt;isbn&gt;0090-0036&amp;#xD;1541-0048&lt;/isbn&gt;&lt;accession-num&gt;PMC1751803&lt;/accession-num&gt;&lt;urls&gt;&lt;related-urls&gt;&lt;url&gt;http://www.ncbi.nlm.nih.gov/pmc/articles/PMC1751803/&lt;/url&gt;&lt;/related-urls&gt;&lt;/urls&gt;&lt;electronic-resource-num&gt;10.2105/AJPH.2005.076380&lt;/electronic-resource-num&gt;&lt;remote-database-name&gt;PMC&lt;/remote-database-name&gt;&lt;/record&gt;&lt;/Cite&gt;&lt;/EndNote&gt;</w:instrText>
            </w:r>
            <w:r w:rsidRPr="00925EA9">
              <w:rPr>
                <w:rFonts w:cs="Arial"/>
                <w:sz w:val="20"/>
                <w:szCs w:val="20"/>
              </w:rPr>
              <w:fldChar w:fldCharType="separate"/>
            </w:r>
            <w:r w:rsidR="00A77498">
              <w:rPr>
                <w:rFonts w:cs="Arial"/>
                <w:noProof/>
                <w:sz w:val="20"/>
                <w:szCs w:val="20"/>
              </w:rPr>
              <w:t>Morgenstern et al. (2006)</w:t>
            </w:r>
            <w:r w:rsidRPr="00925EA9">
              <w:rPr>
                <w:rFonts w:cs="Arial"/>
                <w:sz w:val="20"/>
                <w:szCs w:val="20"/>
              </w:rPr>
              <w:fldChar w:fldCharType="end"/>
            </w:r>
          </w:p>
        </w:tc>
      </w:tr>
      <w:tr w:rsidR="0025732F" w:rsidRPr="00925EA9" w14:paraId="6DACDEBC" w14:textId="77777777">
        <w:tc>
          <w:tcPr>
            <w:tcW w:w="3114" w:type="dxa"/>
          </w:tcPr>
          <w:p w14:paraId="5844E6D6" w14:textId="77777777" w:rsidR="0025732F" w:rsidRPr="00925EA9" w:rsidRDefault="0025732F">
            <w:pPr>
              <w:rPr>
                <w:rFonts w:cs="Arial"/>
                <w:sz w:val="20"/>
                <w:szCs w:val="20"/>
              </w:rPr>
            </w:pPr>
            <w:r w:rsidRPr="00925EA9">
              <w:rPr>
                <w:rFonts w:cs="Arial"/>
                <w:sz w:val="20"/>
                <w:szCs w:val="20"/>
              </w:rPr>
              <w:t>Aims</w:t>
            </w:r>
          </w:p>
        </w:tc>
        <w:tc>
          <w:tcPr>
            <w:tcW w:w="10773" w:type="dxa"/>
          </w:tcPr>
          <w:p w14:paraId="665889D7" w14:textId="77777777" w:rsidR="0025732F" w:rsidRPr="00925EA9" w:rsidRDefault="0025732F">
            <w:pPr>
              <w:autoSpaceDE w:val="0"/>
              <w:autoSpaceDN w:val="0"/>
              <w:adjustRightInd w:val="0"/>
              <w:rPr>
                <w:rFonts w:cs="Arial"/>
                <w:sz w:val="20"/>
                <w:szCs w:val="20"/>
              </w:rPr>
            </w:pPr>
            <w:r w:rsidRPr="00925EA9">
              <w:rPr>
                <w:rFonts w:cs="Arial"/>
                <w:sz w:val="20"/>
                <w:szCs w:val="20"/>
              </w:rPr>
              <w:t>To analyse the effectiveness of ICM compared with treatment as usual among female care givers receiving Temporary Assistance for Needy Families (TANF), including effectiveness on child welfare outcomes not directly targeted.</w:t>
            </w:r>
          </w:p>
        </w:tc>
      </w:tr>
      <w:tr w:rsidR="0025732F" w:rsidRPr="00925EA9" w14:paraId="5AF6D328" w14:textId="77777777">
        <w:tc>
          <w:tcPr>
            <w:tcW w:w="3114" w:type="dxa"/>
          </w:tcPr>
          <w:p w14:paraId="1BE9C623" w14:textId="77777777" w:rsidR="0025732F" w:rsidRPr="00925EA9" w:rsidRDefault="0025732F">
            <w:pPr>
              <w:rPr>
                <w:rFonts w:cs="Arial"/>
                <w:sz w:val="20"/>
                <w:szCs w:val="20"/>
              </w:rPr>
            </w:pPr>
            <w:r w:rsidRPr="00925EA9">
              <w:rPr>
                <w:rFonts w:cs="Arial"/>
                <w:sz w:val="20"/>
                <w:szCs w:val="20"/>
              </w:rPr>
              <w:t>Design</w:t>
            </w:r>
          </w:p>
        </w:tc>
        <w:tc>
          <w:tcPr>
            <w:tcW w:w="10773" w:type="dxa"/>
          </w:tcPr>
          <w:p w14:paraId="7262FFA8" w14:textId="77777777" w:rsidR="0025732F" w:rsidRPr="00925EA9" w:rsidRDefault="0025732F">
            <w:pPr>
              <w:autoSpaceDE w:val="0"/>
              <w:autoSpaceDN w:val="0"/>
              <w:adjustRightInd w:val="0"/>
              <w:rPr>
                <w:rFonts w:cs="Arial"/>
                <w:sz w:val="20"/>
                <w:szCs w:val="20"/>
              </w:rPr>
            </w:pPr>
            <w:r w:rsidRPr="00925EA9">
              <w:rPr>
                <w:rFonts w:cs="Arial"/>
                <w:sz w:val="20"/>
                <w:szCs w:val="20"/>
              </w:rPr>
              <w:t xml:space="preserve">Random assignment to ICM or treatment as usual; four-year follow-up. Case managers for both groups were addiction counsellors with either a Bachelors or Masters degree. Caregivers were interviewed at recruitment stage and at 3,9,15 and 24 month follow-up stages. Child welfare administrative datasets were also used to identify children for the study and to measure their outcomes four years after the intervention. </w:t>
            </w:r>
          </w:p>
        </w:tc>
      </w:tr>
      <w:tr w:rsidR="0025732F" w:rsidRPr="00925EA9" w14:paraId="3E4F3876" w14:textId="77777777">
        <w:tc>
          <w:tcPr>
            <w:tcW w:w="3114" w:type="dxa"/>
          </w:tcPr>
          <w:p w14:paraId="4A0F7A93"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4EDE3976" w14:textId="77777777" w:rsidR="0025732F" w:rsidRPr="00925EA9" w:rsidRDefault="0025732F">
            <w:pPr>
              <w:rPr>
                <w:rFonts w:cs="Arial"/>
                <w:sz w:val="20"/>
                <w:szCs w:val="20"/>
              </w:rPr>
            </w:pPr>
            <w:r w:rsidRPr="00925EA9">
              <w:rPr>
                <w:rFonts w:cs="Arial"/>
                <w:sz w:val="20"/>
                <w:szCs w:val="20"/>
              </w:rPr>
              <w:t>Intervention (n=161) and comparison (n=141) groups.</w:t>
            </w:r>
          </w:p>
        </w:tc>
      </w:tr>
      <w:tr w:rsidR="0025732F" w:rsidRPr="00925EA9" w14:paraId="673FE9F1" w14:textId="77777777">
        <w:tc>
          <w:tcPr>
            <w:tcW w:w="3114" w:type="dxa"/>
          </w:tcPr>
          <w:p w14:paraId="0035E37C"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2E64ACA4" w14:textId="77777777" w:rsidR="0025732F" w:rsidRPr="00925EA9" w:rsidRDefault="0025732F">
            <w:pPr>
              <w:autoSpaceDE w:val="0"/>
              <w:autoSpaceDN w:val="0"/>
              <w:adjustRightInd w:val="0"/>
              <w:rPr>
                <w:rFonts w:cs="Arial"/>
                <w:sz w:val="20"/>
                <w:szCs w:val="20"/>
              </w:rPr>
            </w:pPr>
            <w:r w:rsidRPr="00925EA9">
              <w:rPr>
                <w:rFonts w:cs="Arial"/>
                <w:sz w:val="20"/>
                <w:szCs w:val="20"/>
              </w:rPr>
              <w:t>Weekly ICM sessions up to 12 months focusing on treatment and employment, then tapered sessions up to 24 months. As the intervention did not directly target child welfare outcomes, it did not include coordination with child welfare services. Treatment as usual was defined as appropriate referrals made by a clinical care coordinator. Failure to attend treatment was followed by phone calls and letters.</w:t>
            </w:r>
          </w:p>
        </w:tc>
      </w:tr>
      <w:tr w:rsidR="0025732F" w:rsidRPr="00925EA9" w14:paraId="7BDEFF1D" w14:textId="77777777">
        <w:tc>
          <w:tcPr>
            <w:tcW w:w="3114" w:type="dxa"/>
          </w:tcPr>
          <w:p w14:paraId="19FEAD07" w14:textId="77777777" w:rsidR="0025732F" w:rsidRPr="00925EA9" w:rsidRDefault="0025732F">
            <w:pPr>
              <w:rPr>
                <w:rFonts w:cs="Arial"/>
                <w:sz w:val="20"/>
                <w:szCs w:val="20"/>
              </w:rPr>
            </w:pPr>
            <w:r w:rsidRPr="00925EA9">
              <w:rPr>
                <w:rFonts w:cs="Arial"/>
                <w:sz w:val="20"/>
                <w:szCs w:val="20"/>
              </w:rPr>
              <w:t>Country</w:t>
            </w:r>
          </w:p>
        </w:tc>
        <w:tc>
          <w:tcPr>
            <w:tcW w:w="10773" w:type="dxa"/>
          </w:tcPr>
          <w:p w14:paraId="5A409D4A" w14:textId="77777777" w:rsidR="0025732F" w:rsidRPr="00925EA9" w:rsidRDefault="0025732F">
            <w:pPr>
              <w:rPr>
                <w:rFonts w:cs="Arial"/>
                <w:sz w:val="20"/>
                <w:szCs w:val="20"/>
              </w:rPr>
            </w:pPr>
            <w:r w:rsidRPr="00925EA9">
              <w:rPr>
                <w:rFonts w:cs="Arial"/>
                <w:sz w:val="20"/>
                <w:szCs w:val="20"/>
              </w:rPr>
              <w:t>USA (Essex County, New Jersey).</w:t>
            </w:r>
          </w:p>
        </w:tc>
      </w:tr>
      <w:tr w:rsidR="0025732F" w:rsidRPr="00925EA9" w14:paraId="1D410416" w14:textId="77777777">
        <w:tc>
          <w:tcPr>
            <w:tcW w:w="3114" w:type="dxa"/>
          </w:tcPr>
          <w:p w14:paraId="34EDF692"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2818FC68" w14:textId="77777777" w:rsidR="0025732F" w:rsidRDefault="0025732F">
            <w:pPr>
              <w:autoSpaceDE w:val="0"/>
              <w:autoSpaceDN w:val="0"/>
              <w:adjustRightInd w:val="0"/>
              <w:rPr>
                <w:rFonts w:cs="Arial"/>
                <w:sz w:val="20"/>
                <w:szCs w:val="20"/>
              </w:rPr>
            </w:pPr>
            <w:r w:rsidRPr="00925EA9">
              <w:rPr>
                <w:rFonts w:cs="Arial"/>
                <w:sz w:val="20"/>
                <w:szCs w:val="20"/>
              </w:rPr>
              <w:t>ICM clients were significantly more likely to start, engage with and remain in treatment compared with the comparison group. Moreover, intervention clients were almost twice as likely to be abstinent at the 15 month follow-up (P&lt;.0025).</w:t>
            </w:r>
          </w:p>
          <w:p w14:paraId="6197F28D" w14:textId="77777777" w:rsidR="0025732F" w:rsidRPr="00806BC0" w:rsidRDefault="0025732F">
            <w:pPr>
              <w:pStyle w:val="NoSpacing"/>
              <w:spacing w:line="240" w:lineRule="auto"/>
            </w:pPr>
            <w:r w:rsidRPr="00925EA9">
              <w:rPr>
                <w:sz w:val="20"/>
                <w:szCs w:val="20"/>
              </w:rPr>
              <w:lastRenderedPageBreak/>
              <w:t>In general, the study found little effect of treatment on child welfare outcomes. There was a small but significant effect of ICM care giver abstinence compared with the comparison group, with longer periods of abstinence among the intervention group being associated with a lower probability of child protection recidivism (OR=.88, 95% CI=.79–.98, p&lt;.05). In contrast, longer abstinence was related to an increased probability for the comparison group, albeit this finding was not statistically significant.</w:t>
            </w:r>
            <w:r>
              <w:rPr>
                <w:sz w:val="20"/>
                <w:szCs w:val="20"/>
              </w:rPr>
              <w:t xml:space="preserve"> </w:t>
            </w:r>
            <w:r w:rsidRPr="00925EA9">
              <w:rPr>
                <w:sz w:val="20"/>
                <w:szCs w:val="20"/>
              </w:rPr>
              <w:t>Child protection incidents and care placements rates significantly reduced over time (OR=.82, 95% CI=.71–.95, p&lt;.010 and OR=.77, 95% CI=.65–.90, p&lt;.01) for both arms. ICM had an initial impact on child placements during the first year of the study with a lower proportion of children in care compared with the comparison group, however this reduced over time. This could be explained by the fact that ICM intervention was designed to be most intensive in the first year, with a tapered contact thereafter.</w:t>
            </w:r>
          </w:p>
        </w:tc>
      </w:tr>
      <w:tr w:rsidR="0025732F" w:rsidRPr="00925EA9" w14:paraId="7CFFE8DB" w14:textId="77777777">
        <w:tc>
          <w:tcPr>
            <w:tcW w:w="3114" w:type="dxa"/>
          </w:tcPr>
          <w:p w14:paraId="624672F1"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43B4752C" w14:textId="77777777" w:rsidR="0025732F" w:rsidRPr="00925EA9" w:rsidRDefault="0025732F">
            <w:pPr>
              <w:rPr>
                <w:rFonts w:cs="Arial"/>
                <w:sz w:val="20"/>
                <w:szCs w:val="20"/>
              </w:rPr>
            </w:pPr>
            <w:r w:rsidRPr="00925EA9">
              <w:rPr>
                <w:rFonts w:cs="Arial"/>
                <w:sz w:val="20"/>
                <w:szCs w:val="20"/>
              </w:rPr>
              <w:t>N/A.</w:t>
            </w:r>
          </w:p>
        </w:tc>
      </w:tr>
      <w:tr w:rsidR="0025732F" w:rsidRPr="00925EA9" w14:paraId="0E2806A1" w14:textId="77777777">
        <w:tc>
          <w:tcPr>
            <w:tcW w:w="3114" w:type="dxa"/>
          </w:tcPr>
          <w:p w14:paraId="00950B87"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70E7F828" w14:textId="77777777" w:rsidR="0025732F" w:rsidRPr="00925EA9" w:rsidRDefault="0025732F">
            <w:pPr>
              <w:rPr>
                <w:rFonts w:cs="Arial"/>
                <w:sz w:val="20"/>
                <w:szCs w:val="20"/>
              </w:rPr>
            </w:pPr>
            <w:r w:rsidRPr="00925EA9">
              <w:rPr>
                <w:rFonts w:cs="Arial"/>
                <w:sz w:val="20"/>
                <w:szCs w:val="20"/>
              </w:rPr>
              <w:t>High.</w:t>
            </w:r>
          </w:p>
        </w:tc>
      </w:tr>
      <w:tr w:rsidR="0025732F" w:rsidRPr="00925EA9" w14:paraId="0CF0E4D8" w14:textId="77777777">
        <w:tc>
          <w:tcPr>
            <w:tcW w:w="3114" w:type="dxa"/>
            <w:shd w:val="clear" w:color="auto" w:fill="D9E2F3" w:themeFill="accent1" w:themeFillTint="33"/>
          </w:tcPr>
          <w:p w14:paraId="30930350"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12F2F014" w14:textId="72C588A0" w:rsidR="0025732F" w:rsidRPr="00925EA9" w:rsidRDefault="0025732F">
            <w:pPr>
              <w:rPr>
                <w:rFonts w:cs="Arial"/>
                <w:sz w:val="20"/>
                <w:szCs w:val="20"/>
              </w:rPr>
            </w:pPr>
            <w:r>
              <w:rPr>
                <w:rFonts w:cs="Arial"/>
                <w:sz w:val="20"/>
                <w:szCs w:val="20"/>
              </w:rPr>
              <w:fldChar w:fldCharType="begin">
                <w:fldData xml:space="preserve">PEVuZE5vdGU+PENpdGUgQXV0aG9yWWVhcj0iMSI+PEF1dGhvcj5Eb25vaHVlPC9BdXRob3I+PFll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</w:fldData>
              </w:fldChar>
            </w:r>
            <w:r w:rsidR="00B9334F">
              <w:rPr>
                <w:rFonts w:cs="Arial"/>
                <w:sz w:val="20"/>
                <w:szCs w:val="20"/>
              </w:rPr>
              <w:instrText xml:space="preserve"> ADDIN EN.CITE </w:instrText>
            </w:r>
            <w:r w:rsidR="00B9334F">
              <w:rPr>
                <w:rFonts w:cs="Arial"/>
                <w:sz w:val="20"/>
                <w:szCs w:val="20"/>
              </w:rPr>
              <w:fldChar w:fldCharType="begin">
                <w:fldData xml:space="preserve">PEVuZE5vdGU+PENpdGUgQXV0aG9yWWVhcj0iMSI+PEF1dGhvcj5Eb25vaHVlPC9BdXRob3I+PFll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</w:fldData>
              </w:fldChar>
            </w:r>
            <w:r w:rsidR="00B9334F">
              <w:rPr>
                <w:rFonts w:cs="Arial"/>
                <w:sz w:val="20"/>
                <w:szCs w:val="20"/>
              </w:rPr>
              <w:instrText xml:space="preserve"> ADDIN EN.CITE.DATA </w:instrText>
            </w:r>
            <w:r w:rsidR="00B9334F">
              <w:rPr>
                <w:rFonts w:cs="Arial"/>
                <w:sz w:val="20"/>
                <w:szCs w:val="20"/>
              </w:rPr>
            </w:r>
            <w:r w:rsidR="00B9334F">
              <w:rPr>
                <w:rFonts w:cs="Arial"/>
                <w:sz w:val="20"/>
                <w:szCs w:val="20"/>
              </w:rPr>
              <w:fldChar w:fldCharType="end"/>
            </w:r>
            <w:r>
              <w:rPr>
                <w:rFonts w:cs="Arial"/>
                <w:sz w:val="20"/>
                <w:szCs w:val="20"/>
              </w:rPr>
            </w:r>
            <w:r>
              <w:rPr>
                <w:rFonts w:cs="Arial"/>
                <w:sz w:val="20"/>
                <w:szCs w:val="20"/>
              </w:rPr>
              <w:fldChar w:fldCharType="separate"/>
            </w:r>
            <w:r w:rsidR="00A77498">
              <w:rPr>
                <w:rFonts w:cs="Arial"/>
                <w:noProof/>
                <w:sz w:val="20"/>
                <w:szCs w:val="20"/>
              </w:rPr>
              <w:t>Donohue et al. (2014)</w:t>
            </w:r>
            <w:r>
              <w:rPr>
                <w:rFonts w:cs="Arial"/>
                <w:sz w:val="20"/>
                <w:szCs w:val="20"/>
              </w:rPr>
              <w:fldChar w:fldCharType="end"/>
            </w:r>
          </w:p>
        </w:tc>
      </w:tr>
      <w:tr w:rsidR="0025732F" w:rsidRPr="00925EA9" w14:paraId="6EF8DEFC" w14:textId="77777777">
        <w:tc>
          <w:tcPr>
            <w:tcW w:w="3114" w:type="dxa"/>
          </w:tcPr>
          <w:p w14:paraId="1087E114" w14:textId="77777777" w:rsidR="0025732F" w:rsidRPr="00925EA9" w:rsidRDefault="0025732F">
            <w:pPr>
              <w:rPr>
                <w:rFonts w:cs="Arial"/>
                <w:sz w:val="20"/>
                <w:szCs w:val="20"/>
              </w:rPr>
            </w:pPr>
            <w:r w:rsidRPr="00925EA9">
              <w:rPr>
                <w:rFonts w:cs="Arial"/>
                <w:sz w:val="20"/>
                <w:szCs w:val="20"/>
              </w:rPr>
              <w:t>Aims</w:t>
            </w:r>
          </w:p>
        </w:tc>
        <w:tc>
          <w:tcPr>
            <w:tcW w:w="10773" w:type="dxa"/>
          </w:tcPr>
          <w:p w14:paraId="47D26EFE" w14:textId="77777777" w:rsidR="0025732F" w:rsidRPr="00925EA9" w:rsidRDefault="0025732F">
            <w:pPr>
              <w:autoSpaceDE w:val="0"/>
              <w:autoSpaceDN w:val="0"/>
              <w:adjustRightInd w:val="0"/>
              <w:rPr>
                <w:rFonts w:cs="Arial"/>
                <w:sz w:val="20"/>
                <w:szCs w:val="20"/>
              </w:rPr>
            </w:pPr>
            <w:r>
              <w:rPr>
                <w:rFonts w:cs="Arial"/>
                <w:sz w:val="20"/>
                <w:szCs w:val="20"/>
              </w:rPr>
              <w:t>To evaluate the effectiveness of a family-based therapy for mothers referred from child welfare services for child neglect and treatment for SUD.</w:t>
            </w:r>
          </w:p>
        </w:tc>
      </w:tr>
      <w:tr w:rsidR="0025732F" w:rsidRPr="00925EA9" w14:paraId="529170FF" w14:textId="77777777">
        <w:trPr>
          <w:trHeight w:val="211"/>
        </w:trPr>
        <w:tc>
          <w:tcPr>
            <w:tcW w:w="3114" w:type="dxa"/>
          </w:tcPr>
          <w:p w14:paraId="5C8F6C25" w14:textId="77777777" w:rsidR="0025732F" w:rsidRPr="00CC5C53" w:rsidRDefault="0025732F">
            <w:pPr>
              <w:rPr>
                <w:rFonts w:cs="Arial"/>
                <w:sz w:val="20"/>
                <w:szCs w:val="20"/>
              </w:rPr>
            </w:pPr>
            <w:r w:rsidRPr="00CC5C53">
              <w:rPr>
                <w:rFonts w:cs="Arial"/>
                <w:sz w:val="20"/>
                <w:szCs w:val="20"/>
              </w:rPr>
              <w:t>Desig</w:t>
            </w:r>
            <w:r>
              <w:rPr>
                <w:rFonts w:cs="Arial"/>
                <w:sz w:val="20"/>
                <w:szCs w:val="20"/>
              </w:rPr>
              <w:t>n</w:t>
            </w:r>
          </w:p>
        </w:tc>
        <w:tc>
          <w:tcPr>
            <w:tcW w:w="10773" w:type="dxa"/>
          </w:tcPr>
          <w:p w14:paraId="0534B85D" w14:textId="77777777" w:rsidR="0025732F" w:rsidRPr="005D214F" w:rsidRDefault="0025732F">
            <w:pPr>
              <w:pStyle w:val="NoSpacing"/>
              <w:spacing w:line="240" w:lineRule="auto"/>
              <w:rPr>
                <w:sz w:val="20"/>
                <w:szCs w:val="20"/>
              </w:rPr>
            </w:pPr>
            <w:r w:rsidRPr="00CC5C53">
              <w:rPr>
                <w:sz w:val="20"/>
                <w:szCs w:val="20"/>
              </w:rPr>
              <w:t>RCT</w:t>
            </w:r>
            <w:r>
              <w:rPr>
                <w:sz w:val="20"/>
                <w:szCs w:val="20"/>
              </w:rPr>
              <w:t>, intention to treat. Assessments at baseline, 6 and 10 month follow-ups. Sessions included adult family members. T</w:t>
            </w:r>
            <w:r w:rsidRPr="004D0CA0">
              <w:rPr>
                <w:sz w:val="20"/>
                <w:szCs w:val="20"/>
              </w:rPr>
              <w:t>he Child Abuse Potential Inventory (CAPI) was used to estimate child maltreatment potential among mothers in the study.</w:t>
            </w:r>
            <w:r w:rsidRPr="005D214F">
              <w:rPr>
                <w:sz w:val="20"/>
                <w:szCs w:val="20"/>
              </w:rPr>
              <w:t xml:space="preserve"> Substance use was measured using the Timeline Follow-Back (TLFB) and urinalysis. </w:t>
            </w:r>
            <w:r>
              <w:rPr>
                <w:sz w:val="20"/>
                <w:szCs w:val="20"/>
              </w:rPr>
              <w:t xml:space="preserve">A secondary outcomes measure of risk of HIV transmission was also included in the study, as measured by the </w:t>
            </w:r>
            <w:r w:rsidRPr="00E0062E">
              <w:rPr>
                <w:sz w:val="20"/>
                <w:szCs w:val="20"/>
              </w:rPr>
              <w:t>Total Risk Scale of the Risk Assessment Battery (RAB).</w:t>
            </w:r>
          </w:p>
        </w:tc>
      </w:tr>
      <w:tr w:rsidR="0025732F" w:rsidRPr="00925EA9" w14:paraId="13B31022" w14:textId="77777777">
        <w:tc>
          <w:tcPr>
            <w:tcW w:w="3114" w:type="dxa"/>
          </w:tcPr>
          <w:p w14:paraId="30A8BCBB"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545D2075" w14:textId="77777777" w:rsidR="0025732F" w:rsidRPr="00925EA9" w:rsidRDefault="0025732F">
            <w:pPr>
              <w:autoSpaceDE w:val="0"/>
              <w:autoSpaceDN w:val="0"/>
              <w:adjustRightInd w:val="0"/>
              <w:rPr>
                <w:rFonts w:cs="Arial"/>
                <w:sz w:val="20"/>
                <w:szCs w:val="20"/>
              </w:rPr>
            </w:pPr>
            <w:r w:rsidRPr="00925EA9">
              <w:rPr>
                <w:rFonts w:cs="Arial"/>
                <w:sz w:val="20"/>
                <w:szCs w:val="20"/>
              </w:rPr>
              <w:t>Intervention (n=</w:t>
            </w:r>
            <w:r>
              <w:rPr>
                <w:rFonts w:cs="Arial"/>
                <w:sz w:val="20"/>
                <w:szCs w:val="20"/>
              </w:rPr>
              <w:t>35</w:t>
            </w:r>
            <w:r w:rsidRPr="00925EA9">
              <w:rPr>
                <w:rFonts w:cs="Arial"/>
                <w:sz w:val="20"/>
                <w:szCs w:val="20"/>
              </w:rPr>
              <w:t>) and comparison (n=</w:t>
            </w:r>
            <w:r>
              <w:rPr>
                <w:rFonts w:cs="Arial"/>
                <w:sz w:val="20"/>
                <w:szCs w:val="20"/>
              </w:rPr>
              <w:t>37</w:t>
            </w:r>
            <w:r w:rsidRPr="00925EA9">
              <w:rPr>
                <w:rFonts w:cs="Arial"/>
                <w:sz w:val="20"/>
                <w:szCs w:val="20"/>
              </w:rPr>
              <w:t>) groups.</w:t>
            </w:r>
          </w:p>
        </w:tc>
      </w:tr>
      <w:tr w:rsidR="0025732F" w:rsidRPr="00925EA9" w14:paraId="7FE2ACA0" w14:textId="77777777">
        <w:tc>
          <w:tcPr>
            <w:tcW w:w="3114" w:type="dxa"/>
          </w:tcPr>
          <w:p w14:paraId="577EA3D8"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306077DA" w14:textId="77777777" w:rsidR="0025732F" w:rsidRPr="00F54DCC" w:rsidRDefault="0025732F">
            <w:pPr>
              <w:rPr>
                <w:rFonts w:cs="Arial"/>
                <w:sz w:val="20"/>
                <w:szCs w:val="20"/>
              </w:rPr>
            </w:pPr>
            <w:r>
              <w:rPr>
                <w:rFonts w:cs="Arial"/>
                <w:sz w:val="20"/>
                <w:szCs w:val="20"/>
              </w:rPr>
              <w:t xml:space="preserve">Family-based therapy. Sessions took place in homes, lasted 6 months, and comprised 20 sessions. Several elements were incorporated into the therapy sessions in addition to substance use and parenting skills, such as financial management. Treatment as usual referred to services usually made by child welfare services. </w:t>
            </w:r>
          </w:p>
        </w:tc>
      </w:tr>
      <w:tr w:rsidR="0025732F" w:rsidRPr="00925EA9" w14:paraId="58DABF21" w14:textId="77777777">
        <w:tc>
          <w:tcPr>
            <w:tcW w:w="3114" w:type="dxa"/>
          </w:tcPr>
          <w:p w14:paraId="36056C70" w14:textId="77777777" w:rsidR="0025732F" w:rsidRPr="00925EA9" w:rsidRDefault="0025732F">
            <w:pPr>
              <w:rPr>
                <w:rFonts w:cs="Arial"/>
                <w:sz w:val="20"/>
                <w:szCs w:val="20"/>
              </w:rPr>
            </w:pPr>
            <w:r w:rsidRPr="00925EA9">
              <w:rPr>
                <w:rFonts w:cs="Arial"/>
                <w:sz w:val="20"/>
                <w:szCs w:val="20"/>
              </w:rPr>
              <w:t>Country</w:t>
            </w:r>
          </w:p>
        </w:tc>
        <w:tc>
          <w:tcPr>
            <w:tcW w:w="10773" w:type="dxa"/>
          </w:tcPr>
          <w:p w14:paraId="091DD756" w14:textId="77777777" w:rsidR="0025732F" w:rsidRPr="00925EA9" w:rsidRDefault="0025732F">
            <w:pPr>
              <w:rPr>
                <w:rFonts w:cs="Arial"/>
                <w:sz w:val="20"/>
                <w:szCs w:val="20"/>
              </w:rPr>
            </w:pPr>
            <w:r>
              <w:rPr>
                <w:rFonts w:cs="Arial"/>
                <w:sz w:val="20"/>
                <w:szCs w:val="20"/>
              </w:rPr>
              <w:t xml:space="preserve">USA (unspecified county). </w:t>
            </w:r>
          </w:p>
        </w:tc>
      </w:tr>
      <w:tr w:rsidR="0025732F" w:rsidRPr="00925EA9" w14:paraId="564E887D" w14:textId="77777777">
        <w:tc>
          <w:tcPr>
            <w:tcW w:w="3114" w:type="dxa"/>
          </w:tcPr>
          <w:p w14:paraId="5AE33A5D"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5A42F8C5" w14:textId="77777777" w:rsidR="0025732F" w:rsidRPr="00925EA9" w:rsidRDefault="0025732F">
            <w:pPr>
              <w:pStyle w:val="NoSpacing"/>
              <w:spacing w:line="240" w:lineRule="auto"/>
              <w:rPr>
                <w:sz w:val="20"/>
                <w:szCs w:val="20"/>
              </w:rPr>
            </w:pPr>
            <w:r w:rsidRPr="007E6F36">
              <w:rPr>
                <w:sz w:val="20"/>
                <w:szCs w:val="20"/>
              </w:rPr>
              <w:t>Mothers in both groups decreased their drug use and child neglect potential. FBT outperformed according to secondary outcomes.</w:t>
            </w:r>
            <w:r>
              <w:rPr>
                <w:sz w:val="20"/>
                <w:szCs w:val="20"/>
              </w:rPr>
              <w:t xml:space="preserve"> </w:t>
            </w:r>
            <w:r w:rsidRPr="0005535A">
              <w:rPr>
                <w:sz w:val="20"/>
                <w:szCs w:val="20"/>
              </w:rPr>
              <w:t>FBT Mothers who were referred for neglect but not child exposure to drug use demonstrated better outcomes in child maltreatment potential than both TAU and FBT mothers who were referred because of neglect and child exposure to drug use. Similar results occurred for ‘hard’ drug use.</w:t>
            </w:r>
          </w:p>
        </w:tc>
      </w:tr>
      <w:tr w:rsidR="0025732F" w:rsidRPr="00925EA9" w14:paraId="0DAE3EDE" w14:textId="77777777">
        <w:tc>
          <w:tcPr>
            <w:tcW w:w="3114" w:type="dxa"/>
          </w:tcPr>
          <w:p w14:paraId="1DD704F8"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5CE6649A" w14:textId="77777777" w:rsidR="0025732F" w:rsidRPr="00925EA9" w:rsidRDefault="0025732F">
            <w:pPr>
              <w:rPr>
                <w:rFonts w:cs="Arial"/>
                <w:sz w:val="20"/>
                <w:szCs w:val="20"/>
              </w:rPr>
            </w:pPr>
            <w:r>
              <w:rPr>
                <w:rFonts w:cs="Arial"/>
                <w:sz w:val="20"/>
                <w:szCs w:val="20"/>
              </w:rPr>
              <w:t>n/a</w:t>
            </w:r>
          </w:p>
        </w:tc>
      </w:tr>
      <w:tr w:rsidR="0025732F" w:rsidRPr="00925EA9" w14:paraId="620454C4" w14:textId="77777777">
        <w:trPr>
          <w:trHeight w:val="121"/>
        </w:trPr>
        <w:tc>
          <w:tcPr>
            <w:tcW w:w="3114" w:type="dxa"/>
            <w:tcBorders>
              <w:bottom w:val="single" w:sz="4" w:space="0" w:color="auto"/>
            </w:tcBorders>
          </w:tcPr>
          <w:p w14:paraId="70AE72BC" w14:textId="77777777" w:rsidR="0025732F" w:rsidRPr="00925EA9" w:rsidRDefault="0025732F">
            <w:pPr>
              <w:rPr>
                <w:rFonts w:cs="Arial"/>
                <w:sz w:val="20"/>
                <w:szCs w:val="20"/>
              </w:rPr>
            </w:pPr>
            <w:r w:rsidRPr="00925EA9">
              <w:rPr>
                <w:rFonts w:cs="Arial"/>
                <w:sz w:val="20"/>
                <w:szCs w:val="20"/>
              </w:rPr>
              <w:t>Overall quality rating</w:t>
            </w:r>
          </w:p>
        </w:tc>
        <w:tc>
          <w:tcPr>
            <w:tcW w:w="10773" w:type="dxa"/>
            <w:tcBorders>
              <w:bottom w:val="single" w:sz="4" w:space="0" w:color="auto"/>
            </w:tcBorders>
          </w:tcPr>
          <w:p w14:paraId="6F7476F4" w14:textId="77777777" w:rsidR="0025732F" w:rsidRPr="00925EA9" w:rsidRDefault="0025732F">
            <w:pPr>
              <w:rPr>
                <w:rFonts w:cs="Arial"/>
                <w:sz w:val="20"/>
                <w:szCs w:val="20"/>
              </w:rPr>
            </w:pPr>
            <w:r>
              <w:rPr>
                <w:rFonts w:cs="Arial"/>
                <w:sz w:val="20"/>
                <w:szCs w:val="20"/>
              </w:rPr>
              <w:t>Moderate.</w:t>
            </w:r>
          </w:p>
        </w:tc>
      </w:tr>
      <w:tr w:rsidR="0025732F" w:rsidRPr="00925EA9" w14:paraId="256D8926" w14:textId="77777777">
        <w:tc>
          <w:tcPr>
            <w:tcW w:w="3114" w:type="dxa"/>
            <w:shd w:val="clear" w:color="auto" w:fill="D9E2F3" w:themeFill="accent1" w:themeFillTint="33"/>
          </w:tcPr>
          <w:p w14:paraId="5B34D338"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1497FA64" w14:textId="1B384587" w:rsidR="0025732F" w:rsidRPr="00925EA9" w:rsidRDefault="0025732F">
            <w:pPr>
              <w:tabs>
                <w:tab w:val="left" w:pos="1067"/>
              </w:tabs>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AuthorYear="1"&gt;&lt;Author&gt;Forrester&lt;/Author&gt;&lt;Year&gt;2008&lt;/Year&gt;&lt;RecNum&gt;143&lt;/RecNum&gt;&lt;DisplayText&gt;Forrester et al. (2008)&lt;/DisplayText&gt;&lt;record&gt;&lt;rec-number&gt;143&lt;/rec-number&gt;&lt;foreign-keys&gt;&lt;key app="EN" db-id="ffzvr5fstavwxoe9v04xf0wmp5t50as52da0" timestamp="1731671644" guid="ccc2a12a-25b9-4b50-939c-4e25d2e7589a"&gt;143&lt;/key&gt;&lt;/foreign-keys&gt;&lt;ref-type name="Journal Article"&gt;17&lt;/ref-type&gt;&lt;contributors&gt;&lt;authors&gt;&lt;author&gt;Forrester, D.&lt;/author&gt;&lt;author&gt;Copello, A.&lt;/author&gt;&lt;author&gt;Waissbein, C.&lt;/author&gt;&lt;author&gt;Pokhrel, S.&lt;/author&gt;&lt;/authors&gt;&lt;/contributors&gt;&lt;titles&gt;&lt;title&gt;Evaluation of an intensive family preservation service for families affected by parental substance misuse&lt;/title&gt;&lt;secondary-title&gt;Child Abuse Review&lt;/secondary-title&gt;&lt;/titles&gt;&lt;periodical&gt;&lt;full-title&gt;Child Abuse Review&lt;/full-title&gt;&lt;/periodical&gt;&lt;pages&gt;410-426&lt;/pages&gt;&lt;volume&gt;17&lt;/volume&gt;&lt;number&gt;6&lt;/number&gt;&lt;keywords&gt;&lt;keyword&gt;Parental Drug Misuse&lt;/keyword&gt;&lt;keyword&gt;Parental Alcohol Misuse&lt;/keyword&gt;&lt;keyword&gt;Family Preservation&lt;/keyword&gt;&lt;keyword&gt;Motivational Interviewing&lt;/keyword&gt;&lt;keyword&gt;Public Care&lt;/keyword&gt;&lt;/keywords&gt;&lt;dates&gt;&lt;year&gt;2008&lt;/year&gt;&lt;/dates&gt;&lt;pub-location&gt;Chichester, UK&lt;/pub-location&gt;&lt;isbn&gt;0952-9136&lt;/isbn&gt;&lt;urls&gt;&lt;/urls&gt;&lt;electronic-resource-num&gt;10.1002/car.1048&lt;/electronic-resource-num&gt;&lt;/record&gt;&lt;/Cite&gt;&lt;/EndNote&gt;</w:instrText>
            </w:r>
            <w:r w:rsidRPr="00925EA9">
              <w:rPr>
                <w:rFonts w:cs="Arial"/>
                <w:sz w:val="20"/>
                <w:szCs w:val="20"/>
              </w:rPr>
              <w:fldChar w:fldCharType="separate"/>
            </w:r>
            <w:r w:rsidR="00A77498">
              <w:rPr>
                <w:rFonts w:cs="Arial"/>
                <w:noProof/>
                <w:sz w:val="20"/>
                <w:szCs w:val="20"/>
              </w:rPr>
              <w:t>Forrester et al. (2008)</w:t>
            </w:r>
            <w:r w:rsidRPr="00925EA9">
              <w:rPr>
                <w:rFonts w:cs="Arial"/>
                <w:sz w:val="20"/>
                <w:szCs w:val="20"/>
              </w:rPr>
              <w:fldChar w:fldCharType="end"/>
            </w:r>
            <w:r w:rsidRPr="00925EA9">
              <w:rPr>
                <w:rFonts w:cs="Arial"/>
                <w:sz w:val="20"/>
                <w:szCs w:val="20"/>
              </w:rPr>
              <w:t xml:space="preserve"> and </w:t>
            </w:r>
            <w:r w:rsidRPr="00925EA9">
              <w:rPr>
                <w:rFonts w:cs="Arial"/>
                <w:sz w:val="20"/>
                <w:szCs w:val="20"/>
              </w:rPr>
              <w:fldChar w:fldCharType="begin"/>
            </w:r>
            <w:r w:rsidR="00B9334F">
              <w:rPr>
                <w:rFonts w:cs="Arial"/>
                <w:sz w:val="20"/>
                <w:szCs w:val="20"/>
              </w:rPr>
              <w:instrText xml:space="preserve"> ADDIN EN.CITE &lt;EndNote&gt;&lt;Cite AuthorYear="1"&gt;&lt;Author&gt;Forrester&lt;/Author&gt;&lt;Year&gt;2014&lt;/Year&gt;&lt;RecNum&gt;144&lt;/RecNum&gt;&lt;DisplayText&gt;Forrester et al. (2014)&lt;/DisplayText&gt;&lt;record&gt;&lt;rec-number&gt;144&lt;/rec-number&gt;&lt;foreign-keys&gt;&lt;key app="EN" db-id="ffzvr5fstavwxoe9v04xf0wmp5t50as52da0" timestamp="1731671644" guid="258d8ac3-6de4-4abb-b6a8-0785490fe181"&gt;144&lt;/key&gt;&lt;/foreign-keys&gt;&lt;ref-type name="Journal Article"&gt;17&lt;/ref-type&gt;&lt;contributors&gt;&lt;authors&gt;&lt;author&gt;Forrester, D&lt;/author&gt;&lt;author&gt;Holland, S&lt;/author&gt;&lt;author&gt;Williams, A&lt;/author&gt;&lt;author&gt;Copello, A&lt;/author&gt;&lt;/authors&gt;&lt;/contributors&gt;&lt;titles&gt;&lt;title&gt;Helping families where parents misuse drugs or alcohol? A mixed methods comparative evaluation of an intensive family preservation service&lt;/title&gt;&lt;secondary-title&gt;Child &amp;amp; Family Social Work&lt;/secondary-title&gt;&lt;/titles&gt;&lt;periodical&gt;&lt;full-title&gt;Child &amp;amp; Family Social Work&lt;/full-title&gt;&lt;/periodical&gt;&lt;pages&gt;65-75&lt;/pages&gt;&lt;volume&gt;21&lt;/volume&gt;&lt;number&gt;1&lt;/number&gt;&lt;dates&gt;&lt;year&gt;2014&lt;/year&gt;&lt;/dates&gt;&lt;urls&gt;&lt;related-urls&gt;&lt;url&gt;https://onlinelibrary.wiley.com/doi/abs/10.1111/cfs.12111&lt;/url&gt;&lt;/related-urls&gt;&lt;/urls&gt;&lt;electronic-resource-num&gt;doi:10.1111/cfs.12111&lt;/electronic-resource-num&gt;&lt;/record&gt;&lt;/Cite&gt;&lt;/EndNote&gt;</w:instrText>
            </w:r>
            <w:r w:rsidRPr="00925EA9">
              <w:rPr>
                <w:rFonts w:cs="Arial"/>
                <w:sz w:val="20"/>
                <w:szCs w:val="20"/>
              </w:rPr>
              <w:fldChar w:fldCharType="separate"/>
            </w:r>
            <w:r w:rsidR="00A77498">
              <w:rPr>
                <w:rFonts w:cs="Arial"/>
                <w:noProof/>
                <w:sz w:val="20"/>
                <w:szCs w:val="20"/>
              </w:rPr>
              <w:t>Forrester et al. (2014)</w:t>
            </w:r>
            <w:r w:rsidRPr="00925EA9">
              <w:rPr>
                <w:rFonts w:cs="Arial"/>
                <w:sz w:val="20"/>
                <w:szCs w:val="20"/>
              </w:rPr>
              <w:fldChar w:fldCharType="end"/>
            </w:r>
          </w:p>
        </w:tc>
      </w:tr>
      <w:tr w:rsidR="0025732F" w:rsidRPr="00925EA9" w14:paraId="06BA6893" w14:textId="77777777">
        <w:tc>
          <w:tcPr>
            <w:tcW w:w="3114" w:type="dxa"/>
          </w:tcPr>
          <w:p w14:paraId="763340D5" w14:textId="77777777" w:rsidR="0025732F" w:rsidRPr="00925EA9" w:rsidRDefault="0025732F">
            <w:pPr>
              <w:rPr>
                <w:rFonts w:cs="Arial"/>
                <w:sz w:val="20"/>
                <w:szCs w:val="20"/>
              </w:rPr>
            </w:pPr>
            <w:r w:rsidRPr="00925EA9">
              <w:rPr>
                <w:rFonts w:cs="Arial"/>
                <w:sz w:val="20"/>
                <w:szCs w:val="20"/>
              </w:rPr>
              <w:t>Aims</w:t>
            </w:r>
          </w:p>
        </w:tc>
        <w:tc>
          <w:tcPr>
            <w:tcW w:w="10773" w:type="dxa"/>
          </w:tcPr>
          <w:p w14:paraId="274B16E7" w14:textId="77777777" w:rsidR="0025732F" w:rsidRPr="00925EA9" w:rsidRDefault="0025732F">
            <w:pPr>
              <w:tabs>
                <w:tab w:val="left" w:pos="1067"/>
              </w:tabs>
              <w:autoSpaceDE w:val="0"/>
              <w:autoSpaceDN w:val="0"/>
              <w:adjustRightInd w:val="0"/>
              <w:rPr>
                <w:rFonts w:cs="Arial"/>
                <w:sz w:val="20"/>
                <w:szCs w:val="20"/>
              </w:rPr>
            </w:pPr>
            <w:r w:rsidRPr="00925EA9">
              <w:rPr>
                <w:rFonts w:cs="Arial"/>
                <w:sz w:val="20"/>
                <w:szCs w:val="20"/>
              </w:rPr>
              <w:t xml:space="preserve">To quantitatively and qualitatively analyse the impact of an Intensive Family Preservation Service (a.k.a. ‘Option 2’) targeting parental substance misusers whose children are at risk of being placed into care. </w:t>
            </w:r>
          </w:p>
        </w:tc>
      </w:tr>
      <w:tr w:rsidR="0025732F" w:rsidRPr="00925EA9" w14:paraId="063FF4B5" w14:textId="77777777">
        <w:tc>
          <w:tcPr>
            <w:tcW w:w="3114" w:type="dxa"/>
          </w:tcPr>
          <w:p w14:paraId="384A7BE9" w14:textId="77777777" w:rsidR="0025732F" w:rsidRPr="00925EA9" w:rsidRDefault="0025732F">
            <w:pPr>
              <w:rPr>
                <w:rFonts w:cs="Arial"/>
                <w:sz w:val="20"/>
                <w:szCs w:val="20"/>
              </w:rPr>
            </w:pPr>
            <w:r w:rsidRPr="00925EA9">
              <w:rPr>
                <w:rFonts w:cs="Arial"/>
                <w:sz w:val="20"/>
                <w:szCs w:val="20"/>
              </w:rPr>
              <w:t>Design</w:t>
            </w:r>
          </w:p>
        </w:tc>
        <w:tc>
          <w:tcPr>
            <w:tcW w:w="10773" w:type="dxa"/>
          </w:tcPr>
          <w:p w14:paraId="1C806F71" w14:textId="77777777" w:rsidR="0025732F" w:rsidRPr="00925EA9" w:rsidRDefault="0025732F">
            <w:pPr>
              <w:tabs>
                <w:tab w:val="left" w:pos="1067"/>
              </w:tabs>
              <w:autoSpaceDE w:val="0"/>
              <w:autoSpaceDN w:val="0"/>
              <w:adjustRightInd w:val="0"/>
              <w:rPr>
                <w:rFonts w:cs="Arial"/>
                <w:sz w:val="20"/>
                <w:szCs w:val="20"/>
              </w:rPr>
            </w:pPr>
            <w:r w:rsidRPr="00925EA9">
              <w:rPr>
                <w:rFonts w:cs="Arial"/>
                <w:color w:val="000000"/>
                <w:sz w:val="20"/>
                <w:szCs w:val="20"/>
              </w:rPr>
              <w:t xml:space="preserve">The 2008 study was a mixed method study design: a quasi-experimental quantitative component, with an average of 3.5 years follow-up (ranging from eight months to 6.5 years) and </w:t>
            </w:r>
            <w:r w:rsidRPr="00925EA9">
              <w:rPr>
                <w:rFonts w:cs="Arial"/>
                <w:sz w:val="20"/>
                <w:szCs w:val="20"/>
              </w:rPr>
              <w:t>interviews with eight families (11 parents and seven children). The 2014 paper had an average of 5.6 years follow-up and interviews with 15 intervention families (46 children) and12 comparison families (28 children)</w:t>
            </w:r>
          </w:p>
        </w:tc>
      </w:tr>
      <w:tr w:rsidR="0025732F" w:rsidRPr="00925EA9" w14:paraId="7B3C0D01" w14:textId="77777777">
        <w:tc>
          <w:tcPr>
            <w:tcW w:w="3114" w:type="dxa"/>
          </w:tcPr>
          <w:p w14:paraId="5E9B6F23"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0C037213" w14:textId="77777777" w:rsidR="0025732F" w:rsidRPr="00925EA9" w:rsidRDefault="0025732F">
            <w:pPr>
              <w:tabs>
                <w:tab w:val="left" w:pos="1067"/>
              </w:tabs>
              <w:autoSpaceDE w:val="0"/>
              <w:autoSpaceDN w:val="0"/>
              <w:adjustRightInd w:val="0"/>
              <w:rPr>
                <w:rFonts w:cs="Arial"/>
                <w:sz w:val="20"/>
                <w:szCs w:val="20"/>
              </w:rPr>
            </w:pPr>
            <w:r w:rsidRPr="00925EA9">
              <w:rPr>
                <w:rFonts w:cs="Arial"/>
                <w:color w:val="000000"/>
                <w:sz w:val="20"/>
                <w:szCs w:val="20"/>
              </w:rPr>
              <w:t>Intervention (n=279) and comparison (n=89) children in the quantitative analyses.</w:t>
            </w:r>
          </w:p>
        </w:tc>
      </w:tr>
      <w:tr w:rsidR="0025732F" w:rsidRPr="00925EA9" w14:paraId="18CE70BC" w14:textId="77777777">
        <w:tc>
          <w:tcPr>
            <w:tcW w:w="3114" w:type="dxa"/>
          </w:tcPr>
          <w:p w14:paraId="49CBD1DA" w14:textId="77777777" w:rsidR="0025732F" w:rsidRPr="00925EA9" w:rsidRDefault="0025732F">
            <w:pPr>
              <w:rPr>
                <w:rFonts w:cs="Arial"/>
                <w:sz w:val="20"/>
                <w:szCs w:val="20"/>
              </w:rPr>
            </w:pPr>
            <w:r w:rsidRPr="00925EA9">
              <w:rPr>
                <w:rFonts w:cs="Arial"/>
                <w:sz w:val="20"/>
                <w:szCs w:val="20"/>
              </w:rPr>
              <w:lastRenderedPageBreak/>
              <w:t>Intervention</w:t>
            </w:r>
          </w:p>
        </w:tc>
        <w:tc>
          <w:tcPr>
            <w:tcW w:w="10773" w:type="dxa"/>
          </w:tcPr>
          <w:p w14:paraId="2B3E8704" w14:textId="77777777" w:rsidR="0025732F" w:rsidRPr="00925EA9" w:rsidRDefault="0025732F">
            <w:pPr>
              <w:tabs>
                <w:tab w:val="left" w:pos="1067"/>
              </w:tabs>
              <w:rPr>
                <w:rFonts w:cs="Arial"/>
                <w:sz w:val="20"/>
                <w:szCs w:val="20"/>
              </w:rPr>
            </w:pPr>
            <w:r w:rsidRPr="00925EA9">
              <w:rPr>
                <w:rFonts w:cs="Arial"/>
                <w:sz w:val="20"/>
                <w:szCs w:val="20"/>
              </w:rPr>
              <w:t>An intensive four-week home-based intervention. Workers are paraprofessionals incorporating motivational interviewing (MI) techniques, are on call 24/7 and work with one family at a time.</w:t>
            </w:r>
          </w:p>
        </w:tc>
      </w:tr>
      <w:tr w:rsidR="0025732F" w:rsidRPr="00925EA9" w14:paraId="6BBC965D" w14:textId="77777777">
        <w:tc>
          <w:tcPr>
            <w:tcW w:w="3114" w:type="dxa"/>
          </w:tcPr>
          <w:p w14:paraId="42C78C53" w14:textId="77777777" w:rsidR="0025732F" w:rsidRPr="00925EA9" w:rsidRDefault="0025732F">
            <w:pPr>
              <w:rPr>
                <w:rFonts w:cs="Arial"/>
                <w:sz w:val="20"/>
                <w:szCs w:val="20"/>
              </w:rPr>
            </w:pPr>
            <w:r w:rsidRPr="00925EA9">
              <w:rPr>
                <w:rFonts w:cs="Arial"/>
                <w:sz w:val="20"/>
                <w:szCs w:val="20"/>
              </w:rPr>
              <w:t>Country</w:t>
            </w:r>
          </w:p>
        </w:tc>
        <w:tc>
          <w:tcPr>
            <w:tcW w:w="10773" w:type="dxa"/>
          </w:tcPr>
          <w:p w14:paraId="7C5F368C" w14:textId="77777777" w:rsidR="0025732F" w:rsidRPr="00925EA9" w:rsidRDefault="0025732F">
            <w:pPr>
              <w:tabs>
                <w:tab w:val="left" w:pos="1067"/>
              </w:tabs>
              <w:rPr>
                <w:rFonts w:cs="Arial"/>
                <w:sz w:val="20"/>
                <w:szCs w:val="20"/>
              </w:rPr>
            </w:pPr>
            <w:r w:rsidRPr="00925EA9">
              <w:rPr>
                <w:rFonts w:cs="Arial"/>
                <w:sz w:val="20"/>
                <w:szCs w:val="20"/>
              </w:rPr>
              <w:t>UK (Wales).</w:t>
            </w:r>
          </w:p>
        </w:tc>
      </w:tr>
      <w:tr w:rsidR="0025732F" w:rsidRPr="00925EA9" w14:paraId="282EBB60" w14:textId="77777777">
        <w:tc>
          <w:tcPr>
            <w:tcW w:w="3114" w:type="dxa"/>
          </w:tcPr>
          <w:p w14:paraId="3CE15137"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2AF58652" w14:textId="77777777" w:rsidR="0025732F" w:rsidRPr="00925EA9" w:rsidRDefault="0025732F">
            <w:pPr>
              <w:tabs>
                <w:tab w:val="left" w:pos="1067"/>
              </w:tabs>
              <w:rPr>
                <w:rFonts w:cs="Arial"/>
                <w:sz w:val="20"/>
                <w:szCs w:val="20"/>
              </w:rPr>
            </w:pPr>
            <w:r w:rsidRPr="00925EA9">
              <w:rPr>
                <w:rFonts w:cs="Arial"/>
                <w:sz w:val="20"/>
                <w:szCs w:val="20"/>
              </w:rPr>
              <w:t xml:space="preserve">Among the intervention families who had not fully engaged with the programme two notable reasons were highlighted by the parents: fear of having their child taken away or how disclosure would affect their children, and being too under the influence of </w:t>
            </w:r>
            <w:r>
              <w:rPr>
                <w:rFonts w:cs="Arial"/>
                <w:sz w:val="20"/>
                <w:szCs w:val="20"/>
              </w:rPr>
              <w:t>substances</w:t>
            </w:r>
            <w:r w:rsidRPr="00925EA9">
              <w:rPr>
                <w:rFonts w:cs="Arial"/>
                <w:sz w:val="20"/>
                <w:szCs w:val="20"/>
              </w:rPr>
              <w:t xml:space="preserve"> to properly engage with the programme. Albeit this represents data from a very small sample.  Criticisms related to the short duration of the programme which was tied to relapse and mental health problems post-intervention. Another common criticism was that the service was not timely enough – parents wished they could have accessed it earlier to prevent subsequent problems for them and their children. The likelihood of entering care was the same for both the intervention and comparison groups (about 40%), however children receiving the intervention took longer to enter care and spent significantly fewer days in care. At follow-up intervention children were 12% more likely to be at home than comparison children (68% vs. 56% respectively, p=0.04). The 2014 study suggests that the intervention had a beneficial impact on family functioning; there were no signs that children who remained at home were at risk</w:t>
            </w:r>
            <w:r>
              <w:rPr>
                <w:rFonts w:cs="Arial"/>
                <w:sz w:val="20"/>
                <w:szCs w:val="20"/>
              </w:rPr>
              <w:t>.</w:t>
            </w:r>
          </w:p>
        </w:tc>
      </w:tr>
      <w:tr w:rsidR="0025732F" w:rsidRPr="00925EA9" w14:paraId="33070F86" w14:textId="77777777">
        <w:tc>
          <w:tcPr>
            <w:tcW w:w="3114" w:type="dxa"/>
          </w:tcPr>
          <w:p w14:paraId="23D72592"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0FC927C3" w14:textId="77777777" w:rsidR="0025732F" w:rsidRPr="00925EA9" w:rsidRDefault="0025732F">
            <w:pPr>
              <w:tabs>
                <w:tab w:val="left" w:pos="1067"/>
              </w:tabs>
              <w:rPr>
                <w:rFonts w:cs="Arial"/>
                <w:i/>
                <w:sz w:val="20"/>
                <w:szCs w:val="20"/>
              </w:rPr>
            </w:pPr>
            <w:r w:rsidRPr="00925EA9">
              <w:rPr>
                <w:rFonts w:cs="Arial"/>
                <w:sz w:val="20"/>
                <w:szCs w:val="20"/>
              </w:rPr>
              <w:t>Intervention costs = £2,195 per child, net savings were £1,178. BCR=1.54.</w:t>
            </w:r>
          </w:p>
        </w:tc>
      </w:tr>
      <w:tr w:rsidR="0025732F" w:rsidRPr="00925EA9" w14:paraId="0C4A6319" w14:textId="77777777">
        <w:tc>
          <w:tcPr>
            <w:tcW w:w="3114" w:type="dxa"/>
          </w:tcPr>
          <w:p w14:paraId="30EB5D8C"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5070A3D8" w14:textId="77777777" w:rsidR="0025732F" w:rsidRPr="00925EA9" w:rsidRDefault="0025732F">
            <w:pPr>
              <w:rPr>
                <w:rFonts w:cs="Arial"/>
                <w:sz w:val="20"/>
                <w:szCs w:val="20"/>
              </w:rPr>
            </w:pPr>
            <w:r w:rsidRPr="00925EA9">
              <w:rPr>
                <w:rFonts w:cs="Arial"/>
                <w:sz w:val="20"/>
                <w:szCs w:val="20"/>
              </w:rPr>
              <w:t>Moderate.</w:t>
            </w:r>
          </w:p>
        </w:tc>
      </w:tr>
      <w:tr w:rsidR="0025732F" w:rsidRPr="00925EA9" w14:paraId="131D0F18" w14:textId="77777777">
        <w:tc>
          <w:tcPr>
            <w:tcW w:w="3114" w:type="dxa"/>
            <w:shd w:val="clear" w:color="auto" w:fill="D9E2F3" w:themeFill="accent1" w:themeFillTint="33"/>
          </w:tcPr>
          <w:p w14:paraId="1CC87074"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508ED8B9" w14:textId="3B1966DB"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AuthorYear="1"&gt;&lt;Author&gt;Green&lt;/Author&gt;&lt;Year&gt;2007&lt;/Year&gt;&lt;RecNum&gt;135&lt;/RecNum&gt;&lt;DisplayText&gt;Green et al. (2007)&lt;/DisplayText&gt;&lt;record&gt;&lt;rec-number&gt;135&lt;/rec-number&gt;&lt;foreign-keys&gt;&lt;key app="EN" db-id="ffzvr5fstavwxoe9v04xf0wmp5t50as52da0" timestamp="1731671644" guid="b27005c1-9023-41b8-a2ff-92f3a08bab5d"&gt;135&lt;/key&gt;&lt;/foreign-keys&gt;&lt;ref-type name="Journal Article"&gt;17&lt;/ref-type&gt;&lt;contributors&gt;&lt;authors&gt;&lt;author&gt;Green, Beth L.&lt;/author&gt;&lt;author&gt;Furrer, Carrie&lt;/author&gt;&lt;author&gt;Worcel, Sonia&lt;/author&gt;&lt;author&gt;Burrus, Scott&lt;/author&gt;&lt;author&gt;Finigan, Michael W.&lt;/author&gt;&lt;/authors&gt;&lt;/contributors&gt;&lt;titles&gt;&lt;title&gt;How Effective Are Family Treatment Drug Courts? Outcomes From a Four-Site National Study&lt;/title&gt;&lt;secondary-title&gt;Child Maltreatment&lt;/secondary-title&gt;&lt;/titles&gt;&lt;periodical&gt;&lt;full-title&gt;Child Maltreatment&lt;/full-title&gt;&lt;/periodical&gt;&lt;pages&gt;43-59&lt;/pages&gt;&lt;volume&gt;12&lt;/volume&gt;&lt;number&gt;1&lt;/number&gt;&lt;keywords&gt;&lt;keyword&gt;substance abuse,foster care,parenting,program evaluation,courts&lt;/keyword&gt;&lt;/keywords&gt;&lt;dates&gt;&lt;year&gt;2007&lt;/year&gt;&lt;/dates&gt;&lt;accession-num&gt;17218647&lt;/accession-num&gt;&lt;urls&gt;&lt;related-urls&gt;&lt;url&gt;http://journals.sagepub.com/doi/abs/10.1177/1077559506296317&lt;/url&gt;&lt;/related-urls&gt;&lt;/urls&gt;&lt;electronic-resource-num&gt;10.1177/1077559506296317&lt;/electronic-resource-num&gt;&lt;/record&gt;&lt;/Cite&gt;&lt;/EndNote&gt;</w:instrText>
            </w:r>
            <w:r w:rsidRPr="00925EA9">
              <w:rPr>
                <w:rFonts w:cs="Arial"/>
                <w:sz w:val="20"/>
                <w:szCs w:val="20"/>
              </w:rPr>
              <w:fldChar w:fldCharType="separate"/>
            </w:r>
            <w:r w:rsidR="00A77498">
              <w:rPr>
                <w:rFonts w:cs="Arial"/>
                <w:noProof/>
                <w:sz w:val="20"/>
                <w:szCs w:val="20"/>
              </w:rPr>
              <w:t>Green et al. (2007)</w:t>
            </w:r>
            <w:r w:rsidRPr="00925EA9">
              <w:rPr>
                <w:rFonts w:cs="Arial"/>
                <w:sz w:val="20"/>
                <w:szCs w:val="20"/>
              </w:rPr>
              <w:fldChar w:fldCharType="end"/>
            </w:r>
          </w:p>
        </w:tc>
      </w:tr>
      <w:tr w:rsidR="0025732F" w:rsidRPr="00925EA9" w14:paraId="435CBDC9" w14:textId="77777777">
        <w:tc>
          <w:tcPr>
            <w:tcW w:w="3114" w:type="dxa"/>
          </w:tcPr>
          <w:p w14:paraId="5CD8D60C" w14:textId="77777777" w:rsidR="0025732F" w:rsidRPr="00925EA9" w:rsidRDefault="0025732F">
            <w:pPr>
              <w:rPr>
                <w:rFonts w:cs="Arial"/>
                <w:sz w:val="20"/>
                <w:szCs w:val="20"/>
              </w:rPr>
            </w:pPr>
            <w:r w:rsidRPr="00925EA9">
              <w:rPr>
                <w:rFonts w:cs="Arial"/>
                <w:sz w:val="20"/>
                <w:szCs w:val="20"/>
              </w:rPr>
              <w:t>Aims</w:t>
            </w:r>
          </w:p>
        </w:tc>
        <w:tc>
          <w:tcPr>
            <w:tcW w:w="10773" w:type="dxa"/>
          </w:tcPr>
          <w:p w14:paraId="05986B65" w14:textId="77777777" w:rsidR="0025732F" w:rsidRPr="00925EA9" w:rsidRDefault="0025732F">
            <w:pPr>
              <w:rPr>
                <w:rFonts w:cs="Arial"/>
                <w:sz w:val="20"/>
                <w:szCs w:val="20"/>
              </w:rPr>
            </w:pPr>
            <w:r w:rsidRPr="00925EA9">
              <w:rPr>
                <w:rFonts w:cs="Arial"/>
                <w:sz w:val="20"/>
                <w:szCs w:val="20"/>
              </w:rPr>
              <w:t>To examine the effectiveness of FTDC and the different types of parental treatment experienced by those on the programme on both treatment and child welfare outcomes.</w:t>
            </w:r>
          </w:p>
        </w:tc>
      </w:tr>
      <w:tr w:rsidR="0025732F" w:rsidRPr="00925EA9" w14:paraId="663F64C2" w14:textId="77777777">
        <w:tc>
          <w:tcPr>
            <w:tcW w:w="3114" w:type="dxa"/>
          </w:tcPr>
          <w:p w14:paraId="57E9956B" w14:textId="77777777" w:rsidR="0025732F" w:rsidRPr="00925EA9" w:rsidRDefault="0025732F">
            <w:pPr>
              <w:rPr>
                <w:rFonts w:cs="Arial"/>
                <w:sz w:val="20"/>
                <w:szCs w:val="20"/>
              </w:rPr>
            </w:pPr>
            <w:r w:rsidRPr="00925EA9">
              <w:rPr>
                <w:rFonts w:cs="Arial"/>
                <w:sz w:val="20"/>
                <w:szCs w:val="20"/>
              </w:rPr>
              <w:t>Design</w:t>
            </w:r>
          </w:p>
        </w:tc>
        <w:tc>
          <w:tcPr>
            <w:tcW w:w="10773" w:type="dxa"/>
          </w:tcPr>
          <w:p w14:paraId="37161C10" w14:textId="77777777" w:rsidR="0025732F" w:rsidRPr="00925EA9" w:rsidRDefault="0025732F">
            <w:pPr>
              <w:rPr>
                <w:rFonts w:cs="Arial"/>
                <w:sz w:val="20"/>
                <w:szCs w:val="20"/>
              </w:rPr>
            </w:pPr>
            <w:r w:rsidRPr="00925EA9">
              <w:rPr>
                <w:rFonts w:cs="Arial"/>
                <w:sz w:val="20"/>
                <w:szCs w:val="20"/>
              </w:rPr>
              <w:t>Quasi-experimental, two-year follow-up, matching administrative data from child protection services, the courts and birth records.</w:t>
            </w:r>
          </w:p>
        </w:tc>
      </w:tr>
      <w:tr w:rsidR="0025732F" w:rsidRPr="00925EA9" w14:paraId="40BCFB35" w14:textId="77777777">
        <w:tc>
          <w:tcPr>
            <w:tcW w:w="3114" w:type="dxa"/>
          </w:tcPr>
          <w:p w14:paraId="2909433D"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6365500D" w14:textId="77777777" w:rsidR="0025732F" w:rsidRPr="00925EA9" w:rsidRDefault="0025732F">
            <w:pPr>
              <w:rPr>
                <w:rFonts w:cs="Arial"/>
                <w:sz w:val="20"/>
                <w:szCs w:val="20"/>
              </w:rPr>
            </w:pPr>
            <w:r w:rsidRPr="00925EA9">
              <w:rPr>
                <w:rFonts w:cs="Arial"/>
                <w:iCs/>
                <w:sz w:val="20"/>
                <w:szCs w:val="20"/>
              </w:rPr>
              <w:t>Intervention (n=</w:t>
            </w:r>
            <w:r w:rsidRPr="00925EA9">
              <w:rPr>
                <w:rFonts w:cs="Arial"/>
                <w:sz w:val="20"/>
                <w:szCs w:val="20"/>
              </w:rPr>
              <w:t xml:space="preserve"> 250, including 50 high intensity treatment service recruits) and Comparison (n=200)</w:t>
            </w:r>
          </w:p>
        </w:tc>
      </w:tr>
      <w:tr w:rsidR="0025732F" w:rsidRPr="00925EA9" w14:paraId="75CA2D57" w14:textId="77777777">
        <w:tc>
          <w:tcPr>
            <w:tcW w:w="3114" w:type="dxa"/>
          </w:tcPr>
          <w:p w14:paraId="2CFDFD17"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26E33738" w14:textId="77777777" w:rsidR="0025732F" w:rsidRPr="00925EA9" w:rsidRDefault="0025732F">
            <w:pPr>
              <w:rPr>
                <w:rFonts w:cs="Arial"/>
                <w:sz w:val="20"/>
                <w:szCs w:val="20"/>
              </w:rPr>
            </w:pPr>
            <w:r w:rsidRPr="00925EA9">
              <w:rPr>
                <w:rFonts w:cs="Arial"/>
                <w:sz w:val="20"/>
                <w:szCs w:val="20"/>
              </w:rPr>
              <w:t>FTDC.</w:t>
            </w:r>
          </w:p>
        </w:tc>
      </w:tr>
      <w:tr w:rsidR="0025732F" w:rsidRPr="00925EA9" w14:paraId="6C70917B" w14:textId="77777777">
        <w:tc>
          <w:tcPr>
            <w:tcW w:w="3114" w:type="dxa"/>
          </w:tcPr>
          <w:p w14:paraId="683A662D" w14:textId="77777777" w:rsidR="0025732F" w:rsidRPr="00925EA9" w:rsidRDefault="0025732F">
            <w:pPr>
              <w:rPr>
                <w:rFonts w:cs="Arial"/>
                <w:sz w:val="20"/>
                <w:szCs w:val="20"/>
              </w:rPr>
            </w:pPr>
            <w:r w:rsidRPr="00925EA9">
              <w:rPr>
                <w:rFonts w:cs="Arial"/>
                <w:sz w:val="20"/>
                <w:szCs w:val="20"/>
              </w:rPr>
              <w:t>Country</w:t>
            </w:r>
          </w:p>
        </w:tc>
        <w:tc>
          <w:tcPr>
            <w:tcW w:w="10773" w:type="dxa"/>
          </w:tcPr>
          <w:p w14:paraId="236ECB0E" w14:textId="77777777" w:rsidR="0025732F" w:rsidRPr="00925EA9" w:rsidRDefault="0025732F">
            <w:pPr>
              <w:rPr>
                <w:rFonts w:cs="Arial"/>
                <w:sz w:val="20"/>
                <w:szCs w:val="20"/>
              </w:rPr>
            </w:pPr>
            <w:r w:rsidRPr="00925EA9">
              <w:rPr>
                <w:rFonts w:cs="Arial"/>
                <w:sz w:val="20"/>
                <w:szCs w:val="20"/>
              </w:rPr>
              <w:t>USA (4 sites across the country).</w:t>
            </w:r>
          </w:p>
        </w:tc>
      </w:tr>
      <w:tr w:rsidR="0025732F" w:rsidRPr="00925EA9" w14:paraId="2DA8154E" w14:textId="77777777">
        <w:tc>
          <w:tcPr>
            <w:tcW w:w="3114" w:type="dxa"/>
          </w:tcPr>
          <w:p w14:paraId="3589FAC5"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09661E61" w14:textId="77777777" w:rsidR="0025732F" w:rsidRPr="00925EA9" w:rsidRDefault="0025732F">
            <w:pPr>
              <w:pStyle w:val="NoSpacing"/>
              <w:spacing w:line="240" w:lineRule="auto"/>
              <w:rPr>
                <w:sz w:val="20"/>
                <w:szCs w:val="20"/>
              </w:rPr>
            </w:pPr>
            <w:r w:rsidRPr="00925EA9">
              <w:rPr>
                <w:sz w:val="20"/>
                <w:szCs w:val="20"/>
              </w:rPr>
              <w:t xml:space="preserve">Parents on the programme entered treatment sooner (73 vs. 182 days), were retained for longer (303 vs. 185 days) and were more likely to complete treatment (45% vs. 34%). FTDC was also significantly effective when parents in both the intervention and comparison group had similar treatment experiences. </w:t>
            </w:r>
            <w:r>
              <w:rPr>
                <w:sz w:val="20"/>
                <w:szCs w:val="20"/>
              </w:rPr>
              <w:t xml:space="preserve"> </w:t>
            </w:r>
            <w:r w:rsidRPr="00925EA9">
              <w:rPr>
                <w:sz w:val="20"/>
                <w:szCs w:val="20"/>
              </w:rPr>
              <w:t>Children on the programme were placed more quickly in permanent living situations (360 vs. 435 days) and were more likely to be reunified (57% vs. 44%).</w:t>
            </w:r>
          </w:p>
        </w:tc>
      </w:tr>
      <w:tr w:rsidR="0025732F" w:rsidRPr="00925EA9" w14:paraId="780DCCE0" w14:textId="77777777">
        <w:tc>
          <w:tcPr>
            <w:tcW w:w="3114" w:type="dxa"/>
          </w:tcPr>
          <w:p w14:paraId="24460F4E"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2EC5DF21" w14:textId="77777777" w:rsidR="0025732F" w:rsidRPr="00925EA9" w:rsidRDefault="0025732F">
            <w:pPr>
              <w:rPr>
                <w:rFonts w:cs="Arial"/>
                <w:sz w:val="20"/>
                <w:szCs w:val="20"/>
              </w:rPr>
            </w:pPr>
            <w:r w:rsidRPr="00925EA9">
              <w:rPr>
                <w:rFonts w:cs="Arial"/>
                <w:sz w:val="20"/>
                <w:szCs w:val="20"/>
              </w:rPr>
              <w:t>N/A.</w:t>
            </w:r>
          </w:p>
        </w:tc>
      </w:tr>
      <w:tr w:rsidR="0025732F" w:rsidRPr="00925EA9" w14:paraId="0B03C079" w14:textId="77777777">
        <w:tc>
          <w:tcPr>
            <w:tcW w:w="3114" w:type="dxa"/>
          </w:tcPr>
          <w:p w14:paraId="4479B00D"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0B63B42C" w14:textId="77777777" w:rsidR="0025732F" w:rsidRPr="00925EA9" w:rsidRDefault="0025732F">
            <w:pPr>
              <w:rPr>
                <w:rFonts w:cs="Arial"/>
                <w:sz w:val="20"/>
                <w:szCs w:val="20"/>
              </w:rPr>
            </w:pPr>
            <w:r>
              <w:rPr>
                <w:rFonts w:cs="Arial"/>
                <w:sz w:val="20"/>
                <w:szCs w:val="20"/>
              </w:rPr>
              <w:t>Low</w:t>
            </w:r>
            <w:r w:rsidRPr="00925EA9">
              <w:rPr>
                <w:rFonts w:cs="Arial"/>
                <w:sz w:val="20"/>
                <w:szCs w:val="20"/>
              </w:rPr>
              <w:t>.</w:t>
            </w:r>
          </w:p>
        </w:tc>
      </w:tr>
      <w:tr w:rsidR="0025732F" w:rsidRPr="00925EA9" w14:paraId="0140F6F0" w14:textId="77777777">
        <w:tc>
          <w:tcPr>
            <w:tcW w:w="3114" w:type="dxa"/>
            <w:shd w:val="clear" w:color="auto" w:fill="D9E2F3" w:themeFill="accent1" w:themeFillTint="33"/>
          </w:tcPr>
          <w:p w14:paraId="29FB962F"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33BD53B4" w14:textId="4FC28683" w:rsidR="0025732F" w:rsidRPr="00925EA9" w:rsidRDefault="0025732F">
            <w:pPr>
              <w:rPr>
                <w:rFonts w:cs="Arial"/>
                <w:sz w:val="20"/>
                <w:szCs w:val="20"/>
              </w:rPr>
            </w:pPr>
            <w:r w:rsidRPr="00925EA9">
              <w:rPr>
                <w:rFonts w:cs="Arial"/>
                <w:sz w:val="20"/>
                <w:szCs w:val="20"/>
              </w:rPr>
              <w:fldChar w:fldCharType="begin">
                <w:fldData xml:space="preserve">PEVuZE5vdGU+PENpdGUgQXV0aG9yWWVhcj0iMSI+PEF1dGhvcj5IYXJ3aW48L0F1dGhvcj48WWVh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==
</w:fldData>
              </w:fldChar>
            </w:r>
            <w:r w:rsidR="00B9334F">
              <w:rPr>
                <w:rFonts w:cs="Arial"/>
                <w:sz w:val="20"/>
                <w:szCs w:val="20"/>
              </w:rPr>
              <w:instrText xml:space="preserve"> ADDIN EN.CITE </w:instrText>
            </w:r>
            <w:r w:rsidR="00B9334F">
              <w:rPr>
                <w:rFonts w:cs="Arial"/>
                <w:sz w:val="20"/>
                <w:szCs w:val="20"/>
              </w:rPr>
              <w:fldChar w:fldCharType="begin">
                <w:fldData xml:space="preserve">PEVuZE5vdGU+PENpdGUgQXV0aG9yWWVhcj0iMSI+PEF1dGhvcj5IYXJ3aW48L0F1dGhvcj48WWVh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==
</w:fldData>
              </w:fldChar>
            </w:r>
            <w:r w:rsidR="00B9334F">
              <w:rPr>
                <w:rFonts w:cs="Arial"/>
                <w:sz w:val="20"/>
                <w:szCs w:val="20"/>
              </w:rPr>
              <w:instrText xml:space="preserve"> ADDIN EN.CITE.DATA </w:instrText>
            </w:r>
            <w:r w:rsidR="00B9334F">
              <w:rPr>
                <w:rFonts w:cs="Arial"/>
                <w:sz w:val="20"/>
                <w:szCs w:val="20"/>
              </w:rPr>
            </w:r>
            <w:r w:rsidR="00B9334F">
              <w:rPr>
                <w:rFonts w:cs="Arial"/>
                <w:sz w:val="20"/>
                <w:szCs w:val="20"/>
              </w:rPr>
              <w:fldChar w:fldCharType="end"/>
            </w:r>
            <w:r w:rsidRPr="00925EA9">
              <w:rPr>
                <w:rFonts w:cs="Arial"/>
                <w:sz w:val="20"/>
                <w:szCs w:val="20"/>
              </w:rPr>
            </w:r>
            <w:r w:rsidRPr="00925EA9">
              <w:rPr>
                <w:rFonts w:cs="Arial"/>
                <w:sz w:val="20"/>
                <w:szCs w:val="20"/>
              </w:rPr>
              <w:fldChar w:fldCharType="separate"/>
            </w:r>
            <w:r w:rsidR="003C6F70">
              <w:rPr>
                <w:rFonts w:cs="Arial"/>
                <w:noProof/>
                <w:sz w:val="20"/>
                <w:szCs w:val="20"/>
              </w:rPr>
              <w:t>Harwin et al. (2016); Harwin et al. (2014)</w:t>
            </w:r>
            <w:r w:rsidRPr="00925EA9">
              <w:rPr>
                <w:rFonts w:cs="Arial"/>
                <w:sz w:val="20"/>
                <w:szCs w:val="20"/>
              </w:rPr>
              <w:fldChar w:fldCharType="end"/>
            </w:r>
            <w:r w:rsidRPr="00925EA9">
              <w:rPr>
                <w:rFonts w:cs="Arial"/>
                <w:sz w:val="20"/>
                <w:szCs w:val="20"/>
              </w:rPr>
              <w:t xml:space="preserve">; </w:t>
            </w:r>
            <w:r w:rsidRPr="00925EA9">
              <w:rPr>
                <w:rFonts w:cs="Arial"/>
                <w:sz w:val="20"/>
                <w:szCs w:val="20"/>
              </w:rPr>
              <w:fldChar w:fldCharType="begin"/>
            </w:r>
            <w:r w:rsidR="00B9334F">
              <w:rPr>
                <w:rFonts w:cs="Arial"/>
                <w:sz w:val="20"/>
                <w:szCs w:val="20"/>
              </w:rPr>
              <w:instrText xml:space="preserve"> ADDIN EN.CITE &lt;EndNote&gt;&lt;Cite AuthorYear="1"&gt;&lt;Author&gt;Harwin&lt;/Author&gt;&lt;Year&gt;2018&lt;/Year&gt;&lt;RecNum&gt;129&lt;/RecNum&gt;&lt;DisplayText&gt;Harwin et al. (2018)&lt;/DisplayText&gt;&lt;record&gt;&lt;rec-number&gt;129&lt;/rec-number&gt;&lt;foreign-keys&gt;&lt;key app="EN" db-id="ffzvr5fstavwxoe9v04xf0wmp5t50as52da0" timestamp="1731671644" guid="259767b3-d958-40d0-9988-51a47e1a3d05"&gt;129&lt;/key&gt;&lt;/foreign-keys&gt;&lt;ref-type name="Journal Article"&gt;17&lt;/ref-type&gt;&lt;contributors&gt;&lt;authors&gt;&lt;author&gt;Harwin, Judith&lt;/author&gt;&lt;author&gt;Alrouh, Bachar&lt;/author&gt;&lt;author&gt;Broadhurst, Karen&lt;/author&gt;&lt;author&gt;McQuarrie, Tricia&lt;/author&gt;&lt;author&gt;Golding, Lily&lt;/author&gt;&lt;author&gt;Ryan, Mary&lt;/author&gt;&lt;/authors&gt;&lt;/contributors&gt;&lt;titles&gt;&lt;title&gt;Child and Parent Outcomes in the London Family Drug and Alcohol Court Five Years On: Building on International Evidence&lt;/title&gt;&lt;secondary-title&gt;International Journal of Law, Policy and the Family&lt;/secondary-title&gt;&lt;/titles&gt;&lt;periodical&gt;&lt;full-title&gt;International Journal of Law, Policy and the Family&lt;/full-title&gt;&lt;/periodical&gt;&lt;pages&gt;1-30&lt;/pages&gt;&lt;number&gt;0&lt;/number&gt;&lt;dates&gt;&lt;year&gt;2018&lt;/year&gt;&lt;/dates&gt;&lt;isbn&gt;1360-9939&lt;/isbn&gt;&lt;urls&gt;&lt;related-urls&gt;&lt;url&gt;&lt;style face="underline" font="default" size="100%"&gt;http://dx.doi.org/10.1093/lawfam/eby006&lt;/style&gt;&lt;/url&gt;&lt;/related-urls&gt;&lt;/urls&gt;&lt;electronic-resource-num&gt;10.1093/lawfam/eby006&lt;/electronic-resource-num&gt;&lt;/record&gt;&lt;/Cite&gt;&lt;/EndNote&gt;</w:instrText>
            </w:r>
            <w:r w:rsidRPr="00925EA9">
              <w:rPr>
                <w:rFonts w:cs="Arial"/>
                <w:sz w:val="20"/>
                <w:szCs w:val="20"/>
              </w:rPr>
              <w:fldChar w:fldCharType="separate"/>
            </w:r>
            <w:r w:rsidR="00A77498">
              <w:rPr>
                <w:rFonts w:cs="Arial"/>
                <w:noProof/>
                <w:sz w:val="20"/>
                <w:szCs w:val="20"/>
              </w:rPr>
              <w:t>Harwin et al. (2018)</w:t>
            </w:r>
            <w:r w:rsidRPr="00925EA9">
              <w:rPr>
                <w:rFonts w:cs="Arial"/>
                <w:sz w:val="20"/>
                <w:szCs w:val="20"/>
              </w:rPr>
              <w:fldChar w:fldCharType="end"/>
            </w:r>
          </w:p>
        </w:tc>
      </w:tr>
      <w:tr w:rsidR="0025732F" w:rsidRPr="00925EA9" w14:paraId="11737956" w14:textId="77777777">
        <w:tc>
          <w:tcPr>
            <w:tcW w:w="3114" w:type="dxa"/>
          </w:tcPr>
          <w:p w14:paraId="344E00CC" w14:textId="77777777" w:rsidR="0025732F" w:rsidRPr="00925EA9" w:rsidRDefault="0025732F">
            <w:pPr>
              <w:rPr>
                <w:rFonts w:cs="Arial"/>
                <w:sz w:val="20"/>
                <w:szCs w:val="20"/>
              </w:rPr>
            </w:pPr>
            <w:r w:rsidRPr="00925EA9">
              <w:rPr>
                <w:rFonts w:cs="Arial"/>
                <w:sz w:val="20"/>
                <w:szCs w:val="20"/>
              </w:rPr>
              <w:t>Aims</w:t>
            </w:r>
          </w:p>
        </w:tc>
        <w:tc>
          <w:tcPr>
            <w:tcW w:w="10773" w:type="dxa"/>
          </w:tcPr>
          <w:p w14:paraId="2F816103" w14:textId="77777777" w:rsidR="0025732F" w:rsidRPr="00925EA9" w:rsidRDefault="0025732F">
            <w:pPr>
              <w:rPr>
                <w:rFonts w:cs="Arial"/>
                <w:sz w:val="20"/>
                <w:szCs w:val="20"/>
              </w:rPr>
            </w:pPr>
            <w:r w:rsidRPr="00925EA9">
              <w:rPr>
                <w:rFonts w:cs="Arial"/>
                <w:sz w:val="20"/>
                <w:szCs w:val="20"/>
              </w:rPr>
              <w:t>To determine the longer-term impact of the Families Drug and Alcohol Court (FDAC) to inform discussions on the wider roll-out and future investment.</w:t>
            </w:r>
          </w:p>
        </w:tc>
      </w:tr>
      <w:tr w:rsidR="0025732F" w:rsidRPr="00925EA9" w14:paraId="2DD37856" w14:textId="77777777">
        <w:tc>
          <w:tcPr>
            <w:tcW w:w="3114" w:type="dxa"/>
          </w:tcPr>
          <w:p w14:paraId="16028DC8" w14:textId="77777777" w:rsidR="0025732F" w:rsidRPr="00925EA9" w:rsidRDefault="0025732F">
            <w:pPr>
              <w:rPr>
                <w:rFonts w:cs="Arial"/>
                <w:sz w:val="20"/>
                <w:szCs w:val="20"/>
              </w:rPr>
            </w:pPr>
            <w:r w:rsidRPr="00925EA9">
              <w:rPr>
                <w:rFonts w:cs="Arial"/>
                <w:sz w:val="20"/>
                <w:szCs w:val="20"/>
              </w:rPr>
              <w:t>Design</w:t>
            </w:r>
          </w:p>
        </w:tc>
        <w:tc>
          <w:tcPr>
            <w:tcW w:w="10773" w:type="dxa"/>
          </w:tcPr>
          <w:p w14:paraId="7B05EFF5" w14:textId="77777777" w:rsidR="0025732F" w:rsidRPr="00925EA9" w:rsidRDefault="0025732F">
            <w:pPr>
              <w:rPr>
                <w:rFonts w:cs="Arial"/>
                <w:sz w:val="20"/>
                <w:szCs w:val="20"/>
              </w:rPr>
            </w:pPr>
            <w:r w:rsidRPr="00925EA9">
              <w:rPr>
                <w:rFonts w:cs="Arial"/>
                <w:sz w:val="20"/>
                <w:szCs w:val="20"/>
              </w:rPr>
              <w:t>Quasi-experimental, one-year and five-year follow-up periods. Administrative data from children’s services, Cafcass and intervention records. Comparison group were taken from another three inner-London jurisdictions.</w:t>
            </w:r>
          </w:p>
        </w:tc>
      </w:tr>
      <w:tr w:rsidR="0025732F" w:rsidRPr="00925EA9" w14:paraId="37C83D1D" w14:textId="77777777">
        <w:tc>
          <w:tcPr>
            <w:tcW w:w="3114" w:type="dxa"/>
          </w:tcPr>
          <w:p w14:paraId="24BC53E2" w14:textId="77777777" w:rsidR="0025732F" w:rsidRPr="00925EA9" w:rsidRDefault="0025732F">
            <w:pPr>
              <w:rPr>
                <w:rFonts w:cs="Arial"/>
                <w:sz w:val="20"/>
                <w:szCs w:val="20"/>
              </w:rPr>
            </w:pPr>
            <w:r w:rsidRPr="00925EA9">
              <w:rPr>
                <w:rFonts w:cs="Arial"/>
                <w:sz w:val="20"/>
                <w:szCs w:val="20"/>
              </w:rPr>
              <w:t>Population</w:t>
            </w:r>
          </w:p>
        </w:tc>
        <w:tc>
          <w:tcPr>
            <w:tcW w:w="10773" w:type="dxa"/>
            <w:shd w:val="clear" w:color="auto" w:fill="auto"/>
          </w:tcPr>
          <w:p w14:paraId="67EADA5E" w14:textId="77777777" w:rsidR="0025732F" w:rsidRPr="00925EA9" w:rsidRDefault="0025732F">
            <w:pPr>
              <w:rPr>
                <w:rFonts w:cs="Arial"/>
                <w:sz w:val="20"/>
                <w:szCs w:val="20"/>
              </w:rPr>
            </w:pPr>
            <w:r w:rsidRPr="00925EA9">
              <w:rPr>
                <w:rFonts w:cs="Arial"/>
                <w:sz w:val="20"/>
                <w:szCs w:val="20"/>
              </w:rPr>
              <w:t>Intervention group (n=140, n=139 at end of proceedings and n=138 at follow-up) and Comparison group (n=100 at baseline, n=98 at end of proceedings and n=98 at follow-up).</w:t>
            </w:r>
          </w:p>
        </w:tc>
      </w:tr>
      <w:tr w:rsidR="0025732F" w:rsidRPr="00925EA9" w14:paraId="5113F6F1" w14:textId="77777777">
        <w:tc>
          <w:tcPr>
            <w:tcW w:w="3114" w:type="dxa"/>
          </w:tcPr>
          <w:p w14:paraId="17DD49C5"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1F63C1F1" w14:textId="77777777" w:rsidR="0025732F" w:rsidRPr="00925EA9" w:rsidRDefault="0025732F">
            <w:pPr>
              <w:rPr>
                <w:rFonts w:cs="Arial"/>
                <w:sz w:val="20"/>
                <w:szCs w:val="20"/>
              </w:rPr>
            </w:pPr>
            <w:r w:rsidRPr="00925EA9">
              <w:rPr>
                <w:rFonts w:cs="Arial"/>
                <w:sz w:val="20"/>
                <w:szCs w:val="20"/>
              </w:rPr>
              <w:t>Integrated FTDC.</w:t>
            </w:r>
          </w:p>
        </w:tc>
      </w:tr>
      <w:tr w:rsidR="0025732F" w:rsidRPr="00925EA9" w14:paraId="09C4A1DF" w14:textId="77777777">
        <w:tc>
          <w:tcPr>
            <w:tcW w:w="3114" w:type="dxa"/>
          </w:tcPr>
          <w:p w14:paraId="05F564D4" w14:textId="77777777" w:rsidR="0025732F" w:rsidRPr="00925EA9" w:rsidRDefault="0025732F">
            <w:pPr>
              <w:rPr>
                <w:rFonts w:cs="Arial"/>
                <w:sz w:val="20"/>
                <w:szCs w:val="20"/>
              </w:rPr>
            </w:pPr>
            <w:r w:rsidRPr="00925EA9">
              <w:rPr>
                <w:rFonts w:cs="Arial"/>
                <w:sz w:val="20"/>
                <w:szCs w:val="20"/>
              </w:rPr>
              <w:lastRenderedPageBreak/>
              <w:t>Country</w:t>
            </w:r>
          </w:p>
        </w:tc>
        <w:tc>
          <w:tcPr>
            <w:tcW w:w="10773" w:type="dxa"/>
          </w:tcPr>
          <w:p w14:paraId="3229D45C" w14:textId="77777777" w:rsidR="0025732F" w:rsidRPr="00925EA9" w:rsidRDefault="0025732F">
            <w:pPr>
              <w:rPr>
                <w:rFonts w:cs="Arial"/>
                <w:sz w:val="20"/>
                <w:szCs w:val="20"/>
              </w:rPr>
            </w:pPr>
            <w:r w:rsidRPr="00925EA9">
              <w:rPr>
                <w:rFonts w:cs="Arial"/>
                <w:sz w:val="20"/>
                <w:szCs w:val="20"/>
              </w:rPr>
              <w:t>England (one court covering three London boroughs: Islington, Camden and Westminster)</w:t>
            </w:r>
          </w:p>
        </w:tc>
      </w:tr>
      <w:tr w:rsidR="0025732F" w:rsidRPr="00925EA9" w14:paraId="3C73494F" w14:textId="77777777">
        <w:tc>
          <w:tcPr>
            <w:tcW w:w="3114" w:type="dxa"/>
          </w:tcPr>
          <w:p w14:paraId="57829052"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46E78F5A" w14:textId="77777777" w:rsidR="0025732F" w:rsidRPr="00925EA9" w:rsidRDefault="0025732F">
            <w:pPr>
              <w:rPr>
                <w:rFonts w:cs="Arial"/>
                <w:sz w:val="20"/>
                <w:szCs w:val="20"/>
              </w:rPr>
            </w:pPr>
            <w:r w:rsidRPr="00925EA9">
              <w:rPr>
                <w:rFonts w:cs="Arial"/>
                <w:sz w:val="20"/>
                <w:szCs w:val="20"/>
              </w:rPr>
              <w:t>FDAC mothers were significantly more likely to stop misusing substances (46% vs. 30%) and when compared with mothers who were reunified with their children, FDAC mothers were significantly more likely to sustain their recovery during the five-year follow-up period. An estimated quarter of all reunified mothers, including FDAC mothers, experienced domestic violence/ mental health issues during the five-year follow-up period. </w:t>
            </w:r>
          </w:p>
        </w:tc>
      </w:tr>
      <w:tr w:rsidR="0025732F" w:rsidRPr="00673D68" w14:paraId="13E6C2AC" w14:textId="77777777">
        <w:tc>
          <w:tcPr>
            <w:tcW w:w="3114" w:type="dxa"/>
          </w:tcPr>
          <w:p w14:paraId="2DD03ED5" w14:textId="77777777" w:rsidR="0025732F" w:rsidRPr="00673D68" w:rsidRDefault="0025732F">
            <w:pPr>
              <w:rPr>
                <w:rFonts w:cs="Arial"/>
                <w:sz w:val="20"/>
                <w:szCs w:val="20"/>
              </w:rPr>
            </w:pPr>
            <w:r w:rsidRPr="00673D68">
              <w:rPr>
                <w:rFonts w:cs="Arial"/>
                <w:sz w:val="20"/>
                <w:szCs w:val="20"/>
              </w:rPr>
              <w:t>Cost-benefit/ cost-effectiveness</w:t>
            </w:r>
          </w:p>
        </w:tc>
        <w:tc>
          <w:tcPr>
            <w:tcW w:w="10773" w:type="dxa"/>
          </w:tcPr>
          <w:p w14:paraId="290730C5" w14:textId="77777777" w:rsidR="0025732F" w:rsidRPr="00673D68" w:rsidRDefault="0025732F">
            <w:pPr>
              <w:rPr>
                <w:rFonts w:cs="Arial"/>
                <w:sz w:val="20"/>
                <w:szCs w:val="20"/>
              </w:rPr>
            </w:pPr>
            <w:r w:rsidRPr="00673D68">
              <w:rPr>
                <w:rFonts w:cs="Arial"/>
                <w:sz w:val="20"/>
                <w:szCs w:val="20"/>
              </w:rPr>
              <w:t>The average cost of the FDAC team per family was £8,740 over the life of the case. This cost was offset by savings to local authorities from more children remaining with or returning to their families. Further FDAC was associated with shorter care placements (£4,000 saving per child) and court hearings, as well as less need for legal representation at each hearing (£682 saving per family), and fewer contested cases. Moreover, the FDAC team undertook work equivalent to that of experts in non-FDAC care cases, saving £1,200 per case.</w:t>
            </w:r>
          </w:p>
        </w:tc>
      </w:tr>
      <w:tr w:rsidR="0025732F" w:rsidRPr="00673D68" w14:paraId="2DC3462A" w14:textId="77777777">
        <w:tc>
          <w:tcPr>
            <w:tcW w:w="3114" w:type="dxa"/>
          </w:tcPr>
          <w:p w14:paraId="16C6F071" w14:textId="77777777" w:rsidR="0025732F" w:rsidRPr="00673D68" w:rsidRDefault="0025732F">
            <w:pPr>
              <w:rPr>
                <w:rFonts w:cs="Arial"/>
                <w:sz w:val="20"/>
                <w:szCs w:val="20"/>
              </w:rPr>
            </w:pPr>
            <w:r w:rsidRPr="00673D68">
              <w:rPr>
                <w:rFonts w:cs="Arial"/>
                <w:sz w:val="20"/>
                <w:szCs w:val="20"/>
              </w:rPr>
              <w:t>Overall quality rating</w:t>
            </w:r>
          </w:p>
        </w:tc>
        <w:tc>
          <w:tcPr>
            <w:tcW w:w="10773" w:type="dxa"/>
          </w:tcPr>
          <w:p w14:paraId="6902DC1D" w14:textId="77777777" w:rsidR="0025732F" w:rsidRPr="00673D68" w:rsidRDefault="0025732F">
            <w:pPr>
              <w:rPr>
                <w:rFonts w:cs="Arial"/>
                <w:sz w:val="20"/>
                <w:szCs w:val="20"/>
              </w:rPr>
            </w:pPr>
            <w:r>
              <w:rPr>
                <w:rFonts w:cs="Arial"/>
                <w:sz w:val="20"/>
                <w:szCs w:val="20"/>
              </w:rPr>
              <w:t>M</w:t>
            </w:r>
            <w:r w:rsidRPr="00673D68">
              <w:rPr>
                <w:rFonts w:cs="Arial"/>
                <w:sz w:val="20"/>
                <w:szCs w:val="20"/>
              </w:rPr>
              <w:t>oderate</w:t>
            </w:r>
            <w:r>
              <w:rPr>
                <w:rFonts w:cs="Arial"/>
                <w:sz w:val="20"/>
                <w:szCs w:val="20"/>
              </w:rPr>
              <w:t xml:space="preserve"> (Harwin et al. 2014 = low)</w:t>
            </w:r>
            <w:r w:rsidRPr="00673D68">
              <w:rPr>
                <w:rFonts w:cs="Arial"/>
                <w:sz w:val="20"/>
                <w:szCs w:val="20"/>
              </w:rPr>
              <w:t>.</w:t>
            </w:r>
          </w:p>
        </w:tc>
      </w:tr>
      <w:tr w:rsidR="0025732F" w:rsidRPr="00673D68" w14:paraId="0B222F26" w14:textId="77777777">
        <w:tc>
          <w:tcPr>
            <w:tcW w:w="3114" w:type="dxa"/>
            <w:shd w:val="clear" w:color="auto" w:fill="D9E2F3" w:themeFill="accent1" w:themeFillTint="33"/>
          </w:tcPr>
          <w:p w14:paraId="376775E0" w14:textId="77777777" w:rsidR="0025732F" w:rsidRPr="00673D68" w:rsidRDefault="0025732F">
            <w:pPr>
              <w:pStyle w:val="NoSpacing"/>
              <w:spacing w:line="240" w:lineRule="auto"/>
              <w:rPr>
                <w:sz w:val="20"/>
                <w:szCs w:val="20"/>
              </w:rPr>
            </w:pPr>
            <w:r w:rsidRPr="00673D68">
              <w:rPr>
                <w:sz w:val="20"/>
                <w:szCs w:val="20"/>
              </w:rPr>
              <w:t>Reference</w:t>
            </w:r>
          </w:p>
        </w:tc>
        <w:tc>
          <w:tcPr>
            <w:tcW w:w="10773" w:type="dxa"/>
            <w:shd w:val="clear" w:color="auto" w:fill="D9E2F3" w:themeFill="accent1" w:themeFillTint="33"/>
          </w:tcPr>
          <w:p w14:paraId="1721EA32" w14:textId="3BE7372C" w:rsidR="0025732F" w:rsidRPr="00673D68" w:rsidRDefault="0025732F">
            <w:pPr>
              <w:pStyle w:val="NoSpacing"/>
              <w:spacing w:line="240" w:lineRule="auto"/>
              <w:rPr>
                <w:sz w:val="20"/>
                <w:szCs w:val="20"/>
              </w:rPr>
            </w:pPr>
            <w:r w:rsidRPr="00673D68">
              <w:rPr>
                <w:sz w:val="20"/>
                <w:szCs w:val="20"/>
              </w:rPr>
              <w:fldChar w:fldCharType="begin"/>
            </w:r>
            <w:r w:rsidR="00B9334F">
              <w:rPr>
                <w:sz w:val="20"/>
                <w:szCs w:val="20"/>
              </w:rPr>
              <w:instrText xml:space="preserve"> ADDIN EN.CITE &lt;EndNote&gt;&lt;Cite AuthorYear="1"&gt;&lt;Author&gt;Huebner&lt;/Author&gt;&lt;Year&gt;2012&lt;/Year&gt;&lt;RecNum&gt;274&lt;/RecNum&gt;&lt;DisplayText&gt;Huebner et al. (2012)&lt;/DisplayText&gt;&lt;record&gt;&lt;rec-number&gt;274&lt;/rec-number&gt;&lt;foreign-keys&gt;&lt;key app="EN" db-id="ffzvr5fstavwxoe9v04xf0wmp5t50as52da0" timestamp="1731671653" guid="a3bd33e4-a3f1-42bd-8427-2240194519dd"&gt;274&lt;/key&gt;&lt;/foreign-keys&gt;&lt;ref-type name="Journal Article"&gt;17&lt;/ref-type&gt;&lt;contributors&gt;&lt;authors&gt;&lt;author&gt;Huebner, Ruth A.&lt;/author&gt;&lt;author&gt;Willauer, Tina&lt;/author&gt;&lt;author&gt;Posze, Lynn&lt;/author&gt;&lt;/authors&gt;&lt;/contributors&gt;&lt;titles&gt;&lt;title&gt;The Impact of Sobriety Treatment and Recovery Teams (START) on Family Outcomes&lt;/title&gt;&lt;secondary-title&gt;Families in Society&lt;/secondary-title&gt;&lt;/titles&gt;&lt;periodical&gt;&lt;full-title&gt;Families in Society&lt;/full-title&gt;&lt;/periodical&gt;&lt;pages&gt;196-203&lt;/pages&gt;&lt;volume&gt;93&lt;/volume&gt;&lt;number&gt;3&lt;/number&gt;&lt;dates&gt;&lt;year&gt;2012&lt;/year&gt;&lt;/dates&gt;&lt;urls&gt;&lt;related-urls&gt;&lt;url&gt;https://journals.sagepub.com/doi/abs/10.1606/1044-3894.4223&lt;/url&gt;&lt;/related-urls&gt;&lt;/urls&gt;&lt;electronic-resource-num&gt;10.1606/1044-3894.4223&lt;/electronic-resource-num&gt;&lt;/record&gt;&lt;/Cite&gt;&lt;/EndNote&gt;</w:instrText>
            </w:r>
            <w:r w:rsidRPr="00673D68">
              <w:rPr>
                <w:sz w:val="20"/>
                <w:szCs w:val="20"/>
              </w:rPr>
              <w:fldChar w:fldCharType="separate"/>
            </w:r>
            <w:r w:rsidR="00A77498">
              <w:rPr>
                <w:noProof/>
                <w:sz w:val="20"/>
                <w:szCs w:val="20"/>
              </w:rPr>
              <w:t>Huebner et al. (2012)</w:t>
            </w:r>
            <w:r w:rsidRPr="00673D68">
              <w:rPr>
                <w:sz w:val="20"/>
                <w:szCs w:val="20"/>
              </w:rPr>
              <w:fldChar w:fldCharType="end"/>
            </w:r>
          </w:p>
        </w:tc>
      </w:tr>
      <w:tr w:rsidR="0025732F" w:rsidRPr="00673D68" w14:paraId="407991A3" w14:textId="77777777">
        <w:tc>
          <w:tcPr>
            <w:tcW w:w="3114" w:type="dxa"/>
          </w:tcPr>
          <w:p w14:paraId="39777403" w14:textId="77777777" w:rsidR="0025732F" w:rsidRPr="00673D68" w:rsidRDefault="0025732F">
            <w:pPr>
              <w:pStyle w:val="NoSpacing"/>
              <w:spacing w:line="240" w:lineRule="auto"/>
              <w:rPr>
                <w:sz w:val="20"/>
                <w:szCs w:val="20"/>
              </w:rPr>
            </w:pPr>
            <w:r w:rsidRPr="00673D68">
              <w:rPr>
                <w:sz w:val="20"/>
                <w:szCs w:val="20"/>
              </w:rPr>
              <w:t>Aims</w:t>
            </w:r>
          </w:p>
        </w:tc>
        <w:tc>
          <w:tcPr>
            <w:tcW w:w="10773" w:type="dxa"/>
          </w:tcPr>
          <w:p w14:paraId="36AA5B33" w14:textId="77777777" w:rsidR="0025732F" w:rsidRPr="00673D68" w:rsidRDefault="0025732F">
            <w:pPr>
              <w:pStyle w:val="NoSpacing"/>
              <w:spacing w:line="240" w:lineRule="auto"/>
              <w:rPr>
                <w:sz w:val="20"/>
                <w:szCs w:val="20"/>
              </w:rPr>
            </w:pPr>
            <w:r w:rsidRPr="00673D68">
              <w:rPr>
                <w:sz w:val="20"/>
                <w:szCs w:val="20"/>
              </w:rPr>
              <w:t>To examine the effectiveness of The Sobriety Treatment and Recovery Teams (START) programme.</w:t>
            </w:r>
          </w:p>
        </w:tc>
      </w:tr>
      <w:tr w:rsidR="0025732F" w:rsidRPr="00673D68" w14:paraId="377649FF" w14:textId="77777777">
        <w:tc>
          <w:tcPr>
            <w:tcW w:w="3114" w:type="dxa"/>
          </w:tcPr>
          <w:p w14:paraId="12D4F974" w14:textId="77777777" w:rsidR="0025732F" w:rsidRPr="00673D68" w:rsidRDefault="0025732F">
            <w:pPr>
              <w:pStyle w:val="NoSpacing"/>
              <w:spacing w:line="240" w:lineRule="auto"/>
              <w:rPr>
                <w:sz w:val="20"/>
                <w:szCs w:val="20"/>
              </w:rPr>
            </w:pPr>
            <w:r w:rsidRPr="00673D68">
              <w:rPr>
                <w:sz w:val="20"/>
                <w:szCs w:val="20"/>
              </w:rPr>
              <w:t>Design</w:t>
            </w:r>
          </w:p>
        </w:tc>
        <w:tc>
          <w:tcPr>
            <w:tcW w:w="10773" w:type="dxa"/>
          </w:tcPr>
          <w:p w14:paraId="0F728573" w14:textId="77777777" w:rsidR="0025732F" w:rsidRPr="00673D68" w:rsidRDefault="0025732F">
            <w:pPr>
              <w:pStyle w:val="NoSpacing"/>
              <w:spacing w:line="240" w:lineRule="auto"/>
              <w:rPr>
                <w:sz w:val="20"/>
                <w:szCs w:val="20"/>
              </w:rPr>
            </w:pPr>
            <w:r w:rsidRPr="00673D68">
              <w:rPr>
                <w:sz w:val="20"/>
                <w:szCs w:val="20"/>
              </w:rPr>
              <w:t>Quasi-experimental, pre-test-post-test. Measures included the Continuous Quality Assessment (CQA) and three datasets: START Information Network (START-IN), investigation, and OOHC (out-of-home care).</w:t>
            </w:r>
          </w:p>
        </w:tc>
      </w:tr>
      <w:tr w:rsidR="0025732F" w:rsidRPr="00673D68" w14:paraId="7C02FF3A" w14:textId="77777777">
        <w:tc>
          <w:tcPr>
            <w:tcW w:w="3114" w:type="dxa"/>
          </w:tcPr>
          <w:p w14:paraId="50017E79" w14:textId="77777777" w:rsidR="0025732F" w:rsidRPr="00673D68" w:rsidRDefault="0025732F">
            <w:pPr>
              <w:pStyle w:val="NoSpacing"/>
              <w:spacing w:line="240" w:lineRule="auto"/>
              <w:rPr>
                <w:sz w:val="20"/>
                <w:szCs w:val="20"/>
              </w:rPr>
            </w:pPr>
            <w:r w:rsidRPr="00673D68">
              <w:rPr>
                <w:sz w:val="20"/>
                <w:szCs w:val="20"/>
              </w:rPr>
              <w:t>Population</w:t>
            </w:r>
          </w:p>
        </w:tc>
        <w:tc>
          <w:tcPr>
            <w:tcW w:w="10773" w:type="dxa"/>
          </w:tcPr>
          <w:p w14:paraId="645DC2B1" w14:textId="77777777" w:rsidR="0025732F" w:rsidRPr="00673D68" w:rsidRDefault="0025732F">
            <w:pPr>
              <w:pStyle w:val="NoSpacing"/>
              <w:spacing w:line="240" w:lineRule="auto"/>
              <w:rPr>
                <w:sz w:val="20"/>
                <w:szCs w:val="20"/>
              </w:rPr>
            </w:pPr>
            <w:r w:rsidRPr="00673D68">
              <w:rPr>
                <w:sz w:val="20"/>
                <w:szCs w:val="20"/>
              </w:rPr>
              <w:t>322 Families (531 Adults and 451 Children)</w:t>
            </w:r>
          </w:p>
        </w:tc>
      </w:tr>
      <w:tr w:rsidR="0025732F" w:rsidRPr="00925EA9" w14:paraId="58E5928B" w14:textId="77777777">
        <w:trPr>
          <w:trHeight w:val="157"/>
        </w:trPr>
        <w:tc>
          <w:tcPr>
            <w:tcW w:w="3114" w:type="dxa"/>
          </w:tcPr>
          <w:p w14:paraId="1A0648BC" w14:textId="77777777" w:rsidR="0025732F" w:rsidRPr="00673D68" w:rsidRDefault="0025732F">
            <w:pPr>
              <w:pStyle w:val="NoSpacing"/>
              <w:spacing w:line="240" w:lineRule="auto"/>
              <w:rPr>
                <w:sz w:val="20"/>
                <w:szCs w:val="20"/>
              </w:rPr>
            </w:pPr>
            <w:r w:rsidRPr="00673D68">
              <w:rPr>
                <w:sz w:val="20"/>
                <w:szCs w:val="20"/>
              </w:rPr>
              <w:t>Intervention</w:t>
            </w:r>
          </w:p>
        </w:tc>
        <w:tc>
          <w:tcPr>
            <w:tcW w:w="10773" w:type="dxa"/>
          </w:tcPr>
          <w:p w14:paraId="7E212717" w14:textId="77777777" w:rsidR="0025732F" w:rsidRPr="00925EA9" w:rsidRDefault="0025732F">
            <w:pPr>
              <w:pStyle w:val="NoSpacing"/>
              <w:spacing w:line="240" w:lineRule="auto"/>
              <w:rPr>
                <w:sz w:val="20"/>
                <w:szCs w:val="20"/>
              </w:rPr>
            </w:pPr>
            <w:r w:rsidRPr="00673D68">
              <w:rPr>
                <w:sz w:val="20"/>
                <w:szCs w:val="20"/>
              </w:rPr>
              <w:t>START partners child welfare workers with treatment providers. START workers receive substance use and motivational interviewing training, and have a relatively small caseload.</w:t>
            </w:r>
          </w:p>
        </w:tc>
      </w:tr>
      <w:tr w:rsidR="0025732F" w:rsidRPr="00925EA9" w14:paraId="21CBF9BD" w14:textId="77777777">
        <w:tc>
          <w:tcPr>
            <w:tcW w:w="3114" w:type="dxa"/>
          </w:tcPr>
          <w:p w14:paraId="7A33BBA1" w14:textId="77777777" w:rsidR="0025732F" w:rsidRPr="00925EA9" w:rsidRDefault="0025732F">
            <w:pPr>
              <w:pStyle w:val="NoSpacing"/>
              <w:spacing w:line="240" w:lineRule="auto"/>
              <w:rPr>
                <w:sz w:val="20"/>
                <w:szCs w:val="20"/>
              </w:rPr>
            </w:pPr>
            <w:r w:rsidRPr="00925EA9">
              <w:rPr>
                <w:sz w:val="20"/>
                <w:szCs w:val="20"/>
              </w:rPr>
              <w:t>Country</w:t>
            </w:r>
          </w:p>
        </w:tc>
        <w:tc>
          <w:tcPr>
            <w:tcW w:w="10773" w:type="dxa"/>
          </w:tcPr>
          <w:p w14:paraId="2DB2073A" w14:textId="77777777" w:rsidR="0025732F" w:rsidRPr="00925EA9" w:rsidRDefault="0025732F">
            <w:pPr>
              <w:pStyle w:val="NoSpacing"/>
              <w:spacing w:line="240" w:lineRule="auto"/>
              <w:rPr>
                <w:sz w:val="20"/>
                <w:szCs w:val="20"/>
              </w:rPr>
            </w:pPr>
            <w:r w:rsidRPr="00925EA9">
              <w:rPr>
                <w:sz w:val="20"/>
                <w:szCs w:val="20"/>
              </w:rPr>
              <w:t xml:space="preserve">USA </w:t>
            </w:r>
            <w:r>
              <w:rPr>
                <w:sz w:val="20"/>
                <w:szCs w:val="20"/>
              </w:rPr>
              <w:t>(four sites)</w:t>
            </w:r>
          </w:p>
        </w:tc>
      </w:tr>
      <w:tr w:rsidR="0025732F" w:rsidRPr="00925EA9" w14:paraId="133CE4EA" w14:textId="77777777">
        <w:tc>
          <w:tcPr>
            <w:tcW w:w="3114" w:type="dxa"/>
          </w:tcPr>
          <w:p w14:paraId="29388DF2" w14:textId="77777777" w:rsidR="0025732F" w:rsidRPr="00925EA9" w:rsidRDefault="0025732F">
            <w:pPr>
              <w:pStyle w:val="NoSpacing"/>
              <w:spacing w:line="240" w:lineRule="auto"/>
              <w:rPr>
                <w:sz w:val="20"/>
                <w:szCs w:val="20"/>
              </w:rPr>
            </w:pPr>
            <w:r>
              <w:rPr>
                <w:sz w:val="20"/>
                <w:szCs w:val="20"/>
              </w:rPr>
              <w:t>O</w:t>
            </w:r>
            <w:r w:rsidRPr="00925EA9">
              <w:rPr>
                <w:sz w:val="20"/>
                <w:szCs w:val="20"/>
              </w:rPr>
              <w:t>utcomes</w:t>
            </w:r>
          </w:p>
        </w:tc>
        <w:tc>
          <w:tcPr>
            <w:tcW w:w="10773" w:type="dxa"/>
          </w:tcPr>
          <w:p w14:paraId="79AA3EEC" w14:textId="77777777" w:rsidR="0025732F" w:rsidRPr="00925EA9" w:rsidRDefault="0025732F">
            <w:pPr>
              <w:pStyle w:val="NoSpacing"/>
              <w:spacing w:line="240" w:lineRule="auto"/>
              <w:rPr>
                <w:sz w:val="20"/>
                <w:szCs w:val="20"/>
              </w:rPr>
            </w:pPr>
            <w:r w:rsidRPr="00790E91">
              <w:rPr>
                <w:sz w:val="20"/>
                <w:szCs w:val="20"/>
              </w:rPr>
              <w:t>Mothers were almost twice as likely to become abstinent following completion, and children were placed in care at half the rate than expected.</w:t>
            </w:r>
            <w:r>
              <w:rPr>
                <w:sz w:val="20"/>
                <w:szCs w:val="20"/>
              </w:rPr>
              <w:t xml:space="preserve"> </w:t>
            </w:r>
            <w:r w:rsidRPr="00A03F12">
              <w:rPr>
                <w:sz w:val="20"/>
                <w:szCs w:val="20"/>
              </w:rPr>
              <w:t xml:space="preserve">Fathers </w:t>
            </w:r>
            <w:r>
              <w:rPr>
                <w:sz w:val="20"/>
                <w:szCs w:val="20"/>
              </w:rPr>
              <w:t>were far less likely to achieve abstinence</w:t>
            </w:r>
            <w:r w:rsidRPr="00A03F12">
              <w:rPr>
                <w:sz w:val="20"/>
                <w:szCs w:val="20"/>
              </w:rPr>
              <w:t xml:space="preserve"> than mothers.</w:t>
            </w:r>
          </w:p>
        </w:tc>
      </w:tr>
      <w:tr w:rsidR="0025732F" w:rsidRPr="00925EA9" w14:paraId="122141ED" w14:textId="77777777">
        <w:tc>
          <w:tcPr>
            <w:tcW w:w="3114" w:type="dxa"/>
          </w:tcPr>
          <w:p w14:paraId="22269E2E" w14:textId="77777777" w:rsidR="0025732F" w:rsidRPr="00925EA9" w:rsidRDefault="0025732F">
            <w:pPr>
              <w:pStyle w:val="NoSpacing"/>
              <w:spacing w:line="240" w:lineRule="auto"/>
              <w:rPr>
                <w:sz w:val="20"/>
                <w:szCs w:val="20"/>
              </w:rPr>
            </w:pPr>
            <w:r w:rsidRPr="00925EA9">
              <w:rPr>
                <w:sz w:val="20"/>
                <w:szCs w:val="20"/>
              </w:rPr>
              <w:t>Cost-benefit/ cost-effectiveness</w:t>
            </w:r>
          </w:p>
        </w:tc>
        <w:tc>
          <w:tcPr>
            <w:tcW w:w="10773" w:type="dxa"/>
          </w:tcPr>
          <w:p w14:paraId="3E8F14E4" w14:textId="77777777" w:rsidR="0025732F" w:rsidRPr="00925EA9" w:rsidRDefault="0025732F">
            <w:pPr>
              <w:pStyle w:val="NoSpacing"/>
              <w:spacing w:line="240" w:lineRule="auto"/>
              <w:rPr>
                <w:sz w:val="20"/>
                <w:szCs w:val="20"/>
              </w:rPr>
            </w:pPr>
            <w:r w:rsidRPr="00925EA9">
              <w:rPr>
                <w:sz w:val="20"/>
                <w:szCs w:val="20"/>
              </w:rPr>
              <w:t>N/A.</w:t>
            </w:r>
          </w:p>
        </w:tc>
      </w:tr>
      <w:tr w:rsidR="0025732F" w:rsidRPr="00925EA9" w14:paraId="71B60CB0" w14:textId="77777777">
        <w:tc>
          <w:tcPr>
            <w:tcW w:w="3114" w:type="dxa"/>
            <w:tcBorders>
              <w:bottom w:val="single" w:sz="4" w:space="0" w:color="auto"/>
            </w:tcBorders>
          </w:tcPr>
          <w:p w14:paraId="20EAE56F" w14:textId="77777777" w:rsidR="0025732F" w:rsidRPr="00925EA9" w:rsidRDefault="0025732F">
            <w:pPr>
              <w:pStyle w:val="NoSpacing"/>
              <w:spacing w:line="240" w:lineRule="auto"/>
              <w:rPr>
                <w:sz w:val="20"/>
                <w:szCs w:val="20"/>
              </w:rPr>
            </w:pPr>
            <w:r w:rsidRPr="00925EA9">
              <w:rPr>
                <w:sz w:val="20"/>
                <w:szCs w:val="20"/>
              </w:rPr>
              <w:t>Overall quality rating</w:t>
            </w:r>
          </w:p>
        </w:tc>
        <w:tc>
          <w:tcPr>
            <w:tcW w:w="10773" w:type="dxa"/>
            <w:tcBorders>
              <w:bottom w:val="single" w:sz="4" w:space="0" w:color="auto"/>
            </w:tcBorders>
          </w:tcPr>
          <w:p w14:paraId="6E709FF9" w14:textId="77777777" w:rsidR="0025732F" w:rsidRPr="00925EA9" w:rsidRDefault="0025732F">
            <w:pPr>
              <w:pStyle w:val="NoSpacing"/>
              <w:spacing w:line="240" w:lineRule="auto"/>
              <w:rPr>
                <w:sz w:val="20"/>
                <w:szCs w:val="20"/>
              </w:rPr>
            </w:pPr>
            <w:r>
              <w:rPr>
                <w:sz w:val="20"/>
                <w:szCs w:val="20"/>
              </w:rPr>
              <w:t>Moderate.</w:t>
            </w:r>
          </w:p>
        </w:tc>
      </w:tr>
      <w:tr w:rsidR="0025732F" w:rsidRPr="00925EA9" w14:paraId="183936C6" w14:textId="77777777">
        <w:tc>
          <w:tcPr>
            <w:tcW w:w="3114" w:type="dxa"/>
            <w:shd w:val="clear" w:color="auto" w:fill="D9E2F3" w:themeFill="accent1" w:themeFillTint="33"/>
          </w:tcPr>
          <w:p w14:paraId="7011B83E"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72D6098C" w14:textId="0BB66C07"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AuthorYear="1"&gt;&lt;Author&gt;Ryan&lt;/Author&gt;&lt;Year&gt;2006&lt;/Year&gt;&lt;RecNum&gt;700&lt;/RecNum&gt;&lt;DisplayText&gt;Ryan et al. (2006)&lt;/DisplayText&gt;&lt;record&gt;&lt;rec-number&gt;700&lt;/rec-number&gt;&lt;foreign-keys&gt;&lt;key app="EN" db-id="ffzvr5fstavwxoe9v04xf0wmp5t50as52da0" timestamp="1731671738" guid="04f4df6f-a3b4-499b-acc2-2ce2f6daa94b"&gt;700&lt;/key&gt;&lt;/foreign-keys&gt;&lt;ref-type name="Journal Article"&gt;17&lt;/ref-type&gt;&lt;contributors&gt;&lt;authors&gt;&lt;author&gt;Ryan, Joseph P.&lt;/author&gt;&lt;author&gt;Marsh, Jeanne C.&lt;/author&gt;&lt;author&gt;Testa, Mark F.&lt;/author&gt;&lt;author&gt;Louderman, Richard&lt;/author&gt;&lt;/authors&gt;&lt;/contributors&gt;&lt;titles&gt;&lt;title&gt;Integrating Substance Abuse Treatment and Child Welfare Services: Findings from the Illinois Alcohol and Other Drug Abuse Waiver Demonstration&lt;/title&gt;&lt;secondary-title&gt;Social Work Research&lt;/secondary-title&gt;&lt;/titles&gt;&lt;periodical&gt;&lt;full-title&gt;Social Work Research&lt;/full-title&gt;&lt;/periodical&gt;&lt;pages&gt;95-107&lt;/pages&gt;&lt;volume&gt;30&lt;/volume&gt;&lt;number&gt;2&lt;/number&gt;&lt;keywords&gt;&lt;keyword&gt;Sociology&lt;/keyword&gt;&lt;keyword&gt;Substance abuse treatment&lt;/keyword&gt;&lt;keyword&gt;Child welfare&lt;/keyword&gt;&lt;keyword&gt;Drug abuse&lt;/keyword&gt;&lt;keyword&gt;Families &amp;amp; family life&lt;/keyword&gt;&lt;keyword&gt;Case management&lt;/keyword&gt;&lt;/keywords&gt;&lt;dates&gt;&lt;year&gt;2006&lt;/year&gt;&lt;pub-dates&gt;&lt;date&gt;Jun 2006&amp;#xD;2017-11-12&lt;/date&gt;&lt;/pub-dates&gt;&lt;/dates&gt;&lt;pub-location&gt;Oxford&lt;/pub-location&gt;&lt;publisher&gt;Oxford University Press&lt;/publisher&gt;&lt;isbn&gt;10705309&lt;/isbn&gt;&lt;accession-num&gt;212067367&lt;/accession-num&gt;&lt;urls&gt;&lt;/urls&gt;&lt;electronic-resource-num&gt;https://doi.org/10.1093/swr/30.2.95&lt;/electronic-resource-num&gt;&lt;remote-database-name&gt;Applied Social Sciences Index &amp;amp; Abstracts (ASSIA)&lt;/remote-database-name&gt;&lt;language&gt;English&lt;/language&gt;&lt;/record&gt;&lt;/Cite&gt;&lt;/EndNote&gt;</w:instrText>
            </w:r>
            <w:r w:rsidRPr="00925EA9">
              <w:rPr>
                <w:rFonts w:cs="Arial"/>
                <w:sz w:val="20"/>
                <w:szCs w:val="20"/>
              </w:rPr>
              <w:fldChar w:fldCharType="separate"/>
            </w:r>
            <w:r w:rsidR="00A77498">
              <w:rPr>
                <w:rFonts w:cs="Arial"/>
                <w:noProof/>
                <w:sz w:val="20"/>
                <w:szCs w:val="20"/>
              </w:rPr>
              <w:t>Ryan et al. (2006)</w:t>
            </w:r>
            <w:r w:rsidRPr="00925EA9">
              <w:rPr>
                <w:rFonts w:cs="Arial"/>
                <w:sz w:val="20"/>
                <w:szCs w:val="20"/>
              </w:rPr>
              <w:fldChar w:fldCharType="end"/>
            </w:r>
          </w:p>
        </w:tc>
      </w:tr>
      <w:tr w:rsidR="0025732F" w:rsidRPr="00925EA9" w14:paraId="6BD78CA8" w14:textId="77777777">
        <w:tc>
          <w:tcPr>
            <w:tcW w:w="3114" w:type="dxa"/>
          </w:tcPr>
          <w:p w14:paraId="65F70798" w14:textId="77777777" w:rsidR="0025732F" w:rsidRPr="00925EA9" w:rsidRDefault="0025732F">
            <w:pPr>
              <w:rPr>
                <w:rFonts w:cs="Arial"/>
                <w:sz w:val="20"/>
                <w:szCs w:val="20"/>
              </w:rPr>
            </w:pPr>
            <w:r w:rsidRPr="00925EA9">
              <w:rPr>
                <w:rFonts w:cs="Arial"/>
                <w:sz w:val="20"/>
                <w:szCs w:val="20"/>
              </w:rPr>
              <w:t>Aims</w:t>
            </w:r>
          </w:p>
        </w:tc>
        <w:tc>
          <w:tcPr>
            <w:tcW w:w="10773" w:type="dxa"/>
          </w:tcPr>
          <w:p w14:paraId="50EB3EDD" w14:textId="77777777" w:rsidR="0025732F" w:rsidRPr="00925EA9" w:rsidRDefault="0025732F">
            <w:pPr>
              <w:rPr>
                <w:rFonts w:cs="Arial"/>
                <w:sz w:val="20"/>
                <w:szCs w:val="20"/>
              </w:rPr>
            </w:pPr>
            <w:r w:rsidRPr="00925EA9">
              <w:rPr>
                <w:rFonts w:cs="Arial"/>
                <w:sz w:val="20"/>
                <w:szCs w:val="20"/>
              </w:rPr>
              <w:t xml:space="preserve">To analyse the effectiveness </w:t>
            </w:r>
            <w:r>
              <w:rPr>
                <w:rFonts w:cs="Arial"/>
                <w:sz w:val="20"/>
                <w:szCs w:val="20"/>
              </w:rPr>
              <w:t xml:space="preserve">ICM in the form of </w:t>
            </w:r>
            <w:r w:rsidRPr="00925EA9">
              <w:rPr>
                <w:rFonts w:cs="Arial"/>
                <w:sz w:val="20"/>
                <w:szCs w:val="20"/>
              </w:rPr>
              <w:t>recovery coaches for substance-abusing and dependent mothers in the child welfare service</w:t>
            </w:r>
            <w:r>
              <w:rPr>
                <w:rFonts w:cs="Arial"/>
                <w:sz w:val="20"/>
                <w:szCs w:val="20"/>
              </w:rPr>
              <w:t>.</w:t>
            </w:r>
          </w:p>
        </w:tc>
      </w:tr>
      <w:tr w:rsidR="0025732F" w:rsidRPr="00925EA9" w14:paraId="40207990" w14:textId="77777777">
        <w:tc>
          <w:tcPr>
            <w:tcW w:w="3114" w:type="dxa"/>
          </w:tcPr>
          <w:p w14:paraId="473C0A35" w14:textId="77777777" w:rsidR="0025732F" w:rsidRPr="00925EA9" w:rsidRDefault="0025732F">
            <w:pPr>
              <w:rPr>
                <w:rFonts w:cs="Arial"/>
                <w:sz w:val="20"/>
                <w:szCs w:val="20"/>
              </w:rPr>
            </w:pPr>
            <w:r w:rsidRPr="00925EA9">
              <w:rPr>
                <w:rFonts w:cs="Arial"/>
                <w:sz w:val="20"/>
                <w:szCs w:val="20"/>
              </w:rPr>
              <w:t>Design</w:t>
            </w:r>
          </w:p>
        </w:tc>
        <w:tc>
          <w:tcPr>
            <w:tcW w:w="10773" w:type="dxa"/>
          </w:tcPr>
          <w:p w14:paraId="656072C9" w14:textId="1FA3C736" w:rsidR="0025732F" w:rsidRPr="00925EA9" w:rsidRDefault="0025732F">
            <w:pPr>
              <w:rPr>
                <w:rFonts w:cs="Arial"/>
                <w:sz w:val="20"/>
                <w:szCs w:val="20"/>
              </w:rPr>
            </w:pPr>
            <w:r w:rsidRPr="00925EA9">
              <w:rPr>
                <w:rFonts w:cs="Arial"/>
                <w:sz w:val="20"/>
                <w:szCs w:val="20"/>
              </w:rPr>
              <w:t xml:space="preserve">Randomised assignment to intervention (treatment as usual plus recovery coach) and control (treatment as usual) group with one year </w:t>
            </w:r>
            <w:r w:rsidRPr="00925EA9">
              <w:rPr>
                <w:rFonts w:cs="Arial"/>
                <w:sz w:val="20"/>
                <w:szCs w:val="20"/>
              </w:rPr>
              <w:fldChar w:fldCharType="begin"/>
            </w:r>
            <w:r w:rsidR="00B9334F">
              <w:rPr>
                <w:rFonts w:cs="Arial"/>
                <w:sz w:val="20"/>
                <w:szCs w:val="20"/>
              </w:rPr>
              <w:instrText xml:space="preserve"> ADDIN EN.CITE &lt;EndNote&gt;&lt;Cite&gt;&lt;Author&gt;Ryan&lt;/Author&gt;&lt;Year&gt;2006&lt;/Year&gt;&lt;RecNum&gt;700&lt;/RecNum&gt;&lt;DisplayText&gt;(Ryan et al., 2006)&lt;/DisplayText&gt;&lt;record&gt;&lt;rec-number&gt;700&lt;/rec-number&gt;&lt;foreign-keys&gt;&lt;key app="EN" db-id="ffzvr5fstavwxoe9v04xf0wmp5t50as52da0" timestamp="1731671738" guid="04f4df6f-a3b4-499b-acc2-2ce2f6daa94b"&gt;700&lt;/key&gt;&lt;/foreign-keys&gt;&lt;ref-type name="Journal Article"&gt;17&lt;/ref-type&gt;&lt;contributors&gt;&lt;authors&gt;&lt;author&gt;Ryan, Joseph P.&lt;/author&gt;&lt;author&gt;Marsh, Jeanne C.&lt;/author&gt;&lt;author&gt;Testa, Mark F.&lt;/author&gt;&lt;author&gt;Louderman, Richard&lt;/author&gt;&lt;/authors&gt;&lt;/contributors&gt;&lt;titles&gt;&lt;title&gt;Integrating Substance Abuse Treatment and Child Welfare Services: Findings from the Illinois Alcohol and Other Drug Abuse Waiver Demonstration&lt;/title&gt;&lt;secondary-title&gt;Social Work Research&lt;/secondary-title&gt;&lt;/titles&gt;&lt;periodical&gt;&lt;full-title&gt;Social Work Research&lt;/full-title&gt;&lt;/periodical&gt;&lt;pages&gt;95-107&lt;/pages&gt;&lt;volume&gt;30&lt;/volume&gt;&lt;number&gt;2&lt;/number&gt;&lt;keywords&gt;&lt;keyword&gt;Sociology&lt;/keyword&gt;&lt;keyword&gt;Substance abuse treatment&lt;/keyword&gt;&lt;keyword&gt;Child welfare&lt;/keyword&gt;&lt;keyword&gt;Drug abuse&lt;/keyword&gt;&lt;keyword&gt;Families &amp;amp; family life&lt;/keyword&gt;&lt;keyword&gt;Case management&lt;/keyword&gt;&lt;/keywords&gt;&lt;dates&gt;&lt;year&gt;2006&lt;/year&gt;&lt;pub-dates&gt;&lt;date&gt;Jun 2006&amp;#xD;2017-11-12&lt;/date&gt;&lt;/pub-dates&gt;&lt;/dates&gt;&lt;pub-location&gt;Oxford&lt;/pub-location&gt;&lt;publisher&gt;Oxford University Press&lt;/publisher&gt;&lt;isbn&gt;10705309&lt;/isbn&gt;&lt;accession-num&gt;212067367&lt;/accession-num&gt;&lt;urls&gt;&lt;/urls&gt;&lt;electronic-resource-num&gt;https://doi.org/10.1093/swr/30.2.95&lt;/electronic-resource-num&gt;&lt;remote-database-name&gt;Applied Social Sciences Index &amp;amp; Abstracts (ASSIA)&lt;/remote-database-name&gt;&lt;language&gt;English&lt;/language&gt;&lt;/record&gt;&lt;/Cite&gt;&lt;/EndNote&gt;</w:instrText>
            </w:r>
            <w:r w:rsidRPr="00925EA9">
              <w:rPr>
                <w:rFonts w:cs="Arial"/>
                <w:sz w:val="20"/>
                <w:szCs w:val="20"/>
              </w:rPr>
              <w:fldChar w:fldCharType="separate"/>
            </w:r>
            <w:r w:rsidR="00A77498">
              <w:rPr>
                <w:rFonts w:cs="Arial"/>
                <w:noProof/>
                <w:sz w:val="20"/>
                <w:szCs w:val="20"/>
              </w:rPr>
              <w:t>(Ryan et al., 2006)</w:t>
            </w:r>
            <w:r w:rsidRPr="00925EA9">
              <w:rPr>
                <w:rFonts w:cs="Arial"/>
                <w:sz w:val="20"/>
                <w:szCs w:val="20"/>
              </w:rPr>
              <w:fldChar w:fldCharType="end"/>
            </w:r>
            <w:r>
              <w:rPr>
                <w:rFonts w:cs="Arial"/>
                <w:sz w:val="20"/>
                <w:szCs w:val="20"/>
              </w:rPr>
              <w:t xml:space="preserve">. </w:t>
            </w:r>
            <w:r w:rsidRPr="00925EA9">
              <w:rPr>
                <w:rFonts w:cs="Arial"/>
                <w:sz w:val="20"/>
                <w:szCs w:val="20"/>
              </w:rPr>
              <w:t>All families were had children in care and parents were defined as abusing or dependent on substances according to DSM-IV guidelines and referred to treatment by a juvenile court assessment programme. Children included in the study were at least 12 years old. Juvenile justice, child welfare and treatment administrative datasets were used.</w:t>
            </w:r>
          </w:p>
        </w:tc>
      </w:tr>
      <w:tr w:rsidR="0025732F" w:rsidRPr="00925EA9" w14:paraId="16B1F757" w14:textId="77777777">
        <w:tc>
          <w:tcPr>
            <w:tcW w:w="3114" w:type="dxa"/>
          </w:tcPr>
          <w:p w14:paraId="38E45C69"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2BB9EC7B" w14:textId="77777777" w:rsidR="0025732F" w:rsidRPr="00925EA9" w:rsidRDefault="0025732F">
            <w:pPr>
              <w:rPr>
                <w:rFonts w:cs="Arial"/>
                <w:sz w:val="20"/>
                <w:szCs w:val="20"/>
              </w:rPr>
            </w:pPr>
            <w:r w:rsidRPr="00925EA9">
              <w:rPr>
                <w:rFonts w:cs="Arial"/>
                <w:sz w:val="20"/>
                <w:szCs w:val="20"/>
              </w:rPr>
              <w:t xml:space="preserve">Intervention (n=317) and comparison (n=136); intervention (n=521) and comparison (n=217) family groups; intervention (n=2362) and comparison (n=1078) respectively. </w:t>
            </w:r>
          </w:p>
        </w:tc>
      </w:tr>
      <w:tr w:rsidR="0025732F" w:rsidRPr="00925EA9" w14:paraId="192ADE88" w14:textId="77777777">
        <w:tc>
          <w:tcPr>
            <w:tcW w:w="3114" w:type="dxa"/>
          </w:tcPr>
          <w:p w14:paraId="446A711D"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42823B54" w14:textId="77777777" w:rsidR="0025732F" w:rsidRPr="00925EA9" w:rsidRDefault="0025732F">
            <w:pPr>
              <w:rPr>
                <w:rFonts w:cs="Arial"/>
                <w:sz w:val="20"/>
                <w:szCs w:val="20"/>
              </w:rPr>
            </w:pPr>
            <w:r w:rsidRPr="00925EA9">
              <w:rPr>
                <w:rFonts w:cs="Arial"/>
                <w:sz w:val="20"/>
                <w:szCs w:val="20"/>
              </w:rPr>
              <w:t>ICM in the form of recovery coaches working with treatment and child welfare services.</w:t>
            </w:r>
          </w:p>
        </w:tc>
      </w:tr>
      <w:tr w:rsidR="0025732F" w:rsidRPr="00925EA9" w14:paraId="0A3C3E27" w14:textId="77777777">
        <w:tc>
          <w:tcPr>
            <w:tcW w:w="3114" w:type="dxa"/>
          </w:tcPr>
          <w:p w14:paraId="1CA7D928" w14:textId="77777777" w:rsidR="0025732F" w:rsidRPr="00925EA9" w:rsidRDefault="0025732F">
            <w:pPr>
              <w:rPr>
                <w:rFonts w:cs="Arial"/>
                <w:sz w:val="20"/>
                <w:szCs w:val="20"/>
              </w:rPr>
            </w:pPr>
            <w:r w:rsidRPr="00925EA9">
              <w:rPr>
                <w:rFonts w:cs="Arial"/>
                <w:sz w:val="20"/>
                <w:szCs w:val="20"/>
              </w:rPr>
              <w:t>Country</w:t>
            </w:r>
          </w:p>
        </w:tc>
        <w:tc>
          <w:tcPr>
            <w:tcW w:w="10773" w:type="dxa"/>
          </w:tcPr>
          <w:p w14:paraId="6E428D86" w14:textId="77777777" w:rsidR="0025732F" w:rsidRPr="00925EA9" w:rsidRDefault="0025732F">
            <w:pPr>
              <w:rPr>
                <w:rFonts w:cs="Arial"/>
                <w:sz w:val="20"/>
                <w:szCs w:val="20"/>
              </w:rPr>
            </w:pPr>
            <w:r w:rsidRPr="00925EA9">
              <w:rPr>
                <w:rFonts w:cs="Arial"/>
                <w:sz w:val="20"/>
                <w:szCs w:val="20"/>
              </w:rPr>
              <w:t>USA (Chicago and Cook County, Illinois).</w:t>
            </w:r>
          </w:p>
        </w:tc>
      </w:tr>
      <w:tr w:rsidR="0025732F" w:rsidRPr="00925EA9" w14:paraId="2925F053" w14:textId="77777777">
        <w:tc>
          <w:tcPr>
            <w:tcW w:w="3114" w:type="dxa"/>
          </w:tcPr>
          <w:p w14:paraId="44290402"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748B9026" w14:textId="213759EF" w:rsidR="0025732F" w:rsidRPr="00925EA9" w:rsidRDefault="0025732F">
            <w:pPr>
              <w:autoSpaceDE w:val="0"/>
              <w:autoSpaceDN w:val="0"/>
              <w:adjustRightInd w:val="0"/>
              <w:rPr>
                <w:rFonts w:cs="Arial"/>
                <w:sz w:val="20"/>
                <w:szCs w:val="20"/>
              </w:rPr>
            </w:pPr>
            <w:r w:rsidRPr="00925EA9">
              <w:rPr>
                <w:rFonts w:cs="Arial"/>
                <w:sz w:val="20"/>
                <w:szCs w:val="20"/>
              </w:rPr>
              <w:fldChar w:fldCharType="begin">
                <w:fldData xml:space="preserve">PEVuZE5vdGU+PENpdGUgQXV0aG9yWWVhcj0iMSI+PEF1dGhvcj5Eb3VnbGFzLVNpZWdlbDwvQXV0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</w:fldData>
              </w:fldChar>
            </w:r>
            <w:r w:rsidR="00B9334F">
              <w:rPr>
                <w:rFonts w:cs="Arial"/>
                <w:sz w:val="20"/>
                <w:szCs w:val="20"/>
              </w:rPr>
              <w:instrText xml:space="preserve"> ADDIN EN.CITE </w:instrText>
            </w:r>
            <w:r w:rsidR="00B9334F">
              <w:rPr>
                <w:rFonts w:cs="Arial"/>
                <w:sz w:val="20"/>
                <w:szCs w:val="20"/>
              </w:rPr>
              <w:fldChar w:fldCharType="begin">
                <w:fldData xml:space="preserve">PEVuZE5vdGU+PENpdGUgQXV0aG9yWWVhcj0iMSI+PEF1dGhvcj5Eb3VnbGFzLVNpZWdlbDwvQXV0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</w:fldData>
              </w:fldChar>
            </w:r>
            <w:r w:rsidR="00B9334F">
              <w:rPr>
                <w:rFonts w:cs="Arial"/>
                <w:sz w:val="20"/>
                <w:szCs w:val="20"/>
              </w:rPr>
              <w:instrText xml:space="preserve"> ADDIN EN.CITE.DATA </w:instrText>
            </w:r>
            <w:r w:rsidR="00B9334F">
              <w:rPr>
                <w:rFonts w:cs="Arial"/>
                <w:sz w:val="20"/>
                <w:szCs w:val="20"/>
              </w:rPr>
            </w:r>
            <w:r w:rsidR="00B9334F">
              <w:rPr>
                <w:rFonts w:cs="Arial"/>
                <w:sz w:val="20"/>
                <w:szCs w:val="20"/>
              </w:rPr>
              <w:fldChar w:fldCharType="end"/>
            </w:r>
            <w:r w:rsidRPr="00925EA9">
              <w:rPr>
                <w:rFonts w:cs="Arial"/>
                <w:sz w:val="20"/>
                <w:szCs w:val="20"/>
              </w:rPr>
            </w:r>
            <w:r w:rsidRPr="00925EA9">
              <w:rPr>
                <w:rFonts w:cs="Arial"/>
                <w:sz w:val="20"/>
                <w:szCs w:val="20"/>
              </w:rPr>
              <w:fldChar w:fldCharType="separate"/>
            </w:r>
            <w:r>
              <w:rPr>
                <w:rFonts w:cs="Arial"/>
                <w:noProof/>
                <w:sz w:val="20"/>
                <w:szCs w:val="20"/>
              </w:rPr>
              <w:t>Douglas-Siegel and Ryan (2013)</w:t>
            </w:r>
            <w:r w:rsidRPr="00925EA9">
              <w:rPr>
                <w:rFonts w:cs="Arial"/>
                <w:sz w:val="20"/>
                <w:szCs w:val="20"/>
              </w:rPr>
              <w:fldChar w:fldCharType="end"/>
            </w:r>
            <w:r w:rsidRPr="00925EA9">
              <w:rPr>
                <w:rFonts w:cs="Arial"/>
                <w:sz w:val="20"/>
                <w:szCs w:val="20"/>
              </w:rPr>
              <w:t xml:space="preserve">: Children in the intervention group were significantly less likely to experience a subsequent arrest than those in the comparison group (9% vs. 19%, p&lt;.05), with the arrest hazard decreasing by 52% for those in the intervention group (β = −.72; p &lt; .01; SE = .27; Exp(β) = .49). Furthermore, children whose mothers </w:t>
            </w:r>
            <w:r w:rsidRPr="00925EA9">
              <w:rPr>
                <w:rFonts w:cs="Arial"/>
                <w:sz w:val="20"/>
                <w:szCs w:val="20"/>
              </w:rPr>
              <w:lastRenderedPageBreak/>
              <w:t>were primary alcohol users were significantly less likely to be arrested that those whose mothers were cocaine and heroin users. Being an older youth and male were significant predictors of arrest, as was a deficit in parental skills judged by case workers. The odds of reunification were 1.28 times greater for intervention families (X</w:t>
            </w:r>
            <w:r w:rsidRPr="00925EA9">
              <w:rPr>
                <w:rFonts w:cs="Arial"/>
                <w:sz w:val="20"/>
                <w:szCs w:val="20"/>
                <w:vertAlign w:val="superscript"/>
              </w:rPr>
              <w:t>2</w:t>
            </w:r>
            <w:r w:rsidRPr="00925EA9">
              <w:rPr>
                <w:rFonts w:cs="Arial"/>
                <w:sz w:val="20"/>
                <w:szCs w:val="20"/>
              </w:rPr>
              <w:t>(1) = 5.87, p&lt;.05). Older children were significantly more likely to be reunified with their families, while unemployed households and families facing legal problems were significantly less likely to be reunified.</w:t>
            </w:r>
          </w:p>
        </w:tc>
      </w:tr>
      <w:tr w:rsidR="0025732F" w:rsidRPr="00925EA9" w14:paraId="790F4FAD" w14:textId="77777777">
        <w:tc>
          <w:tcPr>
            <w:tcW w:w="3114" w:type="dxa"/>
          </w:tcPr>
          <w:p w14:paraId="2F8176FF"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14BEDC1F" w14:textId="77777777" w:rsidR="0025732F" w:rsidRPr="00925EA9" w:rsidRDefault="0025732F">
            <w:pPr>
              <w:rPr>
                <w:rFonts w:cs="Arial"/>
                <w:sz w:val="20"/>
                <w:szCs w:val="20"/>
              </w:rPr>
            </w:pPr>
            <w:r w:rsidRPr="00925EA9">
              <w:rPr>
                <w:rFonts w:cs="Arial"/>
                <w:sz w:val="20"/>
                <w:szCs w:val="20"/>
              </w:rPr>
              <w:t>$59,000 cost saving. However, the authors have not conducted a full economic evaluation.</w:t>
            </w:r>
          </w:p>
        </w:tc>
      </w:tr>
      <w:tr w:rsidR="0025732F" w:rsidRPr="00925EA9" w14:paraId="0679F8E6" w14:textId="77777777">
        <w:tc>
          <w:tcPr>
            <w:tcW w:w="3114" w:type="dxa"/>
          </w:tcPr>
          <w:p w14:paraId="5B708573"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06BC724F" w14:textId="77777777" w:rsidR="0025732F" w:rsidRPr="00925EA9" w:rsidRDefault="0025732F">
            <w:pPr>
              <w:rPr>
                <w:rFonts w:cs="Arial"/>
                <w:sz w:val="20"/>
                <w:szCs w:val="20"/>
              </w:rPr>
            </w:pPr>
            <w:r w:rsidRPr="00925EA9">
              <w:rPr>
                <w:rFonts w:cs="Arial"/>
                <w:sz w:val="20"/>
                <w:szCs w:val="20"/>
              </w:rPr>
              <w:t>High.</w:t>
            </w:r>
          </w:p>
        </w:tc>
      </w:tr>
      <w:tr w:rsidR="0025732F" w:rsidRPr="00925EA9" w14:paraId="6A30E540" w14:textId="77777777">
        <w:tc>
          <w:tcPr>
            <w:tcW w:w="3114" w:type="dxa"/>
            <w:shd w:val="clear" w:color="auto" w:fill="D9E2F3" w:themeFill="accent1" w:themeFillTint="33"/>
          </w:tcPr>
          <w:p w14:paraId="104E4BE0"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26C18C52" w14:textId="205C98F5"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AuthorYear="1"&gt;&lt;Author&gt;Saldana&lt;/Author&gt;&lt;Year&gt;2015&lt;/Year&gt;&lt;RecNum&gt;159&lt;/RecNum&gt;&lt;DisplayText&gt;Saldana (2015)&lt;/DisplayText&gt;&lt;record&gt;&lt;rec-number&gt;159&lt;/rec-number&gt;&lt;foreign-keys&gt;&lt;key app="EN" db-id="ffzvr5fstavwxoe9v04xf0wmp5t50as52da0" timestamp="1731671646" guid="55d50193-28f9-4356-9e38-18773f384c02"&gt;159&lt;/key&gt;&lt;/foreign-keys&gt;&lt;ref-type name="Journal Article"&gt;17&lt;/ref-type&gt;&lt;contributors&gt;&lt;authors&gt;&lt;author&gt;Saldana, Lisa&lt;/author&gt;&lt;/authors&gt;&lt;/contributors&gt;&lt;titles&gt;&lt;title&gt;An Integrated Intervention to Address the Comorbid Needs of Families Referred to Child Welfare for Substance Use Disorders and Child Neglect: FAIR Pilot Outcomes&lt;/title&gt;&lt;secondary-title&gt;Child Welfare&lt;/secondary-title&gt;&lt;/titles&gt;&lt;periodical&gt;&lt;full-title&gt;Child welfare&lt;/full-title&gt;&lt;/periodical&gt;&lt;pages&gt;167-186&lt;/pages&gt;&lt;volume&gt;94&lt;/volume&gt;&lt;number&gt;5&lt;/number&gt;&lt;keywords&gt;&lt;keyword&gt;United States–Us&lt;/keyword&gt;&lt;keyword&gt;Parents &amp;amp; Parenting&lt;/keyword&gt;&lt;keyword&gt;Skill Development&lt;/keyword&gt;&lt;keyword&gt;Child Abuse &amp;amp; Neglect&lt;/keyword&gt;&lt;keyword&gt;Behavior&lt;/keyword&gt;&lt;keyword&gt;Child Welfare&lt;/keyword&gt;&lt;keyword&gt;Families &amp;amp; Family Life&lt;/keyword&gt;&lt;keyword&gt;Children &amp;amp; Youth&lt;/keyword&gt;&lt;keyword&gt;Alcohol Use&lt;/keyword&gt;&lt;keyword&gt;Methamphetamines&lt;/keyword&gt;&lt;keyword&gt;Studies&lt;/keyword&gt;&lt;keyword&gt;Drug Use&lt;/keyword&gt;&lt;keyword&gt;Comorbidity&lt;/keyword&gt;&lt;/keywords&gt;&lt;dates&gt;&lt;year&gt;2015&lt;/year&gt;&lt;/dates&gt;&lt;pub-location&gt;Arlington&lt;/pub-location&gt;&lt;isbn&gt;00094021&lt;/isbn&gt;&lt;urls&gt;&lt;/urls&gt;&lt;/record&gt;&lt;/Cite&gt;&lt;/EndNote&gt;</w:instrText>
            </w:r>
            <w:r w:rsidRPr="00925EA9">
              <w:rPr>
                <w:rFonts w:cs="Arial"/>
                <w:sz w:val="20"/>
                <w:szCs w:val="20"/>
              </w:rPr>
              <w:fldChar w:fldCharType="separate"/>
            </w:r>
            <w:r>
              <w:rPr>
                <w:rFonts w:cs="Arial"/>
                <w:noProof/>
                <w:sz w:val="20"/>
                <w:szCs w:val="20"/>
              </w:rPr>
              <w:t>Saldana (2015)</w:t>
            </w:r>
            <w:r w:rsidRPr="00925EA9">
              <w:rPr>
                <w:rFonts w:cs="Arial"/>
                <w:sz w:val="20"/>
                <w:szCs w:val="20"/>
              </w:rPr>
              <w:fldChar w:fldCharType="end"/>
            </w:r>
            <w:r w:rsidRPr="00925EA9">
              <w:rPr>
                <w:rFonts w:cs="Arial"/>
                <w:sz w:val="20"/>
                <w:szCs w:val="20"/>
              </w:rPr>
              <w:t xml:space="preserve"> </w:t>
            </w:r>
          </w:p>
        </w:tc>
      </w:tr>
      <w:tr w:rsidR="0025732F" w:rsidRPr="00925EA9" w14:paraId="659CBA72" w14:textId="77777777">
        <w:tc>
          <w:tcPr>
            <w:tcW w:w="3114" w:type="dxa"/>
          </w:tcPr>
          <w:p w14:paraId="70D7C2AE" w14:textId="77777777" w:rsidR="0025732F" w:rsidRPr="00925EA9" w:rsidRDefault="0025732F">
            <w:pPr>
              <w:rPr>
                <w:rFonts w:cs="Arial"/>
                <w:sz w:val="20"/>
                <w:szCs w:val="20"/>
              </w:rPr>
            </w:pPr>
            <w:r w:rsidRPr="00925EA9">
              <w:rPr>
                <w:rFonts w:cs="Arial"/>
                <w:sz w:val="20"/>
                <w:szCs w:val="20"/>
              </w:rPr>
              <w:t>Aims</w:t>
            </w:r>
          </w:p>
        </w:tc>
        <w:tc>
          <w:tcPr>
            <w:tcW w:w="10773" w:type="dxa"/>
          </w:tcPr>
          <w:p w14:paraId="205485C6" w14:textId="77777777" w:rsidR="0025732F" w:rsidRPr="00925EA9" w:rsidRDefault="0025732F">
            <w:pPr>
              <w:autoSpaceDE w:val="0"/>
              <w:autoSpaceDN w:val="0"/>
              <w:adjustRightInd w:val="0"/>
              <w:rPr>
                <w:rFonts w:cs="Arial"/>
                <w:sz w:val="20"/>
                <w:szCs w:val="20"/>
              </w:rPr>
            </w:pPr>
            <w:r w:rsidRPr="00925EA9">
              <w:rPr>
                <w:rFonts w:cs="Arial"/>
                <w:sz w:val="20"/>
                <w:szCs w:val="20"/>
              </w:rPr>
              <w:t>To evaluate the effectiveness of the Family Actively Improving Relationships (FAIR) on concurrent parental substance misuse and child neglect.</w:t>
            </w:r>
          </w:p>
        </w:tc>
      </w:tr>
      <w:tr w:rsidR="0025732F" w:rsidRPr="00925EA9" w14:paraId="3BB7E8CD" w14:textId="77777777">
        <w:tc>
          <w:tcPr>
            <w:tcW w:w="3114" w:type="dxa"/>
          </w:tcPr>
          <w:p w14:paraId="48A98620" w14:textId="77777777" w:rsidR="0025732F" w:rsidRPr="00925EA9" w:rsidRDefault="0025732F">
            <w:pPr>
              <w:rPr>
                <w:rFonts w:cs="Arial"/>
                <w:sz w:val="20"/>
                <w:szCs w:val="20"/>
              </w:rPr>
            </w:pPr>
            <w:r w:rsidRPr="00925EA9">
              <w:rPr>
                <w:rFonts w:cs="Arial"/>
                <w:sz w:val="20"/>
                <w:szCs w:val="20"/>
              </w:rPr>
              <w:t>Design</w:t>
            </w:r>
          </w:p>
        </w:tc>
        <w:tc>
          <w:tcPr>
            <w:tcW w:w="10773" w:type="dxa"/>
          </w:tcPr>
          <w:p w14:paraId="2A8B43E1" w14:textId="77777777" w:rsidR="0025732F" w:rsidRPr="006A4575" w:rsidRDefault="0025732F">
            <w:pPr>
              <w:autoSpaceDE w:val="0"/>
              <w:autoSpaceDN w:val="0"/>
              <w:adjustRightInd w:val="0"/>
              <w:rPr>
                <w:rFonts w:cs="Arial"/>
                <w:sz w:val="20"/>
                <w:szCs w:val="20"/>
              </w:rPr>
            </w:pPr>
            <w:r w:rsidRPr="00925EA9">
              <w:rPr>
                <w:rFonts w:cs="Arial"/>
                <w:sz w:val="20"/>
                <w:szCs w:val="20"/>
              </w:rPr>
              <w:t>RCT pilot. Assessments using validated instruments</w:t>
            </w:r>
            <w:r>
              <w:rPr>
                <w:rFonts w:cs="Arial"/>
                <w:sz w:val="20"/>
                <w:szCs w:val="20"/>
              </w:rPr>
              <w:t xml:space="preserve"> (</w:t>
            </w:r>
            <w:r w:rsidRPr="00546943">
              <w:rPr>
                <w:rFonts w:cs="Arial"/>
                <w:sz w:val="20"/>
                <w:szCs w:val="20"/>
              </w:rPr>
              <w:t>Addiction Severity Index</w:t>
            </w:r>
            <w:r w:rsidRPr="006A4575">
              <w:rPr>
                <w:rFonts w:cs="Arial"/>
                <w:sz w:val="20"/>
                <w:szCs w:val="20"/>
              </w:rPr>
              <w:t xml:space="preserve"> and </w:t>
            </w:r>
            <w:r w:rsidRPr="00546943">
              <w:rPr>
                <w:rFonts w:cs="Arial"/>
                <w:sz w:val="20"/>
                <w:szCs w:val="20"/>
              </w:rPr>
              <w:t>The Brief Child Abuse Potential Inventory</w:t>
            </w:r>
            <w:r w:rsidRPr="006A4575">
              <w:rPr>
                <w:rFonts w:cs="Arial"/>
                <w:sz w:val="20"/>
                <w:szCs w:val="20"/>
              </w:rPr>
              <w:t xml:space="preserve">) </w:t>
            </w:r>
            <w:r w:rsidRPr="00925EA9">
              <w:rPr>
                <w:rFonts w:cs="Arial"/>
                <w:sz w:val="20"/>
                <w:szCs w:val="20"/>
              </w:rPr>
              <w:t xml:space="preserve">and </w:t>
            </w:r>
            <w:r w:rsidRPr="00546943">
              <w:rPr>
                <w:rFonts w:cs="Arial"/>
                <w:sz w:val="20"/>
                <w:szCs w:val="20"/>
              </w:rPr>
              <w:t xml:space="preserve">the Service Utilization Survey (SUS) </w:t>
            </w:r>
            <w:r w:rsidRPr="00925EA9">
              <w:rPr>
                <w:rFonts w:cs="Arial"/>
                <w:sz w:val="20"/>
                <w:szCs w:val="20"/>
              </w:rPr>
              <w:t xml:space="preserve"> were conducted at baseline, 6 months, and 12 months. As the size was small and there was great variation in presentation, the researchers used paired t-tests to evaluate outcomes.</w:t>
            </w:r>
          </w:p>
        </w:tc>
      </w:tr>
      <w:tr w:rsidR="0025732F" w:rsidRPr="00925EA9" w14:paraId="5A595719" w14:textId="77777777">
        <w:tc>
          <w:tcPr>
            <w:tcW w:w="3114" w:type="dxa"/>
          </w:tcPr>
          <w:p w14:paraId="196AE70D"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352EAAC0" w14:textId="77777777" w:rsidR="0025732F" w:rsidRPr="00F95746" w:rsidRDefault="0025732F">
            <w:pPr>
              <w:autoSpaceDE w:val="0"/>
              <w:autoSpaceDN w:val="0"/>
              <w:adjustRightInd w:val="0"/>
              <w:rPr>
                <w:rFonts w:cs="Arial"/>
                <w:sz w:val="20"/>
                <w:szCs w:val="20"/>
              </w:rPr>
            </w:pPr>
            <w:r w:rsidRPr="00925EA9">
              <w:rPr>
                <w:rFonts w:cs="Arial"/>
                <w:sz w:val="20"/>
                <w:szCs w:val="20"/>
              </w:rPr>
              <w:t xml:space="preserve">Intervention (n=18) and comparison TAU (n=31) mothers all of whom had been referred to </w:t>
            </w:r>
            <w:r>
              <w:rPr>
                <w:rFonts w:cs="Arial"/>
                <w:sz w:val="20"/>
                <w:szCs w:val="20"/>
              </w:rPr>
              <w:t xml:space="preserve">statutory </w:t>
            </w:r>
            <w:r w:rsidRPr="00925EA9">
              <w:rPr>
                <w:rFonts w:cs="Arial"/>
                <w:sz w:val="20"/>
                <w:szCs w:val="20"/>
              </w:rPr>
              <w:t>c</w:t>
            </w:r>
            <w:r>
              <w:rPr>
                <w:rFonts w:cs="Arial"/>
                <w:sz w:val="20"/>
                <w:szCs w:val="20"/>
              </w:rPr>
              <w:t xml:space="preserve">hild welfare </w:t>
            </w:r>
            <w:r w:rsidRPr="00925EA9">
              <w:rPr>
                <w:rFonts w:cs="Arial"/>
                <w:sz w:val="20"/>
                <w:szCs w:val="20"/>
              </w:rPr>
              <w:t xml:space="preserve">services and whose children were are at home or in the process of being reunified. </w:t>
            </w:r>
          </w:p>
        </w:tc>
      </w:tr>
      <w:tr w:rsidR="0025732F" w:rsidRPr="00925EA9" w14:paraId="23E33F2A" w14:textId="77777777">
        <w:tc>
          <w:tcPr>
            <w:tcW w:w="3114" w:type="dxa"/>
          </w:tcPr>
          <w:p w14:paraId="306F41A2"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3735BEBE" w14:textId="77777777" w:rsidR="0025732F" w:rsidRPr="002E1187" w:rsidRDefault="0025732F">
            <w:pPr>
              <w:rPr>
                <w:rFonts w:cs="Arial"/>
                <w:sz w:val="20"/>
                <w:szCs w:val="20"/>
              </w:rPr>
            </w:pPr>
            <w:r w:rsidRPr="00925EA9">
              <w:rPr>
                <w:rFonts w:cs="Arial"/>
                <w:sz w:val="20"/>
                <w:szCs w:val="20"/>
              </w:rPr>
              <w:t xml:space="preserve">Eight-month treatment programme comprising Parent Management Training (PMT) and </w:t>
            </w:r>
            <w:r w:rsidRPr="00546943">
              <w:rPr>
                <w:rFonts w:cs="Arial"/>
                <w:sz w:val="20"/>
                <w:szCs w:val="20"/>
              </w:rPr>
              <w:t>the Reinforcement Base Treatment</w:t>
            </w:r>
            <w:r w:rsidRPr="00925EA9">
              <w:rPr>
                <w:rFonts w:cs="Arial"/>
                <w:sz w:val="20"/>
                <w:szCs w:val="20"/>
              </w:rPr>
              <w:t xml:space="preserve">. Counsellors and child welfare services are in regular contact to ensure coordinated treatment plans. Positive behaviours are reinforced with voucher incentives. </w:t>
            </w:r>
            <w:r w:rsidRPr="00546943">
              <w:rPr>
                <w:rFonts w:cs="Arial"/>
                <w:sz w:val="20"/>
                <w:szCs w:val="20"/>
              </w:rPr>
              <w:t xml:space="preserve">Parent skills training and </w:t>
            </w:r>
            <w:r w:rsidRPr="002E1187">
              <w:rPr>
                <w:rFonts w:cs="Arial"/>
                <w:sz w:val="20"/>
                <w:szCs w:val="20"/>
              </w:rPr>
              <w:t>practical</w:t>
            </w:r>
            <w:r w:rsidRPr="00546943">
              <w:rPr>
                <w:rFonts w:cs="Arial"/>
                <w:sz w:val="20"/>
                <w:szCs w:val="20"/>
              </w:rPr>
              <w:t xml:space="preserve"> parenting coaching are provided.</w:t>
            </w:r>
          </w:p>
        </w:tc>
      </w:tr>
      <w:tr w:rsidR="0025732F" w:rsidRPr="00925EA9" w14:paraId="55F22A5E" w14:textId="77777777">
        <w:tc>
          <w:tcPr>
            <w:tcW w:w="3114" w:type="dxa"/>
          </w:tcPr>
          <w:p w14:paraId="5FFAF450" w14:textId="77777777" w:rsidR="0025732F" w:rsidRPr="00925EA9" w:rsidRDefault="0025732F">
            <w:pPr>
              <w:rPr>
                <w:rFonts w:cs="Arial"/>
                <w:sz w:val="20"/>
                <w:szCs w:val="20"/>
              </w:rPr>
            </w:pPr>
            <w:r w:rsidRPr="00925EA9">
              <w:rPr>
                <w:rFonts w:cs="Arial"/>
                <w:sz w:val="20"/>
                <w:szCs w:val="20"/>
              </w:rPr>
              <w:t>Country</w:t>
            </w:r>
          </w:p>
        </w:tc>
        <w:tc>
          <w:tcPr>
            <w:tcW w:w="10773" w:type="dxa"/>
          </w:tcPr>
          <w:p w14:paraId="397B9AE6" w14:textId="77777777" w:rsidR="0025732F" w:rsidRPr="00925EA9" w:rsidRDefault="0025732F">
            <w:pPr>
              <w:rPr>
                <w:rFonts w:cs="Arial"/>
                <w:sz w:val="20"/>
                <w:szCs w:val="20"/>
              </w:rPr>
            </w:pPr>
            <w:r w:rsidRPr="00925EA9">
              <w:rPr>
                <w:rFonts w:cs="Arial"/>
                <w:sz w:val="20"/>
                <w:szCs w:val="20"/>
              </w:rPr>
              <w:t>USA.</w:t>
            </w:r>
          </w:p>
        </w:tc>
      </w:tr>
      <w:tr w:rsidR="0025732F" w:rsidRPr="00925EA9" w14:paraId="433DD0D9" w14:textId="77777777">
        <w:tc>
          <w:tcPr>
            <w:tcW w:w="3114" w:type="dxa"/>
          </w:tcPr>
          <w:p w14:paraId="4650368F"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0E49E0B2" w14:textId="77777777" w:rsidR="0025732F" w:rsidRPr="00925EA9" w:rsidRDefault="0025732F">
            <w:pPr>
              <w:rPr>
                <w:rFonts w:cs="Arial"/>
                <w:sz w:val="20"/>
                <w:szCs w:val="20"/>
              </w:rPr>
            </w:pPr>
            <w:r w:rsidRPr="00925EA9">
              <w:rPr>
                <w:rFonts w:cs="Arial"/>
                <w:sz w:val="20"/>
                <w:szCs w:val="20"/>
              </w:rPr>
              <w:t xml:space="preserve">Intervention mothers were more likely to engage and complete treatment than those in the comparison and saw significant improvements in parenting, substance misuse and mental health and auxiliary needs. </w:t>
            </w:r>
          </w:p>
        </w:tc>
      </w:tr>
      <w:tr w:rsidR="0025732F" w:rsidRPr="00925EA9" w14:paraId="51A3F985" w14:textId="77777777">
        <w:tc>
          <w:tcPr>
            <w:tcW w:w="3114" w:type="dxa"/>
          </w:tcPr>
          <w:p w14:paraId="3581F9E9"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565D3AC2" w14:textId="77777777" w:rsidR="0025732F" w:rsidRPr="00925EA9" w:rsidRDefault="0025732F">
            <w:pPr>
              <w:rPr>
                <w:rFonts w:cs="Arial"/>
                <w:sz w:val="20"/>
                <w:szCs w:val="20"/>
              </w:rPr>
            </w:pPr>
            <w:r w:rsidRPr="00925EA9">
              <w:rPr>
                <w:rFonts w:cs="Arial"/>
                <w:sz w:val="20"/>
                <w:szCs w:val="20"/>
              </w:rPr>
              <w:t>N/A.</w:t>
            </w:r>
          </w:p>
        </w:tc>
      </w:tr>
      <w:tr w:rsidR="0025732F" w:rsidRPr="00925EA9" w14:paraId="22BF6E35" w14:textId="77777777">
        <w:tc>
          <w:tcPr>
            <w:tcW w:w="3114" w:type="dxa"/>
            <w:tcBorders>
              <w:bottom w:val="single" w:sz="4" w:space="0" w:color="auto"/>
            </w:tcBorders>
          </w:tcPr>
          <w:p w14:paraId="1AA84361" w14:textId="77777777" w:rsidR="0025732F" w:rsidRPr="00925EA9" w:rsidRDefault="0025732F">
            <w:pPr>
              <w:rPr>
                <w:rFonts w:cs="Arial"/>
                <w:sz w:val="20"/>
                <w:szCs w:val="20"/>
              </w:rPr>
            </w:pPr>
            <w:r w:rsidRPr="00925EA9">
              <w:rPr>
                <w:rFonts w:cs="Arial"/>
                <w:sz w:val="20"/>
                <w:szCs w:val="20"/>
              </w:rPr>
              <w:t>Overall quality rating</w:t>
            </w:r>
          </w:p>
        </w:tc>
        <w:tc>
          <w:tcPr>
            <w:tcW w:w="10773" w:type="dxa"/>
            <w:tcBorders>
              <w:bottom w:val="single" w:sz="4" w:space="0" w:color="auto"/>
            </w:tcBorders>
          </w:tcPr>
          <w:p w14:paraId="442D8E78" w14:textId="77777777" w:rsidR="0025732F" w:rsidRPr="00925EA9" w:rsidRDefault="0025732F">
            <w:pPr>
              <w:rPr>
                <w:rFonts w:cs="Arial"/>
                <w:sz w:val="20"/>
                <w:szCs w:val="20"/>
              </w:rPr>
            </w:pPr>
            <w:r>
              <w:rPr>
                <w:rFonts w:cs="Arial"/>
                <w:sz w:val="20"/>
                <w:szCs w:val="20"/>
              </w:rPr>
              <w:t>Low</w:t>
            </w:r>
            <w:r w:rsidRPr="00925EA9">
              <w:rPr>
                <w:rFonts w:cs="Arial"/>
                <w:sz w:val="20"/>
                <w:szCs w:val="20"/>
              </w:rPr>
              <w:t>.</w:t>
            </w:r>
          </w:p>
        </w:tc>
      </w:tr>
      <w:tr w:rsidR="0025732F" w:rsidRPr="00925EA9" w14:paraId="4A5DA445" w14:textId="77777777">
        <w:tc>
          <w:tcPr>
            <w:tcW w:w="3114" w:type="dxa"/>
            <w:shd w:val="clear" w:color="auto" w:fill="D9E2F3" w:themeFill="accent1" w:themeFillTint="33"/>
          </w:tcPr>
          <w:p w14:paraId="24F3AE37"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336F27FB" w14:textId="1BA70904"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AuthorYear="1"&gt;&lt;Author&gt;Schaeffer&lt;/Author&gt;&lt;Year&gt;2013&lt;/Year&gt;&lt;RecNum&gt;688&lt;/RecNum&gt;&lt;DisplayText&gt;Schaeffer et al. (2013)&lt;/DisplayText&gt;&lt;record&gt;&lt;rec-number&gt;688&lt;/rec-number&gt;&lt;foreign-keys&gt;&lt;key app="EN" db-id="ffzvr5fstavwxoe9v04xf0wmp5t50as52da0" timestamp="1731671737" guid="f31740d2-3f3c-4038-ba66-e20007fde679"&gt;688&lt;/key&gt;&lt;/foreign-keys&gt;&lt;ref-type name="Journal Article"&gt;17&lt;/ref-type&gt;&lt;contributors&gt;&lt;authors&gt;&lt;author&gt;Schaeffer, Cindy M.&lt;/author&gt;&lt;author&gt;Swenson, Cynthia Cupit&lt;/author&gt;&lt;author&gt;Tuerk, Elena Hontoria&lt;/author&gt;&lt;author&gt;Henggeler, Scott W.&lt;/author&gt;&lt;/authors&gt;&lt;/contributors&gt;&lt;titles&gt;&lt;title&gt;Comprehensive treatment for co-occurring child maltreatment and parental substance abuse: Outcomes from a 24-month pilot study of the MST-Building Stronger Families program&lt;/title&gt;&lt;secondary-title&gt;Child Abuse &amp;amp; Neglect&lt;/secondary-title&gt;&lt;/titles&gt;&lt;periodical&gt;&lt;full-title&gt;Child Abuse &amp;amp; Neglect&lt;/full-title&gt;&lt;/periodical&gt;&lt;pages&gt;596&lt;/pages&gt;&lt;volume&gt;37&lt;/volume&gt;&lt;number&gt;8&lt;/number&gt;&lt;keywords&gt;&lt;keyword&gt;Criminology And Law Enforcement&lt;/keyword&gt;&lt;keyword&gt;Drug abuse&lt;/keyword&gt;&lt;keyword&gt;Child abuse &amp;amp; neglect&lt;/keyword&gt;&lt;keyword&gt;Child welfare&lt;/keyword&gt;&lt;keyword&gt;Substance abuse treatment&lt;/keyword&gt;&lt;keyword&gt;Aggressiveness&lt;/keyword&gt;&lt;/keywords&gt;&lt;dates&gt;&lt;year&gt;2013&lt;/year&gt;&lt;pub-dates&gt;&lt;date&gt;Aug 2013&amp;#xD;2013-08-17&lt;/date&gt;&lt;/pub-dates&gt;&lt;/dates&gt;&lt;pub-location&gt;Oxford&lt;/pub-location&gt;&lt;publisher&gt;Pergamon Press Inc.&lt;/publisher&gt;&lt;isbn&gt;01452134&lt;/isbn&gt;&lt;accession-num&gt;1425510937&lt;/accession-num&gt;&lt;urls&gt;&lt;related-urls&gt;&lt;url&gt;https://www.sciencedirect.com/science/article/abs/pii/S0145213413001129?via%3Dihub&lt;/url&gt;&lt;/related-urls&gt;&lt;/urls&gt;&lt;electronic-resource-num&gt;https://doi.org/10.1016/j.chiabu.2013.04.004&lt;/electronic-resource-num&gt;&lt;remote-database-name&gt;Applied Social Sciences Index &amp;amp; Abstracts (ASSIA)&lt;/remote-database-name&gt;&lt;language&gt;English&lt;/language&gt;&lt;/record&gt;&lt;/Cite&gt;&lt;/EndNote&gt;</w:instrText>
            </w:r>
            <w:r w:rsidRPr="00925EA9">
              <w:rPr>
                <w:rFonts w:cs="Arial"/>
                <w:sz w:val="20"/>
                <w:szCs w:val="20"/>
              </w:rPr>
              <w:fldChar w:fldCharType="separate"/>
            </w:r>
            <w:r w:rsidR="00A77498">
              <w:rPr>
                <w:rFonts w:cs="Arial"/>
                <w:noProof/>
                <w:sz w:val="20"/>
                <w:szCs w:val="20"/>
              </w:rPr>
              <w:t>Schaeffer et al. (2013)</w:t>
            </w:r>
            <w:r w:rsidRPr="00925EA9">
              <w:rPr>
                <w:rFonts w:cs="Arial"/>
                <w:sz w:val="20"/>
                <w:szCs w:val="20"/>
              </w:rPr>
              <w:fldChar w:fldCharType="end"/>
            </w:r>
          </w:p>
        </w:tc>
      </w:tr>
      <w:tr w:rsidR="0025732F" w:rsidRPr="00925EA9" w14:paraId="26797BCD" w14:textId="77777777">
        <w:tc>
          <w:tcPr>
            <w:tcW w:w="3114" w:type="dxa"/>
          </w:tcPr>
          <w:p w14:paraId="0573CDFA" w14:textId="77777777" w:rsidR="0025732F" w:rsidRPr="00925EA9" w:rsidRDefault="0025732F">
            <w:pPr>
              <w:rPr>
                <w:rFonts w:cs="Arial"/>
                <w:sz w:val="20"/>
                <w:szCs w:val="20"/>
              </w:rPr>
            </w:pPr>
            <w:r w:rsidRPr="00925EA9">
              <w:rPr>
                <w:rFonts w:cs="Arial"/>
                <w:sz w:val="20"/>
                <w:szCs w:val="20"/>
              </w:rPr>
              <w:t>Aims</w:t>
            </w:r>
          </w:p>
        </w:tc>
        <w:tc>
          <w:tcPr>
            <w:tcW w:w="10773" w:type="dxa"/>
          </w:tcPr>
          <w:p w14:paraId="46B19A4E" w14:textId="77777777" w:rsidR="0025732F" w:rsidRPr="00925EA9" w:rsidRDefault="0025732F">
            <w:pPr>
              <w:autoSpaceDE w:val="0"/>
              <w:autoSpaceDN w:val="0"/>
              <w:adjustRightInd w:val="0"/>
              <w:rPr>
                <w:rFonts w:cs="Arial"/>
                <w:sz w:val="20"/>
                <w:szCs w:val="20"/>
              </w:rPr>
            </w:pPr>
            <w:r w:rsidRPr="00925EA9">
              <w:rPr>
                <w:rFonts w:cs="Arial"/>
                <w:sz w:val="20"/>
                <w:szCs w:val="20"/>
              </w:rPr>
              <w:t>To evaluate the effectiveness of the Multisystemic Therapy-Building Stronger Families (MST-BSF) pilot home-based study compared with comprehensive community treatment on subsequent maltreatment and reunification.</w:t>
            </w:r>
          </w:p>
        </w:tc>
      </w:tr>
      <w:tr w:rsidR="0025732F" w:rsidRPr="00925EA9" w14:paraId="64293F77" w14:textId="77777777">
        <w:tc>
          <w:tcPr>
            <w:tcW w:w="3114" w:type="dxa"/>
          </w:tcPr>
          <w:p w14:paraId="1D8F3CAB" w14:textId="77777777" w:rsidR="0025732F" w:rsidRPr="00925EA9" w:rsidRDefault="0025732F">
            <w:pPr>
              <w:rPr>
                <w:rFonts w:cs="Arial"/>
                <w:sz w:val="20"/>
                <w:szCs w:val="20"/>
              </w:rPr>
            </w:pPr>
            <w:r w:rsidRPr="00925EA9">
              <w:rPr>
                <w:rFonts w:cs="Arial"/>
                <w:sz w:val="20"/>
                <w:szCs w:val="20"/>
              </w:rPr>
              <w:t>Design</w:t>
            </w:r>
          </w:p>
        </w:tc>
        <w:tc>
          <w:tcPr>
            <w:tcW w:w="10773" w:type="dxa"/>
          </w:tcPr>
          <w:p w14:paraId="1B1733C1" w14:textId="77777777" w:rsidR="0025732F" w:rsidRPr="00925EA9" w:rsidRDefault="0025732F">
            <w:pPr>
              <w:autoSpaceDE w:val="0"/>
              <w:autoSpaceDN w:val="0"/>
              <w:adjustRightInd w:val="0"/>
              <w:rPr>
                <w:rFonts w:cs="Arial"/>
                <w:sz w:val="20"/>
                <w:szCs w:val="20"/>
              </w:rPr>
            </w:pPr>
            <w:r w:rsidRPr="00925EA9">
              <w:rPr>
                <w:rFonts w:cs="Arial"/>
                <w:sz w:val="20"/>
                <w:szCs w:val="20"/>
              </w:rPr>
              <w:t xml:space="preserve">Quasi-experimental study, 24 month follow-up, pre-post intervention design. </w:t>
            </w:r>
          </w:p>
        </w:tc>
      </w:tr>
      <w:tr w:rsidR="0025732F" w:rsidRPr="00925EA9" w14:paraId="1A8DF7DF" w14:textId="77777777">
        <w:tc>
          <w:tcPr>
            <w:tcW w:w="3114" w:type="dxa"/>
          </w:tcPr>
          <w:p w14:paraId="1D749598"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1C9BA823" w14:textId="77777777" w:rsidR="0025732F" w:rsidRPr="00925EA9" w:rsidRDefault="0025732F">
            <w:pPr>
              <w:autoSpaceDE w:val="0"/>
              <w:autoSpaceDN w:val="0"/>
              <w:adjustRightInd w:val="0"/>
              <w:rPr>
                <w:rFonts w:cs="Arial"/>
                <w:sz w:val="14"/>
                <w:szCs w:val="14"/>
              </w:rPr>
            </w:pPr>
            <w:r w:rsidRPr="00925EA9">
              <w:rPr>
                <w:rFonts w:cs="Arial"/>
                <w:sz w:val="20"/>
                <w:szCs w:val="20"/>
              </w:rPr>
              <w:t>Intervention (n=25) and comparison (n=18) mother-children dyads.</w:t>
            </w:r>
          </w:p>
        </w:tc>
      </w:tr>
      <w:tr w:rsidR="0025732F" w:rsidRPr="00925EA9" w14:paraId="170D3344" w14:textId="77777777">
        <w:tc>
          <w:tcPr>
            <w:tcW w:w="3114" w:type="dxa"/>
          </w:tcPr>
          <w:p w14:paraId="536ADF7B"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460C57BC" w14:textId="77777777" w:rsidR="0025732F" w:rsidRPr="00925EA9" w:rsidRDefault="0025732F">
            <w:pPr>
              <w:autoSpaceDE w:val="0"/>
              <w:autoSpaceDN w:val="0"/>
              <w:adjustRightInd w:val="0"/>
              <w:rPr>
                <w:rFonts w:cs="Arial"/>
                <w:sz w:val="20"/>
                <w:szCs w:val="20"/>
              </w:rPr>
            </w:pPr>
            <w:r w:rsidRPr="00925EA9">
              <w:rPr>
                <w:rFonts w:cs="Arial"/>
                <w:sz w:val="20"/>
                <w:szCs w:val="20"/>
              </w:rPr>
              <w:t>MST-BSF is designed to address parental substance misuse and child welfare needs. The model is derived from three other models with their own evidence base 1) standard MST deigned to support young people involved in the youth offending system, 2) MST for child abuse and neglect (MST-CAN) and 3) Reinforcement-Based Treatment</w:t>
            </w:r>
          </w:p>
          <w:p w14:paraId="628EB045" w14:textId="77777777" w:rsidR="0025732F" w:rsidRPr="00925EA9" w:rsidRDefault="0025732F">
            <w:pPr>
              <w:autoSpaceDE w:val="0"/>
              <w:autoSpaceDN w:val="0"/>
              <w:adjustRightInd w:val="0"/>
              <w:rPr>
                <w:rFonts w:cs="Arial"/>
                <w:sz w:val="20"/>
                <w:szCs w:val="20"/>
              </w:rPr>
            </w:pPr>
            <w:r w:rsidRPr="00925EA9">
              <w:rPr>
                <w:rFonts w:cs="Arial"/>
                <w:sz w:val="20"/>
                <w:szCs w:val="20"/>
              </w:rPr>
              <w:t xml:space="preserve">(RBT) for adult substance abuse. </w:t>
            </w:r>
          </w:p>
        </w:tc>
      </w:tr>
      <w:tr w:rsidR="0025732F" w:rsidRPr="00925EA9" w14:paraId="3264E1F6" w14:textId="77777777">
        <w:tc>
          <w:tcPr>
            <w:tcW w:w="3114" w:type="dxa"/>
          </w:tcPr>
          <w:p w14:paraId="70747644" w14:textId="77777777" w:rsidR="0025732F" w:rsidRPr="00925EA9" w:rsidRDefault="0025732F">
            <w:pPr>
              <w:rPr>
                <w:rFonts w:cs="Arial"/>
                <w:sz w:val="20"/>
                <w:szCs w:val="20"/>
              </w:rPr>
            </w:pPr>
            <w:r w:rsidRPr="00925EA9">
              <w:rPr>
                <w:rFonts w:cs="Arial"/>
                <w:sz w:val="20"/>
                <w:szCs w:val="20"/>
              </w:rPr>
              <w:t>Country</w:t>
            </w:r>
          </w:p>
        </w:tc>
        <w:tc>
          <w:tcPr>
            <w:tcW w:w="10773" w:type="dxa"/>
          </w:tcPr>
          <w:p w14:paraId="3EEA023E" w14:textId="77777777" w:rsidR="0025732F" w:rsidRPr="00925EA9" w:rsidRDefault="0025732F">
            <w:pPr>
              <w:rPr>
                <w:rFonts w:cs="Arial"/>
                <w:sz w:val="20"/>
                <w:szCs w:val="20"/>
              </w:rPr>
            </w:pPr>
            <w:r w:rsidRPr="00925EA9">
              <w:rPr>
                <w:rFonts w:cs="Arial"/>
                <w:sz w:val="20"/>
                <w:szCs w:val="20"/>
              </w:rPr>
              <w:t>USA (New Britain, Connecticut)</w:t>
            </w:r>
          </w:p>
        </w:tc>
      </w:tr>
      <w:tr w:rsidR="0025732F" w:rsidRPr="00925EA9" w14:paraId="60D44526" w14:textId="77777777">
        <w:tc>
          <w:tcPr>
            <w:tcW w:w="3114" w:type="dxa"/>
          </w:tcPr>
          <w:p w14:paraId="633D613F"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44C8A7A5" w14:textId="77777777" w:rsidR="0025732F" w:rsidRPr="00925EA9" w:rsidRDefault="0025732F">
            <w:pPr>
              <w:rPr>
                <w:rFonts w:cs="Arial"/>
                <w:sz w:val="20"/>
                <w:szCs w:val="20"/>
              </w:rPr>
            </w:pPr>
            <w:r w:rsidRPr="00925EA9">
              <w:rPr>
                <w:rFonts w:cs="Arial"/>
                <w:sz w:val="20"/>
                <w:szCs w:val="20"/>
              </w:rPr>
              <w:t xml:space="preserve">Children whose mothers received comprehensive community treatment were significantly more likely to experience a substantiated and unsubstantiated maltreatment report than intervention families with large and medium effect sizes, respectively. Intervention children were two times less likely to experience an incident of subsequent abuse by any </w:t>
            </w:r>
            <w:r w:rsidRPr="00925EA9">
              <w:rPr>
                <w:rFonts w:cs="Arial"/>
                <w:sz w:val="20"/>
                <w:szCs w:val="20"/>
              </w:rPr>
              <w:lastRenderedPageBreak/>
              <w:t>caregiver, however this was not statistically significant. Intervention children did experience significantly fewer incidences of abuse. Intervention children spent significantly fewer days in out-of-home placements.</w:t>
            </w:r>
          </w:p>
        </w:tc>
      </w:tr>
      <w:tr w:rsidR="0025732F" w:rsidRPr="00925EA9" w14:paraId="428D56BE" w14:textId="77777777">
        <w:tc>
          <w:tcPr>
            <w:tcW w:w="3114" w:type="dxa"/>
          </w:tcPr>
          <w:p w14:paraId="4A6DA556"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6B6CA89C" w14:textId="77777777" w:rsidR="0025732F" w:rsidRPr="00925EA9" w:rsidRDefault="0025732F">
            <w:pPr>
              <w:rPr>
                <w:rFonts w:cs="Arial"/>
                <w:sz w:val="20"/>
                <w:szCs w:val="20"/>
              </w:rPr>
            </w:pPr>
            <w:r w:rsidRPr="00925EA9">
              <w:rPr>
                <w:rFonts w:cs="Arial"/>
                <w:sz w:val="20"/>
                <w:szCs w:val="20"/>
              </w:rPr>
              <w:t>N/A.</w:t>
            </w:r>
          </w:p>
        </w:tc>
      </w:tr>
      <w:tr w:rsidR="0025732F" w:rsidRPr="00925EA9" w14:paraId="5DA1E0CB" w14:textId="77777777">
        <w:tc>
          <w:tcPr>
            <w:tcW w:w="3114" w:type="dxa"/>
          </w:tcPr>
          <w:p w14:paraId="43458A6B"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5DDC0B14" w14:textId="77777777" w:rsidR="0025732F" w:rsidRPr="00925EA9" w:rsidRDefault="0025732F">
            <w:pPr>
              <w:rPr>
                <w:rFonts w:cs="Arial"/>
                <w:sz w:val="20"/>
                <w:szCs w:val="20"/>
              </w:rPr>
            </w:pPr>
            <w:r>
              <w:rPr>
                <w:rFonts w:cs="Arial"/>
                <w:sz w:val="20"/>
                <w:szCs w:val="20"/>
              </w:rPr>
              <w:t>Low</w:t>
            </w:r>
            <w:r w:rsidRPr="00925EA9">
              <w:rPr>
                <w:rFonts w:cs="Arial"/>
                <w:sz w:val="20"/>
                <w:szCs w:val="20"/>
              </w:rPr>
              <w:t>.</w:t>
            </w:r>
          </w:p>
        </w:tc>
      </w:tr>
      <w:tr w:rsidR="0025732F" w:rsidRPr="00925EA9" w14:paraId="7C00E3A5" w14:textId="77777777">
        <w:tc>
          <w:tcPr>
            <w:tcW w:w="3114" w:type="dxa"/>
            <w:shd w:val="clear" w:color="auto" w:fill="D9E2F3" w:themeFill="accent1" w:themeFillTint="33"/>
          </w:tcPr>
          <w:p w14:paraId="2639C67B"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11802465" w14:textId="1C400684"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AuthorYear="1"&gt;&lt;Author&gt;Worcel&lt;/Author&gt;&lt;Year&gt;2008&lt;/Year&gt;&lt;RecNum&gt;131&lt;/RecNum&gt;&lt;DisplayText&gt;Worcel et al. (2008)&lt;/DisplayText&gt;&lt;record&gt;&lt;rec-number&gt;131&lt;/rec-number&gt;&lt;foreign-keys&gt;&lt;key app="EN" db-id="ffzvr5fstavwxoe9v04xf0wmp5t50as52da0" timestamp="1731671644" guid="27fd9f70-dd4b-4872-b812-f0b446641013"&gt;131&lt;/key&gt;&lt;/foreign-keys&gt;&lt;ref-type name="Journal Article"&gt;17&lt;/ref-type&gt;&lt;contributors&gt;&lt;authors&gt;&lt;author&gt;Worcel, S.D.,&lt;/author&gt;&lt;author&gt;Furrer, C.J.,&lt;/author&gt;&lt;author&gt;Green, B.L.,&lt;/author&gt;&lt;author&gt;Burrus, S.W.M.,&lt;/author&gt;&lt;author&gt;Finigan, M.W.,&lt;/author&gt;&lt;/authors&gt;&lt;/contributors&gt;&lt;titles&gt;&lt;title&gt;Effects of family treatment drug courts on substance abuse and child welfare outcomes&lt;/title&gt;&lt;secondary-title&gt;Child Abuse Review&lt;/secondary-title&gt;&lt;/titles&gt;&lt;periodical&gt;&lt;full-title&gt;Child Abuse Review&lt;/full-title&gt;&lt;/periodical&gt;&lt;pages&gt;427-443&lt;/pages&gt;&lt;volume&gt;17&lt;/volume&gt;&lt;number&gt;6&lt;/number&gt;&lt;dates&gt;&lt;year&gt;2008&lt;/year&gt;&lt;/dates&gt;&lt;urls&gt;&lt;related-urls&gt;&lt;url&gt;&lt;style face="underline" font="default" size="100%"&gt;https://onlinelibrary.wiley.com/doi/abs/10.1002/car.1045&lt;/style&gt;&lt;/url&gt;&lt;/related-urls&gt;&lt;/urls&gt;&lt;electronic-resource-num&gt;doi:10.1002/car.1045&lt;/electronic-resource-num&gt;&lt;/record&gt;&lt;/Cite&gt;&lt;/EndNote&gt;</w:instrText>
            </w:r>
            <w:r w:rsidRPr="00925EA9">
              <w:rPr>
                <w:rFonts w:cs="Arial"/>
                <w:sz w:val="20"/>
                <w:szCs w:val="20"/>
              </w:rPr>
              <w:fldChar w:fldCharType="separate"/>
            </w:r>
            <w:r w:rsidR="00A77498">
              <w:rPr>
                <w:rFonts w:cs="Arial"/>
                <w:noProof/>
                <w:sz w:val="20"/>
                <w:szCs w:val="20"/>
              </w:rPr>
              <w:t>Worcel et al. (2008)</w:t>
            </w:r>
            <w:r w:rsidRPr="00925EA9">
              <w:rPr>
                <w:rFonts w:cs="Arial"/>
                <w:sz w:val="20"/>
                <w:szCs w:val="20"/>
              </w:rPr>
              <w:fldChar w:fldCharType="end"/>
            </w:r>
          </w:p>
        </w:tc>
      </w:tr>
      <w:tr w:rsidR="0025732F" w:rsidRPr="00925EA9" w14:paraId="5FA804AB" w14:textId="77777777">
        <w:tc>
          <w:tcPr>
            <w:tcW w:w="3114" w:type="dxa"/>
          </w:tcPr>
          <w:p w14:paraId="492A308B" w14:textId="77777777" w:rsidR="0025732F" w:rsidRPr="00925EA9" w:rsidRDefault="0025732F">
            <w:pPr>
              <w:rPr>
                <w:rFonts w:cs="Arial"/>
                <w:sz w:val="20"/>
                <w:szCs w:val="20"/>
              </w:rPr>
            </w:pPr>
            <w:r w:rsidRPr="00925EA9">
              <w:rPr>
                <w:rFonts w:cs="Arial"/>
                <w:sz w:val="20"/>
                <w:szCs w:val="20"/>
              </w:rPr>
              <w:t>Aims</w:t>
            </w:r>
          </w:p>
        </w:tc>
        <w:tc>
          <w:tcPr>
            <w:tcW w:w="10773" w:type="dxa"/>
          </w:tcPr>
          <w:p w14:paraId="72952B38" w14:textId="77777777" w:rsidR="0025732F" w:rsidRPr="00925EA9" w:rsidRDefault="0025732F">
            <w:pPr>
              <w:rPr>
                <w:rFonts w:cs="Arial"/>
                <w:sz w:val="20"/>
                <w:szCs w:val="20"/>
              </w:rPr>
            </w:pPr>
            <w:r w:rsidRPr="00925EA9">
              <w:rPr>
                <w:rFonts w:cs="Arial"/>
                <w:sz w:val="20"/>
                <w:szCs w:val="20"/>
              </w:rPr>
              <w:t>To examine treatment and child welfare outcomes in three FTDCs.</w:t>
            </w:r>
          </w:p>
        </w:tc>
      </w:tr>
      <w:tr w:rsidR="0025732F" w:rsidRPr="00925EA9" w14:paraId="01A43429" w14:textId="77777777">
        <w:tc>
          <w:tcPr>
            <w:tcW w:w="3114" w:type="dxa"/>
          </w:tcPr>
          <w:p w14:paraId="4BC801BE" w14:textId="77777777" w:rsidR="0025732F" w:rsidRPr="00925EA9" w:rsidRDefault="0025732F">
            <w:pPr>
              <w:rPr>
                <w:rFonts w:cs="Arial"/>
                <w:sz w:val="20"/>
                <w:szCs w:val="20"/>
              </w:rPr>
            </w:pPr>
            <w:r w:rsidRPr="00925EA9">
              <w:rPr>
                <w:rFonts w:cs="Arial"/>
                <w:sz w:val="20"/>
                <w:szCs w:val="20"/>
              </w:rPr>
              <w:t>Design</w:t>
            </w:r>
          </w:p>
        </w:tc>
        <w:tc>
          <w:tcPr>
            <w:tcW w:w="10773" w:type="dxa"/>
          </w:tcPr>
          <w:p w14:paraId="52F7A5E5" w14:textId="77777777" w:rsidR="0025732F" w:rsidRPr="00925EA9" w:rsidRDefault="0025732F">
            <w:pPr>
              <w:rPr>
                <w:rFonts w:cs="Arial"/>
                <w:sz w:val="20"/>
                <w:szCs w:val="20"/>
              </w:rPr>
            </w:pPr>
            <w:r w:rsidRPr="00925EA9">
              <w:rPr>
                <w:rFonts w:cs="Arial"/>
                <w:sz w:val="20"/>
                <w:szCs w:val="20"/>
              </w:rPr>
              <w:t>National evaluation using a quasi-experimental design and a 24 month follow-up.</w:t>
            </w:r>
          </w:p>
        </w:tc>
      </w:tr>
      <w:tr w:rsidR="0025732F" w:rsidRPr="00925EA9" w14:paraId="34DCF48D" w14:textId="77777777">
        <w:tc>
          <w:tcPr>
            <w:tcW w:w="3114" w:type="dxa"/>
          </w:tcPr>
          <w:p w14:paraId="1371C6F0"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0EE9A7F4" w14:textId="77777777" w:rsidR="0025732F" w:rsidRPr="00925EA9" w:rsidRDefault="0025732F">
            <w:pPr>
              <w:rPr>
                <w:rFonts w:cs="Arial"/>
                <w:sz w:val="20"/>
                <w:szCs w:val="20"/>
              </w:rPr>
            </w:pPr>
            <w:r w:rsidRPr="00925EA9">
              <w:rPr>
                <w:rFonts w:cs="Arial"/>
                <w:sz w:val="20"/>
                <w:szCs w:val="20"/>
              </w:rPr>
              <w:t>Intervention (n=301) and Comparison (n=919).</w:t>
            </w:r>
          </w:p>
        </w:tc>
      </w:tr>
      <w:tr w:rsidR="0025732F" w:rsidRPr="00925EA9" w14:paraId="26240DE3" w14:textId="77777777">
        <w:tc>
          <w:tcPr>
            <w:tcW w:w="3114" w:type="dxa"/>
          </w:tcPr>
          <w:p w14:paraId="1B9E8A32"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2C286E81" w14:textId="77777777" w:rsidR="0025732F" w:rsidRPr="00925EA9" w:rsidRDefault="0025732F">
            <w:pPr>
              <w:rPr>
                <w:rFonts w:cs="Arial"/>
                <w:sz w:val="20"/>
                <w:szCs w:val="20"/>
              </w:rPr>
            </w:pPr>
            <w:r w:rsidRPr="00925EA9">
              <w:rPr>
                <w:rFonts w:cs="Arial"/>
                <w:sz w:val="20"/>
                <w:szCs w:val="20"/>
              </w:rPr>
              <w:t>Various FTDC types.</w:t>
            </w:r>
          </w:p>
        </w:tc>
      </w:tr>
      <w:tr w:rsidR="0025732F" w:rsidRPr="00925EA9" w14:paraId="55A52D69" w14:textId="77777777">
        <w:tc>
          <w:tcPr>
            <w:tcW w:w="3114" w:type="dxa"/>
          </w:tcPr>
          <w:p w14:paraId="50359671" w14:textId="77777777" w:rsidR="0025732F" w:rsidRPr="00925EA9" w:rsidRDefault="0025732F">
            <w:pPr>
              <w:rPr>
                <w:rFonts w:cs="Arial"/>
                <w:sz w:val="20"/>
                <w:szCs w:val="20"/>
              </w:rPr>
            </w:pPr>
            <w:r w:rsidRPr="00925EA9">
              <w:rPr>
                <w:rFonts w:cs="Arial"/>
                <w:sz w:val="20"/>
                <w:szCs w:val="20"/>
              </w:rPr>
              <w:t>Country</w:t>
            </w:r>
          </w:p>
        </w:tc>
        <w:tc>
          <w:tcPr>
            <w:tcW w:w="10773" w:type="dxa"/>
          </w:tcPr>
          <w:p w14:paraId="32D94E7F" w14:textId="77777777" w:rsidR="0025732F" w:rsidRPr="00925EA9" w:rsidRDefault="0025732F">
            <w:pPr>
              <w:rPr>
                <w:rFonts w:cs="Arial"/>
                <w:sz w:val="20"/>
                <w:szCs w:val="20"/>
              </w:rPr>
            </w:pPr>
            <w:r w:rsidRPr="00925EA9">
              <w:rPr>
                <w:rFonts w:cs="Arial"/>
                <w:sz w:val="20"/>
                <w:szCs w:val="20"/>
              </w:rPr>
              <w:t>USA (3 jurisdictions).</w:t>
            </w:r>
          </w:p>
        </w:tc>
      </w:tr>
      <w:tr w:rsidR="0025732F" w:rsidRPr="00925EA9" w14:paraId="202876E5" w14:textId="77777777">
        <w:tc>
          <w:tcPr>
            <w:tcW w:w="3114" w:type="dxa"/>
          </w:tcPr>
          <w:p w14:paraId="3CCBF5BA"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779EBF94" w14:textId="77777777" w:rsidR="0025732F" w:rsidRPr="00925EA9" w:rsidRDefault="0025732F">
            <w:pPr>
              <w:rPr>
                <w:rFonts w:cs="Arial"/>
                <w:sz w:val="20"/>
                <w:szCs w:val="20"/>
              </w:rPr>
            </w:pPr>
            <w:r w:rsidRPr="00925EA9">
              <w:rPr>
                <w:rFonts w:cs="Arial"/>
                <w:sz w:val="20"/>
                <w:szCs w:val="20"/>
              </w:rPr>
              <w:t>Mothers on the programme were more likely to enter treatment (odds were improved by a factor of 3.2, (X</w:t>
            </w:r>
            <w:r w:rsidRPr="00925EA9">
              <w:rPr>
                <w:rFonts w:cs="Arial"/>
                <w:sz w:val="20"/>
                <w:szCs w:val="20"/>
                <w:vertAlign w:val="superscript"/>
              </w:rPr>
              <w:t>2</w:t>
            </w:r>
            <w:r w:rsidRPr="00925EA9">
              <w:rPr>
                <w:rFonts w:cs="Arial"/>
                <w:sz w:val="20"/>
                <w:szCs w:val="20"/>
              </w:rPr>
              <w:t xml:space="preserve"> (1) = 24.40, p &lt; .01) and more likely to enter treatment sooner: (F(1,684) = 14.04, p &lt; .01) with a rate of treatment entry approximately double that of parents not on the programme. Mothers were also retained for longer in treatment (F(1,1216) = 180.59,  p &lt; .01) and more likely to complete treatment (X</w:t>
            </w:r>
            <w:r w:rsidRPr="00925EA9">
              <w:rPr>
                <w:rFonts w:cs="Arial"/>
                <w:sz w:val="20"/>
                <w:szCs w:val="20"/>
                <w:vertAlign w:val="superscript"/>
              </w:rPr>
              <w:t>2</w:t>
            </w:r>
            <w:r w:rsidRPr="00925EA9">
              <w:rPr>
                <w:rFonts w:cs="Arial"/>
                <w:sz w:val="20"/>
                <w:szCs w:val="20"/>
              </w:rPr>
              <w:t xml:space="preserve"> (1) = 65.59, p &lt; .01). Being on the programme accounted for 13% of the variation in days spent in treatment and 12% in completing at least one treatment episode. OR of completing treatment = 3.8.</w:t>
            </w:r>
            <w:r>
              <w:rPr>
                <w:rFonts w:cs="Arial"/>
                <w:sz w:val="20"/>
                <w:szCs w:val="20"/>
              </w:rPr>
              <w:t xml:space="preserve"> </w:t>
            </w:r>
            <w:r w:rsidRPr="00925EA9">
              <w:rPr>
                <w:rFonts w:cs="Arial"/>
                <w:sz w:val="20"/>
                <w:szCs w:val="20"/>
              </w:rPr>
              <w:t>No difference in the likelihood of being in care placement, (X2 (1) = 0.80, ns), however children on the programme spent less time in care (F(1,940.89) = 34.72,  p  &lt; .01). Time to permanency was not significantly different between the two groups (X2 (1) = 0.73, ns.) Families on the programme were significantly more likely to be reunified (X2 (1) = 5.59, p &lt; .05).</w:t>
            </w:r>
          </w:p>
        </w:tc>
      </w:tr>
      <w:tr w:rsidR="0025732F" w:rsidRPr="00925EA9" w14:paraId="372B33C6" w14:textId="77777777">
        <w:tc>
          <w:tcPr>
            <w:tcW w:w="3114" w:type="dxa"/>
          </w:tcPr>
          <w:p w14:paraId="4B65F8D8"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22086584" w14:textId="77777777" w:rsidR="0025732F" w:rsidRPr="00925EA9" w:rsidRDefault="0025732F">
            <w:pPr>
              <w:rPr>
                <w:rFonts w:cs="Arial"/>
                <w:sz w:val="20"/>
                <w:szCs w:val="20"/>
              </w:rPr>
            </w:pPr>
            <w:r w:rsidRPr="00925EA9">
              <w:rPr>
                <w:rFonts w:cs="Arial"/>
                <w:sz w:val="20"/>
                <w:szCs w:val="20"/>
              </w:rPr>
              <w:t>N/A.</w:t>
            </w:r>
          </w:p>
        </w:tc>
      </w:tr>
      <w:tr w:rsidR="0025732F" w:rsidRPr="00925EA9" w14:paraId="2E9BBD9F" w14:textId="77777777">
        <w:tc>
          <w:tcPr>
            <w:tcW w:w="3114" w:type="dxa"/>
          </w:tcPr>
          <w:p w14:paraId="0F6DFCF6"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098E2E88" w14:textId="77777777" w:rsidR="0025732F" w:rsidRPr="00925EA9" w:rsidRDefault="0025732F">
            <w:pPr>
              <w:rPr>
                <w:rFonts w:cs="Arial"/>
                <w:sz w:val="20"/>
                <w:szCs w:val="20"/>
              </w:rPr>
            </w:pPr>
            <w:r w:rsidRPr="00925EA9">
              <w:rPr>
                <w:rFonts w:cs="Arial"/>
                <w:sz w:val="20"/>
                <w:szCs w:val="20"/>
              </w:rPr>
              <w:t>Moderate.</w:t>
            </w:r>
          </w:p>
        </w:tc>
      </w:tr>
      <w:tr w:rsidR="0025732F" w:rsidRPr="00925EA9" w14:paraId="7E3B4E1F" w14:textId="77777777">
        <w:tc>
          <w:tcPr>
            <w:tcW w:w="3114" w:type="dxa"/>
            <w:shd w:val="clear" w:color="auto" w:fill="D9E2F3" w:themeFill="accent1" w:themeFillTint="33"/>
          </w:tcPr>
          <w:p w14:paraId="27C648AA" w14:textId="77777777" w:rsidR="0025732F" w:rsidRPr="00925EA9" w:rsidRDefault="0025732F">
            <w:pPr>
              <w:rPr>
                <w:rFonts w:cs="Arial"/>
                <w:sz w:val="20"/>
                <w:szCs w:val="20"/>
              </w:rPr>
            </w:pPr>
            <w:r w:rsidRPr="00925EA9">
              <w:rPr>
                <w:rFonts w:cs="Arial"/>
                <w:sz w:val="20"/>
                <w:szCs w:val="20"/>
              </w:rPr>
              <w:t>Reference</w:t>
            </w:r>
          </w:p>
        </w:tc>
        <w:tc>
          <w:tcPr>
            <w:tcW w:w="10773" w:type="dxa"/>
            <w:shd w:val="clear" w:color="auto" w:fill="D9E2F3" w:themeFill="accent1" w:themeFillTint="33"/>
          </w:tcPr>
          <w:p w14:paraId="7CDE7BAB" w14:textId="623EC851" w:rsidR="0025732F" w:rsidRPr="00925EA9" w:rsidRDefault="0025732F">
            <w:pPr>
              <w:rPr>
                <w:rFonts w:cs="Arial"/>
                <w:sz w:val="20"/>
                <w:szCs w:val="20"/>
              </w:rPr>
            </w:pPr>
            <w:r w:rsidRPr="00925EA9">
              <w:rPr>
                <w:rFonts w:cs="Arial"/>
                <w:sz w:val="20"/>
                <w:szCs w:val="20"/>
              </w:rPr>
              <w:fldChar w:fldCharType="begin"/>
            </w:r>
            <w:r w:rsidR="00B9334F">
              <w:rPr>
                <w:rFonts w:cs="Arial"/>
                <w:sz w:val="20"/>
                <w:szCs w:val="20"/>
              </w:rPr>
              <w:instrText xml:space="preserve"> ADDIN EN.CITE &lt;EndNote&gt;&lt;Cite AuthorYear="1"&gt;&lt;Author&gt;Zeller&lt;/Author&gt;&lt;Year&gt;2007&lt;/Year&gt;&lt;RecNum&gt;136&lt;/RecNum&gt;&lt;DisplayText&gt;Zeller et al. (2007)&lt;/DisplayText&gt;&lt;record&gt;&lt;rec-number&gt;136&lt;/rec-number&gt;&lt;foreign-keys&gt;&lt;key app="EN" db-id="ffzvr5fstavwxoe9v04xf0wmp5t50as52da0" timestamp="1731671644" guid="4922420d-e832-4a61-b273-eb7b6568f743"&gt;136&lt;/key&gt;&lt;/foreign-keys&gt;&lt;ref-type name="Generic"&gt;13&lt;/ref-type&gt;&lt;contributors&gt;&lt;authors&gt;&lt;author&gt;Zeller, D. &lt;/author&gt;&lt;author&gt;Hornby, H. &lt;/author&gt;&lt;author&gt;Ferguson, A.&lt;/author&gt;&lt;/authors&gt;&lt;/contributors&gt;&lt;titles&gt;&lt;title&gt;Evaluation of Maine&amp;apos;s Family Treatment Drug Courts: A Preliminary Analysis of Short and Long-Term Outcomes&lt;/title&gt;&lt;/titles&gt;&lt;dates&gt;&lt;year&gt;2007&lt;/year&gt;&lt;/dates&gt;&lt;pub-location&gt;Portland, ME&lt;/pub-location&gt;&lt;publisher&gt;Hornby Zeller Associates.&lt;/publisher&gt;&lt;urls&gt;&lt;/urls&gt;&lt;/record&gt;&lt;/Cite&gt;&lt;/EndNote&gt;</w:instrText>
            </w:r>
            <w:r w:rsidRPr="00925EA9">
              <w:rPr>
                <w:rFonts w:cs="Arial"/>
                <w:sz w:val="20"/>
                <w:szCs w:val="20"/>
              </w:rPr>
              <w:fldChar w:fldCharType="separate"/>
            </w:r>
            <w:r w:rsidR="00A77498">
              <w:rPr>
                <w:rFonts w:cs="Arial"/>
                <w:noProof/>
                <w:sz w:val="20"/>
                <w:szCs w:val="20"/>
              </w:rPr>
              <w:t>Zeller et al. (2007)</w:t>
            </w:r>
            <w:r w:rsidRPr="00925EA9">
              <w:rPr>
                <w:rFonts w:cs="Arial"/>
                <w:sz w:val="20"/>
                <w:szCs w:val="20"/>
              </w:rPr>
              <w:fldChar w:fldCharType="end"/>
            </w:r>
          </w:p>
        </w:tc>
      </w:tr>
      <w:tr w:rsidR="0025732F" w:rsidRPr="00925EA9" w14:paraId="223BE6BE" w14:textId="77777777">
        <w:tc>
          <w:tcPr>
            <w:tcW w:w="3114" w:type="dxa"/>
          </w:tcPr>
          <w:p w14:paraId="4430F6F8" w14:textId="77777777" w:rsidR="0025732F" w:rsidRPr="00925EA9" w:rsidRDefault="0025732F">
            <w:pPr>
              <w:rPr>
                <w:rFonts w:cs="Arial"/>
                <w:sz w:val="20"/>
                <w:szCs w:val="20"/>
              </w:rPr>
            </w:pPr>
            <w:r w:rsidRPr="00925EA9">
              <w:rPr>
                <w:rFonts w:cs="Arial"/>
                <w:sz w:val="20"/>
                <w:szCs w:val="20"/>
              </w:rPr>
              <w:t>Aims</w:t>
            </w:r>
          </w:p>
        </w:tc>
        <w:tc>
          <w:tcPr>
            <w:tcW w:w="10773" w:type="dxa"/>
          </w:tcPr>
          <w:p w14:paraId="257F5DBD" w14:textId="77777777" w:rsidR="0025732F" w:rsidRPr="00925EA9" w:rsidRDefault="0025732F">
            <w:pPr>
              <w:autoSpaceDE w:val="0"/>
              <w:autoSpaceDN w:val="0"/>
              <w:adjustRightInd w:val="0"/>
              <w:rPr>
                <w:rFonts w:cs="Arial"/>
                <w:sz w:val="20"/>
                <w:szCs w:val="20"/>
              </w:rPr>
            </w:pPr>
            <w:r w:rsidRPr="00925EA9">
              <w:rPr>
                <w:rFonts w:cs="Arial"/>
                <w:sz w:val="20"/>
                <w:szCs w:val="20"/>
              </w:rPr>
              <w:t>To determine the effectiveness of family drug courts in Maine compared with traditional court settings in helping substance-misusing parents achieve better parent-child outcomes.</w:t>
            </w:r>
          </w:p>
        </w:tc>
      </w:tr>
      <w:tr w:rsidR="0025732F" w:rsidRPr="00925EA9" w14:paraId="27EB4F28" w14:textId="77777777">
        <w:tc>
          <w:tcPr>
            <w:tcW w:w="3114" w:type="dxa"/>
          </w:tcPr>
          <w:p w14:paraId="6F0FBAA6" w14:textId="77777777" w:rsidR="0025732F" w:rsidRPr="00925EA9" w:rsidRDefault="0025732F">
            <w:pPr>
              <w:rPr>
                <w:rFonts w:cs="Arial"/>
                <w:sz w:val="20"/>
                <w:szCs w:val="20"/>
              </w:rPr>
            </w:pPr>
            <w:r w:rsidRPr="00925EA9">
              <w:rPr>
                <w:rFonts w:cs="Arial"/>
                <w:sz w:val="20"/>
                <w:szCs w:val="20"/>
              </w:rPr>
              <w:t>Design</w:t>
            </w:r>
          </w:p>
        </w:tc>
        <w:tc>
          <w:tcPr>
            <w:tcW w:w="10773" w:type="dxa"/>
          </w:tcPr>
          <w:p w14:paraId="497851EA" w14:textId="77777777" w:rsidR="0025732F" w:rsidRPr="00925EA9" w:rsidRDefault="0025732F">
            <w:pPr>
              <w:autoSpaceDE w:val="0"/>
              <w:autoSpaceDN w:val="0"/>
              <w:adjustRightInd w:val="0"/>
              <w:rPr>
                <w:rFonts w:cs="Arial"/>
                <w:sz w:val="20"/>
                <w:szCs w:val="20"/>
              </w:rPr>
            </w:pPr>
            <w:r w:rsidRPr="00925EA9">
              <w:rPr>
                <w:rFonts w:cs="Arial"/>
                <w:sz w:val="20"/>
                <w:szCs w:val="20"/>
              </w:rPr>
              <w:t xml:space="preserve">Intervention vs. unmatched comparison groups. Analysed data from FTCS in Maine and compared outcomes with three court jurisdictions without an FTDC, which were selected because the caseload and demography of the populations were similar to those of FTDC jurisdictions in Maine. Another comparison group consisted of substance misusing parents who were processed in the FTDC areas in the two years prior to FTDC being established. Data were obtained from reviewing FTDC case files and analysing the children’s social care administrative database. </w:t>
            </w:r>
          </w:p>
        </w:tc>
      </w:tr>
      <w:tr w:rsidR="0025732F" w:rsidRPr="00925EA9" w14:paraId="0FAE2352" w14:textId="77777777">
        <w:tc>
          <w:tcPr>
            <w:tcW w:w="3114" w:type="dxa"/>
          </w:tcPr>
          <w:p w14:paraId="09488082" w14:textId="77777777" w:rsidR="0025732F" w:rsidRPr="00925EA9" w:rsidRDefault="0025732F">
            <w:pPr>
              <w:rPr>
                <w:rFonts w:cs="Arial"/>
                <w:sz w:val="20"/>
                <w:szCs w:val="20"/>
              </w:rPr>
            </w:pPr>
            <w:r w:rsidRPr="00925EA9">
              <w:rPr>
                <w:rFonts w:cs="Arial"/>
                <w:sz w:val="20"/>
                <w:szCs w:val="20"/>
              </w:rPr>
              <w:t>Population</w:t>
            </w:r>
          </w:p>
        </w:tc>
        <w:tc>
          <w:tcPr>
            <w:tcW w:w="10773" w:type="dxa"/>
          </w:tcPr>
          <w:p w14:paraId="3D76BFF0" w14:textId="77777777" w:rsidR="0025732F" w:rsidRPr="00925EA9" w:rsidRDefault="0025732F">
            <w:pPr>
              <w:rPr>
                <w:rFonts w:cs="Arial"/>
                <w:sz w:val="20"/>
                <w:szCs w:val="20"/>
              </w:rPr>
            </w:pPr>
            <w:r w:rsidRPr="00925EA9">
              <w:rPr>
                <w:rFonts w:cs="Arial"/>
                <w:sz w:val="20"/>
                <w:szCs w:val="20"/>
              </w:rPr>
              <w:t>Intervention (n=49), non-FTDC in three comparison jurisdictions (n=38) and pre-FTDC in Maine (n=55).</w:t>
            </w:r>
          </w:p>
        </w:tc>
      </w:tr>
      <w:tr w:rsidR="0025732F" w:rsidRPr="00925EA9" w14:paraId="1384DA86" w14:textId="77777777">
        <w:tc>
          <w:tcPr>
            <w:tcW w:w="3114" w:type="dxa"/>
          </w:tcPr>
          <w:p w14:paraId="268DBF0E" w14:textId="77777777" w:rsidR="0025732F" w:rsidRPr="00925EA9" w:rsidRDefault="0025732F">
            <w:pPr>
              <w:rPr>
                <w:rFonts w:cs="Arial"/>
                <w:sz w:val="20"/>
                <w:szCs w:val="20"/>
              </w:rPr>
            </w:pPr>
            <w:r w:rsidRPr="00925EA9">
              <w:rPr>
                <w:rFonts w:cs="Arial"/>
                <w:sz w:val="20"/>
                <w:szCs w:val="20"/>
              </w:rPr>
              <w:t>Intervention</w:t>
            </w:r>
          </w:p>
        </w:tc>
        <w:tc>
          <w:tcPr>
            <w:tcW w:w="10773" w:type="dxa"/>
          </w:tcPr>
          <w:p w14:paraId="26E753C1" w14:textId="77777777" w:rsidR="0025732F" w:rsidRPr="00925EA9" w:rsidRDefault="0025732F">
            <w:pPr>
              <w:rPr>
                <w:rFonts w:cs="Arial"/>
                <w:iCs/>
                <w:sz w:val="20"/>
                <w:szCs w:val="20"/>
              </w:rPr>
            </w:pPr>
            <w:r w:rsidRPr="00925EA9">
              <w:rPr>
                <w:rFonts w:cs="Arial"/>
                <w:iCs/>
                <w:sz w:val="20"/>
                <w:szCs w:val="20"/>
              </w:rPr>
              <w:t>Integrated FTDC.</w:t>
            </w:r>
          </w:p>
        </w:tc>
      </w:tr>
      <w:tr w:rsidR="0025732F" w:rsidRPr="00925EA9" w14:paraId="22AB6A7D" w14:textId="77777777">
        <w:tc>
          <w:tcPr>
            <w:tcW w:w="3114" w:type="dxa"/>
          </w:tcPr>
          <w:p w14:paraId="6ABFFE20" w14:textId="77777777" w:rsidR="0025732F" w:rsidRPr="00925EA9" w:rsidRDefault="0025732F">
            <w:pPr>
              <w:rPr>
                <w:rFonts w:cs="Arial"/>
                <w:sz w:val="20"/>
                <w:szCs w:val="20"/>
              </w:rPr>
            </w:pPr>
            <w:r w:rsidRPr="00925EA9">
              <w:rPr>
                <w:rFonts w:cs="Arial"/>
                <w:sz w:val="20"/>
                <w:szCs w:val="20"/>
              </w:rPr>
              <w:t>Country</w:t>
            </w:r>
          </w:p>
        </w:tc>
        <w:tc>
          <w:tcPr>
            <w:tcW w:w="10773" w:type="dxa"/>
          </w:tcPr>
          <w:p w14:paraId="6284FB59" w14:textId="77777777" w:rsidR="0025732F" w:rsidRPr="00925EA9" w:rsidRDefault="0025732F">
            <w:pPr>
              <w:rPr>
                <w:rFonts w:cs="Arial"/>
                <w:sz w:val="20"/>
                <w:szCs w:val="20"/>
              </w:rPr>
            </w:pPr>
            <w:r w:rsidRPr="00925EA9">
              <w:rPr>
                <w:rFonts w:cs="Arial"/>
                <w:sz w:val="20"/>
                <w:szCs w:val="20"/>
              </w:rPr>
              <w:t>USA (Maine).</w:t>
            </w:r>
          </w:p>
        </w:tc>
      </w:tr>
      <w:tr w:rsidR="0025732F" w:rsidRPr="00925EA9" w14:paraId="5927C613" w14:textId="77777777">
        <w:tc>
          <w:tcPr>
            <w:tcW w:w="3114" w:type="dxa"/>
          </w:tcPr>
          <w:p w14:paraId="2520F921" w14:textId="77777777" w:rsidR="0025732F" w:rsidRPr="00925EA9" w:rsidRDefault="0025732F">
            <w:pPr>
              <w:rPr>
                <w:rFonts w:cs="Arial"/>
                <w:sz w:val="20"/>
                <w:szCs w:val="20"/>
              </w:rPr>
            </w:pPr>
            <w:r>
              <w:rPr>
                <w:rFonts w:cs="Arial"/>
                <w:sz w:val="20"/>
                <w:szCs w:val="20"/>
              </w:rPr>
              <w:t>O</w:t>
            </w:r>
            <w:r w:rsidRPr="00925EA9">
              <w:rPr>
                <w:rFonts w:cs="Arial"/>
                <w:sz w:val="20"/>
                <w:szCs w:val="20"/>
              </w:rPr>
              <w:t>utcomes</w:t>
            </w:r>
          </w:p>
        </w:tc>
        <w:tc>
          <w:tcPr>
            <w:tcW w:w="10773" w:type="dxa"/>
          </w:tcPr>
          <w:p w14:paraId="7D0237E8" w14:textId="77777777" w:rsidR="0025732F" w:rsidRPr="00925EA9" w:rsidRDefault="0025732F">
            <w:pPr>
              <w:autoSpaceDE w:val="0"/>
              <w:autoSpaceDN w:val="0"/>
              <w:adjustRightInd w:val="0"/>
              <w:rPr>
                <w:rFonts w:cs="Arial"/>
                <w:sz w:val="20"/>
                <w:szCs w:val="20"/>
              </w:rPr>
            </w:pPr>
            <w:r w:rsidRPr="00925EA9">
              <w:rPr>
                <w:rFonts w:cs="Arial"/>
                <w:sz w:val="20"/>
                <w:szCs w:val="20"/>
              </w:rPr>
              <w:t>FTDC parents were significantly more likely to enter into treatment (70.0%) than the non-FTDC in three comparison jurisdictions (33.3%) and were more likely to complete treatment successfully (55.0% vs. 29%). Parents who completed treatment were five times more likely to reunify than parents who did not.</w:t>
            </w:r>
            <w:r>
              <w:rPr>
                <w:rFonts w:cs="Arial"/>
                <w:sz w:val="20"/>
                <w:szCs w:val="20"/>
              </w:rPr>
              <w:t xml:space="preserve"> </w:t>
            </w:r>
            <w:r w:rsidRPr="00925EA9">
              <w:rPr>
                <w:rFonts w:cs="Arial"/>
                <w:sz w:val="20"/>
                <w:szCs w:val="20"/>
              </w:rPr>
              <w:t xml:space="preserve">FTDC children experience significantly fewer placement changes (2.9) than the non-FTDC in three comparison jurisdictions (4.0) and non-significant fewer changes than the pre-FTDC children in Maine (3.1). FTDC children were significantly more likely to have been placed in a relative foster care setting (54.7%) than the pre-FTDC children in Maine (33.1%). In addition. FTDC children were </w:t>
            </w:r>
            <w:r w:rsidRPr="00925EA9">
              <w:rPr>
                <w:rFonts w:cs="Arial"/>
                <w:sz w:val="20"/>
                <w:szCs w:val="20"/>
              </w:rPr>
              <w:lastRenderedPageBreak/>
              <w:t>significantly more likely to have experienced placement in a traditional foster care setting (41.9%). FTDC children had far fewer subsequent removals than non-FTDC in other areas (32.6% vs. 53.9%) as well as pre-FTDC in Maine (50.7%). However, these differences were not significant. Despite success in the programme being low, FTDC children still achieved better adoption outcomes. Children of FTDC parents who terminated their parental rights in court were more likely to go on to adoption in comparison with the non-FTDC in other jurisdictions and the pre-FTDC implementation group (13.5%, 2.3% and 1.6% respectively).</w:t>
            </w:r>
          </w:p>
        </w:tc>
      </w:tr>
      <w:tr w:rsidR="0025732F" w:rsidRPr="00925EA9" w14:paraId="5542D4C1" w14:textId="77777777">
        <w:tc>
          <w:tcPr>
            <w:tcW w:w="3114" w:type="dxa"/>
          </w:tcPr>
          <w:p w14:paraId="65E6BE69" w14:textId="77777777" w:rsidR="0025732F" w:rsidRPr="00925EA9" w:rsidRDefault="0025732F">
            <w:pPr>
              <w:rPr>
                <w:rFonts w:cs="Arial"/>
                <w:sz w:val="20"/>
                <w:szCs w:val="20"/>
              </w:rPr>
            </w:pPr>
            <w:r w:rsidRPr="00925EA9">
              <w:rPr>
                <w:rFonts w:cs="Arial"/>
                <w:sz w:val="20"/>
                <w:szCs w:val="20"/>
              </w:rPr>
              <w:t>Cost-benefit/ cost-effectiveness</w:t>
            </w:r>
          </w:p>
        </w:tc>
        <w:tc>
          <w:tcPr>
            <w:tcW w:w="10773" w:type="dxa"/>
          </w:tcPr>
          <w:p w14:paraId="6023B77B" w14:textId="77777777" w:rsidR="0025732F" w:rsidRPr="00925EA9" w:rsidRDefault="0025732F">
            <w:pPr>
              <w:autoSpaceDE w:val="0"/>
              <w:autoSpaceDN w:val="0"/>
              <w:adjustRightInd w:val="0"/>
              <w:rPr>
                <w:rFonts w:cs="Arial"/>
                <w:sz w:val="20"/>
                <w:szCs w:val="20"/>
              </w:rPr>
            </w:pPr>
            <w:r w:rsidRPr="00925EA9">
              <w:rPr>
                <w:rFonts w:cs="Arial"/>
                <w:sz w:val="20"/>
                <w:szCs w:val="20"/>
              </w:rPr>
              <w:t xml:space="preserve">Net savings of $21,705 for the 152 children in the sample, largely a result of the differences in the types of foster care settings and the length of stay observed among FTDC children. </w:t>
            </w:r>
          </w:p>
        </w:tc>
      </w:tr>
      <w:tr w:rsidR="0025732F" w:rsidRPr="00925EA9" w14:paraId="0F3DCBEF" w14:textId="77777777">
        <w:tc>
          <w:tcPr>
            <w:tcW w:w="3114" w:type="dxa"/>
          </w:tcPr>
          <w:p w14:paraId="7FE8DF9A" w14:textId="77777777" w:rsidR="0025732F" w:rsidRPr="00925EA9" w:rsidRDefault="0025732F">
            <w:pPr>
              <w:rPr>
                <w:rFonts w:cs="Arial"/>
                <w:sz w:val="20"/>
                <w:szCs w:val="20"/>
              </w:rPr>
            </w:pPr>
            <w:r w:rsidRPr="00925EA9">
              <w:rPr>
                <w:rFonts w:cs="Arial"/>
                <w:sz w:val="20"/>
                <w:szCs w:val="20"/>
              </w:rPr>
              <w:t>Overall quality rating</w:t>
            </w:r>
          </w:p>
        </w:tc>
        <w:tc>
          <w:tcPr>
            <w:tcW w:w="10773" w:type="dxa"/>
          </w:tcPr>
          <w:p w14:paraId="23D721F0" w14:textId="77777777" w:rsidR="0025732F" w:rsidRPr="00925EA9" w:rsidRDefault="0025732F">
            <w:pPr>
              <w:rPr>
                <w:rFonts w:cs="Arial"/>
                <w:sz w:val="20"/>
                <w:szCs w:val="20"/>
              </w:rPr>
            </w:pPr>
            <w:r w:rsidRPr="00925EA9">
              <w:rPr>
                <w:rFonts w:cs="Arial"/>
                <w:sz w:val="20"/>
                <w:szCs w:val="20"/>
              </w:rPr>
              <w:t>Low.</w:t>
            </w:r>
          </w:p>
        </w:tc>
      </w:tr>
    </w:tbl>
    <w:p w14:paraId="50C537D6" w14:textId="77777777" w:rsidR="0025732F" w:rsidRDefault="0025732F" w:rsidP="0025732F">
      <w:pPr>
        <w:pStyle w:val="Heading2"/>
        <w:sectPr w:rsidR="0025732F" w:rsidSect="0025732F">
          <w:pgSz w:w="16838" w:h="11906" w:orient="landscape"/>
          <w:pgMar w:top="1440" w:right="1440" w:bottom="1440" w:left="1440" w:header="709" w:footer="709" w:gutter="0"/>
          <w:cols w:space="708"/>
          <w:docGrid w:linePitch="360"/>
        </w:sectPr>
      </w:pPr>
      <w:bookmarkStart w:id="207" w:name="_Toc167810551"/>
    </w:p>
    <w:p w14:paraId="02E45987" w14:textId="100ECF09" w:rsidR="00481EC0" w:rsidRPr="001A44CE" w:rsidRDefault="00481EC0" w:rsidP="00B87689">
      <w:pPr>
        <w:pStyle w:val="Heading3"/>
        <w:spacing w:line="360" w:lineRule="auto"/>
      </w:pPr>
      <w:bookmarkStart w:id="208" w:name="_Toc167810548"/>
      <w:bookmarkStart w:id="209" w:name="_Ref168045630"/>
      <w:bookmarkStart w:id="210" w:name="_Ref168045636"/>
      <w:bookmarkStart w:id="211" w:name="_Ref168045644"/>
      <w:bookmarkStart w:id="212" w:name="_Ref168045664"/>
      <w:bookmarkStart w:id="213" w:name="_Ref168045665"/>
      <w:bookmarkStart w:id="214" w:name="_Ref168045851"/>
      <w:bookmarkStart w:id="215" w:name="_Toc189229732"/>
      <w:bookmarkEnd w:id="207"/>
      <w:r w:rsidRPr="001A44CE">
        <w:lastRenderedPageBreak/>
        <w:t>Specialist treatment</w:t>
      </w:r>
      <w:bookmarkEnd w:id="208"/>
      <w:bookmarkEnd w:id="209"/>
      <w:bookmarkEnd w:id="210"/>
      <w:bookmarkEnd w:id="211"/>
      <w:bookmarkEnd w:id="212"/>
      <w:bookmarkEnd w:id="213"/>
      <w:bookmarkEnd w:id="214"/>
      <w:r w:rsidR="00B87689">
        <w:t>: summary of evidence</w:t>
      </w:r>
      <w:bookmarkEnd w:id="215"/>
      <w:r w:rsidR="004F42F3">
        <w:t xml:space="preserve"> </w:t>
      </w:r>
    </w:p>
    <w:p w14:paraId="19326DE9" w14:textId="0D5826EF" w:rsidR="00481EC0" w:rsidRDefault="00481EC0" w:rsidP="00B87689">
      <w:pPr>
        <w:pStyle w:val="NoSpacing"/>
        <w:spacing w:line="360" w:lineRule="auto"/>
      </w:pPr>
      <w:r w:rsidRPr="001A44CE">
        <w:t xml:space="preserve">Treatment for SUD comprises pharmacological interventions, such as maintenance for heroin users and medically assisted withdrawals, and a range of psychosocial interventions aiming to address psychological and/or social change. There are many different types of psychosocial interventions, with varying approaches according to their theoretical foundations </w:t>
      </w:r>
      <w:r w:rsidRPr="001A44CE">
        <w:fldChar w:fldCharType="begin"/>
      </w:r>
      <w:r w:rsidR="00B9334F">
        <w:instrText xml:space="preserve"> ADDIN EN.CITE &lt;EndNote&gt;&lt;Cite&gt;&lt;Author&gt;McGovern&lt;/Author&gt;&lt;Year&gt;2021&lt;/Year&gt;&lt;RecNum&gt;15&lt;/RecNum&gt;&lt;DisplayText&gt;(McGovern et al., 2021)&lt;/DisplayText&gt;&lt;record&gt;&lt;rec-number&gt;15&lt;/rec-number&gt;&lt;foreign-keys&gt;&lt;key app="EN" db-id="ffzvr5fstavwxoe9v04xf0wmp5t50as52da0" timestamp="1731671636" guid="79fa2121-ce34-475a-a605-378a83372352"&gt;15&lt;/key&gt;&lt;/foreign-keys&gt;&lt;ref-type name="Journal Article"&gt;17&lt;/ref-type&gt;&lt;contributors&gt;&lt;authors&gt;&lt;author&gt;McGovern, R.&lt;/author&gt;&lt;author&gt;Newham, J. J.&lt;/author&gt;&lt;author&gt;Addison, M. T.&lt;/author&gt;&lt;author&gt;Hickman, M.&lt;/author&gt;&lt;author&gt;Kaner, E. F. S.&lt;/author&gt;&lt;/authors&gt;&lt;/contributors&gt;&lt;titles&gt;&lt;title&gt;Effectiveness of psychosocial interventions for reducing parental substance misuse&lt;/title&gt;&lt;secondary-title&gt;Cochrane Database of Systematic Reviews&lt;/secondary-title&gt;&lt;/titles&gt;&lt;periodical&gt;&lt;full-title&gt;Cochrane Database of Systematic Reviews&lt;/full-title&gt;&lt;/periodical&gt;&lt;number&gt;3&lt;/number&gt;&lt;dates&gt;&lt;year&gt;2021&lt;/year&gt;&lt;/dates&gt;&lt;publisher&gt;John Wiley &amp;amp; Sons, Ltd&lt;/publisher&gt;&lt;isbn&gt;1465-1858&lt;/isbn&gt;&lt;accession-num&gt;CD012823&lt;/accession-num&gt;&lt;urls&gt;&lt;related-urls&gt;&lt;url&gt;https://doi.org//10.1002/14651858.CD012823.pub2&lt;/url&gt;&lt;/related-urls&gt;&lt;/urls&gt;&lt;electronic-resource-num&gt;10.1002/14651858.CD012823.pub2&lt;/electronic-resource-num&gt;&lt;/record&gt;&lt;/Cite&gt;&lt;/EndNote&gt;</w:instrText>
      </w:r>
      <w:r w:rsidRPr="001A44CE">
        <w:fldChar w:fldCharType="separate"/>
      </w:r>
      <w:r w:rsidR="00A77498">
        <w:rPr>
          <w:noProof/>
        </w:rPr>
        <w:t>(McGovern et al., 2021)</w:t>
      </w:r>
      <w:r w:rsidRPr="001A44CE">
        <w:fldChar w:fldCharType="end"/>
      </w:r>
      <w:r w:rsidRPr="001A44CE">
        <w:t xml:space="preserve">. </w:t>
      </w:r>
      <w:r>
        <w:t>Below is</w:t>
      </w:r>
      <w:r w:rsidRPr="001A3248">
        <w:t xml:space="preserve"> a summary of the</w:t>
      </w:r>
      <w:r w:rsidRPr="0096619C">
        <w:t xml:space="preserve"> 14</w:t>
      </w:r>
      <w:r w:rsidRPr="001A3248">
        <w:t xml:space="preserve"> individual studies on specialist treatment</w:t>
      </w:r>
      <w:r>
        <w:t xml:space="preserve"> included in this review, broken down by pharmacological treatment (n=4) and varying types </w:t>
      </w:r>
      <w:r w:rsidRPr="001A3248">
        <w:t xml:space="preserve">of psychosocial </w:t>
      </w:r>
      <w:r>
        <w:t xml:space="preserve">only </w:t>
      </w:r>
      <w:r w:rsidRPr="001A3248">
        <w:t>interventions</w:t>
      </w:r>
      <w:r>
        <w:t xml:space="preserve"> (motivational enhancement therapy [n=4], contingency management [n=2]; reinforcement-based therapy [n=3]; intensive case management [n=1])</w:t>
      </w:r>
      <w:r w:rsidRPr="001A3248">
        <w:t xml:space="preserve">. </w:t>
      </w:r>
    </w:p>
    <w:p w14:paraId="323843A8" w14:textId="77777777" w:rsidR="00B87689" w:rsidRDefault="00B87689" w:rsidP="00B87689">
      <w:pPr>
        <w:pStyle w:val="NoSpacing"/>
        <w:spacing w:line="360" w:lineRule="auto"/>
      </w:pPr>
    </w:p>
    <w:p w14:paraId="64D52B7E" w14:textId="30F605F8" w:rsidR="00481EC0" w:rsidRPr="001A44CE" w:rsidRDefault="00481EC0" w:rsidP="00B87689">
      <w:pPr>
        <w:pStyle w:val="Heading4"/>
        <w:spacing w:line="360" w:lineRule="auto"/>
      </w:pPr>
      <w:r w:rsidRPr="001A44CE">
        <w:t>Pharmacological treatment</w:t>
      </w:r>
      <w:r>
        <w:t xml:space="preserve"> for pregnant women</w:t>
      </w:r>
    </w:p>
    <w:p w14:paraId="60F27B34" w14:textId="7C262C82" w:rsidR="00481EC0" w:rsidRPr="001A44CE" w:rsidRDefault="00481EC0" w:rsidP="00B87689">
      <w:pPr>
        <w:pStyle w:val="NoSpacing"/>
        <w:spacing w:line="360" w:lineRule="auto"/>
      </w:pPr>
      <w:r w:rsidRPr="001A44CE">
        <w:t xml:space="preserve">Methadone and buprenorphine are pharmacological maintenance options for pregnant heroin users, releasing a steady dose of opiates to prevent the foetus from experiencing repeated withdrawals. </w:t>
      </w:r>
      <w:r>
        <w:t>In a</w:t>
      </w:r>
      <w:r w:rsidRPr="001A44CE">
        <w:t xml:space="preserve"> </w:t>
      </w:r>
      <w:r>
        <w:t xml:space="preserve">Cochrane systematic </w:t>
      </w:r>
      <w:r w:rsidRPr="001A44CE">
        <w:t xml:space="preserve">review of methadone and buprenorphine for pregnant women with an opiate (viz. heroin) use disorder, </w:t>
      </w:r>
      <w:r w:rsidRPr="001A44CE">
        <w:fldChar w:fldCharType="begin">
          <w:fldData xml:space="preserve">PEVuZE5vdGU+PENpdGUgQXV0aG9yWWVhcj0iMSI+PEF1dGhvcj5NaW5venppPC9BdXRob3I+PFll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</w:fldData>
        </w:fldChar>
      </w:r>
      <w:r w:rsidR="00B9334F">
        <w:instrText xml:space="preserve"> ADDIN EN.CITE </w:instrText>
      </w:r>
      <w:r w:rsidR="00B9334F">
        <w:fldChar w:fldCharType="begin">
          <w:fldData xml:space="preserve">PEVuZE5vdGU+PENpdGUgQXV0aG9yWWVhcj0iMSI+PEF1dGhvcj5NaW5venppPC9BdXRob3I+PFll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</w:fldData>
        </w:fldChar>
      </w:r>
      <w:r w:rsidR="00B9334F">
        <w:instrText xml:space="preserve"> ADDIN EN.CITE.DATA </w:instrText>
      </w:r>
      <w:r w:rsidR="00B9334F">
        <w:fldChar w:fldCharType="end"/>
      </w:r>
      <w:r w:rsidRPr="001A44CE">
        <w:fldChar w:fldCharType="separate"/>
      </w:r>
      <w:r w:rsidR="00A77498">
        <w:rPr>
          <w:noProof/>
        </w:rPr>
        <w:t>Minozzi et al. (2020)</w:t>
      </w:r>
      <w:r w:rsidRPr="001A44CE">
        <w:fldChar w:fldCharType="end"/>
      </w:r>
      <w:r w:rsidRPr="001A44CE">
        <w:t xml:space="preserve"> </w:t>
      </w:r>
      <w:r>
        <w:t xml:space="preserve">reviewed four studies but could only </w:t>
      </w:r>
      <w:r w:rsidRPr="001A44CE">
        <w:t xml:space="preserve">pool results from two trials </w:t>
      </w:r>
      <w:r w:rsidRPr="001A44CE">
        <w:fldChar w:fldCharType="begin">
          <w:fldData xml:space="preserve">PEVuZE5vdGU+PENpdGU+PEF1dGhvcj5Kb25lczwvQXV0aG9yPjxZZWFyPjIwMDU8L1llYXI+PFJl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</w:fldData>
        </w:fldChar>
      </w:r>
      <w:r w:rsidR="00B9334F">
        <w:instrText xml:space="preserve"> ADDIN EN.CITE </w:instrText>
      </w:r>
      <w:r w:rsidR="00B9334F">
        <w:fldChar w:fldCharType="begin">
          <w:fldData xml:space="preserve">PEVuZE5vdGU+PENpdGU+PEF1dGhvcj5Kb25lczwvQXV0aG9yPjxZZWFyPjIwMDU8L1llYXI+PFJl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</w:fldData>
        </w:fldChar>
      </w:r>
      <w:r w:rsidR="00B9334F">
        <w:instrText xml:space="preserve"> ADDIN EN.CITE.DATA </w:instrText>
      </w:r>
      <w:r w:rsidR="00B9334F">
        <w:fldChar w:fldCharType="end"/>
      </w:r>
      <w:r w:rsidRPr="001A44CE">
        <w:fldChar w:fldCharType="separate"/>
      </w:r>
      <w:r w:rsidR="003C6F70">
        <w:rPr>
          <w:noProof/>
        </w:rPr>
        <w:t>(Jones et al., 2005; Winklbaur-Hausknost et al., 2013)</w:t>
      </w:r>
      <w:r w:rsidRPr="001A44CE">
        <w:fldChar w:fldCharType="end"/>
      </w:r>
      <w:r>
        <w:t xml:space="preserve">, as evidence is lacking. They </w:t>
      </w:r>
      <w:r w:rsidRPr="001A44CE">
        <w:t xml:space="preserve">found that while methadone prescribed patients were less likely to drop out of treatment than </w:t>
      </w:r>
      <w:r>
        <w:t xml:space="preserve">those prescribed </w:t>
      </w:r>
      <w:r w:rsidRPr="001A44CE">
        <w:t xml:space="preserve">buprenorphine, they were more likely to be using illicit opiates at 15-18 week follow up. However, the quality of evidence was graded low to moderate because of high attrition and small sample sizes. </w:t>
      </w:r>
      <w:r w:rsidRPr="001A44CE">
        <w:fldChar w:fldCharType="begin"/>
      </w:r>
      <w:r w:rsidR="00B9334F">
        <w:instrText xml:space="preserve"> ADDIN EN.CITE &lt;EndNote&gt;&lt;Cite AuthorYear="1"&gt;&lt;Author&gt;Smith&lt;/Author&gt;&lt;Year&gt;2009&lt;/Year&gt;&lt;RecNum&gt;248&lt;/RecNum&gt;&lt;DisplayText&gt;Smith et al. (2009)&lt;/DisplayText&gt;&lt;record&gt;&lt;rec-number&gt;248&lt;/rec-number&gt;&lt;foreign-keys&gt;&lt;key app="EN" db-id="ffzvr5fstavwxoe9v04xf0wmp5t50as52da0" timestamp="1731671652" guid="c9b93c63-9f64-4653-80ad-680640313e07"&gt;248&lt;/key&gt;&lt;/foreign-keys&gt;&lt;ref-type name="Journal Article"&gt;17&lt;/ref-type&gt;&lt;contributors&gt;&lt;authors&gt;&lt;author&gt;Smith, E. J.&lt;/author&gt;&lt;author&gt;Lui, S.&lt;/author&gt;&lt;author&gt;Terplan, M.&lt;/author&gt;&lt;/authors&gt;&lt;/contributors&gt;&lt;titles&gt;&lt;title&gt;Pharmacologic Interventions for Pregnant Women Enrolled in Alcohol Treatment&lt;/title&gt;&lt;secondary-title&gt;Cochrane Database of Systematic Reviews&lt;/secondary-title&gt;&lt;/titles&gt;&lt;periodical&gt;&lt;full-title&gt;Cochrane Database of Systematic Reviews&lt;/full-title&gt;&lt;/periodical&gt;&lt;number&gt;3&lt;/number&gt;&lt;keywords&gt;&lt;keyword&gt;Alcohol Drinking [*drug therapy]&lt;/keyword&gt;&lt;keyword&gt;Female&lt;/keyword&gt;&lt;keyword&gt;Humans&lt;/keyword&gt;&lt;keyword&gt;Pregnancy&lt;/keyword&gt;&lt;keyword&gt;Pregnancy Complications [*drug therapy]&lt;/keyword&gt;&lt;/keywords&gt;&lt;dates&gt;&lt;year&gt;2009&lt;/year&gt;&lt;/dates&gt;&lt;publisher&gt;John Wiley &amp;amp; Sons, Ltd&lt;/publisher&gt;&lt;isbn&gt;1465-1858&lt;/isbn&gt;&lt;accession-num&gt;CD007361&lt;/accession-num&gt;&lt;urls&gt;&lt;related-urls&gt;&lt;url&gt;https://doi.org//10.1002/14651858.CD007361.pub2&lt;/url&gt;&lt;/related-urls&gt;&lt;/urls&gt;&lt;electronic-resource-num&gt;10.1002/14651858.CD007361.pub2&lt;/electronic-resource-num&gt;&lt;/record&gt;&lt;/Cite&gt;&lt;/EndNote&gt;</w:instrText>
      </w:r>
      <w:r w:rsidRPr="001A44CE">
        <w:fldChar w:fldCharType="separate"/>
      </w:r>
      <w:r w:rsidR="00A77498">
        <w:rPr>
          <w:noProof/>
        </w:rPr>
        <w:t>Smith et al. (2009)</w:t>
      </w:r>
      <w:r w:rsidRPr="001A44CE">
        <w:fldChar w:fldCharType="end"/>
      </w:r>
      <w:r w:rsidRPr="001A44CE">
        <w:t xml:space="preserve"> aimed to evaluate the effectiveness of pharmacological interventions in pregnant women receiving treatment for an alcohol use disorder </w:t>
      </w:r>
      <w:r>
        <w:t xml:space="preserve">in their Cochrane systematic review </w:t>
      </w:r>
      <w:r w:rsidRPr="001A44CE">
        <w:t>but w</w:t>
      </w:r>
      <w:r>
        <w:t>ere</w:t>
      </w:r>
      <w:r w:rsidRPr="001A44CE">
        <w:t xml:space="preserve"> unable to find </w:t>
      </w:r>
      <w:r>
        <w:t>a high-quality</w:t>
      </w:r>
      <w:r w:rsidRPr="001A44CE">
        <w:t xml:space="preserve"> study to include, highlighting that research in this area is severely lacking. </w:t>
      </w:r>
    </w:p>
    <w:p w14:paraId="0C668687" w14:textId="77777777" w:rsidR="00B87689" w:rsidRDefault="00B87689" w:rsidP="00B87689">
      <w:pPr>
        <w:pStyle w:val="NoSpacing"/>
        <w:spacing w:line="360" w:lineRule="auto"/>
      </w:pPr>
    </w:p>
    <w:p w14:paraId="66136976" w14:textId="32DFA27D" w:rsidR="00481EC0" w:rsidRPr="001A44CE" w:rsidRDefault="00481EC0" w:rsidP="00B87689">
      <w:pPr>
        <w:pStyle w:val="NoSpacing"/>
        <w:spacing w:line="360" w:lineRule="auto"/>
      </w:pPr>
      <w:r w:rsidRPr="00B84E9A">
        <w:t>Below are summaries of four individual</w:t>
      </w:r>
      <w:r>
        <w:t xml:space="preserve"> studies which met the inclusion criteria for this review. </w:t>
      </w:r>
      <w:r w:rsidRPr="001A44CE">
        <w:t xml:space="preserve">Two very small double dummy, double blind RCTs compared the effectiveness of flexible dosing methadone with buprenorphine. The US study by </w:t>
      </w:r>
      <w:r w:rsidRPr="001A44CE">
        <w:fldChar w:fldCharType="begin">
          <w:fldData xml:space="preserve">PEVuZE5vdGU+PENpdGUgQXV0aG9yWWVhcj0iMSI+PEF1dGhvcj5Kb25lczwvQXV0aG9yPjxZZWFy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</w:fldData>
        </w:fldChar>
      </w:r>
      <w:r w:rsidR="00B9334F">
        <w:instrText xml:space="preserve"> ADDIN EN.CITE </w:instrText>
      </w:r>
      <w:r w:rsidR="00B9334F">
        <w:fldChar w:fldCharType="begin">
          <w:fldData xml:space="preserve">PEVuZE5vdGU+PENpdGUgQXV0aG9yWWVhcj0iMSI+PEF1dGhvcj5Kb25lczwvQXV0aG9yPjxZZWFy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</w:fldData>
        </w:fldChar>
      </w:r>
      <w:r w:rsidR="00B9334F">
        <w:instrText xml:space="preserve"> ADDIN EN.CITE.DATA </w:instrText>
      </w:r>
      <w:r w:rsidR="00B9334F">
        <w:fldChar w:fldCharType="end"/>
      </w:r>
      <w:r w:rsidRPr="001A44CE">
        <w:fldChar w:fldCharType="separate"/>
      </w:r>
      <w:r w:rsidR="00A77498">
        <w:rPr>
          <w:noProof/>
        </w:rPr>
        <w:t>Jones et al. (2005)</w:t>
      </w:r>
      <w:r w:rsidRPr="001A44CE">
        <w:fldChar w:fldCharType="end"/>
      </w:r>
      <w:r w:rsidRPr="001A44CE">
        <w:t xml:space="preserve"> and the Austrian trial by </w:t>
      </w:r>
      <w:r w:rsidRPr="001A44CE">
        <w:fldChar w:fldCharType="begin">
          <w:fldData xml:space="preserve">PEVuZE5vdGU+PENpdGUgQXV0aG9yWWVhcj0iMSI+PEF1dGhvcj5GaXNjaGVyPC9BdXRob3I+PFll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</w:fldData>
        </w:fldChar>
      </w:r>
      <w:r w:rsidR="00B9334F">
        <w:instrText xml:space="preserve"> ADDIN EN.CITE </w:instrText>
      </w:r>
      <w:r w:rsidR="00B9334F">
        <w:fldChar w:fldCharType="begin">
          <w:fldData xml:space="preserve">PEVuZE5vdGU+PENpdGUgQXV0aG9yWWVhcj0iMSI+PEF1dGhvcj5GaXNjaGVyPC9BdXRob3I+PFll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</w:fldData>
        </w:fldChar>
      </w:r>
      <w:r w:rsidR="00B9334F">
        <w:instrText xml:space="preserve"> ADDIN EN.CITE.DATA </w:instrText>
      </w:r>
      <w:r w:rsidR="00B9334F">
        <w:fldChar w:fldCharType="end"/>
      </w:r>
      <w:r w:rsidRPr="001A44CE">
        <w:fldChar w:fldCharType="separate"/>
      </w:r>
      <w:r w:rsidR="00A77498">
        <w:rPr>
          <w:noProof/>
        </w:rPr>
        <w:t>Fischer et al. (2006)</w:t>
      </w:r>
      <w:r w:rsidRPr="001A44CE">
        <w:fldChar w:fldCharType="end"/>
      </w:r>
      <w:r w:rsidRPr="001A44CE">
        <w:t xml:space="preserve"> compared the effectiveness of methadone with buprenorphine and both found that while the buprenorphine group were more likely to be retained in treatment, the methadone </w:t>
      </w:r>
      <w:r w:rsidRPr="001A44CE">
        <w:lastRenderedPageBreak/>
        <w:t xml:space="preserve">group were significantly more likely to reduce their illicit (i.e. non-prescribed) opioid use. Both studies had limited power to detect differences owing to a sample size of 30 and 18 respectively, however they served as pilot studies to the multisite (USA, Canada and Austria) MOTHER study </w:t>
      </w:r>
      <w:r w:rsidRPr="001A44CE">
        <w:fldChar w:fldCharType="begin">
          <w:fldData xml:space="preserve">PEVuZE5vdGU+PENpdGU+PEF1dGhvcj5XaW5rbGJhdXItSGF1c2tub3N0PC9BdXRob3I+PFllYXI+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</w:fldData>
        </w:fldChar>
      </w:r>
      <w:r w:rsidR="00B9334F">
        <w:instrText xml:space="preserve"> ADDIN EN.CITE </w:instrText>
      </w:r>
      <w:r w:rsidR="00B9334F">
        <w:fldChar w:fldCharType="begin">
          <w:fldData xml:space="preserve">PEVuZE5vdGU+PENpdGU+PEF1dGhvcj5XaW5rbGJhdXItSGF1c2tub3N0PC9BdXRob3I+PFllYXI+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</w:fldData>
        </w:fldChar>
      </w:r>
      <w:r w:rsidR="00B9334F">
        <w:instrText xml:space="preserve"> ADDIN EN.CITE.DATA </w:instrText>
      </w:r>
      <w:r w:rsidR="00B9334F">
        <w:fldChar w:fldCharType="end"/>
      </w:r>
      <w:r w:rsidRPr="001A44CE">
        <w:fldChar w:fldCharType="separate"/>
      </w:r>
      <w:r w:rsidR="00A77498">
        <w:rPr>
          <w:noProof/>
        </w:rPr>
        <w:t>(Winklbaur-Hausknost et al., 2013)</w:t>
      </w:r>
      <w:r w:rsidRPr="001A44CE">
        <w:fldChar w:fldCharType="end"/>
      </w:r>
      <w:r w:rsidRPr="001A44CE">
        <w:t xml:space="preserve"> which found no statistical differences in illicit opioid use between groups. Babies whose mother were taking buprenorphine were less likely to be delivered pre-term. No significant differences were found in terms of</w:t>
      </w:r>
      <w:r>
        <w:t xml:space="preserve"> NAS</w:t>
      </w:r>
      <w:r w:rsidRPr="001A44CE">
        <w:t xml:space="preserve"> outcomes.</w:t>
      </w:r>
    </w:p>
    <w:p w14:paraId="11C1B487" w14:textId="77777777" w:rsidR="00481EC0" w:rsidRPr="001A44CE" w:rsidRDefault="00481EC0" w:rsidP="00B87689">
      <w:pPr>
        <w:pStyle w:val="NoSpacing"/>
        <w:spacing w:line="360" w:lineRule="auto"/>
      </w:pPr>
    </w:p>
    <w:p w14:paraId="4F375EA8" w14:textId="086320FA" w:rsidR="00481EC0" w:rsidRPr="001A44CE" w:rsidRDefault="00481EC0" w:rsidP="00B87689">
      <w:pPr>
        <w:pStyle w:val="NoSpacing"/>
        <w:spacing w:line="360" w:lineRule="auto"/>
      </w:pPr>
      <w:r w:rsidRPr="001A44CE">
        <w:fldChar w:fldCharType="begin"/>
      </w:r>
      <w:r w:rsidR="00B9334F">
        <w:instrText xml:space="preserve"> ADDIN EN.CITE &lt;EndNote&gt;&lt;Cite AuthorYear="1"&gt;&lt;Author&gt;Lander&lt;/Author&gt;&lt;Year&gt;2015&lt;/Year&gt;&lt;RecNum&gt;702&lt;/RecNum&gt;&lt;DisplayText&gt;Lander et al. (2015)&lt;/DisplayText&gt;&lt;record&gt;&lt;rec-number&gt;702&lt;/rec-number&gt;&lt;foreign-keys&gt;&lt;key app="EN" db-id="ffzvr5fstavwxoe9v04xf0wmp5t50as52da0" timestamp="1731671738" guid="789f0197-31e2-40a1-a32a-c5eec82e82f0"&gt;702&lt;/key&gt;&lt;/foreign-keys&gt;&lt;ref-type name="Journal Article"&gt;17&lt;/ref-type&gt;&lt;contributors&gt;&lt;authors&gt;&lt;author&gt;Lander, Laura R.&lt;/author&gt;&lt;author&gt;Gurka, Kelly K.&lt;/author&gt;&lt;author&gt;Marshalek, Patrick J.&lt;/author&gt;&lt;author&gt;Riffon, Mark&lt;/author&gt;&lt;author&gt;Sullivan, Carl R.&lt;/author&gt;&lt;/authors&gt;&lt;/contributors&gt;&lt;titles&gt;&lt;title&gt;A Comparison of Pregnancy-Only versus Mixed-Gender Group Therapy among Pregnant Women with Opioid Use Disorder&lt;/title&gt;&lt;secondary-title&gt;Social Work Research&lt;/secondary-title&gt;&lt;/titles&gt;&lt;periodical&gt;&lt;full-title&gt;Social Work Research&lt;/full-title&gt;&lt;/periodical&gt;&lt;pages&gt;235&lt;/pages&gt;&lt;volume&gt;39&lt;/volume&gt;&lt;number&gt;4&lt;/number&gt;&lt;keywords&gt;&lt;keyword&gt;Sociology&lt;/keyword&gt;&lt;keyword&gt;Drug abuse&lt;/keyword&gt;&lt;keyword&gt;Prenatal care&lt;/keyword&gt;&lt;keyword&gt;Pregnancy&lt;/keyword&gt;&lt;keyword&gt;Womens health&lt;/keyword&gt;&lt;keyword&gt;Mental health care&lt;/keyword&gt;&lt;keyword&gt;Comparative analysis&lt;/keyword&gt;&lt;/keywords&gt;&lt;dates&gt;&lt;year&gt;2015&lt;/year&gt;&lt;pub-dates&gt;&lt;date&gt;Dec 2015&amp;#xD;2017-11-22&lt;/date&gt;&lt;/pub-dates&gt;&lt;/dates&gt;&lt;pub-location&gt;Oxford&lt;/pub-location&gt;&lt;publisher&gt;Oxford University Press&lt;/publisher&gt;&lt;isbn&gt;10705309&lt;/isbn&gt;&lt;accession-num&gt;1744734721&lt;/accession-num&gt;&lt;urls&gt;&lt;/urls&gt;&lt;remote-database-name&gt;Applied Social Sciences Index &amp;amp; Abstracts (ASSIA)&lt;/remote-database-name&gt;&lt;language&gt;English&lt;/language&gt;&lt;/record&gt;&lt;/Cite&gt;&lt;/EndNote&gt;</w:instrText>
      </w:r>
      <w:r w:rsidRPr="001A44CE">
        <w:fldChar w:fldCharType="separate"/>
      </w:r>
      <w:r w:rsidR="00A77498">
        <w:rPr>
          <w:noProof/>
        </w:rPr>
        <w:t>Lander et al. (2015)</w:t>
      </w:r>
      <w:r w:rsidRPr="001A44CE">
        <w:fldChar w:fldCharType="end"/>
      </w:r>
      <w:r w:rsidRPr="001A44CE">
        <w:t xml:space="preserve"> compared therapy sessions for pregnant women on buprenorphine with mixed-gender sessions for men and women on buprenorphine and found no statistical difference on NAS or maternal treatment outcomes and relapse rates, suggesting that pharmacotherapy was driving the outcomes. However, the study had a very small sample size (n=45), short follow-up (4 weeks post-partum) and was heavily reliant on self-reports to measure effectiveness.  </w:t>
      </w:r>
    </w:p>
    <w:p w14:paraId="1A37350A" w14:textId="77777777" w:rsidR="00481EC0" w:rsidRDefault="00481EC0" w:rsidP="00B87689">
      <w:pPr>
        <w:pStyle w:val="NoSpacing"/>
        <w:spacing w:line="360" w:lineRule="auto"/>
      </w:pPr>
    </w:p>
    <w:p w14:paraId="52FA8A96" w14:textId="77777777" w:rsidR="00481EC0" w:rsidRPr="001A44CE" w:rsidRDefault="00481EC0" w:rsidP="00B87689">
      <w:pPr>
        <w:pStyle w:val="Heading4"/>
        <w:spacing w:line="360" w:lineRule="auto"/>
      </w:pPr>
      <w:r w:rsidRPr="001A44CE">
        <w:t>Psychosocial treatment</w:t>
      </w:r>
    </w:p>
    <w:p w14:paraId="4B9A7A0F" w14:textId="464A5C39" w:rsidR="00481EC0" w:rsidRDefault="00481EC0" w:rsidP="00A75AC1">
      <w:pPr>
        <w:pStyle w:val="NoSpacing"/>
        <w:spacing w:line="360" w:lineRule="auto"/>
      </w:pPr>
      <w:r w:rsidRPr="001A44CE">
        <w:t xml:space="preserve">While the evidence base for psychosocial interventions for parents with SUD is larger than that for pharmacological ones, it is still limited as psychosocial interventions are wide ranging and very few studies exist for each type. A recent Cochrane </w:t>
      </w:r>
      <w:r>
        <w:t xml:space="preserve">systematic </w:t>
      </w:r>
      <w:r w:rsidRPr="001A44CE">
        <w:t xml:space="preserve">review of  psychosocial interventions for parents by </w:t>
      </w:r>
      <w:r w:rsidRPr="001A44CE">
        <w:fldChar w:fldCharType="begin"/>
      </w:r>
      <w:r w:rsidR="00B9334F">
        <w:instrText xml:space="preserve"> ADDIN EN.CITE &lt;EndNote&gt;&lt;Cite AuthorYear="1"&gt;&lt;Author&gt;McGovern&lt;/Author&gt;&lt;Year&gt;2021&lt;/Year&gt;&lt;RecNum&gt;15&lt;/RecNum&gt;&lt;DisplayText&gt;McGovern et al. (2021)&lt;/DisplayText&gt;&lt;record&gt;&lt;rec-number&gt;15&lt;/rec-number&gt;&lt;foreign-keys&gt;&lt;key app="EN" db-id="ffzvr5fstavwxoe9v04xf0wmp5t50as52da0" timestamp="1731671636" guid="79fa2121-ce34-475a-a605-378a83372352"&gt;15&lt;/key&gt;&lt;/foreign-keys&gt;&lt;ref-type name="Journal Article"&gt;17&lt;/ref-type&gt;&lt;contributors&gt;&lt;authors&gt;&lt;author&gt;McGovern, R.&lt;/author&gt;&lt;author&gt;Newham, J. J.&lt;/author&gt;&lt;author&gt;Addison, M. T.&lt;/author&gt;&lt;author&gt;Hickman, M.&lt;/author&gt;&lt;author&gt;Kaner, E. F. S.&lt;/author&gt;&lt;/authors&gt;&lt;/contributors&gt;&lt;titles&gt;&lt;title&gt;Effectiveness of psychosocial interventions for reducing parental substance misuse&lt;/title&gt;&lt;secondary-title&gt;Cochrane Database of Systematic Reviews&lt;/secondary-title&gt;&lt;/titles&gt;&lt;periodical&gt;&lt;full-title&gt;Cochrane Database of Systematic Reviews&lt;/full-title&gt;&lt;/periodical&gt;&lt;number&gt;3&lt;/number&gt;&lt;dates&gt;&lt;year&gt;2021&lt;/year&gt;&lt;/dates&gt;&lt;publisher&gt;John Wiley &amp;amp; Sons, Ltd&lt;/publisher&gt;&lt;isbn&gt;1465-1858&lt;/isbn&gt;&lt;accession-num&gt;CD012823&lt;/accession-num&gt;&lt;urls&gt;&lt;related-urls&gt;&lt;url&gt;https://doi.org//10.1002/14651858.CD012823.pub2&lt;/url&gt;&lt;/related-urls&gt;&lt;/urls&gt;&lt;electronic-resource-num&gt;10.1002/14651858.CD012823.pub2&lt;/electronic-resource-num&gt;&lt;/record&gt;&lt;/Cite&gt;&lt;/EndNote&gt;</w:instrText>
      </w:r>
      <w:r w:rsidRPr="001A44CE">
        <w:fldChar w:fldCharType="separate"/>
      </w:r>
      <w:r w:rsidR="00A77498">
        <w:rPr>
          <w:noProof/>
        </w:rPr>
        <w:t>McGovern et al. (2021)</w:t>
      </w:r>
      <w:r w:rsidRPr="001A44CE">
        <w:fldChar w:fldCharType="end"/>
      </w:r>
      <w:r>
        <w:t xml:space="preserve"> was conducted concurrently with this review, and so covers the same literature on psychosocial interventions (albeit this review extends the literature search and has different inclusion criteria). The review found </w:t>
      </w:r>
      <w:r w:rsidRPr="001A44CE">
        <w:t xml:space="preserve">low-quality evidence that psychosocial treatments </w:t>
      </w:r>
      <w:r>
        <w:t xml:space="preserve">on their own may be ineffective in reducing substance use unless they are </w:t>
      </w:r>
      <w:r w:rsidR="00545D7B">
        <w:t>plus</w:t>
      </w:r>
      <w:r>
        <w:t xml:space="preserve"> a parenting component</w:t>
      </w:r>
      <w:r w:rsidRPr="001A44CE">
        <w:t>.</w:t>
      </w:r>
      <w:r>
        <w:t xml:space="preserve">  </w:t>
      </w:r>
    </w:p>
    <w:p w14:paraId="63BB22AF" w14:textId="77777777" w:rsidR="00A75AC1" w:rsidRPr="001A44CE" w:rsidRDefault="00A75AC1" w:rsidP="00A75AC1">
      <w:pPr>
        <w:pStyle w:val="NoSpacing"/>
        <w:spacing w:line="360" w:lineRule="auto"/>
      </w:pPr>
    </w:p>
    <w:p w14:paraId="26C8ABE4" w14:textId="486DA2FB" w:rsidR="00481EC0" w:rsidRPr="00B84E9A" w:rsidRDefault="00481EC0" w:rsidP="00A75AC1">
      <w:pPr>
        <w:pStyle w:val="NoSpacing"/>
        <w:spacing w:line="360" w:lineRule="auto"/>
      </w:pPr>
      <w:r w:rsidRPr="001A44CE">
        <w:t xml:space="preserve">Motivational enhancement therapy (MET) is a motivational intervention which aims to </w:t>
      </w:r>
      <w:r w:rsidRPr="00B84E9A">
        <w:t xml:space="preserve">promote readiness to change behaviour and self-efficacy though a semi-structured interviewing style.  Four papers examined the effectiveness of manualised MET, specifically for pregnant women. In a US RCT across four states, </w:t>
      </w:r>
      <w:r w:rsidRPr="00B84E9A">
        <w:fldChar w:fldCharType="begin"/>
      </w:r>
      <w:r w:rsidR="00B9334F">
        <w:instrText xml:space="preserve"> ADDIN EN.CITE &lt;EndNote&gt;&lt;Cite AuthorYear="1"&gt;&lt;Author&gt;Winhusen&lt;/Author&gt;&lt;Year&gt;2008&lt;/Year&gt;&lt;RecNum&gt;122&lt;/RecNum&gt;&lt;DisplayText&gt;Winhusen et al. (2008)&lt;/DisplayText&gt;&lt;record&gt;&lt;rec-number&gt;122&lt;/rec-number&gt;&lt;foreign-keys&gt;&lt;key app="EN" db-id="ffzvr5fstavwxoe9v04xf0wmp5t50as52da0" timestamp="1731671643" guid="c46ed324-bf3b-4e74-9ace-b294a8f2d3bf"&gt;122&lt;/key&gt;&lt;/foreign-keys&gt;&lt;ref-type name="Journal Article"&gt;17&lt;/ref-type&gt;&lt;contributors&gt;&lt;authors&gt;&lt;author&gt;Winhusen, Theresa&lt;/author&gt;&lt;author&gt;Kropp, Frankie&lt;/author&gt;&lt;author&gt;Babcock, Dean&lt;/author&gt;&lt;author&gt;Hague, Diane&lt;/author&gt;&lt;author&gt;Erickson, Sarah J.&lt;/author&gt;&lt;author&gt;Renz, Connie&lt;/author&gt;&lt;author&gt;Rau, Leela&lt;/author&gt;&lt;author&gt;Lewis, Daniel&lt;/author&gt;&lt;author&gt;Leimberger, Jeff&lt;/author&gt;&lt;author&gt;Somoza, Eugene&lt;/author&gt;&lt;/authors&gt;&lt;/contributors&gt;&lt;titles&gt;&lt;title&gt;Motivational enhancement therapy to improve treatment utilization and outcome in pregnant substance users&lt;/title&gt;&lt;secondary-title&gt;Journal of Substance Abuse Treatment&lt;/secondary-title&gt;&lt;/titles&gt;&lt;periodical&gt;&lt;full-title&gt;Journal of Substance Abuse Treatment&lt;/full-title&gt;&lt;/periodical&gt;&lt;pages&gt;161-173&lt;/pages&gt;&lt;volume&gt;35&lt;/volume&gt;&lt;number&gt;2&lt;/number&gt;&lt;keywords&gt;&lt;keyword&gt;Pregnant&lt;/keyword&gt;&lt;keyword&gt;Substance Abuse&lt;/keyword&gt;&lt;keyword&gt;Motivational Enhancement Therapy&lt;/keyword&gt;&lt;keyword&gt;Clinical Trial&lt;/keyword&gt;&lt;keyword&gt;Randomized&lt;/keyword&gt;&lt;/keywords&gt;&lt;dates&gt;&lt;year&gt;2008&lt;/year&gt;&lt;/dates&gt;&lt;isbn&gt;0740-5472&lt;/isbn&gt;&lt;urls&gt;&lt;/urls&gt;&lt;electronic-resource-num&gt;10.1016/j.jsat.2007.09.006&lt;/electronic-resource-num&gt;&lt;/record&gt;&lt;/Cite&gt;&lt;/EndNote&gt;</w:instrText>
      </w:r>
      <w:r w:rsidRPr="00B84E9A">
        <w:fldChar w:fldCharType="separate"/>
      </w:r>
      <w:r w:rsidR="00A77498">
        <w:rPr>
          <w:noProof/>
        </w:rPr>
        <w:t>Winhusen et al. (2008)</w:t>
      </w:r>
      <w:r w:rsidRPr="00B84E9A">
        <w:fldChar w:fldCharType="end"/>
      </w:r>
      <w:r w:rsidRPr="00B84E9A">
        <w:t xml:space="preserve"> compared MET with treatment as usual and did not find any significant difference between the two conditions in terms of treatment retention or substance use. However, a subsequent study of the same sample </w:t>
      </w:r>
      <w:r w:rsidRPr="00B84E9A">
        <w:fldChar w:fldCharType="begin"/>
      </w:r>
      <w:r w:rsidR="00B9334F">
        <w:instrText xml:space="preserve"> ADDIN EN.CITE &lt;EndNote&gt;&lt;Cite&gt;&lt;Author&gt;Osterman&lt;/Author&gt;&lt;Year&gt;2017&lt;/Year&gt;&lt;RecNum&gt;123&lt;/RecNum&gt;&lt;DisplayText&gt;(Osterman et al., 2017)&lt;/DisplayText&gt;&lt;record&gt;&lt;rec-number&gt;123&lt;/rec-number&gt;&lt;foreign-keys&gt;&lt;key app="EN" db-id="ffzvr5fstavwxoe9v04xf0wmp5t50as52da0" timestamp="1731671643" guid="49bea857-cb7a-40ed-9f83-1fa5ad2000e2"&gt;123&lt;/key&gt;&lt;/foreign-keys&gt;&lt;ref-type name="Journal Article"&gt;17&lt;/ref-type&gt;&lt;contributors&gt;&lt;authors&gt;&lt;author&gt;Osterman, Robin&lt;/author&gt;&lt;author&gt;Lewis, Daniel&lt;/author&gt;&lt;author&gt;Winhusen, Theresa&lt;/author&gt;&lt;/authors&gt;&lt;/contributors&gt;&lt;titles&gt;&lt;title&gt;Efficacy of motivational enhancement therapy to decrease alcohol and illicit-drug use in pregnant substance users reporting baseline alcohol use&lt;/title&gt;&lt;secondary-title&gt;Journal of Substance Abuse Treatment&lt;/secondary-title&gt;&lt;/titles&gt;&lt;periodical&gt;&lt;full-title&gt;Journal of Substance Abuse Treatment&lt;/full-title&gt;&lt;/periodical&gt;&lt;pages&gt;150-155&lt;/pages&gt;&lt;volume&gt;77&lt;/volume&gt;&lt;keywords&gt;&lt;keyword&gt;Pregnant&lt;/keyword&gt;&lt;keyword&gt;Fetal alcohol spectrum disorders&lt;/keyword&gt;&lt;keyword&gt;Alcohol use&lt;/keyword&gt;&lt;keyword&gt;Drug use&lt;/keyword&gt;&lt;keyword&gt;Motivational enhancement therapy&lt;/keyword&gt;&lt;/keywords&gt;&lt;dates&gt;&lt;year&gt;2017&lt;/year&gt;&lt;pub-dates&gt;&lt;date&gt;2017/06/01/&lt;/date&gt;&lt;/pub-dates&gt;&lt;/dates&gt;&lt;isbn&gt;0740-5472&lt;/isbn&gt;&lt;urls&gt;&lt;related-urls&gt;&lt;url&gt;http://www.sciencedirect.com/science/article/pii/S0740547216304500&lt;/url&gt;&lt;/related-urls&gt;&lt;/urls&gt;&lt;electronic-resource-num&gt;https://doi.org/10.1016/j.jsat.2017.02.003&lt;/electronic-resource-num&gt;&lt;/record&gt;&lt;/Cite&gt;&lt;/EndNote&gt;</w:instrText>
      </w:r>
      <w:r w:rsidRPr="00B84E9A">
        <w:fldChar w:fldCharType="separate"/>
      </w:r>
      <w:r w:rsidR="00A77498">
        <w:rPr>
          <w:noProof/>
        </w:rPr>
        <w:t>(Osterman et al., 2017)</w:t>
      </w:r>
      <w:r w:rsidRPr="00B84E9A">
        <w:fldChar w:fldCharType="end"/>
      </w:r>
      <w:r w:rsidRPr="001A44CE">
        <w:t xml:space="preserve"> </w:t>
      </w:r>
      <w:r w:rsidRPr="001A44CE">
        <w:lastRenderedPageBreak/>
        <w:t xml:space="preserve">focused on the participants who were using alcohol and found that MET did significantly better in terms of alcohol and illicit drug use, suggesting that MET may improve outcomes for some pregnant substance users but not all. However, compared with the 2008 study of 200 participants reasonably split between intervention and comparison arms (n=102 and 98 respectively), the 2017 study focused on outcomes for just 41 because of its focus on alcohol only, with almost double the amount of pregnant women in the intervention than comparison arm </w:t>
      </w:r>
      <w:r w:rsidRPr="00B84E9A">
        <w:t xml:space="preserve">(n=27 and 14 respectively). </w:t>
      </w:r>
    </w:p>
    <w:p w14:paraId="7B770338" w14:textId="77777777" w:rsidR="00481EC0" w:rsidRPr="00B84E9A" w:rsidRDefault="00481EC0" w:rsidP="00A75AC1">
      <w:pPr>
        <w:pStyle w:val="NoSpacing"/>
        <w:spacing w:line="360" w:lineRule="auto"/>
        <w:rPr>
          <w:i/>
        </w:rPr>
      </w:pPr>
    </w:p>
    <w:p w14:paraId="75652478" w14:textId="2DC0C5D5" w:rsidR="00E97925" w:rsidRDefault="00481EC0" w:rsidP="00E97925">
      <w:pPr>
        <w:pStyle w:val="NoSpacing"/>
        <w:spacing w:line="360" w:lineRule="auto"/>
      </w:pPr>
      <w:r w:rsidRPr="00B84E9A">
        <w:t xml:space="preserve">An RCT by </w:t>
      </w:r>
      <w:r w:rsidRPr="00B84E9A">
        <w:fldChar w:fldCharType="begin"/>
      </w:r>
      <w:r w:rsidR="00B9334F">
        <w:instrText xml:space="preserve"> ADDIN EN.CITE &lt;EndNote&gt;&lt;Cite AuthorYear="1"&gt;&lt;Author&gt;Yonkers&lt;/Author&gt;&lt;Year&gt;2012&lt;/Year&gt;&lt;RecNum&gt;124&lt;/RecNum&gt;&lt;DisplayText&gt;Yonkers et al. (2012)&lt;/DisplayText&gt;&lt;record&gt;&lt;rec-number&gt;124&lt;/rec-number&gt;&lt;foreign-keys&gt;&lt;key app="EN" db-id="ffzvr5fstavwxoe9v04xf0wmp5t50as52da0" timestamp="1731671643" guid="cf2ca489-d7c1-4118-9981-314277910d4e"&gt;124&lt;/key&gt;&lt;/foreign-keys&gt;&lt;ref-type name="Journal Article"&gt;17&lt;/ref-type&gt;&lt;contributors&gt;&lt;authors&gt;&lt;author&gt;Yonkers, Kimberly A.&lt;/author&gt;&lt;author&gt;Forray, Ariadna&lt;/author&gt;&lt;author&gt;Howell, Heather B.&lt;/author&gt;&lt;author&gt;Gotman, Nathan&lt;/author&gt;&lt;author&gt;Kershaw, Trace&lt;/author&gt;&lt;author&gt;Rounsaville, Bruce J.&lt;/author&gt;&lt;author&gt;Carroll, Kathleen M.&lt;/author&gt;&lt;/authors&gt;&lt;/contributors&gt;&lt;titles&gt;&lt;title&gt;Motivational enhancement therapy coupled with cognitive behavioral therapy versus brief advice: a randomized trial for treatment of hazardous substance use in pregnancy and after delivery&lt;/title&gt;&lt;secondary-title&gt;General Hospital Psychiatry&lt;/secondary-title&gt;&lt;/titles&gt;&lt;periodical&gt;&lt;full-title&gt;General Hospital Psychiatry&lt;/full-title&gt;&lt;/periodical&gt;&lt;pages&gt;439-449&lt;/pages&gt;&lt;volume&gt;34&lt;/volume&gt;&lt;number&gt;5&lt;/number&gt;&lt;keywords&gt;&lt;keyword&gt;Pregnancy&lt;/keyword&gt;&lt;keyword&gt;Postpartum&lt;/keyword&gt;&lt;keyword&gt;Drug Abuse&lt;/keyword&gt;&lt;keyword&gt;Drug Dependence&lt;/keyword&gt;&lt;keyword&gt;Alcohol Abuse&lt;/keyword&gt;&lt;keyword&gt;Alcohol Dependence&lt;/keyword&gt;&lt;keyword&gt;Behavioral Treatment&lt;/keyword&gt;&lt;/keywords&gt;&lt;dates&gt;&lt;year&gt;2012&lt;/year&gt;&lt;/dates&gt;&lt;isbn&gt;0163-8343&lt;/isbn&gt;&lt;urls&gt;&lt;/urls&gt;&lt;electronic-resource-num&gt;10.1016/j.genhosppsych.2012.06.002&lt;/electronic-resource-num&gt;&lt;/record&gt;&lt;/Cite&gt;&lt;/EndNote&gt;</w:instrText>
      </w:r>
      <w:r w:rsidRPr="00B84E9A">
        <w:fldChar w:fldCharType="separate"/>
      </w:r>
      <w:r w:rsidR="00A77498">
        <w:rPr>
          <w:noProof/>
        </w:rPr>
        <w:t>Yonkers et al. (2012)</w:t>
      </w:r>
      <w:r w:rsidRPr="00B84E9A">
        <w:fldChar w:fldCharType="end"/>
      </w:r>
      <w:r w:rsidRPr="00B84E9A">
        <w:t xml:space="preserve"> compared MET </w:t>
      </w:r>
      <w:r w:rsidR="00545D7B">
        <w:t>plus</w:t>
      </w:r>
      <w:r w:rsidRPr="00B84E9A">
        <w:t xml:space="preserve"> cognitive behavioural therapy (CBT) with brief advice in sexual health clinics in two sites in Connecticut, USA. Both interventions were associated with reductions in substance use, and the authors found no significant differences in terms of substance use or likelihood of pre-term birth. Thus, both interventions could be regarded as suitable for pregnant women seeking to reduce their substance use. Using the same sample, </w:t>
      </w:r>
      <w:r w:rsidRPr="00B84E9A">
        <w:fldChar w:fldCharType="begin">
          <w:fldData xml:space="preserve">PEVuZE5vdGU+PENpdGUgQXV0aG9yWWVhcj0iMSI+PEF1dGhvcj5YdTwvQXV0aG9yPjxZZWFyPjIw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</w:fldData>
        </w:fldChar>
      </w:r>
      <w:r w:rsidR="00B9334F">
        <w:instrText xml:space="preserve"> ADDIN EN.CITE </w:instrText>
      </w:r>
      <w:r w:rsidR="00B9334F">
        <w:fldChar w:fldCharType="begin">
          <w:fldData xml:space="preserve">PEVuZE5vdGU+PENpdGUgQXV0aG9yWWVhcj0iMSI+PEF1dGhvcj5YdTwvQXV0aG9yPjxZZWFyPjIw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</w:fldData>
        </w:fldChar>
      </w:r>
      <w:r w:rsidR="00B9334F">
        <w:instrText xml:space="preserve"> ADDIN EN.CITE.DATA </w:instrText>
      </w:r>
      <w:r w:rsidR="00B9334F">
        <w:fldChar w:fldCharType="end"/>
      </w:r>
      <w:r w:rsidRPr="00B84E9A">
        <w:fldChar w:fldCharType="separate"/>
      </w:r>
      <w:r w:rsidR="00A77498">
        <w:rPr>
          <w:noProof/>
        </w:rPr>
        <w:t>Xu et al. (2017)</w:t>
      </w:r>
      <w:r w:rsidRPr="00B84E9A">
        <w:fldChar w:fldCharType="end"/>
      </w:r>
      <w:r w:rsidRPr="00B84E9A">
        <w:t xml:space="preserve"> found that that despite the intervention being more costly, there were no significant differences in overall medical costs.</w:t>
      </w:r>
      <w:r w:rsidRPr="001A44CE">
        <w:t xml:space="preserve"> However, the analysis relied on too short a follow-up (three months post-partum) and did not include a measure of improvements on quality of life or societal costs, that would be necessary for a more robust evaluation of cost-effectiveness.</w:t>
      </w:r>
    </w:p>
    <w:p w14:paraId="43864D07" w14:textId="77777777" w:rsidR="00E97925" w:rsidRDefault="00E97925" w:rsidP="00E97925">
      <w:pPr>
        <w:pStyle w:val="NoSpacing"/>
        <w:spacing w:line="360" w:lineRule="auto"/>
      </w:pPr>
    </w:p>
    <w:p w14:paraId="1DFB6FBD" w14:textId="02AEF8CF" w:rsidR="00E97925" w:rsidRDefault="00481EC0" w:rsidP="00E97925">
      <w:pPr>
        <w:pStyle w:val="NoSpacing"/>
        <w:spacing w:line="360" w:lineRule="auto"/>
      </w:pPr>
      <w:r w:rsidRPr="001A44CE">
        <w:t xml:space="preserve">Contingency management (CM) is a form of therapy which provides reinforcements/ incentives, such as vouchers for remaining abstinent, to make substance use less </w:t>
      </w:r>
      <w:r w:rsidRPr="00B84E9A">
        <w:t xml:space="preserve">attractive. Two US RCTs comparing CM interventions with treatment as usual were found. Both focused on CM for pregnant women with opioid and/ or cocaine use disorder in Maryland, Baltimore. </w:t>
      </w:r>
      <w:r w:rsidRPr="00B84E9A">
        <w:fldChar w:fldCharType="begin"/>
      </w:r>
      <w:r w:rsidR="00B9334F">
        <w:instrText xml:space="preserve"> ADDIN EN.CITE &lt;EndNote&gt;&lt;Cite AuthorYear="1"&gt;&lt;Author&gt;Svikis&lt;/Author&gt;&lt;Year&gt;2007&lt;/Year&gt;&lt;RecNum&gt;127&lt;/RecNum&gt;&lt;DisplayText&gt;Svikis et al. (2007)&lt;/DisplayText&gt;&lt;record&gt;&lt;rec-number&gt;127&lt;/rec-number&gt;&lt;foreign-keys&gt;&lt;key app="EN" db-id="ffzvr5fstavwxoe9v04xf0wmp5t50as52da0" timestamp="1731671643" guid="223b5ce3-d886-4eb0-b4a9-4d322c5cc115"&gt;127&lt;/key&gt;&lt;/foreign-keys&gt;&lt;ref-type name="Journal Article"&gt;17&lt;/ref-type&gt;&lt;contributors&gt;&lt;authors&gt;&lt;author&gt;Svikis, Dace S.&lt;/author&gt;&lt;author&gt;Silverman, Kenneth&lt;/author&gt;&lt;author&gt;Haug, Nancy A.&lt;/author&gt;&lt;author&gt;Stitzer, Maxine&lt;/author&gt;&lt;author&gt;Keyser-Marcus, Lori&lt;/author&gt;&lt;/authors&gt;&lt;/contributors&gt;&lt;titles&gt;&lt;title&gt;Behavioral Strategies to Improve Treatment Participation and Retention by Pregnant Drug-Dependent Women&lt;/title&gt;&lt;secondary-title&gt;Substance Use &amp;amp; Misuse&lt;/secondary-title&gt;&lt;/titles&gt;&lt;periodical&gt;&lt;full-title&gt;Substance Use &amp;amp; Misuse&lt;/full-title&gt;&lt;/periodical&gt;&lt;pages&gt;1527-1535&lt;/pages&gt;&lt;volume&gt;42&lt;/volume&gt;&lt;number&gt;10&lt;/number&gt;&lt;keywords&gt;&lt;keyword&gt;Behavioral&lt;/keyword&gt;&lt;keyword&gt;Incentives&lt;/keyword&gt;&lt;keyword&gt;Pregnant&lt;/keyword&gt;&lt;keyword&gt;Retention&lt;/keyword&gt;&lt;keyword&gt;Treatment&lt;/keyword&gt;&lt;keyword&gt;Voucher&lt;/keyword&gt;&lt;/keywords&gt;&lt;dates&gt;&lt;year&gt;2007&lt;/year&gt;&lt;/dates&gt;&lt;publisher&gt;Taylor &amp;amp; Francis Group&lt;/publisher&gt;&lt;isbn&gt;1082-6084&lt;/isbn&gt;&lt;urls&gt;&lt;/urls&gt;&lt;electronic-resource-num&gt;10.1080/10826080701212121&lt;/electronic-resource-num&gt;&lt;/record&gt;&lt;/Cite&gt;&lt;/EndNote&gt;</w:instrText>
      </w:r>
      <w:r w:rsidRPr="00B84E9A">
        <w:fldChar w:fldCharType="separate"/>
      </w:r>
      <w:r w:rsidR="00A77498">
        <w:rPr>
          <w:noProof/>
        </w:rPr>
        <w:t>Svikis et al. (2007)</w:t>
      </w:r>
      <w:r w:rsidRPr="00B84E9A">
        <w:fldChar w:fldCharType="end"/>
      </w:r>
      <w:r w:rsidRPr="00B84E9A">
        <w:t xml:space="preserve"> found that while CM did not decrease rates of early dropout, it was more effective in retaining pregnant women in treatment.  </w:t>
      </w:r>
      <w:r w:rsidRPr="00B84E9A">
        <w:fldChar w:fldCharType="begin"/>
      </w:r>
      <w:r w:rsidR="00B9334F">
        <w:instrText xml:space="preserve"> ADDIN EN.CITE &lt;EndNote&gt;&lt;Cite AuthorYear="1"&gt;&lt;Author&gt;Tuten&lt;/Author&gt;&lt;Year&gt;2012&lt;/Year&gt;&lt;RecNum&gt;128&lt;/RecNum&gt;&lt;DisplayText&gt;Tuten et al. (2012)&lt;/DisplayText&gt;&lt;record&gt;&lt;rec-number&gt;128&lt;/rec-number&gt;&lt;foreign-keys&gt;&lt;key app="EN" db-id="ffzvr5fstavwxoe9v04xf0wmp5t50as52da0" timestamp="1731671644" guid="9f691a84-cc95-415f-bf7e-d51dc388c5a6"&gt;128&lt;/key&gt;&lt;/foreign-keys&gt;&lt;ref-type name="Journal Article"&gt;17&lt;/ref-type&gt;&lt;contributors&gt;&lt;authors&gt;&lt;author&gt;Tuten, Michelle&lt;/author&gt;&lt;author&gt;Svikis, Dace S.&lt;/author&gt;&lt;author&gt;Keyser-Marcus, Lori&lt;/author&gt;&lt;author&gt;O’Grady, Kevin E.&lt;/author&gt;&lt;author&gt;Jones, Hendrée E.&lt;/author&gt;&lt;/authors&gt;&lt;/contributors&gt;&lt;titles&gt;&lt;title&gt;Lessons Learned from a Randomized Trial of Fixed and Escalating Contingency Management Schedules in Opioid-Dependent Pregnant Women&lt;/title&gt;&lt;secondary-title&gt;The American Journal of Drug and Alcohol Abuse&lt;/secondary-title&gt;&lt;/titles&gt;&lt;periodical&gt;&lt;full-title&gt;The American Journal of Drug and Alcohol Abuse&lt;/full-title&gt;&lt;/periodical&gt;&lt;pages&gt;286-292&lt;/pages&gt;&lt;volume&gt;38&lt;/volume&gt;&lt;number&gt;4&lt;/number&gt;&lt;keywords&gt;&lt;keyword&gt;Research Article&lt;/keyword&gt;&lt;keyword&gt;Contingency Management&lt;/keyword&gt;&lt;keyword&gt;Pregnancy&lt;/keyword&gt;&lt;keyword&gt;Substance Use Disorders&lt;/keyword&gt;&lt;/keywords&gt;&lt;dates&gt;&lt;year&gt;2012&lt;/year&gt;&lt;/dates&gt;&lt;publisher&gt;Taylor &amp;amp; Francis&lt;/publisher&gt;&lt;isbn&gt;0095-2990&lt;/isbn&gt;&lt;urls&gt;&lt;/urls&gt;&lt;electronic-resource-num&gt;10.3109/00952990.2011.643977&lt;/electronic-resource-num&gt;&lt;/record&gt;&lt;/Cite&gt;&lt;/EndNote&gt;</w:instrText>
      </w:r>
      <w:r w:rsidRPr="00B84E9A">
        <w:fldChar w:fldCharType="separate"/>
      </w:r>
      <w:r w:rsidR="00A77498">
        <w:rPr>
          <w:noProof/>
        </w:rPr>
        <w:t>Tuten et al. (2012)</w:t>
      </w:r>
      <w:r w:rsidRPr="00B84E9A">
        <w:fldChar w:fldCharType="end"/>
      </w:r>
      <w:r w:rsidRPr="00B84E9A">
        <w:t xml:space="preserve"> found CM participants were significantly more likely to be abstinent and to be retained in treatment compared with the comparison groups. However, both studies are limited by small sample sizes and very short follow-up periods of two weeks postpartum.</w:t>
      </w:r>
    </w:p>
    <w:p w14:paraId="0C4E847C" w14:textId="77777777" w:rsidR="00E97925" w:rsidRDefault="00E97925" w:rsidP="00E97925">
      <w:pPr>
        <w:pStyle w:val="NoSpacing"/>
        <w:spacing w:line="360" w:lineRule="auto"/>
      </w:pPr>
    </w:p>
    <w:p w14:paraId="0AAE0DEA" w14:textId="4B3D1EE4" w:rsidR="00E97925" w:rsidRDefault="00481EC0" w:rsidP="00E97925">
      <w:pPr>
        <w:pStyle w:val="NoSpacing"/>
        <w:spacing w:line="360" w:lineRule="auto"/>
      </w:pPr>
      <w:r w:rsidRPr="00B84E9A">
        <w:t xml:space="preserve">Reinforcement-based treatment (RBT) is an intensive behavioural psychosocial intervention with motivational interviewing and care management.  A small US RCT </w:t>
      </w:r>
      <w:r w:rsidRPr="00B84E9A">
        <w:lastRenderedPageBreak/>
        <w:t xml:space="preserve">compared the effectiveness of treatment as usual (residential care followed by recovery housing) with treatment as usual in addition to RBT for pregnant women using opioids and/or cocaine. </w:t>
      </w:r>
      <w:r w:rsidRPr="00B84E9A">
        <w:fldChar w:fldCharType="begin"/>
      </w:r>
      <w:r w:rsidR="00B9334F">
        <w:instrText xml:space="preserve"> ADDIN EN.CITE &lt;EndNote&gt;&lt;Cite AuthorYear="1"&gt;&lt;Author&gt;Jones&lt;/Author&gt;&lt;Year&gt;2011&lt;/Year&gt;&lt;RecNum&gt;121&lt;/RecNum&gt;&lt;DisplayText&gt;Jones et al. (2011)&lt;/DisplayText&gt;&lt;record&gt;&lt;rec-number&gt;121&lt;/rec-number&gt;&lt;foreign-keys&gt;&lt;key app="EN" db-id="ffzvr5fstavwxoe9v04xf0wmp5t50as52da0" timestamp="1731671643" guid="d04c1873-8d96-403b-a110-80abef3ec0e0"&gt;121&lt;/key&gt;&lt;/foreign-keys&gt;&lt;ref-type name="Journal Article"&gt;17&lt;/ref-type&gt;&lt;contributors&gt;&lt;authors&gt;&lt;author&gt;Jones, Hendrée E.&lt;/author&gt;&lt;author&gt;O’Grady, Kevin E.&lt;/author&gt;&lt;author&gt;Tuten, Michelle&lt;/author&gt;&lt;/authors&gt;&lt;/contributors&gt;&lt;titles&gt;&lt;title&gt;Reinforcement-Based Treatment Improves the Maternal Treatment and Neonatal Outcomes of Pregnant Patients Enrolled in Comprehensive Care Treatment&lt;/title&gt;&lt;secondary-title&gt;The American Journal on Addictions&lt;/secondary-title&gt;&lt;/titles&gt;&lt;periodical&gt;&lt;full-title&gt;The American Journal on Addictions&lt;/full-title&gt;&lt;/periodical&gt;&lt;pages&gt;196-204&lt;/pages&gt;&lt;volume&gt;20&lt;/volume&gt;&lt;number&gt;3&lt;/number&gt;&lt;dates&gt;&lt;year&gt;2011&lt;/year&gt;&lt;/dates&gt;&lt;urls&gt;&lt;related-urls&gt;&lt;url&gt;https://onlinelibrary.wiley.com/doi/abs/10.1111/j.1521-0391.2011.00119.x&lt;/url&gt;&lt;/related-urls&gt;&lt;/urls&gt;&lt;electronic-resource-num&gt;doi:10.1111/j.1521-0391.2011.00119.x&lt;/electronic-resource-num&gt;&lt;/record&gt;&lt;/Cite&gt;&lt;/EndNote&gt;</w:instrText>
      </w:r>
      <w:r w:rsidRPr="00B84E9A">
        <w:fldChar w:fldCharType="separate"/>
      </w:r>
      <w:r w:rsidR="00A77498">
        <w:rPr>
          <w:noProof/>
        </w:rPr>
        <w:t>Jones et al. (2011)</w:t>
      </w:r>
      <w:r w:rsidRPr="00B84E9A">
        <w:fldChar w:fldCharType="end"/>
      </w:r>
      <w:r w:rsidRPr="00B84E9A">
        <w:t xml:space="preserve"> reported that intervention mothers spent longer in treatment and in recovery housing. There were however no statistical differences in substance use or neonatal outcomes (except for neonates whose mothers were on the intervention arm spending fewer days in hospital). It is possible that the study has limited ability to detect power from the small sample size. Further bias may have been introduced to the study from a participation refusal rate of 43% and 17% failure to attend treatment following recruitment.</w:t>
      </w:r>
    </w:p>
    <w:p w14:paraId="29BE599B" w14:textId="77777777" w:rsidR="00E97925" w:rsidRDefault="00E97925" w:rsidP="00E97925">
      <w:pPr>
        <w:pStyle w:val="NoSpacing"/>
        <w:spacing w:line="360" w:lineRule="auto"/>
      </w:pPr>
    </w:p>
    <w:p w14:paraId="3A0238BB" w14:textId="1C1BA08F" w:rsidR="00E97925" w:rsidRDefault="00481EC0" w:rsidP="00E97925">
      <w:pPr>
        <w:pStyle w:val="NoSpacing"/>
        <w:spacing w:line="360" w:lineRule="auto"/>
      </w:pPr>
      <w:r w:rsidRPr="00B84E9A">
        <w:t xml:space="preserve">Community Reinforcement Approach (CRA) is another kind of intensive behavioural psychosocial intervention but built on the idea that a person’s environment affects their recovery.  </w:t>
      </w:r>
      <w:r w:rsidRPr="00B84E9A">
        <w:fldChar w:fldCharType="begin">
          <w:fldData xml:space="preserve">PEVuZE5vdGU+PENpdGUgQXV0aG9yWWVhcj0iMSI+PEF1dGhvcj5TbGVzbmljazwvQXV0aG9yPjxZ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==
</w:fldData>
        </w:fldChar>
      </w:r>
      <w:r w:rsidR="00B9334F">
        <w:instrText xml:space="preserve"> ADDIN EN.CITE </w:instrText>
      </w:r>
      <w:r w:rsidR="00B9334F">
        <w:fldChar w:fldCharType="begin">
          <w:fldData xml:space="preserve">PEVuZE5vdGU+PENpdGUgQXV0aG9yWWVhcj0iMSI+PEF1dGhvcj5TbGVzbmljazwvQXV0aG9yPjxZ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==
</w:fldData>
        </w:fldChar>
      </w:r>
      <w:r w:rsidR="00B9334F">
        <w:instrText xml:space="preserve"> ADDIN EN.CITE.DATA </w:instrText>
      </w:r>
      <w:r w:rsidR="00B9334F">
        <w:fldChar w:fldCharType="end"/>
      </w:r>
      <w:r w:rsidRPr="00B84E9A">
        <w:fldChar w:fldCharType="separate"/>
      </w:r>
      <w:r w:rsidR="003C6F70">
        <w:rPr>
          <w:noProof/>
        </w:rPr>
        <w:t>Slesnick and Erdem (2013)</w:t>
      </w:r>
      <w:r w:rsidRPr="00B84E9A">
        <w:fldChar w:fldCharType="end"/>
      </w:r>
      <w:r w:rsidRPr="00B84E9A">
        <w:t xml:space="preserve"> in their small RCT of CRA versus usual care for homeless women with SUD and young children found intervention mothers had a quicker reduction in alcohol use and increase in housing stability, however, by 9 months there were no significant differences found. </w:t>
      </w:r>
    </w:p>
    <w:p w14:paraId="7D98C21D" w14:textId="77777777" w:rsidR="00E97925" w:rsidRDefault="00E97925" w:rsidP="00E97925">
      <w:pPr>
        <w:pStyle w:val="NoSpacing"/>
        <w:spacing w:line="360" w:lineRule="auto"/>
      </w:pPr>
    </w:p>
    <w:p w14:paraId="7A648FA9" w14:textId="389AC7CE" w:rsidR="00E97925" w:rsidRDefault="00481EC0" w:rsidP="00E97925">
      <w:pPr>
        <w:pStyle w:val="NoSpacing"/>
        <w:spacing w:line="360" w:lineRule="auto"/>
      </w:pPr>
      <w:r w:rsidRPr="00B84E9A">
        <w:t xml:space="preserve">A US-based RCT compared CM dependent on negative cocaine urinalysis was compared with voucher control (not dependent on negative cocaine urinalysis), twelve-step facilitation and CRA </w:t>
      </w:r>
      <w:r w:rsidRPr="00B84E9A">
        <w:fldChar w:fldCharType="begin">
          <w:fldData xml:space="preserve">PEVuZE5vdGU+PENpdGU+PEF1dGhvcj5TY2hvdHRlbmZlbGQ8L0F1dGhvcj48WWVhcj4yMDExPC9Z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=
</w:fldData>
        </w:fldChar>
      </w:r>
      <w:r w:rsidR="00B9334F">
        <w:instrText xml:space="preserve"> ADDIN EN.CITE </w:instrText>
      </w:r>
      <w:r w:rsidR="00B9334F">
        <w:fldChar w:fldCharType="begin">
          <w:fldData xml:space="preserve">PEVuZE5vdGU+PENpdGU+PEF1dGhvcj5TY2hvdHRlbmZlbGQ8L0F1dGhvcj48WWVhcj4yMDExPC9Z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=
</w:fldData>
        </w:fldChar>
      </w:r>
      <w:r w:rsidR="00B9334F">
        <w:instrText xml:space="preserve"> ADDIN EN.CITE.DATA </w:instrText>
      </w:r>
      <w:r w:rsidR="00B9334F">
        <w:fldChar w:fldCharType="end"/>
      </w:r>
      <w:r w:rsidRPr="00B84E9A">
        <w:fldChar w:fldCharType="separate"/>
      </w:r>
      <w:r w:rsidR="00A77498">
        <w:rPr>
          <w:noProof/>
        </w:rPr>
        <w:t>(Schottenfeld et al., 2011)</w:t>
      </w:r>
      <w:r w:rsidRPr="00B84E9A">
        <w:fldChar w:fldCharType="end"/>
      </w:r>
      <w:r w:rsidRPr="00B84E9A">
        <w:t xml:space="preserve">. While the study included pregnant women, most participants were mothers (n=64 vs n=81). The study found CM to be effective compared with voucher control but did not find CRA to be more effective than twelve-step facilitation nor any differential efficacy of CM when paired with CRA or twelve-step facilitation. </w:t>
      </w:r>
    </w:p>
    <w:p w14:paraId="316A5C00" w14:textId="77777777" w:rsidR="00E97925" w:rsidRDefault="00E97925" w:rsidP="00E97925">
      <w:pPr>
        <w:pStyle w:val="NoSpacing"/>
        <w:spacing w:line="360" w:lineRule="auto"/>
      </w:pPr>
    </w:p>
    <w:p w14:paraId="52A5F8A2" w14:textId="77777777" w:rsidR="00E97925" w:rsidRDefault="00481EC0" w:rsidP="00E97925">
      <w:pPr>
        <w:pStyle w:val="NoSpacing"/>
        <w:spacing w:line="360" w:lineRule="auto"/>
      </w:pPr>
      <w:r w:rsidRPr="00B84E9A">
        <w:t xml:space="preserve">In the context of parental SUD, case management (or care management) refers to the coordination of parental treatment and other community-based services, such as child welfare, mental health, housing and employment agencies. Cases are handled by managers or teams who deal with specific child welfare episodes through, </w:t>
      </w:r>
      <w:r w:rsidRPr="00B84E9A">
        <w:rPr>
          <w:i/>
        </w:rPr>
        <w:t>inter alia</w:t>
      </w:r>
      <w:r w:rsidRPr="00B84E9A">
        <w:t xml:space="preserve">, assessments, care planning, advocacy and monitoring. In contrast, intensive case management (ICM) is an American term for a longer-term model of care which regards dependency as a chronic relapsing condition from which people can take years to recover. As such, parents are provided with case management as well as assertive outreach over an extended period. Intensive case managers and teams </w:t>
      </w:r>
      <w:r w:rsidRPr="00B84E9A">
        <w:lastRenderedPageBreak/>
        <w:t>have a comparatively smaller caseload and are usually available to provide support more often, e.g. during weekends and evenings.</w:t>
      </w:r>
    </w:p>
    <w:p w14:paraId="6FDCC3AF" w14:textId="77777777" w:rsidR="00E97925" w:rsidRDefault="00E97925" w:rsidP="00E97925">
      <w:pPr>
        <w:pStyle w:val="NoSpacing"/>
        <w:spacing w:line="360" w:lineRule="auto"/>
      </w:pPr>
    </w:p>
    <w:p w14:paraId="5EF8B513" w14:textId="3A5B7B44" w:rsidR="00E97925" w:rsidRDefault="00481EC0" w:rsidP="00425FB5">
      <w:pPr>
        <w:pStyle w:val="NoSpacing"/>
        <w:spacing w:line="360" w:lineRule="auto"/>
      </w:pPr>
      <w:r w:rsidRPr="00B84E9A">
        <w:t xml:space="preserve">The </w:t>
      </w:r>
      <w:r w:rsidRPr="00B84E9A">
        <w:fldChar w:fldCharType="begin"/>
      </w:r>
      <w:r w:rsidR="00B9334F">
        <w:instrText xml:space="preserve"> ADDIN EN.CITE &lt;EndNote&gt;&lt;Cite AuthorYear="1"&gt;&lt;Author&gt;Jansson&lt;/Author&gt;&lt;Year&gt;2005&lt;/Year&gt;&lt;RecNum&gt;137&lt;/RecNum&gt;&lt;DisplayText&gt;Jansson et al. (2005)&lt;/DisplayText&gt;&lt;record&gt;&lt;rec-number&gt;137&lt;/rec-number&gt;&lt;foreign-keys&gt;&lt;key app="EN" db-id="ffzvr5fstavwxoe9v04xf0wmp5t50as52da0" timestamp="1731671644" guid="65c3afcb-7fc8-4a59-bd27-faa9da01dd16"&gt;137&lt;/key&gt;&lt;/foreign-keys&gt;&lt;ref-type name="Journal Article"&gt;17&lt;/ref-type&gt;&lt;contributors&gt;&lt;authors&gt;&lt;author&gt;Jansson, L. M.&lt;/author&gt;&lt;author&gt;Svikis, D. S.&lt;/author&gt;&lt;author&gt;Breon, D.&lt;/author&gt;&lt;author&gt;Cieslak, R.&lt;/author&gt;&lt;/authors&gt;&lt;/contributors&gt;&lt;titles&gt;&lt;title&gt;Intensity of Case Management Services: Does More Equal Better for Drug Dependent Women and Their Children?&lt;/title&gt;&lt;secondary-title&gt;Social Work in Mental Health&lt;/secondary-title&gt;&lt;/titles&gt;&lt;periodical&gt;&lt;full-title&gt;Social Work in Mental Health&lt;/full-title&gt;&lt;/periodical&gt;&lt;pages&gt;63-78&lt;/pages&gt;&lt;volume&gt;3&lt;/volume&gt;&lt;number&gt;4&lt;/number&gt;&lt;dates&gt;&lt;year&gt;2005&lt;/year&gt;&lt;pub-dates&gt;&lt;date&gt;2005/07/15&lt;/date&gt;&lt;/pub-dates&gt;&lt;/dates&gt;&lt;publisher&gt;Routledge&lt;/publisher&gt;&lt;isbn&gt;1533-2985&lt;/isbn&gt;&lt;urls&gt;&lt;related-urls&gt;&lt;url&gt;&lt;style face="underline" font="default" size="100%"&gt;https://doi.org/10.1300/J200v03n04_04&lt;/style&gt;&lt;/url&gt;&lt;/related-urls&gt;&lt;/urls&gt;&lt;electronic-resource-num&gt;10.1300/J200v03n04_04&lt;/electronic-resource-num&gt;&lt;/record&gt;&lt;/Cite&gt;&lt;/EndNote&gt;</w:instrText>
      </w:r>
      <w:r w:rsidRPr="00B84E9A">
        <w:fldChar w:fldCharType="separate"/>
      </w:r>
      <w:r w:rsidR="00A77498">
        <w:rPr>
          <w:noProof/>
        </w:rPr>
        <w:t>Jansson et al. (2005)</w:t>
      </w:r>
      <w:r w:rsidRPr="00B84E9A">
        <w:fldChar w:fldCharType="end"/>
      </w:r>
      <w:r w:rsidRPr="00B84E9A">
        <w:t xml:space="preserve"> RCT for postpartum women with an opioid and/or cocaine use disorder compared treatment retention and substance use outcomes among those receiving paediatric care with those receiving ICM in a community hospital in East Baltimore, USA. The authors found no significant difference in the likelihood of dropping out of treatment between the intervention and comparison group, nor of abstinence among opioid users in either research arm. The authors did report, however, that cocaine users receiving ICM were significantly more likely to test negative than those in the comparison group. Yet, as the follow-up period was just four months, the sample size was small (n=56) and the study recruits were mostly those who tested negative for drugs at delivery, it is unclear whether the evaluation was affected by bias and whether any observed abstinence would continue in the longer-term.</w:t>
      </w:r>
      <w:r w:rsidRPr="001A44CE">
        <w:t xml:space="preserve">  </w:t>
      </w:r>
    </w:p>
    <w:p w14:paraId="29A70EF4" w14:textId="77777777" w:rsidR="00425FB5" w:rsidRDefault="00425FB5" w:rsidP="00425FB5">
      <w:pPr>
        <w:pStyle w:val="NoSpacing"/>
        <w:spacing w:line="360" w:lineRule="auto"/>
      </w:pPr>
    </w:p>
    <w:p w14:paraId="7C6B0CF8" w14:textId="77FAC98C" w:rsidR="00481EC0" w:rsidRDefault="00481EC0" w:rsidP="002553AD">
      <w:pPr>
        <w:pStyle w:val="Heading3"/>
        <w:spacing w:line="360" w:lineRule="auto"/>
      </w:pPr>
      <w:bookmarkStart w:id="216" w:name="_Toc189229733"/>
      <w:r>
        <w:t>Specialist treatment plus a parenting intervention</w:t>
      </w:r>
      <w:r w:rsidR="0096421A">
        <w:t>: summary of evidence</w:t>
      </w:r>
      <w:bookmarkEnd w:id="216"/>
    </w:p>
    <w:p w14:paraId="31DD7E0E" w14:textId="5BD062D0" w:rsidR="00481EC0" w:rsidRDefault="00481EC0" w:rsidP="002553AD">
      <w:pPr>
        <w:pStyle w:val="NoSpacing"/>
        <w:spacing w:line="360" w:lineRule="auto"/>
        <w:rPr>
          <w:rFonts w:ascii="Source Sans Pro" w:hAnsi="Source Sans Pro"/>
          <w:color w:val="000000"/>
          <w:shd w:val="clear" w:color="auto" w:fill="FFFFFF"/>
        </w:rPr>
      </w:pPr>
      <w:r>
        <w:t>While substance use can impact parenting capacity, parents who become abstinent do not necessarily become ‘good’ parents</w:t>
      </w:r>
      <w:r w:rsidR="00B653EE">
        <w:t>, just as parents who use substances are not necessarily ‘bad’ parents</w:t>
      </w:r>
      <w:r>
        <w:t xml:space="preserve">. Moreover, parents with </w:t>
      </w:r>
      <w:r w:rsidRPr="00082181">
        <w:t xml:space="preserve">SUD </w:t>
      </w:r>
      <w:r>
        <w:t xml:space="preserve">may themselves have been </w:t>
      </w:r>
      <w:r w:rsidRPr="00082181">
        <w:t>children of parents with SUD</w:t>
      </w:r>
      <w:r>
        <w:t xml:space="preserve"> and may have limited if any experience of positive parent-child relationships. Parenting</w:t>
      </w:r>
      <w:r w:rsidRPr="004B7549">
        <w:t xml:space="preserve"> interventions </w:t>
      </w:r>
      <w:r>
        <w:t xml:space="preserve">in the context of parental SUD not only aim to </w:t>
      </w:r>
      <w:r w:rsidRPr="004B7549">
        <w:t xml:space="preserve">improve parenting capacity and familial relationships, </w:t>
      </w:r>
      <w:r>
        <w:t>but they can also</w:t>
      </w:r>
      <w:r w:rsidRPr="004B7549">
        <w:t xml:space="preserve"> help parents become aware of how their substance use affects </w:t>
      </w:r>
      <w:r>
        <w:t>their children</w:t>
      </w:r>
      <w:r w:rsidRPr="004B7549">
        <w:t>.</w:t>
      </w:r>
      <w:r>
        <w:rPr>
          <w:rFonts w:ascii="Source Sans Pro" w:hAnsi="Source Sans Pro"/>
          <w:color w:val="000000"/>
          <w:shd w:val="clear" w:color="auto" w:fill="FFFFFF"/>
        </w:rPr>
        <w:t xml:space="preserve">  </w:t>
      </w:r>
    </w:p>
    <w:p w14:paraId="1939B196" w14:textId="77777777" w:rsidR="00481EC0" w:rsidRDefault="00481EC0" w:rsidP="002553AD">
      <w:pPr>
        <w:pStyle w:val="NoSpacing"/>
        <w:spacing w:line="360" w:lineRule="auto"/>
        <w:rPr>
          <w:rFonts w:ascii="Source Sans Pro" w:hAnsi="Source Sans Pro"/>
          <w:color w:val="000000"/>
          <w:shd w:val="clear" w:color="auto" w:fill="FFFFFF"/>
        </w:rPr>
      </w:pPr>
    </w:p>
    <w:p w14:paraId="248C2EAC" w14:textId="1A88F20D" w:rsidR="00481EC0" w:rsidRDefault="00481EC0" w:rsidP="002553AD">
      <w:pPr>
        <w:pStyle w:val="NoSpacing"/>
        <w:spacing w:line="360" w:lineRule="auto"/>
      </w:pPr>
      <w:r>
        <w:t xml:space="preserve">In recent years there have been several reviews on parental SUD and parenting interventions. For example, </w:t>
      </w:r>
      <w:r w:rsidRPr="00451CEA">
        <w:fldChar w:fldCharType="begin"/>
      </w:r>
      <w:r w:rsidR="00B9334F">
        <w:instrText xml:space="preserve"> ADDIN EN.CITE &lt;EndNote&gt;&lt;Cite AuthorYear="1"&gt;&lt;Author&gt;Moreland&lt;/Author&gt;&lt;Year&gt;2018&lt;/Year&gt;&lt;RecNum&gt;250&lt;/RecNum&gt;&lt;DisplayText&gt;Moreland and McRae-Clark (2018)&lt;/DisplayText&gt;&lt;record&gt;&lt;rec-number&gt;250&lt;/rec-number&gt;&lt;foreign-keys&gt;&lt;key app="EN" db-id="ffzvr5fstavwxoe9v04xf0wmp5t50as52da0" timestamp="1731671652" guid="29f1689a-9efd-467f-a63d-3f4c50e016e5"&gt;250&lt;/key&gt;&lt;/foreign-keys&gt;&lt;ref-type name="Journal Article"&gt;17&lt;/ref-type&gt;&lt;contributors&gt;&lt;authors&gt;&lt;author&gt;Moreland, Angela D.&lt;/author&gt;&lt;author&gt;McRae-Clark, Aimee&lt;/author&gt;&lt;/authors&gt;&lt;/contributors&gt;&lt;titles&gt;&lt;title&gt;Parenting outcomes of parenting interventions in integrated substance-use treatment programs: A systematic review&lt;/title&gt;&lt;secondary-title&gt;Journal of Substance Abuse Treatment&lt;/secondary-title&gt;&lt;/titles&gt;&lt;periodical&gt;&lt;full-title&gt;Journal of Substance Abuse Treatment&lt;/full-title&gt;&lt;/periodical&gt;&lt;pages&gt;52-59&lt;/pages&gt;&lt;volume&gt;89&lt;/volume&gt;&lt;dates&gt;&lt;year&gt;2018&lt;/year&gt;&lt;/dates&gt;&lt;publisher&gt;Elsevier&lt;/publisher&gt;&lt;isbn&gt;0740-5472&lt;/isbn&gt;&lt;urls&gt;&lt;related-urls&gt;&lt;url&gt;https://doi.org/10.1016/j.jsat.2018.03.005&lt;/url&gt;&lt;/related-urls&gt;&lt;/urls&gt;&lt;electronic-resource-num&gt;10.1016/j.jsat.2018.03.005&lt;/electronic-resource-num&gt;&lt;access-date&gt;2024/04/03&lt;/access-date&gt;&lt;/record&gt;&lt;/Cite&gt;&lt;/EndNote&gt;</w:instrText>
      </w:r>
      <w:r w:rsidRPr="00451CEA">
        <w:fldChar w:fldCharType="separate"/>
      </w:r>
      <w:r w:rsidR="003C6F70">
        <w:rPr>
          <w:noProof/>
        </w:rPr>
        <w:t>Moreland and McRae-Clark (2018)</w:t>
      </w:r>
      <w:r w:rsidRPr="00451CEA">
        <w:fldChar w:fldCharType="end"/>
      </w:r>
      <w:r w:rsidRPr="00451CEA">
        <w:t xml:space="preserve"> conducted a review of parental outcomes following treatment that offered a parenting skills component alongside usual care. While interventions and settings varied, the authors found improvement on parenting outcomes following engagement with treatment and a parenting intervention.  Subsequently, a Cochrane review by </w:t>
      </w:r>
      <w:r w:rsidRPr="00451CEA">
        <w:fldChar w:fldCharType="begin"/>
      </w:r>
      <w:r w:rsidR="00B9334F">
        <w:instrText xml:space="preserve"> ADDIN EN.CITE &lt;EndNote&gt;&lt;Cite AuthorYear="1"&gt;&lt;Author&gt;McGovern&lt;/Author&gt;&lt;Year&gt;2021&lt;/Year&gt;&lt;RecNum&gt;15&lt;/RecNum&gt;&lt;DisplayText&gt;McGovern et al. (2021)&lt;/DisplayText&gt;&lt;record&gt;&lt;rec-number&gt;15&lt;/rec-number&gt;&lt;foreign-keys&gt;&lt;key app="EN" db-id="ffzvr5fstavwxoe9v04xf0wmp5t50as52da0" timestamp="1731671636" guid="79fa2121-ce34-475a-a605-378a83372352"&gt;15&lt;/key&gt;&lt;/foreign-keys&gt;&lt;ref-type name="Journal Article"&gt;17&lt;/ref-type&gt;&lt;contributors&gt;&lt;authors&gt;&lt;author&gt;McGovern, R.&lt;/author&gt;&lt;author&gt;Newham, J. J.&lt;/author&gt;&lt;author&gt;Addison, M. T.&lt;/author&gt;&lt;author&gt;Hickman, M.&lt;/author&gt;&lt;author&gt;Kaner, E. F. S.&lt;/author&gt;&lt;/authors&gt;&lt;/contributors&gt;&lt;titles&gt;&lt;title&gt;Effectiveness of psychosocial interventions for reducing parental substance misuse&lt;/title&gt;&lt;secondary-title&gt;Cochrane Database of Systematic Reviews&lt;/secondary-title&gt;&lt;/titles&gt;&lt;periodical&gt;&lt;full-title&gt;Cochrane Database of Systematic Reviews&lt;/full-title&gt;&lt;/periodical&gt;&lt;number&gt;3&lt;/number&gt;&lt;dates&gt;&lt;year&gt;2021&lt;/year&gt;&lt;/dates&gt;&lt;publisher&gt;John Wiley &amp;amp; Sons, Ltd&lt;/publisher&gt;&lt;isbn&gt;1465-1858&lt;/isbn&gt;&lt;accession-num&gt;CD012823&lt;/accession-num&gt;&lt;urls&gt;&lt;related-urls&gt;&lt;url&gt;https://doi.org//10.1002/14651858.CD012823.pub2&lt;/url&gt;&lt;/related-urls&gt;&lt;/urls&gt;&lt;electronic-resource-num&gt;10.1002/14651858.CD012823.pub2&lt;/electronic-resource-num&gt;&lt;/record&gt;&lt;/Cite&gt;&lt;/EndNote&gt;</w:instrText>
      </w:r>
      <w:r w:rsidRPr="00451CEA">
        <w:fldChar w:fldCharType="separate"/>
      </w:r>
      <w:r w:rsidR="00A77498">
        <w:rPr>
          <w:noProof/>
        </w:rPr>
        <w:t>McGovern et al. (2021)</w:t>
      </w:r>
      <w:r w:rsidRPr="00451CEA">
        <w:fldChar w:fldCharType="end"/>
      </w:r>
      <w:r w:rsidRPr="00451CEA">
        <w:t xml:space="preserve"> found that treatment plus parenting interventions may reduce alcohol and drug use among parents compared with treatment alone, albeit the authors emphasised that </w:t>
      </w:r>
      <w:r w:rsidRPr="00451CEA">
        <w:lastRenderedPageBreak/>
        <w:t>the evidence used to generate these results were of low quality according to the Cochrane grading system.</w:t>
      </w:r>
    </w:p>
    <w:p w14:paraId="4740BCFD" w14:textId="77777777" w:rsidR="002553AD" w:rsidRPr="002553AD" w:rsidRDefault="002553AD" w:rsidP="002553AD">
      <w:pPr>
        <w:pStyle w:val="NoSpacing"/>
        <w:spacing w:line="360" w:lineRule="auto"/>
      </w:pPr>
    </w:p>
    <w:p w14:paraId="30E74C5C" w14:textId="575D1257" w:rsidR="00481EC0" w:rsidRDefault="00481EC0" w:rsidP="002553AD">
      <w:pPr>
        <w:pStyle w:val="NoSpacing"/>
        <w:spacing w:line="360" w:lineRule="auto"/>
      </w:pPr>
      <w:r w:rsidRPr="00DB2C03">
        <w:t xml:space="preserve">This section summarises the 14 individual evaluations of parenting interventions </w:t>
      </w:r>
      <w:r w:rsidRPr="00814919">
        <w:t>delivered alongside treatment</w:t>
      </w:r>
      <w:r>
        <w:t>, broken down by relational therapy (n=5), attachment-based therapy (n=4) and home-visitation interventions (n=5).</w:t>
      </w:r>
    </w:p>
    <w:p w14:paraId="34693107" w14:textId="77777777" w:rsidR="00481EC0" w:rsidRDefault="00481EC0" w:rsidP="002553AD">
      <w:pPr>
        <w:pStyle w:val="NoSpacing"/>
        <w:spacing w:line="360" w:lineRule="auto"/>
      </w:pPr>
    </w:p>
    <w:p w14:paraId="01CE2D51" w14:textId="143DF6BB" w:rsidR="009F0EEE" w:rsidRPr="00D92398" w:rsidRDefault="009F0EEE" w:rsidP="009F0EEE">
      <w:pPr>
        <w:pStyle w:val="Heading4"/>
        <w:spacing w:line="360" w:lineRule="auto"/>
      </w:pPr>
      <w:r>
        <w:t>Relational therapy</w:t>
      </w:r>
    </w:p>
    <w:p w14:paraId="3E035680" w14:textId="2049859B" w:rsidR="00051F54" w:rsidRPr="00051F54" w:rsidRDefault="00481EC0" w:rsidP="00051F54">
      <w:pPr>
        <w:pStyle w:val="NormalWeb"/>
        <w:spacing w:before="0" w:beforeAutospacing="0" w:after="0" w:afterAutospacing="0" w:line="360" w:lineRule="auto"/>
        <w:textAlignment w:val="baseline"/>
        <w:rPr>
          <w:rFonts w:ascii="Arial" w:eastAsiaTheme="minorHAnsi" w:hAnsi="Arial" w:cs="Arial"/>
          <w:lang w:eastAsia="en-US"/>
        </w:rPr>
      </w:pPr>
      <w:r w:rsidRPr="00CB3868">
        <w:rPr>
          <w:rFonts w:ascii="Arial" w:eastAsiaTheme="minorHAnsi" w:hAnsi="Arial" w:cs="Arial"/>
          <w:lang w:eastAsia="en-US"/>
        </w:rPr>
        <w:t xml:space="preserve">Relational therapy aims to help people acknowledge the role </w:t>
      </w:r>
      <w:r>
        <w:rPr>
          <w:rFonts w:ascii="Arial" w:eastAsiaTheme="minorHAnsi" w:hAnsi="Arial" w:cs="Arial"/>
          <w:lang w:eastAsia="en-US"/>
        </w:rPr>
        <w:t xml:space="preserve">interpersonal </w:t>
      </w:r>
      <w:r w:rsidRPr="00CB3868">
        <w:rPr>
          <w:rFonts w:ascii="Arial" w:eastAsiaTheme="minorHAnsi" w:hAnsi="Arial" w:cs="Arial"/>
          <w:lang w:eastAsia="en-US"/>
        </w:rPr>
        <w:t>relationships play in shaping their experiences.</w:t>
      </w:r>
      <w:r>
        <w:rPr>
          <w:rFonts w:ascii="Arial" w:eastAsiaTheme="minorHAnsi" w:hAnsi="Arial" w:cs="Arial"/>
          <w:lang w:eastAsia="en-US"/>
        </w:rPr>
        <w:t xml:space="preserve"> Five US studies evaluated the </w:t>
      </w:r>
      <w:r w:rsidRPr="009048AF">
        <w:rPr>
          <w:rFonts w:ascii="Arial" w:eastAsiaTheme="minorHAnsi" w:hAnsi="Arial" w:cs="Arial"/>
          <w:lang w:eastAsia="en-US"/>
        </w:rPr>
        <w:t>effectiveness of different types of relational therapies.</w:t>
      </w:r>
      <w:r w:rsidR="002553AD">
        <w:rPr>
          <w:rFonts w:ascii="Arial" w:eastAsiaTheme="minorHAnsi" w:hAnsi="Arial" w:cs="Arial"/>
          <w:lang w:eastAsia="en-US"/>
        </w:rPr>
        <w:t xml:space="preserve"> </w:t>
      </w:r>
      <w:r w:rsidRPr="002553AD">
        <w:rPr>
          <w:rFonts w:ascii="Arial" w:eastAsiaTheme="minorHAnsi" w:hAnsi="Arial" w:cs="Arial"/>
          <w:lang w:eastAsia="en-US"/>
        </w:rPr>
        <w:fldChar w:fldCharType="begin"/>
      </w:r>
      <w:r w:rsidR="00B9334F">
        <w:rPr>
          <w:rFonts w:ascii="Arial" w:eastAsiaTheme="minorHAnsi" w:hAnsi="Arial" w:cs="Arial"/>
          <w:lang w:eastAsia="en-US"/>
        </w:rPr>
        <w:instrText xml:space="preserve"> ADDIN EN.CITE &lt;EndNote&gt;&lt;Cite AuthorYear="1"&gt;&lt;Author&gt;Luthar&lt;/Author&gt;&lt;Year&gt;2007&lt;/Year&gt;&lt;RecNum&gt;251&lt;/RecNum&gt;&lt;DisplayText&gt;Luthar et al. (2007)&lt;/DisplayText&gt;&lt;record&gt;&lt;rec-number&gt;251&lt;/rec-number&gt;&lt;foreign-keys&gt;&lt;key app="EN" db-id="ffzvr5fstavwxoe9v04xf0wmp5t50as52da0" timestamp="1731671652" guid="f81c7dfa-ad4d-4102-bcf5-3a6d11407b89"&gt;251&lt;/key&gt;&lt;/foreign-keys&gt;&lt;ref-type name="Journal Article"&gt;17&lt;/ref-type&gt;&lt;contributors&gt;&lt;authors&gt;&lt;author&gt;Luthar, Suniya S.&lt;/author&gt;&lt;author&gt;Suchman, Nancy E.&lt;/author&gt;&lt;author&gt;Altomare, Michelle&lt;/author&gt;&lt;/authors&gt;&lt;/contributors&gt;&lt;titles&gt;&lt;title&gt;Relational Psychotherapy Mothers&amp;apos; Group: A randomized clinical trial for substance abusing mothers&lt;/title&gt;&lt;secondary-title&gt;Development and Psychopathology&lt;/secondary-title&gt;&lt;/titles&gt;&lt;periodical&gt;&lt;full-title&gt;Development and Psychopathology&lt;/full-title&gt;&lt;/periodical&gt;&lt;pages&gt;243-261&lt;/pages&gt;&lt;volume&gt;19&lt;/volume&gt;&lt;number&gt;1&lt;/number&gt;&lt;edition&gt;2007/01/22&lt;/edition&gt;&lt;dates&gt;&lt;year&gt;2007&lt;/year&gt;&lt;/dates&gt;&lt;publisher&gt;Cambridge University Press&lt;/publisher&gt;&lt;isbn&gt;0954-5794&lt;/isbn&gt;&lt;urls&gt;&lt;related-urls&gt;&lt;url&gt;https://www.cambridge.org/core/product/D7241BB4B1FF786E890C04F32FB6628C&lt;/url&gt;&lt;/related-urls&gt;&lt;/urls&gt;&lt;electronic-resource-num&gt;10.1017/S0954579407070137&lt;/electronic-resource-num&gt;&lt;remote-database-name&gt;Cambridge Core&lt;/remote-database-name&gt;&lt;remote-database-provider&gt;Cambridge University Press&lt;/remote-database-provider&gt;&lt;/record&gt;&lt;/Cite&gt;&lt;/EndNote&gt;</w:instrText>
      </w:r>
      <w:r w:rsidRPr="002553AD">
        <w:rPr>
          <w:rFonts w:ascii="Arial" w:eastAsiaTheme="minorHAnsi" w:hAnsi="Arial" w:cs="Arial"/>
          <w:lang w:eastAsia="en-US"/>
        </w:rPr>
        <w:fldChar w:fldCharType="separate"/>
      </w:r>
      <w:r w:rsidR="00A77498">
        <w:rPr>
          <w:rFonts w:ascii="Arial" w:eastAsiaTheme="minorHAnsi" w:hAnsi="Arial" w:cs="Arial"/>
          <w:noProof/>
          <w:lang w:eastAsia="en-US"/>
        </w:rPr>
        <w:t>Luthar et al. (2007)</w:t>
      </w:r>
      <w:r w:rsidRPr="002553AD">
        <w:rPr>
          <w:rFonts w:ascii="Arial" w:eastAsiaTheme="minorHAnsi" w:hAnsi="Arial" w:cs="Arial"/>
          <w:lang w:eastAsia="en-US"/>
        </w:rPr>
        <w:fldChar w:fldCharType="end"/>
      </w:r>
      <w:r w:rsidRPr="002553AD">
        <w:rPr>
          <w:rFonts w:ascii="Arial" w:eastAsiaTheme="minorHAnsi" w:hAnsi="Arial" w:cs="Arial"/>
          <w:lang w:eastAsia="en-US"/>
        </w:rPr>
        <w:t xml:space="preserve"> in a 12-month RCT compared Relational Psychotherapy Mothers’ Group (RPMG) with recovery training in methadone clinics New Haven, Connecticut, USA. The intervention arm received 24 weekly sessions in addition to standard treatment, half of which were focused on parenting issues. Recovery training consisted of methadone plus group counselling sessions focusing on dependency and recovery. In comparison with recovery training, RPMG mothers showed marginal improvement on self-reported child abuse and neglect cocaine use detected via urinalysis. Their children experienced significantly greater emotional adjustment and depression outcomes. However, at 6 months follow-up, there were minimal differences between the intervention and control group.</w:t>
      </w:r>
      <w:r w:rsidRPr="00051F54">
        <w:rPr>
          <w:rFonts w:ascii="Arial" w:eastAsiaTheme="minorHAnsi" w:hAnsi="Arial" w:cs="Arial"/>
          <w:lang w:eastAsia="en-US"/>
        </w:rPr>
        <w:t xml:space="preserve"> </w:t>
      </w:r>
    </w:p>
    <w:p w14:paraId="08B001C8" w14:textId="77777777" w:rsidR="00051F54" w:rsidRPr="00051F54" w:rsidRDefault="00051F54" w:rsidP="00051F54">
      <w:pPr>
        <w:pStyle w:val="NormalWeb"/>
        <w:spacing w:before="0" w:beforeAutospacing="0" w:after="0" w:afterAutospacing="0" w:line="360" w:lineRule="auto"/>
        <w:textAlignment w:val="baseline"/>
        <w:rPr>
          <w:rFonts w:ascii="Arial" w:eastAsiaTheme="minorHAnsi" w:hAnsi="Arial" w:cs="Arial"/>
          <w:lang w:eastAsia="en-US"/>
        </w:rPr>
      </w:pPr>
    </w:p>
    <w:p w14:paraId="41B45AF8" w14:textId="3726593B" w:rsidR="00051F54" w:rsidRDefault="00481EC0" w:rsidP="00051F54">
      <w:pPr>
        <w:pStyle w:val="NormalWeb"/>
        <w:spacing w:before="0" w:beforeAutospacing="0" w:after="0" w:afterAutospacing="0" w:line="360" w:lineRule="auto"/>
        <w:textAlignment w:val="baseline"/>
        <w:rPr>
          <w:rFonts w:ascii="Arial" w:eastAsiaTheme="minorHAnsi" w:hAnsi="Arial" w:cs="Arial"/>
          <w:lang w:eastAsia="en-US"/>
        </w:rPr>
      </w:pPr>
      <w:r w:rsidRPr="00051F54">
        <w:rPr>
          <w:rFonts w:ascii="Arial" w:eastAsiaTheme="minorHAnsi" w:hAnsi="Arial" w:cs="Arial"/>
          <w:lang w:eastAsia="en-US"/>
        </w:rPr>
        <w:t xml:space="preserve">Another US (New York) RCT by </w:t>
      </w:r>
      <w:r w:rsidRPr="00051F54">
        <w:rPr>
          <w:rFonts w:ascii="Arial" w:eastAsiaTheme="minorHAnsi" w:hAnsi="Arial" w:cs="Arial"/>
          <w:lang w:eastAsia="en-US"/>
        </w:rPr>
        <w:fldChar w:fldCharType="begin"/>
      </w:r>
      <w:r w:rsidR="00B9334F">
        <w:rPr>
          <w:rFonts w:ascii="Arial" w:eastAsiaTheme="minorHAnsi" w:hAnsi="Arial" w:cs="Arial"/>
          <w:lang w:eastAsia="en-US"/>
        </w:rPr>
        <w:instrText xml:space="preserve"> ADDIN EN.CITE &lt;EndNote&gt;&lt;Cite AuthorYear="1"&gt;&lt;Author&gt;Gwadz&lt;/Author&gt;&lt;Year&gt;2008&lt;/Year&gt;&lt;RecNum&gt;259&lt;/RecNum&gt;&lt;DisplayText&gt;Gwadz et al. (2008)&lt;/DisplayText&gt;&lt;record&gt;&lt;rec-number&gt;259&lt;/rec-number&gt;&lt;foreign-keys&gt;&lt;key app="EN" db-id="ffzvr5fstavwxoe9v04xf0wmp5t50as52da0" timestamp="1731671653" guid="72ca5630-179b-4ba7-ab02-baaef41ce17e"&gt;259&lt;/key&gt;&lt;/foreign-keys&gt;&lt;ref-type name="Journal Article"&gt;17&lt;/ref-type&gt;&lt;contributors&gt;&lt;authors&gt;&lt;author&gt;Gwadz, Marya V.&lt;/author&gt;&lt;author&gt;Leonard, Noelle R.&lt;/author&gt;&lt;author&gt;Cleland, Charles M.&lt;/author&gt;&lt;author&gt;Riedel, Marion&lt;/author&gt;&lt;author&gt;Arredondo, Gricel N.&lt;/author&gt;&lt;author&gt;Wolfe, Hannah&lt;/author&gt;&lt;author&gt;Hardcastle, Emily&lt;/author&gt;&lt;author&gt;Morris, Jodi&lt;/author&gt;&lt;/authors&gt;&lt;/contributors&gt;&lt;titles&gt;&lt;title&gt;Behavioral interventions for HIV infected and uninfected mothers with problem drinking&lt;/title&gt;&lt;secondary-title&gt;Addiction Research &amp;amp; Theory&lt;/secondary-title&gt;&lt;/titles&gt;&lt;periodical&gt;&lt;full-title&gt;Addiction Research &amp;amp; Theory&lt;/full-title&gt;&lt;/periodical&gt;&lt;pages&gt;47-65&lt;/pages&gt;&lt;volume&gt;16&lt;/volume&gt;&lt;number&gt;1&lt;/number&gt;&lt;dates&gt;&lt;year&gt;2008&lt;/year&gt;&lt;pub-dates&gt;&lt;date&gt;2008/01/01&lt;/date&gt;&lt;/pub-dates&gt;&lt;/dates&gt;&lt;publisher&gt;Taylor &amp;amp; Francis&lt;/publisher&gt;&lt;isbn&gt;1606-6359&lt;/isbn&gt;&lt;urls&gt;&lt;related-urls&gt;&lt;url&gt;https://doi.org/10.1080/16066350701651214&lt;/url&gt;&lt;/related-urls&gt;&lt;/urls&gt;&lt;electronic-resource-num&gt;10.1080/16066350701651214&lt;/electronic-resource-num&gt;&lt;/record&gt;&lt;/Cite&gt;&lt;/EndNote&gt;</w:instrText>
      </w:r>
      <w:r w:rsidRPr="00051F54">
        <w:rPr>
          <w:rFonts w:ascii="Arial" w:eastAsiaTheme="minorHAnsi" w:hAnsi="Arial" w:cs="Arial"/>
          <w:lang w:eastAsia="en-US"/>
        </w:rPr>
        <w:fldChar w:fldCharType="separate"/>
      </w:r>
      <w:r w:rsidR="00A77498">
        <w:rPr>
          <w:rFonts w:ascii="Arial" w:eastAsiaTheme="minorHAnsi" w:hAnsi="Arial" w:cs="Arial"/>
          <w:noProof/>
          <w:lang w:eastAsia="en-US"/>
        </w:rPr>
        <w:t>Gwadz et al. (2008)</w:t>
      </w:r>
      <w:r w:rsidRPr="00051F54">
        <w:rPr>
          <w:rFonts w:ascii="Arial" w:eastAsiaTheme="minorHAnsi" w:hAnsi="Arial" w:cs="Arial"/>
          <w:lang w:eastAsia="en-US"/>
        </w:rPr>
        <w:fldChar w:fldCharType="end"/>
      </w:r>
      <w:r w:rsidRPr="00051F54">
        <w:rPr>
          <w:rFonts w:ascii="Arial" w:eastAsiaTheme="minorHAnsi" w:hAnsi="Arial" w:cs="Arial"/>
          <w:lang w:eastAsia="en-US"/>
        </w:rPr>
        <w:t xml:space="preserve">, evaluated the effectiveness of Family First for problem drinking mothers compared with a single session of social/ motivational interviewing. Family First is a form of enhanced cognitive behavioural therapy (CBT) comprising 14-sessions lasting 90 minutes each on substance use/ problem drinking and parenting behaviour and skills. All mothers reduced alcohol and drug use, however there were no significant differences by the end of the reporting period between the intervention and control group. The study benefited from a long follow-up of 18 months post randomisation. </w:t>
      </w:r>
    </w:p>
    <w:p w14:paraId="4CDFF7BA" w14:textId="77777777" w:rsidR="00051F54" w:rsidRDefault="00051F54" w:rsidP="00051F54">
      <w:pPr>
        <w:pStyle w:val="NormalWeb"/>
        <w:spacing w:before="0" w:beforeAutospacing="0" w:after="0" w:afterAutospacing="0" w:line="360" w:lineRule="auto"/>
        <w:textAlignment w:val="baseline"/>
        <w:rPr>
          <w:rFonts w:ascii="Arial" w:eastAsiaTheme="minorHAnsi" w:hAnsi="Arial" w:cs="Arial"/>
          <w:lang w:eastAsia="en-US"/>
        </w:rPr>
      </w:pPr>
    </w:p>
    <w:p w14:paraId="02D49F93" w14:textId="54FF23C5" w:rsidR="00051F54" w:rsidRDefault="00481EC0" w:rsidP="00051F54">
      <w:pPr>
        <w:pStyle w:val="NormalWeb"/>
        <w:spacing w:before="0" w:beforeAutospacing="0" w:after="0" w:afterAutospacing="0" w:line="360" w:lineRule="auto"/>
        <w:textAlignment w:val="baseline"/>
        <w:rPr>
          <w:rFonts w:ascii="Arial" w:eastAsiaTheme="minorHAnsi" w:hAnsi="Arial" w:cs="Arial"/>
          <w:lang w:eastAsia="en-US"/>
        </w:rPr>
      </w:pPr>
      <w:r w:rsidRPr="00051F54">
        <w:rPr>
          <w:rFonts w:ascii="Arial" w:eastAsiaTheme="minorHAnsi" w:hAnsi="Arial" w:cs="Arial"/>
          <w:lang w:eastAsia="en-US"/>
        </w:rPr>
        <w:t xml:space="preserve">A small US RCT with 18-month follow up examined the effectiveness of an ecologically based family therapy (EBFT) compared with women’s health education </w:t>
      </w:r>
      <w:r w:rsidRPr="00051F54">
        <w:rPr>
          <w:rFonts w:ascii="Arial" w:eastAsiaTheme="minorHAnsi" w:hAnsi="Arial" w:cs="Arial"/>
          <w:lang w:eastAsia="en-US"/>
        </w:rPr>
        <w:lastRenderedPageBreak/>
        <w:t xml:space="preserve">found mothers assigned to EBFT showed a quicker reduction in substance use. However this was self-reported use. Reductions in use were also associated with better observed mother-child dyads </w:t>
      </w:r>
      <w:r w:rsidRPr="00051F54">
        <w:rPr>
          <w:rFonts w:ascii="Arial" w:eastAsiaTheme="minorHAnsi" w:hAnsi="Arial" w:cs="Arial"/>
          <w:lang w:eastAsia="en-US"/>
        </w:rPr>
        <w:fldChar w:fldCharType="begin">
          <w:fldData xml:space="preserve">PEVuZE5vdGU+PENpdGU+PEF1dGhvcj5TbGVzbmljazwvQXV0aG9yPjxZZWFyPjIwMTY8L1llYXI+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</w:fldData>
        </w:fldChar>
      </w:r>
      <w:r w:rsidR="00B9334F">
        <w:rPr>
          <w:rFonts w:ascii="Arial" w:eastAsiaTheme="minorHAnsi" w:hAnsi="Arial" w:cs="Arial"/>
          <w:lang w:eastAsia="en-US"/>
        </w:rPr>
        <w:instrText xml:space="preserve"> ADDIN EN.CITE </w:instrText>
      </w:r>
      <w:r w:rsidR="00B9334F">
        <w:rPr>
          <w:rFonts w:ascii="Arial" w:eastAsiaTheme="minorHAnsi" w:hAnsi="Arial" w:cs="Arial"/>
          <w:lang w:eastAsia="en-US"/>
        </w:rPr>
        <w:fldChar w:fldCharType="begin">
          <w:fldData xml:space="preserve">PEVuZE5vdGU+PENpdGU+PEF1dGhvcj5TbGVzbmljazwvQXV0aG9yPjxZZWFyPjIwMTY8L1llYXI+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</w:fldData>
        </w:fldChar>
      </w:r>
      <w:r w:rsidR="00B9334F">
        <w:rPr>
          <w:rFonts w:ascii="Arial" w:eastAsiaTheme="minorHAnsi" w:hAnsi="Arial" w:cs="Arial"/>
          <w:lang w:eastAsia="en-US"/>
        </w:rPr>
        <w:instrText xml:space="preserve"> ADDIN EN.CITE.DATA </w:instrText>
      </w:r>
      <w:r w:rsidR="00B9334F">
        <w:rPr>
          <w:rFonts w:ascii="Arial" w:eastAsiaTheme="minorHAnsi" w:hAnsi="Arial" w:cs="Arial"/>
          <w:lang w:eastAsia="en-US"/>
        </w:rPr>
      </w:r>
      <w:r w:rsidR="00B9334F">
        <w:rPr>
          <w:rFonts w:ascii="Arial" w:eastAsiaTheme="minorHAnsi" w:hAnsi="Arial" w:cs="Arial"/>
          <w:lang w:eastAsia="en-US"/>
        </w:rPr>
        <w:fldChar w:fldCharType="end"/>
      </w:r>
      <w:r w:rsidRPr="00051F54">
        <w:rPr>
          <w:rFonts w:ascii="Arial" w:eastAsiaTheme="minorHAnsi" w:hAnsi="Arial" w:cs="Arial"/>
          <w:lang w:eastAsia="en-US"/>
        </w:rPr>
      </w:r>
      <w:r w:rsidRPr="00051F54">
        <w:rPr>
          <w:rFonts w:ascii="Arial" w:eastAsiaTheme="minorHAnsi" w:hAnsi="Arial" w:cs="Arial"/>
          <w:lang w:eastAsia="en-US"/>
        </w:rPr>
        <w:fldChar w:fldCharType="separate"/>
      </w:r>
      <w:r w:rsidR="003C6F70">
        <w:rPr>
          <w:rFonts w:ascii="Arial" w:eastAsiaTheme="minorHAnsi" w:hAnsi="Arial" w:cs="Arial"/>
          <w:noProof/>
          <w:lang w:eastAsia="en-US"/>
        </w:rPr>
        <w:t>(Slesnick &amp; Zhang, 2016)</w:t>
      </w:r>
      <w:r w:rsidRPr="00051F54">
        <w:rPr>
          <w:rFonts w:ascii="Arial" w:eastAsiaTheme="minorHAnsi" w:hAnsi="Arial" w:cs="Arial"/>
          <w:lang w:eastAsia="en-US"/>
        </w:rPr>
        <w:fldChar w:fldCharType="end"/>
      </w:r>
      <w:r w:rsidRPr="00051F54">
        <w:rPr>
          <w:rFonts w:ascii="Arial" w:eastAsiaTheme="minorHAnsi" w:hAnsi="Arial" w:cs="Arial"/>
          <w:lang w:eastAsia="en-US"/>
        </w:rPr>
        <w:t xml:space="preserve">. EBFT is a 12 session family therapy, including CBT, targeting parent-child dyads, family support needs and problem-solving skills.  </w:t>
      </w:r>
    </w:p>
    <w:p w14:paraId="6F3DCF1F" w14:textId="77777777" w:rsidR="00051F54" w:rsidRDefault="00051F54" w:rsidP="00051F54">
      <w:pPr>
        <w:pStyle w:val="NormalWeb"/>
        <w:spacing w:before="0" w:beforeAutospacing="0" w:after="0" w:afterAutospacing="0" w:line="360" w:lineRule="auto"/>
        <w:textAlignment w:val="baseline"/>
        <w:rPr>
          <w:rFonts w:ascii="Arial" w:eastAsiaTheme="minorHAnsi" w:hAnsi="Arial" w:cs="Arial"/>
          <w:lang w:eastAsia="en-US"/>
        </w:rPr>
      </w:pPr>
    </w:p>
    <w:p w14:paraId="6D3AF350" w14:textId="43C38BBC" w:rsidR="00051F54" w:rsidRDefault="00481EC0" w:rsidP="00051F54">
      <w:pPr>
        <w:pStyle w:val="NormalWeb"/>
        <w:spacing w:before="0" w:beforeAutospacing="0" w:after="0" w:afterAutospacing="0" w:line="360" w:lineRule="auto"/>
        <w:textAlignment w:val="baseline"/>
        <w:rPr>
          <w:rFonts w:ascii="Arial" w:eastAsiaTheme="minorHAnsi" w:hAnsi="Arial" w:cs="Arial"/>
          <w:lang w:eastAsia="en-US"/>
        </w:rPr>
      </w:pPr>
      <w:r w:rsidRPr="00051F54">
        <w:rPr>
          <w:rFonts w:ascii="Arial" w:eastAsiaTheme="minorHAnsi" w:hAnsi="Arial" w:cs="Arial"/>
          <w:lang w:eastAsia="en-US"/>
        </w:rPr>
        <w:t xml:space="preserve">In a study for fathers only, </w:t>
      </w:r>
      <w:r w:rsidRPr="00051F54">
        <w:rPr>
          <w:rFonts w:ascii="Arial" w:eastAsiaTheme="minorHAnsi" w:hAnsi="Arial" w:cs="Arial"/>
          <w:lang w:eastAsia="en-US"/>
        </w:rPr>
        <w:fldChar w:fldCharType="begin">
          <w:fldData xml:space="preserve">PEVuZE5vdGU+PENpdGUgQXV0aG9yWWVhcj0iMSI+PEF1dGhvcj5MYW08L0F1dGhvcj48WWVhcj4y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=
</w:fldData>
        </w:fldChar>
      </w:r>
      <w:r w:rsidR="00B9334F">
        <w:rPr>
          <w:rFonts w:ascii="Arial" w:eastAsiaTheme="minorHAnsi" w:hAnsi="Arial" w:cs="Arial"/>
          <w:lang w:eastAsia="en-US"/>
        </w:rPr>
        <w:instrText xml:space="preserve"> ADDIN EN.CITE </w:instrText>
      </w:r>
      <w:r w:rsidR="00B9334F">
        <w:rPr>
          <w:rFonts w:ascii="Arial" w:eastAsiaTheme="minorHAnsi" w:hAnsi="Arial" w:cs="Arial"/>
          <w:lang w:eastAsia="en-US"/>
        </w:rPr>
        <w:fldChar w:fldCharType="begin">
          <w:fldData xml:space="preserve">PEVuZE5vdGU+PENpdGUgQXV0aG9yWWVhcj0iMSI+PEF1dGhvcj5MYW08L0F1dGhvcj48WWVhcj4y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=
</w:fldData>
        </w:fldChar>
      </w:r>
      <w:r w:rsidR="00B9334F">
        <w:rPr>
          <w:rFonts w:ascii="Arial" w:eastAsiaTheme="minorHAnsi" w:hAnsi="Arial" w:cs="Arial"/>
          <w:lang w:eastAsia="en-US"/>
        </w:rPr>
        <w:instrText xml:space="preserve"> ADDIN EN.CITE.DATA </w:instrText>
      </w:r>
      <w:r w:rsidR="00B9334F">
        <w:rPr>
          <w:rFonts w:ascii="Arial" w:eastAsiaTheme="minorHAnsi" w:hAnsi="Arial" w:cs="Arial"/>
          <w:lang w:eastAsia="en-US"/>
        </w:rPr>
      </w:r>
      <w:r w:rsidR="00B9334F">
        <w:rPr>
          <w:rFonts w:ascii="Arial" w:eastAsiaTheme="minorHAnsi" w:hAnsi="Arial" w:cs="Arial"/>
          <w:lang w:eastAsia="en-US"/>
        </w:rPr>
        <w:fldChar w:fldCharType="end"/>
      </w:r>
      <w:r w:rsidRPr="00051F54">
        <w:rPr>
          <w:rFonts w:ascii="Arial" w:eastAsiaTheme="minorHAnsi" w:hAnsi="Arial" w:cs="Arial"/>
          <w:lang w:eastAsia="en-US"/>
        </w:rPr>
      </w:r>
      <w:r w:rsidRPr="00051F54">
        <w:rPr>
          <w:rFonts w:ascii="Arial" w:eastAsiaTheme="minorHAnsi" w:hAnsi="Arial" w:cs="Arial"/>
          <w:lang w:eastAsia="en-US"/>
        </w:rPr>
        <w:fldChar w:fldCharType="separate"/>
      </w:r>
      <w:r w:rsidR="00A77498">
        <w:rPr>
          <w:rFonts w:ascii="Arial" w:eastAsiaTheme="minorHAnsi" w:hAnsi="Arial" w:cs="Arial"/>
          <w:noProof/>
          <w:lang w:eastAsia="en-US"/>
        </w:rPr>
        <w:t>Lam et al. (2009)</w:t>
      </w:r>
      <w:r w:rsidRPr="00051F54">
        <w:rPr>
          <w:rFonts w:ascii="Arial" w:eastAsiaTheme="minorHAnsi" w:hAnsi="Arial" w:cs="Arial"/>
          <w:lang w:eastAsia="en-US"/>
        </w:rPr>
        <w:fldChar w:fldCharType="end"/>
      </w:r>
      <w:r w:rsidRPr="00051F54">
        <w:rPr>
          <w:rFonts w:ascii="Arial" w:eastAsiaTheme="minorHAnsi" w:hAnsi="Arial" w:cs="Arial"/>
          <w:lang w:eastAsia="en-US"/>
        </w:rPr>
        <w:t xml:space="preserve"> analysed the effectiveness of Parent Skills with Behavioural Couples Therapy (PSBCT) for alcohol dependent fathers (n=30) in an outpatient treatment setting in the US.  All participants attended 24 sessions, including CBT for the first 12 weeks. The intervention group received PSBCT, others regular BCT and a third group were randomly allocated to standard outpatient treatment for alcohol dependency. The authors found minimal differences between PSBCT and BCT on substance use, dyadic adjustment, and intimate partner violence, however effect sizes for PSBCT compared with BCT was larger in relation to parenting and child welfare involvement at 6 and 12 months. Both arms were significantly more effective than standard treatment. </w:t>
      </w:r>
    </w:p>
    <w:p w14:paraId="3D632225" w14:textId="77777777" w:rsidR="00051F54" w:rsidRDefault="00051F54" w:rsidP="00051F54">
      <w:pPr>
        <w:pStyle w:val="NormalWeb"/>
        <w:spacing w:before="0" w:beforeAutospacing="0" w:after="0" w:afterAutospacing="0" w:line="360" w:lineRule="auto"/>
        <w:textAlignment w:val="baseline"/>
        <w:rPr>
          <w:rFonts w:ascii="Arial" w:eastAsiaTheme="minorHAnsi" w:hAnsi="Arial" w:cs="Arial"/>
          <w:lang w:eastAsia="en-US"/>
        </w:rPr>
      </w:pPr>
    </w:p>
    <w:p w14:paraId="0BA7A6E9" w14:textId="57DD646C" w:rsidR="00481EC0" w:rsidRPr="00051F54" w:rsidRDefault="00481EC0" w:rsidP="00051F54">
      <w:pPr>
        <w:pStyle w:val="NormalWeb"/>
        <w:spacing w:before="0" w:beforeAutospacing="0" w:after="0" w:afterAutospacing="0" w:line="360" w:lineRule="auto"/>
        <w:textAlignment w:val="baseline"/>
        <w:rPr>
          <w:rFonts w:ascii="Arial" w:eastAsiaTheme="minorHAnsi" w:hAnsi="Arial" w:cs="Arial"/>
          <w:lang w:eastAsia="en-US"/>
        </w:rPr>
      </w:pPr>
      <w:r w:rsidRPr="00051F54">
        <w:rPr>
          <w:rFonts w:ascii="Arial" w:hAnsi="Arial" w:cs="Arial"/>
        </w:rPr>
        <w:fldChar w:fldCharType="begin"/>
      </w:r>
      <w:r w:rsidR="0042328C">
        <w:rPr>
          <w:rFonts w:ascii="Arial" w:hAnsi="Arial" w:cs="Arial"/>
        </w:rPr>
        <w:instrText xml:space="preserve"> ADDIN EN.CITE &lt;EndNote&gt;&lt;Cite AuthorYear="1"&gt;&lt;Author&gt;Stover&lt;/Author&gt;&lt;Year&gt;2019&lt;/Year&gt;&lt;RecNum&gt;621&lt;/RecNum&gt;&lt;DisplayText&gt;Stover et al. (2019b)&lt;/DisplayText&gt;&lt;record&gt;&lt;rec-number&gt;621&lt;/rec-number&gt;&lt;foreign-keys&gt;&lt;key app="EN" db-id="2wdfddaawxaseae9fd6xrrs3xdxpavsp5dff" timestamp="1712510585" guid="5360425c-c34d-4cb2-b05d-b55008707812"&gt;621&lt;/key&gt;&lt;/foreign-keys&gt;&lt;ref-type name="Journal Article"&gt;17&lt;/ref-type&gt;&lt;contributors&gt;&lt;authors&gt;&lt;author&gt;Stover, Carla Smith&lt;/author&gt;&lt;author&gt;McMahon, Thomas J.&lt;/author&gt;&lt;author&gt;Moore, Kathleen&lt;/author&gt;&lt;/authors&gt;&lt;/contributors&gt;&lt;titles&gt;&lt;title&gt;A randomized pilot trial of two parenting interventions for fathers in residential substance use disorder treatment&lt;/title&gt;&lt;secondary-title&gt;Journal of Substance Abuse Treatment&lt;/secondary-title&gt;&lt;/titles&gt;&lt;periodical&gt;&lt;full-title&gt;Journal of Substance Abuse Treatment&lt;/full-title&gt;&lt;/periodical&gt;&lt;pages&gt;116-127&lt;/pages&gt;&lt;volume&gt;104&lt;/volume&gt;&lt;dates&gt;&lt;year&gt;2019&lt;/year&gt;&lt;/dates&gt;&lt;publisher&gt;Elsevier&lt;/publisher&gt;&lt;isbn&gt;0740-5472&lt;/isbn&gt;&lt;urls&gt;&lt;related-urls&gt;&lt;url&gt;https://doi.org/10.1016/j.jsat.2019.07.003&lt;/url&gt;&lt;/related-urls&gt;&lt;/urls&gt;&lt;electronic-resource-num&gt;10.1016/j.jsat.2019.07.003&lt;/electronic-resource-num&gt;&lt;access-date&gt;2024/04/07&lt;/access-date&gt;&lt;/record&gt;&lt;/Cite&gt;&lt;/EndNote&gt;</w:instrText>
      </w:r>
      <w:r w:rsidRPr="00051F54">
        <w:rPr>
          <w:rFonts w:ascii="Arial" w:hAnsi="Arial" w:cs="Arial"/>
        </w:rPr>
        <w:fldChar w:fldCharType="separate"/>
      </w:r>
      <w:r w:rsidR="0042328C">
        <w:rPr>
          <w:rFonts w:ascii="Arial" w:hAnsi="Arial" w:cs="Arial"/>
          <w:noProof/>
        </w:rPr>
        <w:t>Stover et al. (2019b)</w:t>
      </w:r>
      <w:r w:rsidRPr="00051F54">
        <w:rPr>
          <w:rFonts w:ascii="Arial" w:hAnsi="Arial" w:cs="Arial"/>
        </w:rPr>
        <w:fldChar w:fldCharType="end"/>
      </w:r>
      <w:r w:rsidRPr="00051F54">
        <w:rPr>
          <w:rFonts w:ascii="Arial" w:hAnsi="Arial" w:cs="Arial"/>
        </w:rPr>
        <w:t xml:space="preserve"> in a small US pilot RCT with a short follow-up of 3 months compared two psychosocial interventions aimed at fathers receiving treatment in a residential facility: Fathers for Change (F4C) is an integrated intervention targeting intimate partner violence and child maltreatment; Dads ‘n’ Kids (DNK) is a psychoeducational intervention focused on child development and behavioural parenting skills. Both interventions showed decreases in intimate partner violence. F4C showed some benefit over DNK regarding affect dysregulation symptoms and substance use relapse, albeit both groups increased their substance use following treatment.</w:t>
      </w:r>
    </w:p>
    <w:p w14:paraId="39BAFABB" w14:textId="77777777" w:rsidR="00481EC0" w:rsidRDefault="00481EC0" w:rsidP="00051F54">
      <w:pPr>
        <w:pStyle w:val="NoSpacing"/>
        <w:spacing w:line="360" w:lineRule="auto"/>
      </w:pPr>
    </w:p>
    <w:p w14:paraId="51D4CC27" w14:textId="184FB36D" w:rsidR="00CB4F15" w:rsidRPr="00CB4F15" w:rsidRDefault="00CB4F15" w:rsidP="00CB4F15">
      <w:pPr>
        <w:pStyle w:val="Heading4"/>
        <w:spacing w:line="360" w:lineRule="auto"/>
      </w:pPr>
      <w:r>
        <w:t>Attachment-based therapy</w:t>
      </w:r>
    </w:p>
    <w:p w14:paraId="6FAE7CE4" w14:textId="77777777" w:rsidR="00481EC0" w:rsidRDefault="00481EC0" w:rsidP="00051F54">
      <w:pPr>
        <w:pStyle w:val="NoSpacing"/>
        <w:spacing w:line="360" w:lineRule="auto"/>
      </w:pPr>
      <w:r w:rsidRPr="00E12B94">
        <w:rPr>
          <w:shd w:val="clear" w:color="auto" w:fill="FFFFFF"/>
        </w:rPr>
        <w:t>The strength of infant-parent </w:t>
      </w:r>
      <w:r w:rsidRPr="00E12B94">
        <w:rPr>
          <w:bCs/>
          <w:shd w:val="clear" w:color="auto" w:fill="FFFFFF"/>
        </w:rPr>
        <w:t>attachment is</w:t>
      </w:r>
      <w:r w:rsidRPr="00E12B94">
        <w:rPr>
          <w:shd w:val="clear" w:color="auto" w:fill="FFFFFF"/>
        </w:rPr>
        <w:t xml:space="preserve"> an established indicator of social and emotional development among children. </w:t>
      </w:r>
      <w:r w:rsidRPr="00E12B94">
        <w:t xml:space="preserve">Attachment-based parenting programmes in clinical treatment settings have been evaluated in </w:t>
      </w:r>
      <w:r>
        <w:t>a small</w:t>
      </w:r>
      <w:r w:rsidRPr="00E12B94">
        <w:t xml:space="preserve"> US</w:t>
      </w:r>
      <w:r>
        <w:t xml:space="preserve"> trial and a Finnish study</w:t>
      </w:r>
      <w:r w:rsidRPr="00E12B94">
        <w:t>.</w:t>
      </w:r>
      <w:r>
        <w:t xml:space="preserve"> The</w:t>
      </w:r>
      <w:r w:rsidRPr="00E12B94">
        <w:t xml:space="preserve"> outcomes of interest in these studies were</w:t>
      </w:r>
      <w:r w:rsidRPr="00925EA9">
        <w:t xml:space="preserve"> improvements in child attachment and dyadic </w:t>
      </w:r>
      <w:r w:rsidRPr="0080054F">
        <w:t>alignment</w:t>
      </w:r>
      <w:r>
        <w:t>, as well as maternal substance use</w:t>
      </w:r>
      <w:r w:rsidRPr="0080054F">
        <w:t xml:space="preserve">. </w:t>
      </w:r>
    </w:p>
    <w:p w14:paraId="13FA27C0" w14:textId="77777777" w:rsidR="00481EC0" w:rsidRDefault="00481EC0" w:rsidP="00051F54">
      <w:pPr>
        <w:pStyle w:val="NoSpacing"/>
        <w:spacing w:line="360" w:lineRule="auto"/>
      </w:pPr>
    </w:p>
    <w:p w14:paraId="7ED39A08" w14:textId="4B8DCCC2" w:rsidR="00481EC0" w:rsidRDefault="00481EC0" w:rsidP="00051F54">
      <w:pPr>
        <w:pStyle w:val="NoSpacing"/>
        <w:spacing w:line="360" w:lineRule="auto"/>
      </w:pPr>
      <w:r>
        <w:fldChar w:fldCharType="begin"/>
      </w:r>
      <w:r w:rsidR="00B9334F">
        <w:instrText xml:space="preserve"> ADDIN EN.CITE &lt;EndNote&gt;&lt;Cite AuthorYear="1"&gt;&lt;Author&gt;Belt&lt;/Author&gt;&lt;Year&gt;2012&lt;/Year&gt;&lt;RecNum&gt;273&lt;/RecNum&gt;&lt;DisplayText&gt;Belt et al. (2012)&lt;/DisplayText&gt;&lt;record&gt;&lt;rec-number&gt;273&lt;/rec-number&gt;&lt;foreign-keys&gt;&lt;key app="EN" db-id="ffzvr5fstavwxoe9v04xf0wmp5t50as52da0" timestamp="1731671653" guid="31c39244-05da-43fd-96ea-157750de9e2a"&gt;273&lt;/key&gt;&lt;/foreign-keys&gt;&lt;ref-type name="Journal Article"&gt;17&lt;/ref-type&gt;&lt;contributors&gt;&lt;authors&gt;&lt;author&gt;Belt, Ritva H.&lt;/author&gt;&lt;author&gt;Flykt, Marjo&lt;/author&gt;&lt;author&gt;Punamäki, Raija-Leena&lt;/author&gt;&lt;author&gt;Pajulo, Marjukka&lt;/author&gt;&lt;author&gt;Posa, Tiina&lt;/author&gt;&lt;author&gt;Tamminen, Tuula&lt;/author&gt;&lt;/authors&gt;&lt;/contributors&gt;&lt;titles&gt;&lt;title&gt;Psychotherapy groups and individual support to enhance mental health and early dyadic interaction among drug-abusing mothers&lt;/title&gt;&lt;secondary-title&gt;Infant Mental Health Journal&lt;/secondary-title&gt;&lt;/titles&gt;&lt;periodical&gt;&lt;full-title&gt;Infant mental health journal&lt;/full-title&gt;&lt;/periodical&gt;&lt;pages&gt;520-534&lt;/pages&gt;&lt;volume&gt;33&lt;/volume&gt;&lt;number&gt;5&lt;/number&gt;&lt;dates&gt;&lt;year&gt;2012&lt;/year&gt;&lt;/dates&gt;&lt;isbn&gt;0163-9641&lt;/isbn&gt;&lt;urls&gt;&lt;related-urls&gt;&lt;url&gt;https://onlinelibrary.wiley.com/doi/abs/10.1002/imhj.21348&lt;/url&gt;&lt;/related-urls&gt;&lt;/urls&gt;&lt;electronic-resource-num&gt;https://doi.org/10.1002/imhj.21348&lt;/electronic-resource-num&gt;&lt;/record&gt;&lt;/Cite&gt;&lt;/EndNote&gt;</w:instrText>
      </w:r>
      <w:r>
        <w:fldChar w:fldCharType="separate"/>
      </w:r>
      <w:r w:rsidR="00A77498">
        <w:rPr>
          <w:noProof/>
        </w:rPr>
        <w:t>Belt et al. (2012)</w:t>
      </w:r>
      <w:r>
        <w:fldChar w:fldCharType="end"/>
      </w:r>
      <w:r>
        <w:t xml:space="preserve"> </w:t>
      </w:r>
      <w:r w:rsidRPr="00B970CB">
        <w:t>evaluated the effectiveness of a psychodynamic mother–infant group psychotherapy (PGT) for perinatal women with a drug use disorder compared with individually tailored psychosocial support in Finland. Maternal hostility decreased signiﬁcantly in the intervention group</w:t>
      </w:r>
      <w:r>
        <w:t>, while</w:t>
      </w:r>
      <w:r w:rsidRPr="00B970CB">
        <w:t xml:space="preserve"> </w:t>
      </w:r>
      <w:r>
        <w:t>i</w:t>
      </w:r>
      <w:r w:rsidRPr="00B970CB">
        <w:t xml:space="preserve">ntrusiveness decreased in both, but particularly in </w:t>
      </w:r>
      <w:r>
        <w:t xml:space="preserve">the </w:t>
      </w:r>
      <w:r w:rsidRPr="00B970CB">
        <w:t xml:space="preserve">intervention group. Both </w:t>
      </w:r>
      <w:r>
        <w:t>arms</w:t>
      </w:r>
      <w:r w:rsidRPr="00B970CB">
        <w:t xml:space="preserve"> showed an increase in dyad quality and success in maternal abstinence, treatment retention, and lessening depressive symptoms. However, as the study was neither experimental </w:t>
      </w:r>
      <w:r>
        <w:t>n</w:t>
      </w:r>
      <w:r w:rsidRPr="00B970CB">
        <w:t>or quasi-experimental in design with a small sample, findings should be interpreted with caution.</w:t>
      </w:r>
    </w:p>
    <w:p w14:paraId="16C92855" w14:textId="77777777" w:rsidR="00481EC0" w:rsidRDefault="00481EC0" w:rsidP="00051F54">
      <w:pPr>
        <w:pStyle w:val="NoSpacing"/>
        <w:spacing w:line="360" w:lineRule="auto"/>
      </w:pPr>
    </w:p>
    <w:p w14:paraId="66B0C29F" w14:textId="1C9E6B9E" w:rsidR="00051F54" w:rsidRDefault="00481EC0" w:rsidP="00051F54">
      <w:pPr>
        <w:pStyle w:val="NoSpacing"/>
        <w:spacing w:line="360" w:lineRule="auto"/>
      </w:pPr>
      <w:r>
        <w:t>T</w:t>
      </w:r>
      <w:r w:rsidRPr="00224842">
        <w:t xml:space="preserve">he Mothers and Toddlers Programme (MTP) is an attachment-based programme comprising 12 hourly sessions on parenting for mothers in an outpatient treatment setting </w:t>
      </w:r>
      <w:r w:rsidRPr="00224842">
        <w:fldChar w:fldCharType="begin">
          <w:fldData xml:space="preserve">PEVuZE5vdGU+PENpdGU+PEF1dGhvcj5TdWNobWFuPC9BdXRob3I+PFllYXI+MjAxODwvWWVhcj48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</w:fldData>
        </w:fldChar>
      </w:r>
      <w:r w:rsidR="00B9334F">
        <w:instrText xml:space="preserve"> ADDIN EN.CITE </w:instrText>
      </w:r>
      <w:r w:rsidR="00B9334F">
        <w:fldChar w:fldCharType="begin">
          <w:fldData xml:space="preserve">PEVuZE5vdGU+PENpdGU+PEF1dGhvcj5TdWNobWFuPC9BdXRob3I+PFllYXI+MjAxODwvWWVhcj48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</w:fldData>
        </w:fldChar>
      </w:r>
      <w:r w:rsidR="00B9334F">
        <w:instrText xml:space="preserve"> ADDIN EN.CITE.DATA </w:instrText>
      </w:r>
      <w:r w:rsidR="00B9334F">
        <w:fldChar w:fldCharType="end"/>
      </w:r>
      <w:r w:rsidRPr="00224842">
        <w:fldChar w:fldCharType="separate"/>
      </w:r>
      <w:r w:rsidR="003C6F70">
        <w:rPr>
          <w:noProof/>
        </w:rPr>
        <w:t>(Suchman et al., 2018; Suchman et al., 2010; Suchman et al., 2017)</w:t>
      </w:r>
      <w:r w:rsidRPr="00224842">
        <w:fldChar w:fldCharType="end"/>
      </w:r>
      <w:r w:rsidRPr="00224842">
        <w:t>. At 12-month follow up, intervention</w:t>
      </w:r>
      <w:r w:rsidRPr="00224842">
        <w:rPr>
          <w:sz w:val="20"/>
          <w:szCs w:val="20"/>
        </w:rPr>
        <w:t xml:space="preserve"> </w:t>
      </w:r>
      <w:r w:rsidRPr="00224842">
        <w:t>mothers demonstrated significantly greater compassion and dyadic alignment than the treatment as usual arm</w:t>
      </w:r>
      <w:r>
        <w:rPr>
          <w:noProof/>
        </w:rPr>
        <w:t xml:space="preserve">. </w:t>
      </w:r>
      <w:r w:rsidRPr="00224842">
        <w:rPr>
          <w:noProof/>
        </w:rPr>
        <w:t>As addiction severity increased, the</w:t>
      </w:r>
      <w:r w:rsidRPr="00224842">
        <w:t xml:space="preserve"> intervention appeared to be a protective factor for dyadic interactions, and child attachment, albeit not all differences were statistically significant</w:t>
      </w:r>
      <w:r>
        <w:t xml:space="preserve">. Intervention mothers were less likely to have a heroin relapse, while rates of other </w:t>
      </w:r>
      <w:r>
        <w:rPr>
          <w:noProof/>
        </w:rPr>
        <w:t>opioid relapse were neglible in both arms. Cocaine relapse rates were similar in both arns.</w:t>
      </w:r>
      <w:r w:rsidRPr="00224842">
        <w:t xml:space="preserve"> </w:t>
      </w:r>
      <w:r w:rsidRPr="00224842">
        <w:fldChar w:fldCharType="begin"/>
      </w:r>
      <w:r w:rsidR="00B9334F">
        <w:instrText xml:space="preserve"> ADDIN EN.CITE &lt;EndNote&gt;&lt;Cite&gt;&lt;Author&gt;Suchman&lt;/Author&gt;&lt;Year&gt;2017&lt;/Year&gt;&lt;RecNum&gt;118&lt;/RecNum&gt;&lt;DisplayText&gt;(Suchman et al., 2017)&lt;/DisplayText&gt;&lt;record&gt;&lt;rec-number&gt;118&lt;/rec-number&gt;&lt;foreign-keys&gt;&lt;key app="EN" db-id="ffzvr5fstavwxoe9v04xf0wmp5t50as52da0" timestamp="1731671643" guid="7be11b41-5db2-4742-b2d0-174eb5266498"&gt;118&lt;/key&gt;&lt;/foreign-keys&gt;&lt;ref-type name="Journal Article"&gt;17&lt;/ref-type&gt;&lt;contributors&gt;&lt;authors&gt;&lt;author&gt;Suchman, Nancy E.&lt;/author&gt;&lt;author&gt;DeCoste, Cindy L.&lt;/author&gt;&lt;author&gt;McMahon, Thomas J.&lt;/author&gt;&lt;author&gt;Dalton, Rachel&lt;/author&gt;&lt;author&gt;Mayes, Linda C.&lt;/author&gt;&lt;author&gt;Borelli, Jessica&lt;/author&gt;&lt;/authors&gt;&lt;/contributors&gt;&lt;titles&gt;&lt;title&gt;Mothering from the Inside Out: Results of a second randomized clinical trial testing a mentalization-based intervention for mothers in addiction treatment&lt;/title&gt;&lt;secondary-title&gt;Development and psychopathology&lt;/secondary-title&gt;&lt;/titles&gt;&lt;periodical&gt;&lt;full-title&gt;Development and Psychopathology&lt;/full-title&gt;&lt;/periodical&gt;&lt;pages&gt;617-636&lt;/pages&gt;&lt;volume&gt;29&lt;/volume&gt;&lt;number&gt;2&lt;/number&gt;&lt;dates&gt;&lt;year&gt;2017&lt;/year&gt;&lt;/dates&gt;&lt;isbn&gt;0954-5794&amp;#xD;1469-2198&lt;/isbn&gt;&lt;accession-num&gt;PMC5407293&lt;/accession-num&gt;&lt;urls&gt;&lt;related-urls&gt;&lt;url&gt;http://www.ncbi.nlm.nih.gov/pmc/articles/PMC5407293/&lt;/url&gt;&lt;/related-urls&gt;&lt;/urls&gt;&lt;electronic-resource-num&gt;10.1017/S0954579417000220&lt;/electronic-resource-num&gt;&lt;remote-database-name&gt;PMC&lt;/remote-database-name&gt;&lt;/record&gt;&lt;/Cite&gt;&lt;/EndNote&gt;</w:instrText>
      </w:r>
      <w:r w:rsidRPr="00224842">
        <w:fldChar w:fldCharType="separate"/>
      </w:r>
      <w:r w:rsidR="00A77498">
        <w:rPr>
          <w:noProof/>
        </w:rPr>
        <w:t>(Suchman et al., 2017)</w:t>
      </w:r>
      <w:r w:rsidRPr="00224842">
        <w:fldChar w:fldCharType="end"/>
      </w:r>
      <w:r w:rsidRPr="00224842">
        <w:t>.</w:t>
      </w:r>
      <w:r>
        <w:t xml:space="preserve"> </w:t>
      </w:r>
    </w:p>
    <w:p w14:paraId="4A296DF5" w14:textId="77777777" w:rsidR="00051F54" w:rsidRDefault="00051F54" w:rsidP="00051F54">
      <w:pPr>
        <w:pStyle w:val="NoSpacing"/>
        <w:spacing w:line="360" w:lineRule="auto"/>
      </w:pPr>
    </w:p>
    <w:p w14:paraId="29137003" w14:textId="265707AA" w:rsidR="00DF1148" w:rsidRDefault="00DF1148" w:rsidP="00DF1148">
      <w:pPr>
        <w:pStyle w:val="Heading4"/>
        <w:spacing w:line="360" w:lineRule="auto"/>
      </w:pPr>
      <w:r>
        <w:t>Home-visitation interventions</w:t>
      </w:r>
    </w:p>
    <w:p w14:paraId="509901A6" w14:textId="77777777" w:rsidR="00051F54" w:rsidRDefault="00481EC0" w:rsidP="00051F54">
      <w:pPr>
        <w:pStyle w:val="NoSpacing"/>
        <w:spacing w:line="360" w:lineRule="auto"/>
      </w:pPr>
      <w:r>
        <w:t>Five studies (two Australian, one from the USA, one Canadian and one from the UK) evaluated the effectiveness of treatment plus parenting interventions delivered in the parental home. The UK and Canadian studies include a cost-effectiveness analysis.</w:t>
      </w:r>
    </w:p>
    <w:p w14:paraId="10B73BCB" w14:textId="77777777" w:rsidR="00051F54" w:rsidRDefault="00051F54" w:rsidP="00051F54">
      <w:pPr>
        <w:pStyle w:val="NoSpacing"/>
        <w:spacing w:line="360" w:lineRule="auto"/>
      </w:pPr>
    </w:p>
    <w:p w14:paraId="1F98559C" w14:textId="3733E316" w:rsidR="00051F54" w:rsidRDefault="00481EC0" w:rsidP="00051F54">
      <w:pPr>
        <w:pStyle w:val="NoSpacing"/>
        <w:spacing w:line="360" w:lineRule="auto"/>
      </w:pPr>
      <w:r w:rsidRPr="00483392">
        <w:t>A</w:t>
      </w:r>
      <w:r>
        <w:t xml:space="preserve"> moderate quality </w:t>
      </w:r>
      <w:r w:rsidRPr="00483392">
        <w:t xml:space="preserve">Australian RCT by </w:t>
      </w:r>
      <w:r w:rsidRPr="00483392">
        <w:fldChar w:fldCharType="begin"/>
      </w:r>
      <w:r w:rsidR="00B9334F">
        <w:instrText xml:space="preserve"> ADDIN EN.CITE &lt;EndNote&gt;&lt;Cite AuthorYear="1"&gt;&lt;Author&gt;Bartu&lt;/Author&gt;&lt;Year&gt;2006&lt;/Year&gt;&lt;RecNum&gt;165&lt;/RecNum&gt;&lt;DisplayText&gt;Bartu et al. (2006)&lt;/DisplayText&gt;&lt;record&gt;&lt;rec-number&gt;165&lt;/rec-number&gt;&lt;foreign-keys&gt;&lt;key app="EN" db-id="ffzvr5fstavwxoe9v04xf0wmp5t50as52da0" timestamp="1731671646" guid="bd6c1f3a-92e4-46a6-ada9-5a1ba65b97dd"&gt;165&lt;/key&gt;&lt;/foreign-keys&gt;&lt;ref-type name="Journal Article"&gt;17&lt;/ref-type&gt;&lt;contributors&gt;&lt;authors&gt;&lt;author&gt;Bartu, Anne&lt;/author&gt;&lt;author&gt;Sharp, Jennifer&lt;/author&gt;&lt;author&gt;Ludlow, Joanne&lt;/author&gt;&lt;author&gt;Doherty, Dorota A.&lt;/author&gt;&lt;/authors&gt;&lt;/contributors&gt;&lt;titles&gt;&lt;title&gt;Postnatal home visiting for illicit drug</w:instrText>
      </w:r>
      <w:r w:rsidR="00B9334F">
        <w:rPr>
          <w:rFonts w:ascii="Cambria Math" w:hAnsi="Cambria Math" w:cs="Cambria Math"/>
        </w:rPr>
        <w:instrText>‐</w:instrText>
      </w:r>
      <w:r w:rsidR="00B9334F">
        <w:instrText>using mothers and their infants: A randomised controlled trial&lt;/title&gt;&lt;secondary-title&gt;Australian and New Zealand Journal of Obstetrics and Gynaecology&lt;/secondary-title&gt;&lt;/titles&gt;&lt;periodical&gt;&lt;full-title&gt;Australian and New Zealand Journal of Obstetrics and Gynaecology&lt;/full-title&gt;&lt;/periodical&gt;&lt;pages&gt;419-426&lt;/pages&gt;&lt;volume&gt;46&lt;/volume&gt;&lt;number&gt;5&lt;/number&gt;&lt;keywords&gt;&lt;keyword&gt;Breastfeeding&lt;/keyword&gt;&lt;keyword&gt;Drugs&lt;/keyword&gt;&lt;keyword&gt;Home Visiting&lt;/keyword&gt;&lt;keyword&gt;Immunisations&lt;/keyword&gt;&lt;keyword&gt;Infant Health&lt;/keyword&gt;&lt;/keywords&gt;&lt;dates&gt;&lt;year&gt;2006&lt;/year&gt;&lt;/dates&gt;&lt;pub-location&gt;Melbourne, Australia&lt;/pub-location&gt;&lt;isbn&gt;0004-8666&lt;/isbn&gt;&lt;urls&gt;&lt;/urls&gt;&lt;electronic-resource-num&gt;10.1111/j.1479-828X.2006.00628.x&lt;/electronic-resource-num&gt;&lt;/record&gt;&lt;/Cite&gt;&lt;/EndNote&gt;</w:instrText>
      </w:r>
      <w:r w:rsidRPr="00483392">
        <w:fldChar w:fldCharType="separate"/>
      </w:r>
      <w:r w:rsidR="00A77498">
        <w:rPr>
          <w:noProof/>
        </w:rPr>
        <w:t>Bartu et al. (2006)</w:t>
      </w:r>
      <w:r w:rsidRPr="00483392">
        <w:fldChar w:fldCharType="end"/>
      </w:r>
      <w:r w:rsidRPr="00483392">
        <w:rPr>
          <w:color w:val="FF0000"/>
        </w:rPr>
        <w:t xml:space="preserve"> </w:t>
      </w:r>
      <w:r w:rsidRPr="00483392">
        <w:t>investigated the effect of eight home</w:t>
      </w:r>
      <w:r w:rsidRPr="00483392">
        <w:rPr>
          <w:rFonts w:ascii="Cambria Math" w:hAnsi="Cambria Math" w:cs="Cambria Math"/>
        </w:rPr>
        <w:t>‐</w:t>
      </w:r>
      <w:r w:rsidRPr="00925EA9">
        <w:t>visitations</w:t>
      </w:r>
      <w:r>
        <w:t xml:space="preserve"> for women up to six months after giving birth</w:t>
      </w:r>
      <w:r w:rsidRPr="00925EA9">
        <w:t xml:space="preserve"> on breastfeeding, immunisation </w:t>
      </w:r>
      <w:r>
        <w:t xml:space="preserve">uptake </w:t>
      </w:r>
      <w:r w:rsidRPr="00925EA9">
        <w:t xml:space="preserve">and drug use </w:t>
      </w:r>
      <w:r>
        <w:t>compared with telephone contact</w:t>
      </w:r>
      <w:r w:rsidRPr="00925EA9">
        <w:t xml:space="preserve">. </w:t>
      </w:r>
      <w:r>
        <w:t>The semi-structured home visitation intervention allowed for midwives to respond to clinical and social support needs as they arose</w:t>
      </w:r>
      <w:r w:rsidRPr="00925EA9">
        <w:t xml:space="preserve">. Both research arms demonstrated reduced drug use during pregnancy </w:t>
      </w:r>
      <w:r>
        <w:t>but</w:t>
      </w:r>
      <w:r w:rsidRPr="00925EA9">
        <w:t xml:space="preserve"> an increase by six months. Furthermore, </w:t>
      </w:r>
      <w:r w:rsidRPr="00925EA9">
        <w:lastRenderedPageBreak/>
        <w:t>immunisation rates were similar for each group and median breastfeeding duration for intervention group was eight weeks compared with ten weeks for the comparison group.</w:t>
      </w:r>
      <w:r w:rsidR="00051F54">
        <w:t xml:space="preserve"> </w:t>
      </w:r>
    </w:p>
    <w:p w14:paraId="05D73E12" w14:textId="77777777" w:rsidR="00051F54" w:rsidRDefault="00051F54" w:rsidP="00051F54">
      <w:pPr>
        <w:pStyle w:val="NoSpacing"/>
        <w:spacing w:line="360" w:lineRule="auto"/>
      </w:pPr>
    </w:p>
    <w:p w14:paraId="78F1858D" w14:textId="38C64F00" w:rsidR="00481EC0" w:rsidRDefault="00481EC0" w:rsidP="00051F54">
      <w:pPr>
        <w:pStyle w:val="NoSpacing"/>
        <w:spacing w:line="360" w:lineRule="auto"/>
      </w:pPr>
      <w:r w:rsidRPr="00A67DF7">
        <w:t xml:space="preserve">The Parents under Pressure (PuP) programme is a 24-week home-visitation intervention for primary caregivers </w:t>
      </w:r>
      <w:r>
        <w:t xml:space="preserve">(male and female) </w:t>
      </w:r>
      <w:r w:rsidRPr="00A67DF7">
        <w:t xml:space="preserve">of children younger than 2.5 years receiving methadone treatment. It comprises 12 modules relating to parenting and coping skills within a care management structure, meaning parents can also receive support outside of these times should they need it. A Brisbane, Australia </w:t>
      </w:r>
      <w:r w:rsidRPr="00483392">
        <w:t>RCT reported that intervention parents demonstrated significant improvements across several areas such as stress and child abuse potential, although a sizable proportion (36%) of the group maintained their high-risk status</w:t>
      </w:r>
      <w:r w:rsidR="00914161">
        <w:t xml:space="preserve"> </w:t>
      </w:r>
      <w:r w:rsidR="00914161">
        <w:fldChar w:fldCharType="begin"/>
      </w:r>
      <w:r w:rsidR="00B9334F">
        <w:instrText xml:space="preserve"> ADDIN EN.CITE &lt;EndNote&gt;&lt;Cite&gt;&lt;Author&gt;Dawe&lt;/Author&gt;&lt;Year&gt;2007&lt;/Year&gt;&lt;RecNum&gt;197&lt;/RecNum&gt;&lt;DisplayText&gt;(Dawe &amp;amp; Harnett, 2007)&lt;/DisplayText&gt;&lt;record&gt;&lt;rec-number&gt;197&lt;/rec-number&gt;&lt;foreign-keys&gt;&lt;key app="EN" db-id="ffzvr5fstavwxoe9v04xf0wmp5t50as52da0" timestamp="1731671648" guid="61ef2855-54f6-43e0-b982-b1bde724e7f2"&gt;197&lt;/key&gt;&lt;/foreign-keys&gt;&lt;ref-type name="Journal Article"&gt;17&lt;/ref-type&gt;&lt;contributors&gt;&lt;authors&gt;&lt;author&gt;Dawe, S.&lt;/author&gt;&lt;author&gt;Harnett, P.&lt;/author&gt;&lt;/authors&gt;&lt;/contributors&gt;&lt;titles&gt;&lt;title&gt;Reducing potential for child abuse among methadone-maintained parents: results from a randomized controlled trial&lt;/title&gt;&lt;alt-title&gt;J Subst Abuse Treat&lt;/alt-title&gt;&lt;/titles&gt;&lt;alt-periodical&gt;&lt;full-title&gt;J Subst Abuse Treat&lt;/full-title&gt;&lt;/alt-periodical&gt;&lt;pages&gt;381-390&lt;/pages&gt;&lt;volume&gt;32&lt;/volume&gt;&lt;dates&gt;&lt;year&gt;2007&lt;/year&gt;&lt;/dates&gt;&lt;label&gt;49.&lt;/label&gt;&lt;urls&gt;&lt;related-urls&gt;&lt;url&gt;https://doi.org/10.1016/j.jsat.2006.10.003&lt;/url&gt;&lt;/related-urls&gt;&lt;/urls&gt;&lt;/record&gt;&lt;/Cite&gt;&lt;/EndNote&gt;</w:instrText>
      </w:r>
      <w:r w:rsidR="00914161">
        <w:fldChar w:fldCharType="separate"/>
      </w:r>
      <w:r w:rsidR="002E6444">
        <w:rPr>
          <w:noProof/>
        </w:rPr>
        <w:t>(Dawe &amp; Harnett, 2007)</w:t>
      </w:r>
      <w:r w:rsidR="00914161">
        <w:fldChar w:fldCharType="end"/>
      </w:r>
      <w:r w:rsidRPr="00483392">
        <w:t xml:space="preserve">. The promising findings of the programme </w:t>
      </w:r>
      <w:r>
        <w:t>were</w:t>
      </w:r>
      <w:r w:rsidRPr="00483392">
        <w:t xml:space="preserve"> substantiated in the UK RCT</w:t>
      </w:r>
      <w:r>
        <w:t xml:space="preserve"> by</w:t>
      </w:r>
      <w:r w:rsidRPr="00483392">
        <w:t xml:space="preserve"> </w:t>
      </w:r>
      <w:r w:rsidR="00B44BAC">
        <w:fldChar w:fldCharType="begin"/>
      </w:r>
      <w:r w:rsidR="00B9334F">
        <w:instrText xml:space="preserve"> ADDIN EN.CITE &lt;EndNote&gt;&lt;Cite&gt;&lt;Author&gt;Barlow&lt;/Author&gt;&lt;Year&gt;2019&lt;/Year&gt;&lt;RecNum&gt;352&lt;/RecNum&gt;&lt;DisplayText&gt;(Barlow et al., 2019)&lt;/DisplayText&gt;&lt;record&gt;&lt;rec-number&gt;352&lt;/rec-number&gt;&lt;foreign-keys&gt;&lt;key app="EN" db-id="ffzvr5fstavwxoe9v04xf0wmp5t50as52da0" timestamp="1731671662" guid="6ea7a351-6fc8-464b-a9ac-f9341d82fed9"&gt;352&lt;/key&gt;&lt;/foreign-keys&gt;&lt;ref-type name="Journal Article"&gt;17&lt;/ref-type&gt;&lt;contributors&gt;&lt;authors&gt;&lt;author&gt;Barlow, J.&lt;/author&gt;&lt;author&gt;Sembi, S.&lt;/author&gt;&lt;author&gt;Parsons, H.&lt;/author&gt;&lt;author&gt;Kim, S.&lt;/author&gt;&lt;author&gt;Petrou, S.&lt;/author&gt;&lt;author&gt;Harnett, P.&lt;/author&gt;&lt;author&gt;Dawe, S.&lt;/author&gt;&lt;/authors&gt;&lt;/contributors&gt;&lt;titles&gt;&lt;title&gt;A randomized controlled trial and economic evaluation of the Parents Under Pressure program for parents in substance abuse treatment&lt;/title&gt;&lt;secondary-title&gt;Drug and Alcohol Dependence&lt;/secondary-title&gt;&lt;/titles&gt;&lt;periodical&gt;&lt;full-title&gt;Drug Alcohol Depend&lt;/full-title&gt;&lt;abbr-1&gt;Drug and alcohol dependence&lt;/abbr-1&gt;&lt;/periodical&gt;&lt;pages&gt;184-194&lt;/pages&gt;&lt;volume&gt;194&lt;/volume&gt;&lt;dates&gt;&lt;year&gt;2019&lt;/year&gt;&lt;/dates&gt;&lt;label&gt;46.&lt;/label&gt;&lt;urls&gt;&lt;related-urls&gt;&lt;url&gt;https://doi.org/10.1016/j.drugalcdep.2018.08.044&lt;/url&gt;&lt;/related-urls&gt;&lt;/urls&gt;&lt;/record&gt;&lt;/Cite&gt;&lt;/EndNote&gt;</w:instrText>
      </w:r>
      <w:r w:rsidR="00B44BAC">
        <w:fldChar w:fldCharType="separate"/>
      </w:r>
      <w:r w:rsidR="00A77498">
        <w:rPr>
          <w:noProof/>
        </w:rPr>
        <w:t>(Barlow et al., 2019)</w:t>
      </w:r>
      <w:r w:rsidR="00B44BAC">
        <w:fldChar w:fldCharType="end"/>
      </w:r>
      <w:r>
        <w:t xml:space="preserve">which benefited from </w:t>
      </w:r>
      <w:r w:rsidRPr="00A67DF7">
        <w:t>a better study design</w:t>
      </w:r>
      <w:r>
        <w:t>:</w:t>
      </w:r>
      <w:r w:rsidRPr="00A67DF7">
        <w:t xml:space="preserve"> </w:t>
      </w:r>
      <w:r>
        <w:t>t</w:t>
      </w:r>
      <w:r w:rsidRPr="00A67DF7">
        <w:t xml:space="preserve">he UK RCT was close to real-world conditions across several sites with a comprehensive cost-effectiveness analysis. The authors reported that the intervention had a 52% probability of cost-effectiveness at a willingness to pay (WTP) £1,000 per unit of Brief Child Abuse Potential (BCAP) </w:t>
      </w:r>
      <w:r>
        <w:t xml:space="preserve">Inventory </w:t>
      </w:r>
      <w:r w:rsidRPr="00A67DF7">
        <w:t>score improvement and a 98% probability at WTP of £20,000. As there is no established WTP of a BCAP unit improvement, it is not possible to determine with any confidence that the intervention is cost-effective. In addition, when using QALY gains to measure cost-effectiveness (derived from the EQ-5D-5L), the authors found that the intervention was above the N</w:t>
      </w:r>
      <w:r>
        <w:t xml:space="preserve">ational </w:t>
      </w:r>
      <w:r w:rsidRPr="00A67DF7">
        <w:t>I</w:t>
      </w:r>
      <w:r>
        <w:t xml:space="preserve">nstitute for Health and </w:t>
      </w:r>
      <w:r w:rsidRPr="00A67DF7">
        <w:t>C</w:t>
      </w:r>
      <w:r>
        <w:t xml:space="preserve">are </w:t>
      </w:r>
      <w:r w:rsidRPr="00A67DF7">
        <w:t>E</w:t>
      </w:r>
      <w:r>
        <w:t>xcellence</w:t>
      </w:r>
      <w:r w:rsidRPr="00A67DF7">
        <w:t xml:space="preserve"> </w:t>
      </w:r>
      <w:r>
        <w:t xml:space="preserve">(NICE) </w:t>
      </w:r>
      <w:r w:rsidRPr="00A67DF7">
        <w:t xml:space="preserve">threshold of £20-30,000 per QALY gain at about £34,000 and so would not be considered as cost-effective by </w:t>
      </w:r>
      <w:r>
        <w:t>N</w:t>
      </w:r>
      <w:r w:rsidRPr="00A67DF7">
        <w:t>ICE.</w:t>
      </w:r>
    </w:p>
    <w:p w14:paraId="649D7A4A" w14:textId="77777777" w:rsidR="00481EC0" w:rsidRDefault="00481EC0" w:rsidP="00051F54">
      <w:pPr>
        <w:pStyle w:val="NoSpacing"/>
        <w:spacing w:line="360" w:lineRule="auto"/>
      </w:pPr>
    </w:p>
    <w:p w14:paraId="7AF6F20F" w14:textId="14ACEB62" w:rsidR="002628D7" w:rsidRDefault="00481EC0" w:rsidP="00425FB5">
      <w:pPr>
        <w:pStyle w:val="NoSpacing"/>
        <w:spacing w:line="360" w:lineRule="auto"/>
      </w:pPr>
      <w:r w:rsidRPr="001A44CE">
        <w:t xml:space="preserve">One paper evaluated the effectiveness of the Parent-Child Assistance Programme (P-CAP), a three-year home visitation intervention for women who have delivered at least one </w:t>
      </w:r>
      <w:r>
        <w:t>child exposed to substances</w:t>
      </w:r>
      <w:r w:rsidRPr="001A44CE">
        <w:t>. Care managers are paraprofessionals typically working with 15 families and supporting women to receive treatment and access relevant community agencies such as mental health providers and employment support services.</w:t>
      </w:r>
      <w:r w:rsidRPr="001A44CE">
        <w:rPr>
          <w:sz w:val="20"/>
          <w:szCs w:val="20"/>
        </w:rPr>
        <w:t xml:space="preserve">  </w:t>
      </w:r>
      <w:r>
        <w:t xml:space="preserve">A US study rated low quality by </w:t>
      </w:r>
      <w:r w:rsidRPr="001A44CE">
        <w:fldChar w:fldCharType="begin"/>
      </w:r>
      <w:r w:rsidR="00B9334F">
        <w:instrText xml:space="preserve"> ADDIN EN.CITE &lt;EndNote&gt;&lt;Cite AuthorYear="1"&gt;&lt;Author&gt;Grant&lt;/Author&gt;&lt;Year&gt;2005&lt;/Year&gt;&lt;RecNum&gt;701&lt;/RecNum&gt;&lt;DisplayText&gt;Grant et al. (2005)&lt;/DisplayText&gt;&lt;record&gt;&lt;rec-number&gt;701&lt;/rec-number&gt;&lt;foreign-keys&gt;&lt;key app="EN" db-id="ffzvr5fstavwxoe9v04xf0wmp5t50as52da0" timestamp="1731671738" guid="3e550ec5-6664-4788-a13d-7d34ec41c019"&gt;701&lt;/key&gt;&lt;/foreign-keys&gt;&lt;ref-type name="Journal Article"&gt;17&lt;/ref-type&gt;&lt;contributors&gt;&lt;authors&gt;&lt;author&gt;Grant, Therese M.&lt;/author&gt;&lt;author&gt;Ernst, Cara C.&lt;/author&gt;&lt;author&gt;Streissguth, Ann&lt;/author&gt;&lt;author&gt;Stark, Kenneth&lt;/author&gt;&lt;/authors&gt;&lt;/contributors&gt;&lt;titles&gt;&lt;title&gt;Preventing Alcohol and Drug Exposed Births in Washington State: Intervention Findings From Three Parent-Child Assistance Program Sites&lt;/title&gt;&lt;secondary-title&gt;The American Journal of Drug and Alcohol Abuse&lt;/secondary-title&gt;&lt;/titles&gt;&lt;periodical&gt;&lt;full-title&gt;The American Journal of Drug and Alcohol Abuse&lt;/full-title&gt;&lt;/periodical&gt;&lt;pages&gt;471-490&lt;/pages&gt;&lt;volume&gt;31&lt;/volume&gt;&lt;number&gt;3&lt;/number&gt;&lt;keywords&gt;&lt;keyword&gt;Drug Abuse And Alcoholism&lt;/keyword&gt;&lt;keyword&gt;Fetal alcohol syndrome&lt;/keyword&gt;&lt;keyword&gt;Mothers&lt;/keyword&gt;&lt;keyword&gt;Pregnancy&lt;/keyword&gt;&lt;keyword&gt;Drug abuse&lt;/keyword&gt;&lt;keyword&gt;Alcohol use&lt;/keyword&gt;&lt;keyword&gt;Prevention programs&lt;/keyword&gt;&lt;keyword&gt;Washington (state)&lt;/keyword&gt;&lt;/keywords&gt;&lt;dates&gt;&lt;year&gt;2005&lt;/year&gt;&lt;pub-dates&gt;&lt;date&gt;Aug 2005&amp;#xD;2015-09-19&lt;/date&gt;&lt;/pub-dates&gt;&lt;/dates&gt;&lt;pub-location&gt;New York&lt;/pub-location&gt;&lt;publisher&gt;Taylor &amp;amp; Francis Ltd.&lt;/publisher&gt;&lt;isbn&gt;00952990&lt;/isbn&gt;&lt;accession-num&gt;219377776&lt;/accession-num&gt;&lt;urls&gt;&lt;/urls&gt;&lt;electronic-resource-num&gt;10.1081/ADA-200056813&lt;/electronic-resource-num&gt;&lt;remote-database-name&gt;Applied Social Sciences Index &amp;amp; Abstracts (ASSIA)&lt;/remote-database-name&gt;&lt;language&gt;English&lt;/language&gt;&lt;/record&gt;&lt;/Cite&gt;&lt;/EndNote&gt;</w:instrText>
      </w:r>
      <w:r w:rsidRPr="001A44CE">
        <w:fldChar w:fldCharType="separate"/>
      </w:r>
      <w:r w:rsidR="00A77498">
        <w:rPr>
          <w:noProof/>
        </w:rPr>
        <w:t>Grant et al. (2005)</w:t>
      </w:r>
      <w:r w:rsidRPr="001A44CE">
        <w:fldChar w:fldCharType="end"/>
      </w:r>
      <w:r w:rsidRPr="001A44CE">
        <w:t xml:space="preserve"> showed P-CAP to be effective in terms of reductions in substance use and likelihood of treatment completion. Encouragingly, a </w:t>
      </w:r>
      <w:r>
        <w:t xml:space="preserve">high-quality </w:t>
      </w:r>
      <w:r w:rsidRPr="001A44CE">
        <w:t xml:space="preserve">cost-effectiveness analysis of P-CAP in Alberta, Canada focusing on preventing foetal alcohol spectrum disorder </w:t>
      </w:r>
      <w:r w:rsidRPr="001A44CE">
        <w:lastRenderedPageBreak/>
        <w:t xml:space="preserve">(FASD) reported an ICER of $97,000 and net monetary benefit of $22m </w:t>
      </w:r>
      <w:r w:rsidRPr="001A44CE">
        <w:fldChar w:fldCharType="begin">
          <w:fldData xml:space="preserve">PEVuZE5vdGU+PENpdGU+PEF1dGhvcj5UaGFuaDwvQXV0aG9yPjxZZWFyPjIwMTU8L1llYXI+PFJl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</w:fldData>
        </w:fldChar>
      </w:r>
      <w:r w:rsidR="00B9334F">
        <w:instrText xml:space="preserve"> ADDIN EN.CITE </w:instrText>
      </w:r>
      <w:r w:rsidR="00B9334F">
        <w:fldChar w:fldCharType="begin">
          <w:fldData xml:space="preserve">PEVuZE5vdGU+PENpdGU+PEF1dGhvcj5UaGFuaDwvQXV0aG9yPjxZZWFyPjIwMTU8L1llYXI+PFJl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</w:fldData>
        </w:fldChar>
      </w:r>
      <w:r w:rsidR="00B9334F">
        <w:instrText xml:space="preserve"> ADDIN EN.CITE.DATA </w:instrText>
      </w:r>
      <w:r w:rsidR="00B9334F">
        <w:fldChar w:fldCharType="end"/>
      </w:r>
      <w:r w:rsidRPr="001A44CE">
        <w:fldChar w:fldCharType="separate"/>
      </w:r>
      <w:r w:rsidR="00A77498">
        <w:rPr>
          <w:noProof/>
        </w:rPr>
        <w:t>(Thanh et al., 2015)</w:t>
      </w:r>
      <w:r w:rsidRPr="001A44CE">
        <w:fldChar w:fldCharType="end"/>
      </w:r>
      <w:r w:rsidRPr="001A44CE">
        <w:t>. The probabilities in the model were largely derived from local data making results very applicable to local Alberta decision-makers. It is not clear, whether the results are generalizable outside of Alberta, however</w:t>
      </w:r>
      <w:r w:rsidR="002628D7">
        <w:t>.</w:t>
      </w:r>
    </w:p>
    <w:p w14:paraId="1E7DB312" w14:textId="77777777" w:rsidR="002628D7" w:rsidRDefault="002628D7" w:rsidP="00425FB5">
      <w:pPr>
        <w:pStyle w:val="NoSpacing"/>
        <w:spacing w:line="360" w:lineRule="auto"/>
      </w:pPr>
    </w:p>
    <w:p w14:paraId="458A58F8" w14:textId="6EB12FA5" w:rsidR="001A39D7" w:rsidRDefault="00481EC0" w:rsidP="00425FB5">
      <w:pPr>
        <w:pStyle w:val="NoSpacing"/>
        <w:spacing w:line="360" w:lineRule="auto"/>
      </w:pPr>
      <w:r>
        <w:t xml:space="preserve">The available evidence suggests that parenting interventions delivered in the home alongside specialist treatment may be an effective use of resources in the UK compared with treatment as usual. Its cost-effectiveness, however, is not clear. </w:t>
      </w:r>
    </w:p>
    <w:p w14:paraId="58C838BB" w14:textId="77777777" w:rsidR="00425FB5" w:rsidRDefault="00425FB5" w:rsidP="00425FB5">
      <w:pPr>
        <w:pStyle w:val="NoSpacing"/>
        <w:spacing w:line="360" w:lineRule="auto"/>
      </w:pPr>
    </w:p>
    <w:p w14:paraId="35F36BF8" w14:textId="79A1E156" w:rsidR="0096421A" w:rsidRDefault="00481EC0" w:rsidP="0096421A">
      <w:pPr>
        <w:pStyle w:val="Heading3"/>
        <w:spacing w:line="240" w:lineRule="auto"/>
      </w:pPr>
      <w:bookmarkStart w:id="217" w:name="_Toc189229734"/>
      <w:r>
        <w:t xml:space="preserve">Specialist treatment </w:t>
      </w:r>
      <w:r w:rsidR="00545D7B">
        <w:t>plus</w:t>
      </w:r>
      <w:r>
        <w:t xml:space="preserve"> </w:t>
      </w:r>
      <w:r w:rsidRPr="00AF21EA">
        <w:t>statutory child welfare support</w:t>
      </w:r>
      <w:r w:rsidR="0096421A">
        <w:t>: summary of evidence</w:t>
      </w:r>
      <w:bookmarkEnd w:id="217"/>
    </w:p>
    <w:p w14:paraId="3AD424DD" w14:textId="77777777" w:rsidR="0096421A" w:rsidRPr="0096421A" w:rsidRDefault="0096421A" w:rsidP="0096421A">
      <w:pPr>
        <w:pStyle w:val="NoSpacing"/>
        <w:spacing w:line="360" w:lineRule="auto"/>
      </w:pPr>
    </w:p>
    <w:p w14:paraId="0185C9D2" w14:textId="77777777" w:rsidR="00481EC0" w:rsidRDefault="00481EC0" w:rsidP="001A39D7">
      <w:pPr>
        <w:pStyle w:val="NoSpacing"/>
        <w:spacing w:line="360" w:lineRule="auto"/>
      </w:pPr>
      <w:r>
        <w:t xml:space="preserve">Studies in this category focus on families in which children have been previously or are currently in care, and/or are at risk of being removed from their parents’ care. As such, they represent the most extreme cases of familial vulnerability and risk of harm associated with parental SUD. </w:t>
      </w:r>
    </w:p>
    <w:p w14:paraId="049C3231" w14:textId="77777777" w:rsidR="00481EC0" w:rsidRDefault="00481EC0" w:rsidP="001A39D7">
      <w:pPr>
        <w:pStyle w:val="NoSpacing"/>
        <w:spacing w:line="360" w:lineRule="auto"/>
      </w:pPr>
    </w:p>
    <w:p w14:paraId="773E3E6A" w14:textId="498345E2" w:rsidR="00481EC0" w:rsidRDefault="00481EC0" w:rsidP="001A39D7">
      <w:pPr>
        <w:pStyle w:val="NoSpacing"/>
        <w:spacing w:line="360" w:lineRule="auto"/>
      </w:pPr>
      <w:r>
        <w:t xml:space="preserve">A systematic review by </w:t>
      </w:r>
      <w:r>
        <w:fldChar w:fldCharType="begin">
          <w:fldData xml:space="preserve">PEVuZE5vdGU+PENpdGUgQXV0aG9yWWVhcj0iMSI+PEF1dGhvcj5NdXJwaHk8L0F1dGhvcj48WWVh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</w:fldData>
        </w:fldChar>
      </w:r>
      <w:r w:rsidR="00B9334F">
        <w:instrText xml:space="preserve"> ADDIN EN.CITE </w:instrText>
      </w:r>
      <w:r w:rsidR="00B9334F">
        <w:fldChar w:fldCharType="begin">
          <w:fldData xml:space="preserve">PEVuZE5vdGU+PENpdGUgQXV0aG9yWWVhcj0iMSI+PEF1dGhvcj5NdXJwaHk8L0F1dGhvcj48WWVh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</w:fldData>
        </w:fldChar>
      </w:r>
      <w:r w:rsidR="00B9334F">
        <w:instrText xml:space="preserve"> ADDIN EN.CITE.DATA </w:instrText>
      </w:r>
      <w:r w:rsidR="00B9334F">
        <w:fldChar w:fldCharType="end"/>
      </w:r>
      <w:r>
        <w:fldChar w:fldCharType="separate"/>
      </w:r>
      <w:r w:rsidR="00A77498">
        <w:rPr>
          <w:noProof/>
        </w:rPr>
        <w:t>Murphy et al. (2017)</w:t>
      </w:r>
      <w:r>
        <w:fldChar w:fldCharType="end"/>
      </w:r>
      <w:r>
        <w:t xml:space="preserve"> explored the effectiveness of interventions addressing parental substance use for families involved with the statutory child welfare system. All effective interventions in terms of treatment completion and family reunification, irrespective of the treatment model, provided comprehensive individually tailored support, which the authors highlighted as key to success.  Another review for mothers by </w:t>
      </w:r>
      <w:r>
        <w:fldChar w:fldCharType="begin">
          <w:fldData xml:space="preserve">PEVuZE5vdGU+PENpdGUgQXV0aG9yWWVhcj0iMSI+PEF1dGhvcj5OZW88L0F1dGhvcj48WWVhcj4y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</w:fldData>
        </w:fldChar>
      </w:r>
      <w:r w:rsidR="00B9334F">
        <w:instrText xml:space="preserve"> ADDIN EN.CITE </w:instrText>
      </w:r>
      <w:r w:rsidR="00B9334F">
        <w:fldChar w:fldCharType="begin">
          <w:fldData xml:space="preserve">PEVuZE5vdGU+PENpdGUgQXV0aG9yWWVhcj0iMSI+PEF1dGhvcj5OZW88L0F1dGhvcj48WWVhcj4y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</w:fldData>
        </w:fldChar>
      </w:r>
      <w:r w:rsidR="00B9334F">
        <w:instrText xml:space="preserve"> ADDIN EN.CITE.DATA </w:instrText>
      </w:r>
      <w:r w:rsidR="00B9334F">
        <w:fldChar w:fldCharType="end"/>
      </w:r>
      <w:r>
        <w:fldChar w:fldCharType="separate"/>
      </w:r>
      <w:r w:rsidR="00A77498">
        <w:rPr>
          <w:noProof/>
        </w:rPr>
        <w:t>Neo et al. (2021)</w:t>
      </w:r>
      <w:r>
        <w:fldChar w:fldCharType="end"/>
      </w:r>
      <w:r>
        <w:t xml:space="preserve"> found few high-quality studies for inclusion. Results suggested that integrated programmes appear to produce beneficial outcomes, specifically treatment completion, reduction in maternal substance use and/or families staying together. However, more robust research is needed to support this finding.</w:t>
      </w:r>
    </w:p>
    <w:p w14:paraId="29ED722F" w14:textId="77777777" w:rsidR="00481EC0" w:rsidRDefault="00481EC0" w:rsidP="001A39D7">
      <w:pPr>
        <w:pStyle w:val="NoSpacing"/>
        <w:spacing w:line="360" w:lineRule="auto"/>
      </w:pPr>
    </w:p>
    <w:p w14:paraId="2C3BF449" w14:textId="4273066C" w:rsidR="00481EC0" w:rsidRDefault="00481EC0" w:rsidP="001A39D7">
      <w:pPr>
        <w:pStyle w:val="NoSpacing"/>
        <w:spacing w:line="360" w:lineRule="auto"/>
      </w:pPr>
      <w:r w:rsidRPr="00AD5F18">
        <w:t>2</w:t>
      </w:r>
      <w:r>
        <w:t>3</w:t>
      </w:r>
      <w:r w:rsidRPr="00AD5F18">
        <w:t xml:space="preserve"> individual studies are included in this section, firstly categorised by those without</w:t>
      </w:r>
      <w:r w:rsidRPr="00B30953">
        <w:t xml:space="preserve"> </w:t>
      </w:r>
      <w:r w:rsidRPr="00CE4709">
        <w:t>a parenting intervention (n=</w:t>
      </w:r>
      <w:r w:rsidR="001E4473">
        <w:t>5</w:t>
      </w:r>
      <w:r w:rsidRPr="00CE4709">
        <w:t xml:space="preserve">) and then those with a parenting intervention (n= </w:t>
      </w:r>
      <w:r w:rsidR="001E4473">
        <w:t>7</w:t>
      </w:r>
      <w:r w:rsidRPr="00CE4709">
        <w:t>). These are followed by studies on family treatment drug courts (n=1</w:t>
      </w:r>
      <w:r>
        <w:t>1</w:t>
      </w:r>
      <w:r w:rsidRPr="00CE4709">
        <w:t xml:space="preserve">). </w:t>
      </w:r>
    </w:p>
    <w:p w14:paraId="1DD07C55" w14:textId="77777777" w:rsidR="002628D7" w:rsidRDefault="002628D7" w:rsidP="001A39D7">
      <w:pPr>
        <w:pStyle w:val="NoSpacing"/>
        <w:spacing w:line="360" w:lineRule="auto"/>
      </w:pPr>
    </w:p>
    <w:p w14:paraId="2E1DA841" w14:textId="2219AE59" w:rsidR="002628D7" w:rsidRPr="002628D7" w:rsidRDefault="002628D7" w:rsidP="002628D7">
      <w:pPr>
        <w:pStyle w:val="Heading4"/>
        <w:spacing w:line="360" w:lineRule="auto"/>
      </w:pPr>
      <w:r>
        <w:lastRenderedPageBreak/>
        <w:t>Without a parenting intervention</w:t>
      </w:r>
    </w:p>
    <w:p w14:paraId="6853BE75" w14:textId="6B723EAD" w:rsidR="00481EC0" w:rsidRPr="00F74788" w:rsidRDefault="001E4473" w:rsidP="00F74788">
      <w:pPr>
        <w:spacing w:line="360" w:lineRule="auto"/>
        <w:rPr>
          <w:rFonts w:cs="Arial"/>
          <w:szCs w:val="24"/>
        </w:rPr>
      </w:pPr>
      <w:r>
        <w:rPr>
          <w:rFonts w:cs="Arial"/>
          <w:szCs w:val="24"/>
        </w:rPr>
        <w:t>Five</w:t>
      </w:r>
      <w:r w:rsidR="00481EC0" w:rsidRPr="000433AB">
        <w:rPr>
          <w:rFonts w:cs="Arial"/>
          <w:szCs w:val="24"/>
        </w:rPr>
        <w:t xml:space="preserve"> </w:t>
      </w:r>
      <w:r w:rsidR="00481EC0">
        <w:rPr>
          <w:rFonts w:cs="Arial"/>
          <w:szCs w:val="24"/>
        </w:rPr>
        <w:t>studies</w:t>
      </w:r>
      <w:r w:rsidR="00481EC0" w:rsidRPr="000433AB">
        <w:rPr>
          <w:rFonts w:cs="Arial"/>
          <w:szCs w:val="24"/>
        </w:rPr>
        <w:t xml:space="preserve"> from the US</w:t>
      </w:r>
      <w:r w:rsidR="00481EC0">
        <w:rPr>
          <w:rFonts w:cs="Arial"/>
          <w:szCs w:val="24"/>
        </w:rPr>
        <w:t xml:space="preserve"> </w:t>
      </w:r>
      <w:r w:rsidR="00481EC0" w:rsidRPr="000433AB">
        <w:rPr>
          <w:rFonts w:cs="Arial"/>
          <w:szCs w:val="24"/>
        </w:rPr>
        <w:t xml:space="preserve"> evaluated the effectiveness </w:t>
      </w:r>
      <w:r w:rsidR="00481EC0">
        <w:rPr>
          <w:rFonts w:cs="Arial"/>
          <w:szCs w:val="24"/>
        </w:rPr>
        <w:t xml:space="preserve">of different types of </w:t>
      </w:r>
      <w:r w:rsidR="00481EC0" w:rsidRPr="000433AB">
        <w:rPr>
          <w:rFonts w:cs="Arial"/>
          <w:szCs w:val="24"/>
        </w:rPr>
        <w:t xml:space="preserve">treatment </w:t>
      </w:r>
      <w:r w:rsidR="00545D7B">
        <w:rPr>
          <w:rFonts w:cs="Arial"/>
          <w:szCs w:val="24"/>
        </w:rPr>
        <w:t>plus</w:t>
      </w:r>
      <w:r w:rsidR="00481EC0" w:rsidRPr="000433AB">
        <w:rPr>
          <w:rFonts w:cs="Arial"/>
          <w:szCs w:val="24"/>
        </w:rPr>
        <w:t xml:space="preserve"> statutory </w:t>
      </w:r>
      <w:r w:rsidR="00481EC0">
        <w:rPr>
          <w:rFonts w:cs="Arial"/>
          <w:szCs w:val="24"/>
        </w:rPr>
        <w:t xml:space="preserve">child welfare support, without a parenting intervention component. </w:t>
      </w:r>
      <w:r w:rsidR="00481EC0">
        <w:fldChar w:fldCharType="begin"/>
      </w:r>
      <w:r w:rsidR="00B9334F">
        <w:instrText xml:space="preserve"> ADDIN EN.CITE &lt;EndNote&gt;&lt;Cite AuthorYear="1"&gt;&lt;Author&gt;Huebner&lt;/Author&gt;&lt;Year&gt;2012&lt;/Year&gt;&lt;RecNum&gt;274&lt;/RecNum&gt;&lt;DisplayText&gt;Huebner et al. (2012)&lt;/DisplayText&gt;&lt;record&gt;&lt;rec-number&gt;274&lt;/rec-number&gt;&lt;foreign-keys&gt;&lt;key app="EN" db-id="ffzvr5fstavwxoe9v04xf0wmp5t50as52da0" timestamp="1731671653" guid="a3bd33e4-a3f1-42bd-8427-2240194519dd"&gt;274&lt;/key&gt;&lt;/foreign-keys&gt;&lt;ref-type name="Journal Article"&gt;17&lt;/ref-type&gt;&lt;contributors&gt;&lt;authors&gt;&lt;author&gt;Huebner, Ruth A.&lt;/author&gt;&lt;author&gt;Willauer, Tina&lt;/author&gt;&lt;author&gt;Posze, Lynn&lt;/author&gt;&lt;/authors&gt;&lt;/contributors&gt;&lt;titles&gt;&lt;title&gt;The Impact of Sobriety Treatment and Recovery Teams (START) on Family Outcomes&lt;/title&gt;&lt;secondary-title&gt;Families in Society&lt;/secondary-title&gt;&lt;/titles&gt;&lt;periodical&gt;&lt;full-title&gt;Families in Society&lt;/full-title&gt;&lt;/periodical&gt;&lt;pages&gt;196-203&lt;/pages&gt;&lt;volume&gt;93&lt;/volume&gt;&lt;number&gt;3&lt;/number&gt;&lt;dates&gt;&lt;year&gt;2012&lt;/year&gt;&lt;/dates&gt;&lt;urls&gt;&lt;related-urls&gt;&lt;url&gt;https://journals.sagepub.com/doi/abs/10.1606/1044-3894.4223&lt;/url&gt;&lt;/related-urls&gt;&lt;/urls&gt;&lt;electronic-resource-num&gt;10.1606/1044-3894.4223&lt;/electronic-resource-num&gt;&lt;/record&gt;&lt;/Cite&gt;&lt;/EndNote&gt;</w:instrText>
      </w:r>
      <w:r w:rsidR="00481EC0">
        <w:fldChar w:fldCharType="separate"/>
      </w:r>
      <w:r w:rsidR="00A77498">
        <w:rPr>
          <w:noProof/>
        </w:rPr>
        <w:t>Huebner et al. (2012)</w:t>
      </w:r>
      <w:r w:rsidR="00481EC0">
        <w:fldChar w:fldCharType="end"/>
      </w:r>
      <w:r w:rsidR="00481EC0">
        <w:t xml:space="preserve"> evaluated the effectiveness of </w:t>
      </w:r>
      <w:r w:rsidR="00481EC0" w:rsidRPr="00736439">
        <w:t xml:space="preserve">The Sobriety Treatment and Recovery Teams (START) </w:t>
      </w:r>
      <w:r w:rsidR="00481EC0">
        <w:t>using a quasi-experimental design.</w:t>
      </w:r>
      <w:r w:rsidR="00481EC0" w:rsidRPr="00C54EE1">
        <w:t xml:space="preserve"> </w:t>
      </w:r>
      <w:r w:rsidR="00481EC0">
        <w:t xml:space="preserve">START </w:t>
      </w:r>
      <w:r w:rsidR="00481EC0" w:rsidRPr="00C54EE1">
        <w:t xml:space="preserve">partners child welfare workers with treatment providers. START workers receive substance use and motivational interviewing training and have a relatively small caseload. </w:t>
      </w:r>
      <w:r w:rsidR="00481EC0">
        <w:t>Mothers were almost twice as likely to become abstinent following completion, and t</w:t>
      </w:r>
      <w:r w:rsidR="00481EC0" w:rsidRPr="00C54EE1">
        <w:t xml:space="preserve">reatment was significantly associated with children remaining </w:t>
      </w:r>
      <w:r w:rsidR="00481EC0">
        <w:t xml:space="preserve">in the care of their </w:t>
      </w:r>
      <w:r w:rsidR="00481EC0" w:rsidRPr="00C54EE1">
        <w:t>parents.</w:t>
      </w:r>
      <w:r w:rsidR="00481EC0">
        <w:t xml:space="preserve"> The rate of abstinence among f</w:t>
      </w:r>
      <w:r w:rsidR="00481EC0" w:rsidRPr="00A03F12">
        <w:t>athers</w:t>
      </w:r>
      <w:r w:rsidR="00481EC0">
        <w:t xml:space="preserve">, however, was much lower </w:t>
      </w:r>
      <w:r w:rsidR="00481EC0" w:rsidRPr="00A03F12">
        <w:t>than mothers.</w:t>
      </w:r>
    </w:p>
    <w:p w14:paraId="6FBE6DCF" w14:textId="77777777" w:rsidR="00481EC0" w:rsidRPr="00C54EE1" w:rsidRDefault="00481EC0" w:rsidP="001A39D7">
      <w:pPr>
        <w:pStyle w:val="NoSpacing"/>
        <w:spacing w:line="360" w:lineRule="auto"/>
      </w:pPr>
    </w:p>
    <w:p w14:paraId="7787A032" w14:textId="753F77B5" w:rsidR="00481EC0" w:rsidRPr="00C54EE1" w:rsidRDefault="00481EC0" w:rsidP="001A39D7">
      <w:pPr>
        <w:pStyle w:val="NoSpacing"/>
        <w:spacing w:line="360" w:lineRule="auto"/>
      </w:pPr>
      <w:r>
        <w:t xml:space="preserve">In contrast, </w:t>
      </w:r>
      <w:r w:rsidRPr="00C54EE1">
        <w:fldChar w:fldCharType="begin"/>
      </w:r>
      <w:r w:rsidR="00B9334F">
        <w:instrText xml:space="preserve"> ADDIN EN.CITE &lt;EndNote&gt;&lt;Cite AuthorYear="1"&gt;&lt;Author&gt;Barth&lt;/Author&gt;&lt;Year&gt;2006&lt;/Year&gt;&lt;RecNum&gt;115&lt;/RecNum&gt;&lt;DisplayText&gt;Barth et al. (2006)&lt;/DisplayText&gt;&lt;record&gt;&lt;rec-number&gt;115&lt;/rec-number&gt;&lt;foreign-keys&gt;&lt;key app="EN" db-id="ffzvr5fstavwxoe9v04xf0wmp5t50as52da0" timestamp="1731671643" guid="7cd4df08-6bd5-40df-913d-ac81a73d2e04"&gt;115&lt;/key&gt;&lt;/foreign-keys&gt;&lt;ref-type name="Journal Article"&gt;17&lt;/ref-type&gt;&lt;contributors&gt;&lt;authors&gt;&lt;author&gt;Barth, Richard P.&lt;/author&gt;&lt;author&gt;Gibbons, Claire&lt;/author&gt;&lt;author&gt;Guo, Shenyang&lt;/author&gt;&lt;/authors&gt;&lt;/contributors&gt;&lt;titles&gt;&lt;title&gt;Substance abuse treatment and the recurrence of maltreatment among caregivers with children living at home: A propensity score analysis&lt;/title&gt;&lt;secondary-title&gt;Journal of Substance Abuse Treatment&lt;/secondary-title&gt;&lt;/titles&gt;&lt;periodical&gt;&lt;full-title&gt;Journal of Substance Abuse Treatment&lt;/full-title&gt;&lt;/periodical&gt;&lt;pages&gt;93-104&lt;/pages&gt;&lt;volume&gt;30&lt;/volume&gt;&lt;number&gt;2&lt;/number&gt;&lt;keywords&gt;&lt;keyword&gt;Child welfare&lt;/keyword&gt;&lt;keyword&gt;Reabuse&lt;/keyword&gt;&lt;keyword&gt;Substance abuse treatment&lt;/keyword&gt;&lt;keyword&gt;Propensity score&lt;/keyword&gt;&lt;/keywords&gt;&lt;dates&gt;&lt;year&gt;2006&lt;/year&gt;&lt;pub-dates&gt;&lt;date&gt;2006/03/01/&lt;/date&gt;&lt;/pub-dates&gt;&lt;/dates&gt;&lt;isbn&gt;0740-5472&lt;/isbn&gt;&lt;urls&gt;&lt;related-urls&gt;&lt;url&gt;http://www.sciencedirect.com/science/article/pii/S0740547205002023&lt;/url&gt;&lt;/related-urls&gt;&lt;/urls&gt;&lt;electronic-resource-num&gt;https://doi.org/10.1016/j.jsat.2005.10.008&lt;/electronic-resource-num&gt;&lt;/record&gt;&lt;/Cite&gt;&lt;/EndNote&gt;</w:instrText>
      </w:r>
      <w:r w:rsidRPr="00C54EE1">
        <w:fldChar w:fldCharType="separate"/>
      </w:r>
      <w:r w:rsidR="00A77498">
        <w:rPr>
          <w:noProof/>
        </w:rPr>
        <w:t>Barth et al. (2006)</w:t>
      </w:r>
      <w:r w:rsidRPr="00C54EE1">
        <w:fldChar w:fldCharType="end"/>
      </w:r>
      <w:r w:rsidRPr="00C54EE1">
        <w:t xml:space="preserve"> found that parents receiving treatment in their relatively large quasi-experimental study covering 36</w:t>
      </w:r>
      <w:r w:rsidRPr="00E12B94">
        <w:t xml:space="preserve"> US states were more likely to be referred to child services for recurring abuse than those in the comparison group. The authors explained this could be the result of a significant statistical difference between the two research conditions (with the treatment arm being more complex). In addition, as the treatment group would have been known to both adult treatment and child </w:t>
      </w:r>
      <w:r>
        <w:t>welfare services,</w:t>
      </w:r>
      <w:r w:rsidRPr="00E12B94">
        <w:t xml:space="preserve"> they would have been more closely scrutinised than the comparison group. </w:t>
      </w:r>
      <w:r>
        <w:t>The</w:t>
      </w:r>
      <w:r w:rsidRPr="00E12B94">
        <w:t xml:space="preserve"> impact on recurring abuse of the frequency of </w:t>
      </w:r>
      <w:r w:rsidRPr="00C54EE1">
        <w:t>treatment sessions, the types of treatment received and their outcomes were not analysed.</w:t>
      </w:r>
    </w:p>
    <w:p w14:paraId="2919A410" w14:textId="77777777" w:rsidR="00481EC0" w:rsidRDefault="00481EC0" w:rsidP="001A39D7">
      <w:pPr>
        <w:pStyle w:val="NoSpacing"/>
        <w:spacing w:line="360" w:lineRule="auto"/>
      </w:pPr>
    </w:p>
    <w:p w14:paraId="57B7C411" w14:textId="5DEE89A5" w:rsidR="00481EC0" w:rsidRPr="00927DAB" w:rsidRDefault="00481EC0" w:rsidP="00F74788">
      <w:pPr>
        <w:pStyle w:val="NoSpacing"/>
        <w:spacing w:line="360" w:lineRule="auto"/>
      </w:pPr>
      <w:r w:rsidRPr="002949A8">
        <w:fldChar w:fldCharType="begin"/>
      </w:r>
      <w:r w:rsidR="00B9334F">
        <w:instrText xml:space="preserve"> ADDIN EN.CITE &lt;EndNote&gt;&lt;Cite AuthorYear="1"&gt;&lt;Author&gt;Morgenstern&lt;/Author&gt;&lt;Year&gt;2006&lt;/Year&gt;&lt;RecNum&gt;138&lt;/RecNum&gt;&lt;DisplayText&gt;Morgenstern et al. (2006)&lt;/DisplayText&gt;&lt;record&gt;&lt;rec-number&gt;138&lt;/rec-number&gt;&lt;foreign-keys&gt;&lt;key app="EN" db-id="ffzvr5fstavwxoe9v04xf0wmp5t50as52da0" timestamp="1731671644" guid="eca23726-4174-49f3-b45d-d605935734ab"&gt;138&lt;/key&gt;&lt;/foreign-keys&gt;&lt;ref-type name="Journal Article"&gt;17&lt;/ref-type&gt;&lt;contributors&gt;&lt;authors&gt;&lt;author&gt;Morgenstern, Jon&lt;/author&gt;&lt;author&gt;Blanchard, Kimberly A.&lt;/author&gt;&lt;author&gt;McCrady, Barbara S.&lt;/author&gt;&lt;author&gt;McVeigh, Katharine H.&lt;/author&gt;&lt;author&gt;Morgan, Thomas J.&lt;/author&gt;&lt;author&gt;Pandina, Robert J.&lt;/author&gt;&lt;/authors&gt;&lt;/contributors&gt;&lt;titles&gt;&lt;title&gt;Effectiveness of Intensive Case Management for Substance-Dependent Women Receiving Temporary Assistance for Needy Families&lt;/title&gt;&lt;secondary-title&gt;American Journal of Public Health&lt;/secondary-title&gt;&lt;/titles&gt;&lt;periodical&gt;&lt;full-title&gt;American Journal of Public Health&lt;/full-title&gt;&lt;/periodical&gt;&lt;pages&gt;2016-2023&lt;/pages&gt;&lt;volume&gt;96&lt;/volume&gt;&lt;number&gt;11&lt;/number&gt;&lt;dates&gt;&lt;year&gt;2006&lt;/year&gt;&lt;pub-dates&gt;&lt;date&gt;10/28/accepted&lt;/date&gt;&lt;/pub-dates&gt;&lt;/dates&gt;&lt;publisher&gt;© American Journal of Public Health 2006&lt;/publisher&gt;&lt;isbn&gt;0090-0036&amp;#xD;1541-0048&lt;/isbn&gt;&lt;accession-num&gt;PMC1751803&lt;/accession-num&gt;&lt;urls&gt;&lt;related-urls&gt;&lt;url&gt;http://www.ncbi.nlm.nih.gov/pmc/articles/PMC1751803/&lt;/url&gt;&lt;/related-urls&gt;&lt;/urls&gt;&lt;electronic-resource-num&gt;10.2105/AJPH.2005.076380&lt;/electronic-resource-num&gt;&lt;remote-database-name&gt;PMC&lt;/remote-database-name&gt;&lt;/record&gt;&lt;/Cite&gt;&lt;/EndNote&gt;</w:instrText>
      </w:r>
      <w:r w:rsidRPr="002949A8">
        <w:fldChar w:fldCharType="separate"/>
      </w:r>
      <w:r w:rsidR="00A77498">
        <w:rPr>
          <w:noProof/>
        </w:rPr>
        <w:t>Morgenstern et al. (2006)</w:t>
      </w:r>
      <w:r w:rsidRPr="002949A8">
        <w:fldChar w:fldCharType="end"/>
      </w:r>
      <w:r w:rsidRPr="002949A8">
        <w:t xml:space="preserve">, in their </w:t>
      </w:r>
      <w:r>
        <w:t xml:space="preserve">high-quality </w:t>
      </w:r>
      <w:r w:rsidRPr="002949A8">
        <w:t>evaluation of intensive case management (ICM)</w:t>
      </w:r>
      <w:r>
        <w:t xml:space="preserve"> compared with treatment as usual in Essex County, New Jersey USA, </w:t>
      </w:r>
      <w:r w:rsidRPr="00925EA9">
        <w:t xml:space="preserve">found that their intervention arm were statistically almost twice as likely to be abstinent at the 15 month follow-up than mothers in the comparison group. The form of ICM evaluated comprised weekly </w:t>
      </w:r>
      <w:r w:rsidRPr="00925EA9">
        <w:rPr>
          <w:noProof/>
        </w:rPr>
        <w:t xml:space="preserve">sessions for up to 12 months focusing on treatment and employment, then tapered sessions up to 24 months. As the intervention did not directly target child welfare outcomes, it did not include coordination with child welfare services. Treatment as </w:t>
      </w:r>
      <w:r w:rsidRPr="00B7376F">
        <w:rPr>
          <w:noProof/>
        </w:rPr>
        <w:t xml:space="preserve">usual was defined as appropriate referrals made by a clinical care coordinator. </w:t>
      </w:r>
      <w:r w:rsidRPr="00B7376F">
        <w:t xml:space="preserve">However, the small sample size in one location limit generalisability of the results. </w:t>
      </w:r>
      <w:r w:rsidRPr="00B7376F">
        <w:fldChar w:fldCharType="begin">
          <w:fldData xml:space="preserve">PEVuZE5vdGU+PENpdGUgQXV0aG9yWWVhcj0iMSI+PEF1dGhvcj5EYXViZXI8L0F1dGhvcj48WWVh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</w:fldData>
        </w:fldChar>
      </w:r>
      <w:r w:rsidR="00B9334F">
        <w:instrText xml:space="preserve"> ADDIN EN.CITE </w:instrText>
      </w:r>
      <w:r w:rsidR="00B9334F">
        <w:fldChar w:fldCharType="begin">
          <w:fldData xml:space="preserve">PEVuZE5vdGU+PENpdGUgQXV0aG9yWWVhcj0iMSI+PEF1dGhvcj5EYXViZXI8L0F1dGhvcj48WWVh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</w:fldData>
        </w:fldChar>
      </w:r>
      <w:r w:rsidR="00B9334F">
        <w:instrText xml:space="preserve"> ADDIN EN.CITE.DATA </w:instrText>
      </w:r>
      <w:r w:rsidR="00B9334F">
        <w:fldChar w:fldCharType="end"/>
      </w:r>
      <w:r w:rsidRPr="00B7376F">
        <w:fldChar w:fldCharType="separate"/>
      </w:r>
      <w:r w:rsidR="00A77498">
        <w:rPr>
          <w:noProof/>
        </w:rPr>
        <w:t>Dauber et al. (2012)</w:t>
      </w:r>
      <w:r w:rsidRPr="00B7376F">
        <w:fldChar w:fldCharType="end"/>
      </w:r>
      <w:r w:rsidRPr="00B7376F">
        <w:t xml:space="preserve">, building on the </w:t>
      </w:r>
      <w:r w:rsidRPr="00B7376F">
        <w:fldChar w:fldCharType="begin"/>
      </w:r>
      <w:r w:rsidR="00B9334F">
        <w:instrText xml:space="preserve"> ADDIN EN.CITE &lt;EndNote&gt;&lt;Cite AuthorYear="1"&gt;&lt;Author&gt;Morgenstern&lt;/Author&gt;&lt;Year&gt;2006&lt;/Year&gt;&lt;RecNum&gt;138&lt;/RecNum&gt;&lt;DisplayText&gt;Morgenstern et al. (2006)&lt;/DisplayText&gt;&lt;record&gt;&lt;rec-number&gt;138&lt;/rec-number&gt;&lt;foreign-keys&gt;&lt;key app="EN" db-id="ffzvr5fstavwxoe9v04xf0wmp5t50as52da0" timestamp="1731671644" guid="eca23726-4174-49f3-b45d-d605935734ab"&gt;138&lt;/key&gt;&lt;/foreign-keys&gt;&lt;ref-type name="Journal Article"&gt;17&lt;/ref-type&gt;&lt;contributors&gt;&lt;authors&gt;&lt;author&gt;Morgenstern, Jon&lt;/author&gt;&lt;author&gt;Blanchard, Kimberly A.&lt;/author&gt;&lt;author&gt;McCrady, Barbara S.&lt;/author&gt;&lt;author&gt;McVeigh, Katharine H.&lt;/author&gt;&lt;author&gt;Morgan, Thomas J.&lt;/author&gt;&lt;author&gt;Pandina, Robert J.&lt;/author&gt;&lt;/authors&gt;&lt;/contributors&gt;&lt;titles&gt;&lt;title&gt;Effectiveness of Intensive Case Management for Substance-Dependent Women Receiving Temporary Assistance for Needy Families&lt;/title&gt;&lt;secondary-title&gt;American Journal of Public Health&lt;/secondary-title&gt;&lt;/titles&gt;&lt;periodical&gt;&lt;full-title&gt;American Journal of Public Health&lt;/full-title&gt;&lt;/periodical&gt;&lt;pages&gt;2016-2023&lt;/pages&gt;&lt;volume&gt;96&lt;/volume&gt;&lt;number&gt;11&lt;/number&gt;&lt;dates&gt;&lt;year&gt;2006&lt;/year&gt;&lt;pub-dates&gt;&lt;date&gt;10/28/accepted&lt;/date&gt;&lt;/pub-dates&gt;&lt;/dates&gt;&lt;publisher&gt;© American Journal of Public Health 2006&lt;/publisher&gt;&lt;isbn&gt;0090-0036&amp;#xD;1541-0048&lt;/isbn&gt;&lt;accession-num&gt;PMC1751803&lt;/accession-num&gt;&lt;urls&gt;&lt;related-urls&gt;&lt;url&gt;http://www.ncbi.nlm.nih.gov/pmc/articles/PMC1751803/&lt;/url&gt;&lt;/related-urls&gt;&lt;/urls&gt;&lt;electronic-resource-num&gt;10.2105/AJPH.2005.076380&lt;/electronic-resource-num&gt;&lt;remote-database-name&gt;PMC&lt;/remote-database-name&gt;&lt;/record&gt;&lt;/Cite&gt;&lt;/EndNote&gt;</w:instrText>
      </w:r>
      <w:r w:rsidRPr="00B7376F">
        <w:fldChar w:fldCharType="separate"/>
      </w:r>
      <w:r w:rsidR="00A77498">
        <w:rPr>
          <w:noProof/>
        </w:rPr>
        <w:t>Morgenstern et al. (2006)</w:t>
      </w:r>
      <w:r w:rsidRPr="00B7376F">
        <w:fldChar w:fldCharType="end"/>
      </w:r>
      <w:r w:rsidRPr="00B7376F">
        <w:t xml:space="preserve"> paper, found little</w:t>
      </w:r>
      <w:r w:rsidRPr="00E12B94">
        <w:t xml:space="preserve"> effect of parental treatment on child welfare outcomes. Moreover, the authors reported that while ICM had an </w:t>
      </w:r>
      <w:r w:rsidRPr="00E12B94">
        <w:lastRenderedPageBreak/>
        <w:t xml:space="preserve">impact on reunification within the first year, this observed difference reduced over time, as ICM was designed to be most intensive in the first twelve months.  </w:t>
      </w:r>
    </w:p>
    <w:p w14:paraId="3FE99A3D" w14:textId="77777777" w:rsidR="00481EC0" w:rsidRDefault="00481EC0" w:rsidP="00F74788">
      <w:pPr>
        <w:pStyle w:val="NoSpacing"/>
        <w:spacing w:line="360" w:lineRule="auto"/>
      </w:pPr>
    </w:p>
    <w:p w14:paraId="7FCEFCBC" w14:textId="14F848E4" w:rsidR="00481EC0" w:rsidRPr="00925EA9" w:rsidRDefault="00481EC0" w:rsidP="00F74788">
      <w:pPr>
        <w:pStyle w:val="NoSpacing"/>
        <w:spacing w:line="360" w:lineRule="auto"/>
      </w:pPr>
      <w:r>
        <w:t>A</w:t>
      </w:r>
      <w:r w:rsidRPr="00C54EE1">
        <w:t xml:space="preserve"> </w:t>
      </w:r>
      <w:r>
        <w:t xml:space="preserve">high-quality </w:t>
      </w:r>
      <w:r w:rsidRPr="00C54EE1">
        <w:t>stud</w:t>
      </w:r>
      <w:r>
        <w:t>y</w:t>
      </w:r>
      <w:r w:rsidRPr="00C54EE1">
        <w:t xml:space="preserve"> reported parent and child outcomes from an ICM programme in Chicago and suburban Cook County, Illinois</w:t>
      </w:r>
      <w:r>
        <w:t xml:space="preserve"> </w:t>
      </w:r>
      <w:r>
        <w:fldChar w:fldCharType="begin"/>
      </w:r>
      <w:r w:rsidR="00B9334F">
        <w:instrText xml:space="preserve"> ADDIN EN.CITE &lt;EndNote&gt;&lt;Cite&gt;&lt;Author&gt;Ryan&lt;/Author&gt;&lt;Year&gt;2006&lt;/Year&gt;&lt;RecNum&gt;700&lt;/RecNum&gt;&lt;DisplayText&gt;(Ryan et al., 2006)&lt;/DisplayText&gt;&lt;record&gt;&lt;rec-number&gt;700&lt;/rec-number&gt;&lt;foreign-keys&gt;&lt;key app="EN" db-id="ffzvr5fstavwxoe9v04xf0wmp5t50as52da0" timestamp="1731671738" guid="04f4df6f-a3b4-499b-acc2-2ce2f6daa94b"&gt;700&lt;/key&gt;&lt;/foreign-keys&gt;&lt;ref-type name="Journal Article"&gt;17&lt;/ref-type&gt;&lt;contributors&gt;&lt;authors&gt;&lt;author&gt;Ryan, Joseph P.&lt;/author&gt;&lt;author&gt;Marsh, Jeanne C.&lt;/author&gt;&lt;author&gt;Testa, Mark F.&lt;/author&gt;&lt;author&gt;Louderman, Richard&lt;/author&gt;&lt;/authors&gt;&lt;/contributors&gt;&lt;titles&gt;&lt;title&gt;Integrating Substance Abuse Treatment and Child Welfare Services: Findings from the Illinois Alcohol and Other Drug Abuse Waiver Demonstration&lt;/title&gt;&lt;secondary-title&gt;Social Work Research&lt;/secondary-title&gt;&lt;/titles&gt;&lt;periodical&gt;&lt;full-title&gt;Social Work Research&lt;/full-title&gt;&lt;/periodical&gt;&lt;pages&gt;95-107&lt;/pages&gt;&lt;volume&gt;30&lt;/volume&gt;&lt;number&gt;2&lt;/number&gt;&lt;keywords&gt;&lt;keyword&gt;Sociology&lt;/keyword&gt;&lt;keyword&gt;Substance abuse treatment&lt;/keyword&gt;&lt;keyword&gt;Child welfare&lt;/keyword&gt;&lt;keyword&gt;Drug abuse&lt;/keyword&gt;&lt;keyword&gt;Families &amp;amp; family life&lt;/keyword&gt;&lt;keyword&gt;Case management&lt;/keyword&gt;&lt;/keywords&gt;&lt;dates&gt;&lt;year&gt;2006&lt;/year&gt;&lt;pub-dates&gt;&lt;date&gt;Jun 2006&amp;#xD;2017-11-12&lt;/date&gt;&lt;/pub-dates&gt;&lt;/dates&gt;&lt;pub-location&gt;Oxford&lt;/pub-location&gt;&lt;publisher&gt;Oxford University Press&lt;/publisher&gt;&lt;isbn&gt;10705309&lt;/isbn&gt;&lt;accession-num&gt;212067367&lt;/accession-num&gt;&lt;urls&gt;&lt;/urls&gt;&lt;electronic-resource-num&gt;https://doi.org/10.1093/swr/30.2.95&lt;/electronic-resource-num&gt;&lt;remote-database-name&gt;Applied Social Sciences Index &amp;amp; Abstracts (ASSIA)&lt;/remote-database-name&gt;&lt;language&gt;English&lt;/language&gt;&lt;/record&gt;&lt;/Cite&gt;&lt;/EndNote&gt;</w:instrText>
      </w:r>
      <w:r>
        <w:fldChar w:fldCharType="separate"/>
      </w:r>
      <w:r w:rsidR="00A77498">
        <w:rPr>
          <w:noProof/>
        </w:rPr>
        <w:t>(Ryan et al., 2006)</w:t>
      </w:r>
      <w:r>
        <w:fldChar w:fldCharType="end"/>
      </w:r>
      <w:r w:rsidRPr="00C54EE1">
        <w:t xml:space="preserve">.  ICM in the form of recovery coaches was randomly assigned to parents whose children had been put into care. </w:t>
      </w:r>
      <w:r>
        <w:t>F</w:t>
      </w:r>
      <w:r w:rsidRPr="00C54EE1">
        <w:t xml:space="preserve">amilies </w:t>
      </w:r>
      <w:r>
        <w:t>in the intervention arm</w:t>
      </w:r>
      <w:r w:rsidRPr="00C54EE1">
        <w:t xml:space="preserve"> were significantly more likely to be reunified than the comparison group</w:t>
      </w:r>
      <w:r>
        <w:t xml:space="preserve"> and</w:t>
      </w:r>
      <w:r w:rsidRPr="00925EA9">
        <w:t xml:space="preserve"> refer to a cost saving of around $59,000 based on the cost of the IV-E waiver which allows the state of Illinois to evade federal rules relating to foster care financing to develop approaches for families. However, the authors did not conduct a full and robust economic evaluation. The reporting of cost savings is a big limitation of the study as it did not compare pertinent costs, such as treatment, over an appropriate length of time.</w:t>
      </w:r>
      <w:r>
        <w:t xml:space="preserve"> </w:t>
      </w:r>
    </w:p>
    <w:p w14:paraId="42C2ABB0" w14:textId="77777777" w:rsidR="00481EC0" w:rsidRDefault="00481EC0" w:rsidP="00F74788">
      <w:pPr>
        <w:pStyle w:val="NoSpacing"/>
        <w:spacing w:line="360" w:lineRule="auto"/>
      </w:pPr>
    </w:p>
    <w:p w14:paraId="5C8BFB89" w14:textId="58FB7F7C" w:rsidR="008F52B4" w:rsidRDefault="008F52B4" w:rsidP="008F52B4">
      <w:pPr>
        <w:pStyle w:val="Heading4"/>
        <w:spacing w:line="360" w:lineRule="auto"/>
      </w:pPr>
      <w:r>
        <w:t>With a parenting intervention</w:t>
      </w:r>
    </w:p>
    <w:p w14:paraId="6AE79427" w14:textId="18DB650B" w:rsidR="00D046E6" w:rsidRPr="000433AB" w:rsidRDefault="001E4473" w:rsidP="00D046E6">
      <w:pPr>
        <w:pStyle w:val="NoSpacing"/>
        <w:spacing w:line="360" w:lineRule="auto"/>
      </w:pPr>
      <w:r>
        <w:t>Seven</w:t>
      </w:r>
      <w:r w:rsidR="00D046E6" w:rsidRPr="00353330">
        <w:t xml:space="preserve"> </w:t>
      </w:r>
      <w:r>
        <w:t>studies (two from the UK)</w:t>
      </w:r>
      <w:r w:rsidR="00D046E6" w:rsidRPr="00353330">
        <w:t xml:space="preserve"> evaluated the effectiveness of different types of </w:t>
      </w:r>
      <w:r w:rsidR="00D046E6" w:rsidRPr="000433AB">
        <w:t xml:space="preserve">treatment </w:t>
      </w:r>
      <w:r w:rsidR="00545D7B">
        <w:t>plus</w:t>
      </w:r>
      <w:r w:rsidR="00D046E6" w:rsidRPr="000433AB">
        <w:t xml:space="preserve"> statutory </w:t>
      </w:r>
      <w:r w:rsidR="00D046E6">
        <w:t xml:space="preserve">child welfare support, with a parenting intervention component. </w:t>
      </w:r>
    </w:p>
    <w:p w14:paraId="6DAB97B3" w14:textId="77777777" w:rsidR="00D046E6" w:rsidRDefault="00D046E6" w:rsidP="00F74788">
      <w:pPr>
        <w:pStyle w:val="NoSpacing"/>
        <w:spacing w:line="360" w:lineRule="auto"/>
      </w:pPr>
    </w:p>
    <w:p w14:paraId="64E0B126" w14:textId="50CFF542" w:rsidR="00F74788" w:rsidRDefault="00481EC0" w:rsidP="00F74788">
      <w:pPr>
        <w:pStyle w:val="NoSpacing"/>
        <w:spacing w:line="360" w:lineRule="auto"/>
      </w:pPr>
      <w:r w:rsidRPr="00C54EE1">
        <w:fldChar w:fldCharType="begin"/>
      </w:r>
      <w:r w:rsidR="00B9334F">
        <w:instrText xml:space="preserve"> ADDIN EN.CITE &lt;EndNote&gt;&lt;Cite AuthorYear="1"&gt;&lt;Author&gt;Forrester&lt;/Author&gt;&lt;Year&gt;2008&lt;/Year&gt;&lt;RecNum&gt;143&lt;/RecNum&gt;&lt;DisplayText&gt;Forrester et al. (2008)&lt;/DisplayText&gt;&lt;record&gt;&lt;rec-number&gt;143&lt;/rec-number&gt;&lt;foreign-keys&gt;&lt;key app="EN" db-id="ffzvr5fstavwxoe9v04xf0wmp5t50as52da0" timestamp="1731671644" guid="ccc2a12a-25b9-4b50-939c-4e25d2e7589a"&gt;143&lt;/key&gt;&lt;/foreign-keys&gt;&lt;ref-type name="Journal Article"&gt;17&lt;/ref-type&gt;&lt;contributors&gt;&lt;authors&gt;&lt;author&gt;Forrester, D.&lt;/author&gt;&lt;author&gt;Copello, A.&lt;/author&gt;&lt;author&gt;Waissbein, C.&lt;/author&gt;&lt;author&gt;Pokhrel, S.&lt;/author&gt;&lt;/authors&gt;&lt;/contributors&gt;&lt;titles&gt;&lt;title&gt;Evaluation of an intensive family preservation service for families affected by parental substance misuse&lt;/title&gt;&lt;secondary-title&gt;Child Abuse Review&lt;/secondary-title&gt;&lt;/titles&gt;&lt;periodical&gt;&lt;full-title&gt;Child Abuse Review&lt;/full-title&gt;&lt;/periodical&gt;&lt;pages&gt;410-426&lt;/pages&gt;&lt;volume&gt;17&lt;/volume&gt;&lt;number&gt;6&lt;/number&gt;&lt;keywords&gt;&lt;keyword&gt;Parental Drug Misuse&lt;/keyword&gt;&lt;keyword&gt;Parental Alcohol Misuse&lt;/keyword&gt;&lt;keyword&gt;Family Preservation&lt;/keyword&gt;&lt;keyword&gt;Motivational Interviewing&lt;/keyword&gt;&lt;keyword&gt;Public Care&lt;/keyword&gt;&lt;/keywords&gt;&lt;dates&gt;&lt;year&gt;2008&lt;/year&gt;&lt;/dates&gt;&lt;pub-location&gt;Chichester, UK&lt;/pub-location&gt;&lt;isbn&gt;0952-9136&lt;/isbn&gt;&lt;urls&gt;&lt;/urls&gt;&lt;electronic-resource-num&gt;10.1002/car.1048&lt;/electronic-resource-num&gt;&lt;/record&gt;&lt;/Cite&gt;&lt;/EndNote&gt;</w:instrText>
      </w:r>
      <w:r w:rsidRPr="00C54EE1">
        <w:fldChar w:fldCharType="separate"/>
      </w:r>
      <w:r w:rsidR="00A77498">
        <w:rPr>
          <w:noProof/>
        </w:rPr>
        <w:t>Forrester et al. (2008)</w:t>
      </w:r>
      <w:r w:rsidRPr="00C54EE1">
        <w:fldChar w:fldCharType="end"/>
      </w:r>
      <w:r w:rsidRPr="00C54EE1">
        <w:t xml:space="preserve"> and </w:t>
      </w:r>
      <w:r w:rsidRPr="00C54EE1">
        <w:fldChar w:fldCharType="begin"/>
      </w:r>
      <w:r w:rsidR="00B9334F">
        <w:instrText xml:space="preserve"> ADDIN EN.CITE &lt;EndNote&gt;&lt;Cite AuthorYear="1"&gt;&lt;Author&gt;Forrester&lt;/Author&gt;&lt;Year&gt;2014&lt;/Year&gt;&lt;RecNum&gt;144&lt;/RecNum&gt;&lt;DisplayText&gt;Forrester et al. (2014)&lt;/DisplayText&gt;&lt;record&gt;&lt;rec-number&gt;144&lt;/rec-number&gt;&lt;foreign-keys&gt;&lt;key app="EN" db-id="ffzvr5fstavwxoe9v04xf0wmp5t50as52da0" timestamp="1731671644" guid="258d8ac3-6de4-4abb-b6a8-0785490fe181"&gt;144&lt;/key&gt;&lt;/foreign-keys&gt;&lt;ref-type name="Journal Article"&gt;17&lt;/ref-type&gt;&lt;contributors&gt;&lt;authors&gt;&lt;author&gt;Forrester, D&lt;/author&gt;&lt;author&gt;Holland, S&lt;/author&gt;&lt;author&gt;Williams, A&lt;/author&gt;&lt;author&gt;Copello, A&lt;/author&gt;&lt;/authors&gt;&lt;/contributors&gt;&lt;titles&gt;&lt;title&gt;Helping families where parents misuse drugs or alcohol? A mixed methods comparative evaluation of an intensive family preservation service&lt;/title&gt;&lt;secondary-title&gt;Child &amp;amp; Family Social Work&lt;/secondary-title&gt;&lt;/titles&gt;&lt;periodical&gt;&lt;full-title&gt;Child &amp;amp; Family Social Work&lt;/full-title&gt;&lt;/periodical&gt;&lt;pages&gt;65-75&lt;/pages&gt;&lt;volume&gt;21&lt;/volume&gt;&lt;number&gt;1&lt;/number&gt;&lt;dates&gt;&lt;year&gt;2014&lt;/year&gt;&lt;/dates&gt;&lt;urls&gt;&lt;related-urls&gt;&lt;url&gt;https://onlinelibrary.wiley.com/doi/abs/10.1111/cfs.12111&lt;/url&gt;&lt;/related-urls&gt;&lt;/urls&gt;&lt;electronic-resource-num&gt;doi:10.1111/cfs.12111&lt;/electronic-resource-num&gt;&lt;/record&gt;&lt;/Cite&gt;&lt;/EndNote&gt;</w:instrText>
      </w:r>
      <w:r w:rsidRPr="00C54EE1">
        <w:fldChar w:fldCharType="separate"/>
      </w:r>
      <w:r w:rsidR="00A77498">
        <w:rPr>
          <w:noProof/>
        </w:rPr>
        <w:t>Forrester et al. (2014)</w:t>
      </w:r>
      <w:r w:rsidRPr="00C54EE1">
        <w:fldChar w:fldCharType="end"/>
      </w:r>
      <w:r w:rsidRPr="00C54EE1">
        <w:t xml:space="preserve"> </w:t>
      </w:r>
      <w:r>
        <w:t xml:space="preserve">in their moderate quality study </w:t>
      </w:r>
      <w:r w:rsidRPr="00C54EE1">
        <w:t>analysed</w:t>
      </w:r>
      <w:r w:rsidRPr="00925EA9">
        <w:t xml:space="preserve"> the impact of an Intensive Family Preservation Service (a.k.a. ‘Option 2’) in Wales: an intensive four-week home-based </w:t>
      </w:r>
      <w:r>
        <w:t xml:space="preserve">case management intervention </w:t>
      </w:r>
      <w:r w:rsidRPr="00925EA9">
        <w:t xml:space="preserve">which targeted parental substance users whose children were at risk of being placed into care. Workers were paraprofessionals incorporating motivational interviewing techniques, on call 24/7 and working with one family at a time. The quasi-experimental </w:t>
      </w:r>
      <w:r>
        <w:t>study</w:t>
      </w:r>
      <w:r w:rsidRPr="00925EA9">
        <w:t xml:space="preserve"> found that the likelihood of entering care was the same for both the intervention and comparison groups (about 40%), however children receiving the intervention took longer to enter care and spent significantly fewer days in care. This resulted in a benefit-cost ratio of 1.54. At follow-up (up to 5.6 years), intervention children were significantly more likely to be at home than comparison children. </w:t>
      </w:r>
      <w:r>
        <w:t>I</w:t>
      </w:r>
      <w:r w:rsidRPr="00925EA9">
        <w:t xml:space="preserve">t should be noted that costs data related to placement costs only. Other pertinent expenses such as social worker allocation were not included. While this would underestimate the overall costs there is likely to be little difference between the </w:t>
      </w:r>
      <w:r w:rsidRPr="00925EA9">
        <w:lastRenderedPageBreak/>
        <w:t>intervention and comparison groups. However, there may well be differences in service usage outside the realm of social work, which may impact cost-benefit findings, namely parental treatment, education, criminal justice and health. It is not clear whether the intervention would remain cost-beneficial were such outcome costs included in the cost-benefit analysis. Further, the comparison group received a range of services that were not identified, making it difficult to demonstrate either effectiveness or cost-effectiveness of the intervention.</w:t>
      </w:r>
      <w:r>
        <w:t xml:space="preserve"> </w:t>
      </w:r>
      <w:r w:rsidRPr="00925EA9">
        <w:rPr>
          <w:noProof/>
        </w:rPr>
        <w:t>The positive ﬁndings of Option 2 has contributed to an adapted version being rolled out across Wales, as well as in some local authorities in England.</w:t>
      </w:r>
    </w:p>
    <w:p w14:paraId="35D01E01" w14:textId="77777777" w:rsidR="00481EC0" w:rsidRDefault="00481EC0" w:rsidP="00F74788">
      <w:pPr>
        <w:pStyle w:val="NoSpacing"/>
        <w:spacing w:line="360" w:lineRule="auto"/>
      </w:pPr>
    </w:p>
    <w:p w14:paraId="0C1BEE86" w14:textId="496B69E0" w:rsidR="00481EC0" w:rsidRDefault="00481EC0" w:rsidP="00F74788">
      <w:pPr>
        <w:pStyle w:val="NoSpacing"/>
        <w:spacing w:line="360" w:lineRule="auto"/>
      </w:pPr>
      <w:r>
        <w:t xml:space="preserve">A low quality trial by </w:t>
      </w:r>
      <w:r>
        <w:fldChar w:fldCharType="begin"/>
      </w:r>
      <w:r w:rsidR="00B9334F">
        <w:instrText xml:space="preserve"> ADDIN EN.CITE &lt;EndNote&gt;&lt;Cite AuthorYear="1"&gt;&lt;Author&gt;Brown&lt;/Author&gt;&lt;Year&gt;2021&lt;/Year&gt;&lt;RecNum&gt;471&lt;/RecNum&gt;&lt;DisplayText&gt;Brown et al. (2021)&lt;/DisplayText&gt;&lt;record&gt;&lt;rec-number&gt;471&lt;/rec-number&gt;&lt;foreign-keys&gt;&lt;key app="EN" db-id="ffzvr5fstavwxoe9v04xf0wmp5t50as52da0" timestamp="1731671680" guid="eb6916be-658f-424d-a5b3-97bce82e19af"&gt;471&lt;/key&gt;&lt;/foreign-keys&gt;&lt;ref-type name="Journal Article"&gt;17&lt;/ref-type&gt;&lt;contributors&gt;&lt;authors&gt;&lt;author&gt;Brown, Samantha M.&lt;/author&gt;&lt;author&gt;Bender, Kimberly A.&lt;/author&gt;&lt;author&gt;Bellamy, Jennifer L.&lt;/author&gt;&lt;author&gt;Garland, Eric L.&lt;/author&gt;&lt;author&gt;Dmitrieva, Julia&lt;/author&gt;&lt;author&gt;Jenson, Jeffrey M.&lt;/author&gt;&lt;/authors&gt;&lt;/contributors&gt;&lt;titles&gt;&lt;title&gt;Correction to: A Pilot Randomized Trial of a Mindfulness-Informed Intervention for Child Welfare-Involved Families&lt;/title&gt;&lt;secondary-title&gt;Mindfulness&lt;/secondary-title&gt;&lt;/titles&gt;&lt;periodical&gt;&lt;full-title&gt;Mindfulness&lt;/full-title&gt;&lt;/periodical&gt;&lt;pages&gt;436-437&lt;/pages&gt;&lt;volume&gt;12&lt;/volume&gt;&lt;number&gt;2&lt;/number&gt;&lt;dates&gt;&lt;year&gt;2021&lt;/year&gt;&lt;pub-dates&gt;&lt;date&gt;2021/02/01&lt;/date&gt;&lt;/pub-dates&gt;&lt;/dates&gt;&lt;isbn&gt;1868-8535&lt;/isbn&gt;&lt;urls&gt;&lt;related-urls&gt;&lt;url&gt;https://doi.org/10.1007/s12671-018-1025-x&lt;/url&gt;&lt;/related-urls&gt;&lt;/urls&gt;&lt;electronic-resource-num&gt;10.1007/s12671-018-1025-x&lt;/electronic-resource-num&gt;&lt;/record&gt;&lt;/Cite&gt;&lt;/EndNote&gt;</w:instrText>
      </w:r>
      <w:r>
        <w:fldChar w:fldCharType="separate"/>
      </w:r>
      <w:r w:rsidR="00A77498">
        <w:rPr>
          <w:noProof/>
        </w:rPr>
        <w:t>Brown et al. (2021)</w:t>
      </w:r>
      <w:r>
        <w:fldChar w:fldCharType="end"/>
      </w:r>
      <w:r>
        <w:t xml:space="preserve"> evaluated the efficacy of a pilot six-session mindfulness approach trial for families affected by parental substance use who were involved with statutory child welfare services, compared with usual support provided by statutory child welfare services (which may or may not include specialist treatment). In addition to mindfulness techniques, participants were provided with psychoeducational treatment and parenting training. Both intervention and control groups decreased their substance use. Compared to the control group, intervention participants experienced reductions in parenting stress and child abuse potential, among other positive indicators. </w:t>
      </w:r>
      <w:r w:rsidRPr="00C86CE3">
        <w:t xml:space="preserve">Thus, the findings suggest that mindfulness-informed interventions may be therapeutically </w:t>
      </w:r>
      <w:r>
        <w:t>beneficial</w:t>
      </w:r>
      <w:r w:rsidRPr="00C86CE3">
        <w:t xml:space="preserve"> </w:t>
      </w:r>
      <w:r>
        <w:t xml:space="preserve">and </w:t>
      </w:r>
      <w:r w:rsidRPr="00C86CE3">
        <w:t xml:space="preserve">are feasible for parents with substance use disorder involved with </w:t>
      </w:r>
      <w:r>
        <w:t xml:space="preserve">the </w:t>
      </w:r>
      <w:r w:rsidRPr="00C86CE3">
        <w:t>child welfare system.</w:t>
      </w:r>
      <w:r>
        <w:t xml:space="preserve"> However, more research is needed, particularly given the extremely small sample and lack of follow-up.</w:t>
      </w:r>
    </w:p>
    <w:p w14:paraId="269A3C36" w14:textId="77777777" w:rsidR="00481EC0" w:rsidRDefault="00481EC0" w:rsidP="00F74788">
      <w:pPr>
        <w:pStyle w:val="NoSpacing"/>
        <w:spacing w:line="360" w:lineRule="auto"/>
      </w:pPr>
    </w:p>
    <w:p w14:paraId="06049992" w14:textId="79E3E822" w:rsidR="00481EC0" w:rsidRDefault="00481EC0" w:rsidP="00F74788">
      <w:pPr>
        <w:pStyle w:val="NoSpacing"/>
        <w:spacing w:line="360" w:lineRule="auto"/>
      </w:pPr>
      <w:r w:rsidRPr="00DF013C">
        <w:t xml:space="preserve">A small </w:t>
      </w:r>
      <w:r>
        <w:t xml:space="preserve">moderate quality </w:t>
      </w:r>
      <w:r w:rsidRPr="00DF013C">
        <w:t xml:space="preserve">RCT in an unspecified county of the US by </w:t>
      </w:r>
      <w:r w:rsidRPr="00DF013C">
        <w:fldChar w:fldCharType="begin">
          <w:fldData xml:space="preserve">PEVuZE5vdGU+PENpdGUgQXV0aG9yWWVhcj0iMSI+PEF1dGhvcj5Eb25vaHVlPC9BdXRob3I+PFll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</w:fldData>
        </w:fldChar>
      </w:r>
      <w:r w:rsidR="00B9334F">
        <w:instrText xml:space="preserve"> ADDIN EN.CITE </w:instrText>
      </w:r>
      <w:r w:rsidR="00B9334F">
        <w:fldChar w:fldCharType="begin">
          <w:fldData xml:space="preserve">PEVuZE5vdGU+PENpdGUgQXV0aG9yWWVhcj0iMSI+PEF1dGhvcj5Eb25vaHVlPC9BdXRob3I+PFll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</w:fldData>
        </w:fldChar>
      </w:r>
      <w:r w:rsidR="00B9334F">
        <w:instrText xml:space="preserve"> ADDIN EN.CITE.DATA </w:instrText>
      </w:r>
      <w:r w:rsidR="00B9334F">
        <w:fldChar w:fldCharType="end"/>
      </w:r>
      <w:r w:rsidRPr="00DF013C">
        <w:fldChar w:fldCharType="separate"/>
      </w:r>
      <w:r w:rsidR="00A77498">
        <w:rPr>
          <w:noProof/>
        </w:rPr>
        <w:t>Donohue et al. (2014)</w:t>
      </w:r>
      <w:r w:rsidRPr="00DF013C">
        <w:fldChar w:fldCharType="end"/>
      </w:r>
      <w:r w:rsidRPr="00DF013C">
        <w:t xml:space="preserve"> evaluated</w:t>
      </w:r>
      <w:r w:rsidRPr="00C537F9">
        <w:t xml:space="preserve"> the effectiveness of a family-based therapy for mothers</w:t>
      </w:r>
      <w:r>
        <w:t>. The study had a relatively reasonable follow-up of 10 months post randomisation.  All m</w:t>
      </w:r>
      <w:r w:rsidRPr="00C537F9">
        <w:t xml:space="preserve">others in </w:t>
      </w:r>
      <w:r>
        <w:t>the study</w:t>
      </w:r>
      <w:r w:rsidRPr="00C537F9">
        <w:t xml:space="preserve"> decreased their drug use and child neglect potential</w:t>
      </w:r>
      <w:r>
        <w:t xml:space="preserve">, irrespective of whether they received </w:t>
      </w:r>
      <w:r w:rsidRPr="00C537F9">
        <w:t xml:space="preserve">family-based </w:t>
      </w:r>
      <w:r>
        <w:t xml:space="preserve">therapy or treatment as usual, and there were no differences found in treatment retention. Despite all mothers having SUD and reported as maltreating their children, not all children had been reportedly exposed to their mother’s drug use. The study found that the mothers of children who were not drug exposed had better outcomes overall, particularly those receiving family-based therapy. </w:t>
      </w:r>
    </w:p>
    <w:p w14:paraId="7984211F" w14:textId="77777777" w:rsidR="00481EC0" w:rsidRDefault="00481EC0" w:rsidP="00F74788">
      <w:pPr>
        <w:pStyle w:val="NoSpacing"/>
        <w:spacing w:line="360" w:lineRule="auto"/>
      </w:pPr>
    </w:p>
    <w:p w14:paraId="5CF78D1C" w14:textId="6CA4B33F" w:rsidR="00481EC0" w:rsidRDefault="00481EC0" w:rsidP="00F74788">
      <w:pPr>
        <w:pStyle w:val="NoSpacing"/>
        <w:spacing w:line="360" w:lineRule="auto"/>
      </w:pPr>
      <w:r w:rsidRPr="00925EA9">
        <w:t xml:space="preserve">The strengthening families programme (SFP) began as </w:t>
      </w:r>
      <w:r>
        <w:t>an</w:t>
      </w:r>
      <w:r w:rsidRPr="00925EA9">
        <w:t xml:space="preserve"> intervention for 10–14-year-olds using substances </w:t>
      </w:r>
      <w:r>
        <w:t xml:space="preserve">but has expanded to support families affected by parental substance use. </w:t>
      </w:r>
      <w:r w:rsidRPr="00925EA9">
        <w:t>The programme comprises manualised group session intervention lasting 14 weeks parenting and family skills</w:t>
      </w:r>
      <w:r>
        <w:t>, as well as substance use</w:t>
      </w:r>
      <w:r w:rsidRPr="00925EA9">
        <w:t xml:space="preserve">. </w:t>
      </w:r>
      <w:r>
        <w:t xml:space="preserve">A </w:t>
      </w:r>
      <w:r w:rsidRPr="00DF013C">
        <w:t xml:space="preserve">quasi-experimental longitudinal study of SFP across 10 sites in Kansas, USA, by </w:t>
      </w:r>
      <w:r w:rsidRPr="00DF013C">
        <w:fldChar w:fldCharType="begin"/>
      </w:r>
      <w:r w:rsidR="00B9334F">
        <w:instrText xml:space="preserve"> ADDIN EN.CITE &lt;EndNote&gt;&lt;Cite AuthorYear="1"&gt;&lt;Author&gt;Akin&lt;/Author&gt;&lt;Year&gt;2017&lt;/Year&gt;&lt;RecNum&gt;164&lt;/RecNum&gt;&lt;DisplayText&gt;Akin et al. (2017)&lt;/DisplayText&gt;&lt;record&gt;&lt;rec-number&gt;164&lt;/rec-number&gt;&lt;foreign-keys&gt;&lt;key app="EN" db-id="ffzvr5fstavwxoe9v04xf0wmp5t50as52da0" timestamp="1731671646" guid="aeee141d-2e61-44b0-8841-41880a48d958"&gt;164&lt;/key&gt;&lt;/foreign-keys&gt;&lt;ref-type name="Journal Article"&gt;17&lt;/ref-type&gt;&lt;contributors&gt;&lt;authors&gt;&lt;author&gt;Akin, Becci A.&lt;/author&gt;&lt;author&gt;Brook, Jody&lt;/author&gt;&lt;author&gt;Lloyd, Margaret H.&lt;/author&gt;&lt;author&gt;McDonald, Thomas P.&lt;/author&gt;&lt;/authors&gt;&lt;/contributors&gt;&lt;titles&gt;&lt;title&gt;Effect of a Parenting Intervention on Foster Care Reentry After Reunification Among Substance-Affected Families: A Quasi-Experimental Study&lt;/title&gt;&lt;secondary-title&gt;Child Maltreatment&lt;/secondary-title&gt;&lt;/titles&gt;&lt;periodical&gt;&lt;full-title&gt;Child Maltreatment&lt;/full-title&gt;&lt;/periodical&gt;&lt;pages&gt;194-204&lt;/pages&gt;&lt;volume&gt;22&lt;/volume&gt;&lt;number&gt;3&lt;/number&gt;&lt;keywords&gt;&lt;keyword&gt;Evidence-Based Treatment&lt;/keyword&gt;&lt;keyword&gt;Intervention Research&lt;/keyword&gt;&lt;keyword&gt;Foster Care&lt;/keyword&gt;&lt;keyword&gt;Recidivism&lt;/keyword&gt;&lt;keyword&gt;Substance Abuse&lt;/keyword&gt;&lt;/keywords&gt;&lt;dates&gt;&lt;year&gt;2017&lt;/year&gt;&lt;/dates&gt;&lt;isbn&gt;1077-5595&lt;/isbn&gt;&lt;urls&gt;&lt;/urls&gt;&lt;electronic-resource-num&gt;10.1177/1077559517702743&lt;/electronic-resource-num&gt;&lt;/record&gt;&lt;/Cite&gt;&lt;/EndNote&gt;</w:instrText>
      </w:r>
      <w:r w:rsidRPr="00DF013C">
        <w:fldChar w:fldCharType="separate"/>
      </w:r>
      <w:r w:rsidR="00A77498">
        <w:rPr>
          <w:noProof/>
        </w:rPr>
        <w:t>Akin et al. (2017)</w:t>
      </w:r>
      <w:r w:rsidRPr="00DF013C">
        <w:fldChar w:fldCharType="end"/>
      </w:r>
      <w:r w:rsidRPr="00DF013C">
        <w:t>, analysed time spent in care over a five year period. The authors found no statistical difference in reunification between families in which parents were receiving a standard parenting intervention compared with SFP. Yet, while</w:t>
      </w:r>
      <w:r w:rsidRPr="00925EA9">
        <w:t xml:space="preserve"> controlling for a range of characteristics, significant predictors of re-entry </w:t>
      </w:r>
      <w:r>
        <w:t xml:space="preserve">into care </w:t>
      </w:r>
      <w:r w:rsidRPr="00925EA9">
        <w:t xml:space="preserve">were </w:t>
      </w:r>
      <w:r>
        <w:t xml:space="preserve">found: </w:t>
      </w:r>
      <w:r w:rsidRPr="00925EA9">
        <w:t>removal due to child behaviour, poverty, and reunification between 15 and 18 months (compared with reunification in &lt;15 months).</w:t>
      </w:r>
    </w:p>
    <w:p w14:paraId="1FED45EA" w14:textId="77777777" w:rsidR="00481EC0" w:rsidRDefault="00481EC0" w:rsidP="00F74788">
      <w:pPr>
        <w:pStyle w:val="NoSpacing"/>
        <w:spacing w:line="360" w:lineRule="auto"/>
      </w:pPr>
    </w:p>
    <w:p w14:paraId="6C9FD435" w14:textId="6A5F3471" w:rsidR="00481EC0" w:rsidRPr="00925EA9" w:rsidRDefault="00481EC0" w:rsidP="00F74788">
      <w:pPr>
        <w:pStyle w:val="NoSpacing"/>
        <w:spacing w:line="360" w:lineRule="auto"/>
      </w:pPr>
      <w:r>
        <w:t xml:space="preserve">A low quality study by </w:t>
      </w:r>
      <w:r w:rsidRPr="00DF013C">
        <w:fldChar w:fldCharType="begin"/>
      </w:r>
      <w:r w:rsidR="00B9334F">
        <w:instrText xml:space="preserve"> ADDIN EN.CITE &lt;EndNote&gt;&lt;Cite AuthorYear="1"&gt;&lt;Author&gt;Saldana&lt;/Author&gt;&lt;Year&gt;2015&lt;/Year&gt;&lt;RecNum&gt;159&lt;/RecNum&gt;&lt;DisplayText&gt;Saldana (2015)&lt;/DisplayText&gt;&lt;record&gt;&lt;rec-number&gt;159&lt;/rec-number&gt;&lt;foreign-keys&gt;&lt;key app="EN" db-id="ffzvr5fstavwxoe9v04xf0wmp5t50as52da0" timestamp="1731671646" guid="55d50193-28f9-4356-9e38-18773f384c02"&gt;159&lt;/key&gt;&lt;/foreign-keys&gt;&lt;ref-type name="Journal Article"&gt;17&lt;/ref-type&gt;&lt;contributors&gt;&lt;authors&gt;&lt;author&gt;Saldana, Lisa&lt;/author&gt;&lt;/authors&gt;&lt;/contributors&gt;&lt;titles&gt;&lt;title&gt;An Integrated Intervention to Address the Comorbid Needs of Families Referred to Child Welfare for Substance Use Disorders and Child Neglect: FAIR Pilot Outcomes&lt;/title&gt;&lt;secondary-title&gt;Child Welfare&lt;/secondary-title&gt;&lt;/titles&gt;&lt;periodical&gt;&lt;full-title&gt;Child welfare&lt;/full-title&gt;&lt;/periodical&gt;&lt;pages&gt;167-186&lt;/pages&gt;&lt;volume&gt;94&lt;/volume&gt;&lt;number&gt;5&lt;/number&gt;&lt;keywords&gt;&lt;keyword&gt;United States–Us&lt;/keyword&gt;&lt;keyword&gt;Parents &amp;amp; Parenting&lt;/keyword&gt;&lt;keyword&gt;Skill Development&lt;/keyword&gt;&lt;keyword&gt;Child Abuse &amp;amp; Neglect&lt;/keyword&gt;&lt;keyword&gt;Behavior&lt;/keyword&gt;&lt;keyword&gt;Child Welfare&lt;/keyword&gt;&lt;keyword&gt;Families &amp;amp; Family Life&lt;/keyword&gt;&lt;keyword&gt;Children &amp;amp; Youth&lt;/keyword&gt;&lt;keyword&gt;Alcohol Use&lt;/keyword&gt;&lt;keyword&gt;Methamphetamines&lt;/keyword&gt;&lt;keyword&gt;Studies&lt;/keyword&gt;&lt;keyword&gt;Drug Use&lt;/keyword&gt;&lt;keyword&gt;Comorbidity&lt;/keyword&gt;&lt;/keywords&gt;&lt;dates&gt;&lt;year&gt;2015&lt;/year&gt;&lt;/dates&gt;&lt;pub-location&gt;Arlington&lt;/pub-location&gt;&lt;isbn&gt;00094021&lt;/isbn&gt;&lt;urls&gt;&lt;/urls&gt;&lt;/record&gt;&lt;/Cite&gt;&lt;/EndNote&gt;</w:instrText>
      </w:r>
      <w:r w:rsidRPr="00DF013C">
        <w:fldChar w:fldCharType="separate"/>
      </w:r>
      <w:r w:rsidRPr="00DF013C">
        <w:rPr>
          <w:noProof/>
        </w:rPr>
        <w:t>Saldana (2015)</w:t>
      </w:r>
      <w:r w:rsidRPr="00DF013C">
        <w:fldChar w:fldCharType="end"/>
      </w:r>
      <w:r w:rsidRPr="00DF013C">
        <w:t xml:space="preserve"> evaluated the effectiveness of the Family Actively Improving</w:t>
      </w:r>
      <w:r w:rsidRPr="00E12B94">
        <w:t xml:space="preserve"> Relationships (FAIR) US pilot on concurrent parental </w:t>
      </w:r>
      <w:r>
        <w:t>substance use disorder</w:t>
      </w:r>
      <w:r w:rsidRPr="00E12B94">
        <w:t xml:space="preserve"> and child neglect</w:t>
      </w:r>
      <w:r>
        <w:t xml:space="preserve"> among</w:t>
      </w:r>
      <w:r w:rsidRPr="00E12B94">
        <w:t xml:space="preserve">. FAIR is an eight-month treatment programme which incorporates elements of Parent Management Training and </w:t>
      </w:r>
      <w:r>
        <w:t>reinforcement-based treatment (RBT)</w:t>
      </w:r>
      <w:r w:rsidRPr="00E12B94">
        <w:t xml:space="preserve">.  Sessions occur in the home and other environments in the community and support is available 24/7. Modules consist of parenting skills, addressing </w:t>
      </w:r>
      <w:r>
        <w:t>substance use</w:t>
      </w:r>
      <w:r w:rsidRPr="00E12B94">
        <w:t xml:space="preserve"> and </w:t>
      </w:r>
      <w:r>
        <w:t>hands on parenting coaching</w:t>
      </w:r>
      <w:r w:rsidRPr="00E12B94">
        <w:t>. Negative drug screens and other positive behaviours are reinforced with voucher</w:t>
      </w:r>
      <w:r w:rsidRPr="00925EA9">
        <w:t xml:space="preserve"> incentives.</w:t>
      </w:r>
      <w:r>
        <w:t xml:space="preserve"> </w:t>
      </w:r>
      <w:r w:rsidRPr="00925EA9">
        <w:t xml:space="preserve">Intervention mothers were more likely to engage and complete treatment than those in the comparison and saw significant improvements in parenting, substance use and mental health and auxiliary needs. </w:t>
      </w:r>
      <w:r>
        <w:t xml:space="preserve">The study was limited by a </w:t>
      </w:r>
      <w:r w:rsidRPr="00925EA9">
        <w:t>small sample size, the study was limited geographically, and there was a high level of attrition between follow-up points.</w:t>
      </w:r>
    </w:p>
    <w:p w14:paraId="4A9CE9EB" w14:textId="77777777" w:rsidR="00481EC0" w:rsidRPr="00925EA9" w:rsidRDefault="00481EC0" w:rsidP="00F74788">
      <w:pPr>
        <w:pStyle w:val="NoSpacing"/>
        <w:spacing w:line="360" w:lineRule="auto"/>
      </w:pPr>
    </w:p>
    <w:p w14:paraId="42B78752" w14:textId="2CDC69EA" w:rsidR="00F74788" w:rsidRDefault="00481EC0" w:rsidP="00F74788">
      <w:pPr>
        <w:pStyle w:val="NoSpacing"/>
        <w:spacing w:line="360" w:lineRule="auto"/>
      </w:pPr>
      <w:r w:rsidRPr="00DF013C">
        <w:t xml:space="preserve">Another home-based intervention with an RBT for families known to statutory child welfare services was evaluated by </w:t>
      </w:r>
      <w:r w:rsidRPr="00DF013C">
        <w:fldChar w:fldCharType="begin"/>
      </w:r>
      <w:r w:rsidR="00B9334F">
        <w:instrText xml:space="preserve"> ADDIN EN.CITE &lt;EndNote&gt;&lt;Cite AuthorYear="1"&gt;&lt;Author&gt;Schaeffer&lt;/Author&gt;&lt;Year&gt;2013&lt;/Year&gt;&lt;RecNum&gt;688&lt;/RecNum&gt;&lt;DisplayText&gt;Schaeffer et al. (2013)&lt;/DisplayText&gt;&lt;record&gt;&lt;rec-number&gt;688&lt;/rec-number&gt;&lt;foreign-keys&gt;&lt;key app="EN" db-id="ffzvr5fstavwxoe9v04xf0wmp5t50as52da0" timestamp="1731671737" guid="f31740d2-3f3c-4038-ba66-e20007fde679"&gt;688&lt;/key&gt;&lt;/foreign-keys&gt;&lt;ref-type name="Journal Article"&gt;17&lt;/ref-type&gt;&lt;contributors&gt;&lt;authors&gt;&lt;author&gt;Schaeffer, Cindy M.&lt;/author&gt;&lt;author&gt;Swenson, Cynthia Cupit&lt;/author&gt;&lt;author&gt;Tuerk, Elena Hontoria&lt;/author&gt;&lt;author&gt;Henggeler, Scott W.&lt;/author&gt;&lt;/authors&gt;&lt;/contributors&gt;&lt;titles&gt;&lt;title&gt;Comprehensive treatment for co-occurring child maltreatment and parental substance abuse: Outcomes from a 24-month pilot study of the MST-Building Stronger Families program&lt;/title&gt;&lt;secondary-title&gt;Child Abuse &amp;amp; Neglect&lt;/secondary-title&gt;&lt;/titles&gt;&lt;periodical&gt;&lt;full-title&gt;Child Abuse &amp;amp; Neglect&lt;/full-title&gt;&lt;/periodical&gt;&lt;pages&gt;596&lt;/pages&gt;&lt;volume&gt;37&lt;/volume&gt;&lt;number&gt;8&lt;/number&gt;&lt;keywords&gt;&lt;keyword&gt;Criminology And Law Enforcement&lt;/keyword&gt;&lt;keyword&gt;Drug abuse&lt;/keyword&gt;&lt;keyword&gt;Child abuse &amp;amp; neglect&lt;/keyword&gt;&lt;keyword&gt;Child welfare&lt;/keyword&gt;&lt;keyword&gt;Substance abuse treatment&lt;/keyword&gt;&lt;keyword&gt;Aggressiveness&lt;/keyword&gt;&lt;/keywords&gt;&lt;dates&gt;&lt;year&gt;2013&lt;/year&gt;&lt;pub-dates&gt;&lt;date&gt;Aug 2013&amp;#xD;2013-08-17&lt;/date&gt;&lt;/pub-dates&gt;&lt;/dates&gt;&lt;pub-location&gt;Oxford&lt;/pub-location&gt;&lt;publisher&gt;Pergamon Press Inc.&lt;/publisher&gt;&lt;isbn&gt;01452134&lt;/isbn&gt;&lt;accession-num&gt;1425510937&lt;/accession-num&gt;&lt;urls&gt;&lt;related-urls&gt;&lt;url&gt;https://www.sciencedirect.com/science/article/abs/pii/S0145213413001129?via%3Dihub&lt;/url&gt;&lt;/related-urls&gt;&lt;/urls&gt;&lt;electronic-resource-num&gt;https://doi.org/10.1016/j.chiabu.2013.04.004&lt;/electronic-resource-num&gt;&lt;remote-database-name&gt;Applied Social Sciences Index &amp;amp; Abstracts (ASSIA)&lt;/remote-database-name&gt;&lt;language&gt;English&lt;/language&gt;&lt;/record&gt;&lt;/Cite&gt;&lt;/EndNote&gt;</w:instrText>
      </w:r>
      <w:r w:rsidRPr="00DF013C">
        <w:fldChar w:fldCharType="separate"/>
      </w:r>
      <w:r w:rsidR="00A77498">
        <w:rPr>
          <w:noProof/>
        </w:rPr>
        <w:t>Schaeffer et al. (2013)</w:t>
      </w:r>
      <w:r w:rsidRPr="00DF013C">
        <w:fldChar w:fldCharType="end"/>
      </w:r>
      <w:r w:rsidRPr="00DF013C">
        <w:t xml:space="preserve">. The </w:t>
      </w:r>
      <w:r>
        <w:t xml:space="preserve">low-quality </w:t>
      </w:r>
      <w:r w:rsidRPr="00DF013C">
        <w:t xml:space="preserve">pilot of Multisystemic Therapy-Building Stronger Families (MST-BSF) in New Britain, Connecticut, USA, was compared with comprehensive community treatment and effectiveness measured in terms of subsequent maltreatment and reunification. </w:t>
      </w:r>
      <w:r w:rsidRPr="00925EA9">
        <w:t xml:space="preserve">The </w:t>
      </w:r>
      <w:r>
        <w:t xml:space="preserve">small scale </w:t>
      </w:r>
      <w:r w:rsidRPr="00925EA9">
        <w:t xml:space="preserve">quasi-experimental study with 24-month follow-up found that </w:t>
      </w:r>
      <w:r>
        <w:t xml:space="preserve">interventions mothers showed significant reductions in alcohol and drug use, as well </w:t>
      </w:r>
      <w:r>
        <w:lastRenderedPageBreak/>
        <w:t>as depressive symptoms</w:t>
      </w:r>
      <w:r w:rsidRPr="00925EA9">
        <w:t>. Intervention children did experience significantly fewer incidences of abuse and significantly fewer days in out-of-home placements. Notably, the researchers were unable to establish the number of treatment services mothers in the comparison group received thereby increasing the probability that the comparative superior effectiveness of the intervention was due to mothers receiving more treatment rather than the intervention itself.</w:t>
      </w:r>
    </w:p>
    <w:p w14:paraId="4A113314" w14:textId="77777777" w:rsidR="00F74788" w:rsidRDefault="00F74788" w:rsidP="00F74788">
      <w:pPr>
        <w:pStyle w:val="NoSpacing"/>
        <w:spacing w:line="360" w:lineRule="auto"/>
      </w:pPr>
    </w:p>
    <w:p w14:paraId="53ECDB23" w14:textId="433B63F0" w:rsidR="001E4473" w:rsidRDefault="001E4473" w:rsidP="001E4473">
      <w:pPr>
        <w:pStyle w:val="Heading4"/>
        <w:spacing w:line="360" w:lineRule="auto"/>
      </w:pPr>
      <w:r>
        <w:t>Family treatment drug courts</w:t>
      </w:r>
    </w:p>
    <w:p w14:paraId="2CCE40BA" w14:textId="152CE759" w:rsidR="00F74788" w:rsidRDefault="00481EC0" w:rsidP="00F74788">
      <w:pPr>
        <w:pStyle w:val="NoSpacing"/>
        <w:spacing w:line="360" w:lineRule="auto"/>
      </w:pPr>
      <w:r>
        <w:rPr>
          <w:rStyle w:val="NoSpacingChar"/>
        </w:rPr>
        <w:t>The review found 11 studies of family treatment drug courts (FTDCs), known as family drug and alcohol courts (FDACs) in England.</w:t>
      </w:r>
      <w:r w:rsidRPr="009B4BD2">
        <w:rPr>
          <w:rStyle w:val="NoSpacingChar"/>
        </w:rPr>
        <w:t xml:space="preserve"> </w:t>
      </w:r>
      <w:r>
        <w:rPr>
          <w:rStyle w:val="NoSpacingChar"/>
        </w:rPr>
        <w:t>FTDCs are</w:t>
      </w:r>
      <w:r w:rsidRPr="009B4BD2">
        <w:rPr>
          <w:rStyle w:val="NoSpacingChar"/>
        </w:rPr>
        <w:t xml:space="preserve"> specialist courts dealing with </w:t>
      </w:r>
      <w:r>
        <w:rPr>
          <w:rStyle w:val="NoSpacingChar"/>
        </w:rPr>
        <w:t>p</w:t>
      </w:r>
      <w:r w:rsidRPr="009B4BD2">
        <w:rPr>
          <w:rStyle w:val="NoSpacingChar"/>
        </w:rPr>
        <w:t xml:space="preserve">arents who </w:t>
      </w:r>
      <w:r>
        <w:rPr>
          <w:rStyle w:val="NoSpacingChar"/>
        </w:rPr>
        <w:t xml:space="preserve">use substances and </w:t>
      </w:r>
      <w:r w:rsidRPr="009B4BD2">
        <w:rPr>
          <w:rStyle w:val="NoSpacingChar"/>
        </w:rPr>
        <w:t>are</w:t>
      </w:r>
      <w:r w:rsidRPr="00925EA9">
        <w:t xml:space="preserve"> </w:t>
      </w:r>
      <w:r>
        <w:t>at risk of having their children put into care</w:t>
      </w:r>
      <w:r w:rsidRPr="00925EA9">
        <w:t xml:space="preserve">. Originally established in </w:t>
      </w:r>
      <w:r>
        <w:t>the US</w:t>
      </w:r>
      <w:r w:rsidRPr="00925EA9">
        <w:t xml:space="preserve">, most states have implemented an FTDC. Encouraged by the promising findings emerging from the US and rooted in concerns about the lack of coordination between adult and children’s services and the high costs of standard proceedings </w:t>
      </w:r>
      <w:r w:rsidRPr="00925EA9">
        <w:fldChar w:fldCharType="begin"/>
      </w:r>
      <w:r w:rsidR="00B9334F">
        <w:instrText xml:space="preserve"> ADDIN EN.CITE &lt;EndNote&gt;&lt;Cite&gt;&lt;Author&gt;Harwin&lt;/Author&gt;&lt;Year&gt;2014&lt;/Year&gt;&lt;RecNum&gt;289&lt;/RecNum&gt;&lt;DisplayText&gt;(Harwin et al., 2014)&lt;/DisplayText&gt;&lt;record&gt;&lt;rec-number&gt;289&lt;/rec-number&gt;&lt;foreign-keys&gt;&lt;key app="EN" db-id="ffzvr5fstavwxoe9v04xf0wmp5t50as52da0" timestamp="1731671655" guid="3356f393-80c3-48b2-bdaf-da9b596cfa34"&gt;289&lt;/key&gt;&lt;/foreign-keys&gt;&lt;ref-type name="Journal Article"&gt;17&lt;/ref-type&gt;&lt;contributors&gt;&lt;authors&gt;&lt;author&gt;Harwin, Judith&lt;/author&gt;&lt;author&gt;Alrouh, Bachar&lt;/author&gt;&lt;author&gt;Ryan, Mary&lt;/author&gt;&lt;author&gt;Tunnard, Jo&lt;/author&gt;&lt;/authors&gt;&lt;/contributors&gt;&lt;titles&gt;&lt;title&gt;Changing Lifestyles, Keeping Children Safe: An evaluation of the first Family Drug and Alcohol Court (FDAC) in care proceedings&lt;/title&gt;&lt;/titles&gt;&lt;dates&gt;&lt;year&gt;2014&lt;/year&gt;&lt;/dates&gt;&lt;urls&gt;&lt;/urls&gt;&lt;/record&gt;&lt;/Cite&gt;&lt;/EndNote&gt;</w:instrText>
      </w:r>
      <w:r w:rsidRPr="00925EA9">
        <w:fldChar w:fldCharType="separate"/>
      </w:r>
      <w:r w:rsidR="00A77498">
        <w:rPr>
          <w:noProof/>
        </w:rPr>
        <w:t>(Harwin et al., 2014)</w:t>
      </w:r>
      <w:r w:rsidRPr="00925EA9">
        <w:fldChar w:fldCharType="end"/>
      </w:r>
      <w:r w:rsidRPr="00925EA9">
        <w:t xml:space="preserve">, three pilot sites were established in London. </w:t>
      </w:r>
      <w:r>
        <w:t>In 2023, there were 14 services working in 22 family courts in 38 English local authorities.</w:t>
      </w:r>
    </w:p>
    <w:p w14:paraId="342FA99D" w14:textId="77777777" w:rsidR="00F74788" w:rsidRDefault="00F74788" w:rsidP="00F74788">
      <w:pPr>
        <w:pStyle w:val="NoSpacing"/>
        <w:spacing w:line="360" w:lineRule="auto"/>
      </w:pPr>
    </w:p>
    <w:p w14:paraId="0B9D4C4B" w14:textId="77777777" w:rsidR="00F74788" w:rsidRDefault="00481EC0" w:rsidP="00F74788">
      <w:pPr>
        <w:pStyle w:val="NoSpacing"/>
        <w:spacing w:line="360" w:lineRule="auto"/>
      </w:pPr>
      <w:r w:rsidRPr="00925EA9">
        <w:t>The main aim of FTDCs is permanency. An ancillary and associated objective is for parents to complete a treatment programme and recover from their dependency. To achieve these goals, multidisciplinary teams comprising judicial</w:t>
      </w:r>
      <w:r>
        <w:t xml:space="preserve"> representatives and</w:t>
      </w:r>
      <w:r w:rsidRPr="00925EA9">
        <w:t xml:space="preserve"> adult treatment and child </w:t>
      </w:r>
      <w:r>
        <w:t>social workers</w:t>
      </w:r>
      <w:r w:rsidRPr="00925EA9">
        <w:t xml:space="preserve"> support families and monitor progress in a typically for one year. Collaborative working and regular monitoring expedite access to treatment for parents at the start of court proceedings and later on should they complete treatment and then relapse.</w:t>
      </w:r>
      <w:r>
        <w:t xml:space="preserve"> </w:t>
      </w:r>
      <w:r w:rsidRPr="00925EA9">
        <w:t xml:space="preserve">Two types of courts exist: ‘integrated’ whereby an FTDC judge supervises the entire case and ‘parallel’ whereby an FTDC judge oversees the treatment aspect and another judge oversees child welfare matters. To graduate, parents must successfully complete treatment, sustain their recovery for a pre-specified amount of time and demonstrate </w:t>
      </w:r>
      <w:r w:rsidRPr="00D224A1">
        <w:t>that they can provide safe and stable living environments for their children.</w:t>
      </w:r>
    </w:p>
    <w:p w14:paraId="76170FDB" w14:textId="77777777" w:rsidR="00F74788" w:rsidRDefault="00F74788" w:rsidP="00F74788">
      <w:pPr>
        <w:pStyle w:val="NoSpacing"/>
        <w:spacing w:line="360" w:lineRule="auto"/>
      </w:pPr>
    </w:p>
    <w:p w14:paraId="57133F0F" w14:textId="7C1C097F" w:rsidR="00F74788" w:rsidRDefault="00481EC0" w:rsidP="00F74788">
      <w:pPr>
        <w:pStyle w:val="NoSpacing"/>
        <w:spacing w:line="360" w:lineRule="auto"/>
      </w:pPr>
      <w:r w:rsidRPr="00D224A1">
        <w:t xml:space="preserve">The evidence </w:t>
      </w:r>
      <w:r>
        <w:t xml:space="preserve">appears to </w:t>
      </w:r>
      <w:r w:rsidRPr="00D224A1">
        <w:t xml:space="preserve">support that FTDC parents are more likely to enter treatment and remain in treatment for longer; with four studies observing that FTDC </w:t>
      </w:r>
      <w:r w:rsidRPr="00D224A1">
        <w:lastRenderedPageBreak/>
        <w:t xml:space="preserve">parents received more treatment episodes than comparison parents </w:t>
      </w:r>
      <w:r w:rsidRPr="00D224A1">
        <w:fldChar w:fldCharType="begin">
          <w:fldData xml:space="preserve">PEVuZE5vdGU+PENpdGU+PEF1dGhvcj5HcmVlbjwvQXV0aG9yPjxZZWFyPjIwMDc8L1llYXI+PFJl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</w:fldData>
        </w:fldChar>
      </w:r>
      <w:r w:rsidR="00B9334F">
        <w:instrText xml:space="preserve"> ADDIN EN.CITE </w:instrText>
      </w:r>
      <w:r w:rsidR="00B9334F">
        <w:fldChar w:fldCharType="begin">
          <w:fldData xml:space="preserve">PEVuZE5vdGU+PENpdGU+PEF1dGhvcj5HcmVlbjwvQXV0aG9yPjxZZWFyPjIwMDc8L1llYXI+PFJl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</w:fldData>
        </w:fldChar>
      </w:r>
      <w:r w:rsidR="00B9334F">
        <w:instrText xml:space="preserve"> ADDIN EN.CITE.DATA </w:instrText>
      </w:r>
      <w:r w:rsidR="00B9334F">
        <w:fldChar w:fldCharType="end"/>
      </w:r>
      <w:r w:rsidRPr="00D224A1">
        <w:fldChar w:fldCharType="separate"/>
      </w:r>
      <w:r w:rsidR="003C6F70">
        <w:rPr>
          <w:noProof/>
        </w:rPr>
        <w:t>(Bruns et al., 2012; Chuang et al., 2012; Green et al., 2007; Worcel et al., 2008)</w:t>
      </w:r>
      <w:r w:rsidRPr="00D224A1">
        <w:fldChar w:fldCharType="end"/>
      </w:r>
      <w:r w:rsidRPr="00D224A1">
        <w:t xml:space="preserve">. The </w:t>
      </w:r>
      <w:r w:rsidRPr="00D224A1">
        <w:fldChar w:fldCharType="begin"/>
      </w:r>
      <w:r w:rsidR="00B9334F">
        <w:instrText xml:space="preserve"> ADDIN EN.CITE &lt;EndNote&gt;&lt;Cite AuthorYear="1"&gt;&lt;Author&gt;Boles&lt;/Author&gt;&lt;Year&gt;2007&lt;/Year&gt;&lt;RecNum&gt;130&lt;/RecNum&gt;&lt;DisplayText&gt;Boles et al. (2007)&lt;/DisplayText&gt;&lt;record&gt;&lt;rec-number&gt;130&lt;/rec-number&gt;&lt;foreign-keys&gt;&lt;key app="EN" db-id="ffzvr5fstavwxoe9v04xf0wmp5t50as52da0" timestamp="1731671644" guid="b8ac15b6-54c9-44fd-b2ab-1be0e3de15a0"&gt;130&lt;/key&gt;&lt;/foreign-keys&gt;&lt;ref-type name="Journal Article"&gt;17&lt;/ref-type&gt;&lt;contributors&gt;&lt;authors&gt;&lt;author&gt;Boles, Sharon M.&lt;/author&gt;&lt;author&gt;Young, Nancy K.&lt;/author&gt;&lt;author&gt;Moore, Toni&lt;/author&gt;&lt;author&gt;DiPirro-Beard, Sharon&lt;/author&gt;&lt;/authors&gt;&lt;/contributors&gt;&lt;titles&gt;&lt;title&gt;The Sacramento Dependency Drug Court: Development and Outcomes&lt;/title&gt;&lt;secondary-title&gt;Child Maltreatment&lt;/secondary-title&gt;&lt;/titles&gt;&lt;periodical&gt;&lt;full-title&gt;Child Maltreatment&lt;/full-title&gt;&lt;/periodical&gt;&lt;pages&gt;161-171&lt;/pages&gt;&lt;volume&gt;12&lt;/volume&gt;&lt;number&gt;2&lt;/number&gt;&lt;keywords&gt;&lt;keyword&gt;Dependency Drug Court,parents,child welfare,substance abuse&lt;/keyword&gt;&lt;/keywords&gt;&lt;dates&gt;&lt;year&gt;2007&lt;/year&gt;&lt;/dates&gt;&lt;accession-num&gt;17446569&lt;/accession-num&gt;&lt;urls&gt;&lt;related-urls&gt;&lt;url&gt;http://journals.sagepub.com/doi/abs/10.1177/1077559507300643&lt;/url&gt;&lt;/related-urls&gt;&lt;/urls&gt;&lt;electronic-resource-num&gt;10.1177/1077559507300643&lt;/electronic-resource-num&gt;&lt;/record&gt;&lt;/Cite&gt;&lt;/EndNote&gt;</w:instrText>
      </w:r>
      <w:r w:rsidRPr="00D224A1">
        <w:fldChar w:fldCharType="separate"/>
      </w:r>
      <w:r w:rsidR="00A77498">
        <w:rPr>
          <w:noProof/>
        </w:rPr>
        <w:t>Boles et al. (2007)</w:t>
      </w:r>
      <w:r w:rsidRPr="00D224A1">
        <w:fldChar w:fldCharType="end"/>
      </w:r>
      <w:r w:rsidRPr="00D224A1">
        <w:t xml:space="preserve"> parallel FTDC study on the other hand, found that while intervention parents were more likely to enter treatment than the comparison group, they spent significantly </w:t>
      </w:r>
      <w:r>
        <w:t xml:space="preserve">fewer </w:t>
      </w:r>
      <w:r w:rsidRPr="00D224A1">
        <w:t xml:space="preserve">days in treatment and there were no observed differences in the likelihood of completing treatment.  A lack of significance in successful completion treatment was also found in later study of an integrated FTDC with wraparound services by </w:t>
      </w:r>
      <w:r w:rsidRPr="00D224A1">
        <w:fldChar w:fldCharType="begin"/>
      </w:r>
      <w:r w:rsidR="00B9334F">
        <w:instrText xml:space="preserve"> ADDIN EN.CITE &lt;EndNote&gt;&lt;Cite AuthorYear="1"&gt;&lt;Author&gt;Bruns&lt;/Author&gt;&lt;Year&gt;2012&lt;/Year&gt;&lt;RecNum&gt;134&lt;/RecNum&gt;&lt;DisplayText&gt;Bruns et al. (2012)&lt;/DisplayText&gt;&lt;record&gt;&lt;rec-number&gt;134&lt;/rec-number&gt;&lt;foreign-keys&gt;&lt;key app="EN" db-id="ffzvr5fstavwxoe9v04xf0wmp5t50as52da0" timestamp="1731671644" guid="c32176f1-d2cf-4e70-8315-e920ed8ee250"&gt;134&lt;/key&gt;&lt;/foreign-keys&gt;&lt;ref-type name="Journal Article"&gt;17&lt;/ref-type&gt;&lt;contributors&gt;&lt;authors&gt;&lt;author&gt;Bruns, Eric J.&lt;/author&gt;&lt;author&gt;Pullmann, Michael D.&lt;/author&gt;&lt;author&gt;Weathers, Ericka S.&lt;/author&gt;&lt;author&gt;Wirschem, Mark L.&lt;/author&gt;&lt;author&gt;Murphy, Jill K.&lt;/author&gt;&lt;/authors&gt;&lt;/contributors&gt;&lt;titles&gt;&lt;title&gt;Effects of a Multidisciplinary Family Treatment Drug Court on Child and Family Outcomes: Results of a Quasi-Experimental Study&lt;/title&gt;&lt;secondary-title&gt;Child Maltreatment&lt;/secondary-title&gt;&lt;/titles&gt;&lt;periodical&gt;&lt;full-title&gt;Child Maltreatment&lt;/full-title&gt;&lt;/periodical&gt;&lt;pages&gt;218-230&lt;/pages&gt;&lt;volume&gt;17&lt;/volume&gt;&lt;number&gt;3&lt;/number&gt;&lt;keywords&gt;&lt;keyword&gt;treatment,substance abuse,child welfare,parents/adults,children in child welfare&lt;/keyword&gt;&lt;/keywords&gt;&lt;dates&gt;&lt;year&gt;2012&lt;/year&gt;&lt;/dates&gt;&lt;accession-num&gt;22887954&lt;/accession-num&gt;&lt;urls&gt;&lt;related-urls&gt;&lt;url&gt;&lt;style face="underline" font="default" size="100%"&gt;http://journals.sagepub.com/doi/abs/10.1177/1077559512454216&lt;/style&gt;&lt;/url&gt;&lt;/related-urls&gt;&lt;/urls&gt;&lt;electronic-resource-num&gt;10.1177/1077559512454216&lt;/electronic-resource-num&gt;&lt;/record&gt;&lt;/Cite&gt;&lt;/EndNote&gt;</w:instrText>
      </w:r>
      <w:r w:rsidRPr="00D224A1">
        <w:fldChar w:fldCharType="separate"/>
      </w:r>
      <w:r w:rsidR="00A77498">
        <w:rPr>
          <w:noProof/>
        </w:rPr>
        <w:t>Bruns et al. (2012)</w:t>
      </w:r>
      <w:r w:rsidRPr="00D224A1">
        <w:fldChar w:fldCharType="end"/>
      </w:r>
      <w:r w:rsidRPr="00D224A1">
        <w:t xml:space="preserve">. Such differences could partly be explained by variations in the types and frequency of treatment offered to parents, which ranged from regular attendance at AA meetings to intensive residential treatment.  </w:t>
      </w:r>
    </w:p>
    <w:p w14:paraId="4544EDE3" w14:textId="77777777" w:rsidR="00F74788" w:rsidRDefault="00F74788" w:rsidP="00F74788">
      <w:pPr>
        <w:pStyle w:val="NoSpacing"/>
        <w:spacing w:line="360" w:lineRule="auto"/>
      </w:pPr>
    </w:p>
    <w:p w14:paraId="4B6079B6" w14:textId="51BD8448" w:rsidR="00F74788" w:rsidRDefault="00481EC0" w:rsidP="00F74788">
      <w:pPr>
        <w:pStyle w:val="NoSpacing"/>
        <w:spacing w:line="360" w:lineRule="auto"/>
      </w:pPr>
      <w:r w:rsidRPr="00D224A1">
        <w:t xml:space="preserve">In England, mothers in the FTDC programme were significantly more likely to stop using substances and when compared with mothers who were reunified with their children, </w:t>
      </w:r>
      <w:r>
        <w:t xml:space="preserve">intervention </w:t>
      </w:r>
      <w:r w:rsidRPr="00D224A1">
        <w:t>mothers were significantly more likely to sustain their recovery during a five-year follow-up period (the longest follow-up period of any other study)</w:t>
      </w:r>
      <w:r>
        <w:t xml:space="preserve"> </w:t>
      </w:r>
      <w:r>
        <w:fldChar w:fldCharType="begin">
          <w:fldData xml:space="preserve">PEVuZE5vdGU+PENpdGU+PEF1dGhvcj5IYXJ3aW48L0F1dGhvcj48WWVhcj4yMDE4PC9ZZWFyPjxS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</w:fldData>
        </w:fldChar>
      </w:r>
      <w:r w:rsidR="00B9334F">
        <w:instrText xml:space="preserve"> ADDIN EN.CITE </w:instrText>
      </w:r>
      <w:r w:rsidR="00B9334F">
        <w:fldChar w:fldCharType="begin">
          <w:fldData xml:space="preserve">PEVuZE5vdGU+PENpdGU+PEF1dGhvcj5IYXJ3aW48L0F1dGhvcj48WWVhcj4yMDE4PC9ZZWFyPjxS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</w:fldData>
        </w:fldChar>
      </w:r>
      <w:r w:rsidR="00B9334F">
        <w:instrText xml:space="preserve"> ADDIN EN.CITE.DATA </w:instrText>
      </w:r>
      <w:r w:rsidR="00B9334F">
        <w:fldChar w:fldCharType="end"/>
      </w:r>
      <w:r>
        <w:fldChar w:fldCharType="separate"/>
      </w:r>
      <w:r w:rsidR="003C6F70">
        <w:rPr>
          <w:noProof/>
        </w:rPr>
        <w:t>(Harwin et al., 2018; Harwin et al., 2016; Harwin et al., 2014)</w:t>
      </w:r>
      <w:r>
        <w:fldChar w:fldCharType="end"/>
      </w:r>
      <w:r w:rsidRPr="00D224A1">
        <w:t xml:space="preserve">. </w:t>
      </w:r>
      <w:r>
        <w:t xml:space="preserve">The authors found </w:t>
      </w:r>
      <w:r w:rsidRPr="00D224A1">
        <w:t xml:space="preserve">no significant differences observed in the time it took to achieve permanency over </w:t>
      </w:r>
      <w:r>
        <w:t>five</w:t>
      </w:r>
      <w:r w:rsidRPr="00D224A1">
        <w:t xml:space="preserve"> years although families were significantly more likely to remain together/ be reunited at the end of court proceedings and at subsequent follow-ups. While the evaluations of the English FTDC are arguably more applicable to the aims of this review than the US studies, the analysis of outcomes in inner-London sites only may limit the applicability of the results to other English jurisdictions. </w:t>
      </w:r>
    </w:p>
    <w:p w14:paraId="1C72CCAE" w14:textId="77777777" w:rsidR="00F74788" w:rsidRDefault="00F74788" w:rsidP="00F74788">
      <w:pPr>
        <w:pStyle w:val="NoSpacing"/>
        <w:spacing w:line="360" w:lineRule="auto"/>
      </w:pPr>
    </w:p>
    <w:p w14:paraId="2D5DC183" w14:textId="2DF435E1" w:rsidR="00F74788" w:rsidRDefault="00481EC0" w:rsidP="00F74788">
      <w:pPr>
        <w:pStyle w:val="NoSpacing"/>
        <w:spacing w:line="360" w:lineRule="auto"/>
      </w:pPr>
      <w:r>
        <w:t>S</w:t>
      </w:r>
      <w:r w:rsidRPr="00D224A1">
        <w:t xml:space="preserve">tudies reported that intervention children were significantly less likely to return to foster care after achieving permanency </w:t>
      </w:r>
      <w:r w:rsidRPr="00D224A1">
        <w:fldChar w:fldCharType="begin">
          <w:fldData xml:space="preserve">PEVuZE5vdGU+PENpdGU+PEF1dGhvcj5aZWxsZXI8L0F1dGhvcj48WWVhcj4yMDA3PC9ZZWFyPjxS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</w:fldData>
        </w:fldChar>
      </w:r>
      <w:r w:rsidR="00B9334F">
        <w:instrText xml:space="preserve"> ADDIN EN.CITE </w:instrText>
      </w:r>
      <w:r w:rsidR="00B9334F">
        <w:fldChar w:fldCharType="begin">
          <w:fldData xml:space="preserve">PEVuZE5vdGU+PENpdGU+PEF1dGhvcj5aZWxsZXI8L0F1dGhvcj48WWVhcj4yMDA3PC9ZZWFyPjxS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</w:fldData>
        </w:fldChar>
      </w:r>
      <w:r w:rsidR="00B9334F">
        <w:instrText xml:space="preserve"> ADDIN EN.CITE.DATA </w:instrText>
      </w:r>
      <w:r w:rsidR="00B9334F">
        <w:fldChar w:fldCharType="end"/>
      </w:r>
      <w:r w:rsidRPr="00D224A1">
        <w:fldChar w:fldCharType="separate"/>
      </w:r>
      <w:r w:rsidR="003C6F70">
        <w:rPr>
          <w:noProof/>
        </w:rPr>
        <w:t>(Chuang et al., 2012; Green et al., 2007; Zeller et al., 2007)</w:t>
      </w:r>
      <w:r w:rsidRPr="00D224A1">
        <w:fldChar w:fldCharType="end"/>
      </w:r>
      <w:r w:rsidRPr="00D224A1">
        <w:t xml:space="preserve">. These findings may be the result of FTDC families being under greater scrutiny even after completion of the programme </w:t>
      </w:r>
      <w:r w:rsidRPr="00D224A1">
        <w:fldChar w:fldCharType="begin">
          <w:fldData xml:space="preserve">PEVuZE5vdGU+PENpdGU+PEF1dGhvcj5HcmVlbjwvQXV0aG9yPjxZZWFyPjIwMDc8L1llYXI+PFJl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</w:fldData>
        </w:fldChar>
      </w:r>
      <w:r w:rsidR="00B9334F">
        <w:instrText xml:space="preserve"> ADDIN EN.CITE </w:instrText>
      </w:r>
      <w:r w:rsidR="00B9334F">
        <w:fldChar w:fldCharType="begin">
          <w:fldData xml:space="preserve">PEVuZE5vdGU+PENpdGU+PEF1dGhvcj5HcmVlbjwvQXV0aG9yPjxZZWFyPjIwMDc8L1llYXI+PFJl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</w:fldData>
        </w:fldChar>
      </w:r>
      <w:r w:rsidR="00B9334F">
        <w:instrText xml:space="preserve"> ADDIN EN.CITE.DATA </w:instrText>
      </w:r>
      <w:r w:rsidR="00B9334F">
        <w:fldChar w:fldCharType="end"/>
      </w:r>
      <w:r w:rsidRPr="00D224A1">
        <w:fldChar w:fldCharType="separate"/>
      </w:r>
      <w:r w:rsidR="003C6F70">
        <w:rPr>
          <w:noProof/>
        </w:rPr>
        <w:t>(Bruns et al., 2012; Green et al., 2007)</w:t>
      </w:r>
      <w:r w:rsidRPr="00D224A1">
        <w:fldChar w:fldCharType="end"/>
      </w:r>
      <w:r w:rsidRPr="00D224A1">
        <w:t xml:space="preserve"> or a reflection of the relatively short follow-up period of studies </w:t>
      </w:r>
      <w:r w:rsidRPr="00D224A1">
        <w:fldChar w:fldCharType="begin"/>
      </w:r>
      <w:r w:rsidR="00B9334F">
        <w:instrText xml:space="preserve"> ADDIN EN.CITE &lt;EndNote&gt;&lt;Cite&gt;&lt;Author&gt;Harwin&lt;/Author&gt;&lt;Year&gt;2018&lt;/Year&gt;&lt;RecNum&gt;129&lt;/RecNum&gt;&lt;DisplayText&gt;(Harwin et al., 2018)&lt;/DisplayText&gt;&lt;record&gt;&lt;rec-number&gt;129&lt;/rec-number&gt;&lt;foreign-keys&gt;&lt;key app="EN" db-id="ffzvr5fstavwxoe9v04xf0wmp5t50as52da0" timestamp="1731671644" guid="259767b3-d958-40d0-9988-51a47e1a3d05"&gt;129&lt;/key&gt;&lt;/foreign-keys&gt;&lt;ref-type name="Journal Article"&gt;17&lt;/ref-type&gt;&lt;contributors&gt;&lt;authors&gt;&lt;author&gt;Harwin, Judith&lt;/author&gt;&lt;author&gt;Alrouh, Bachar&lt;/author&gt;&lt;author&gt;Broadhurst, Karen&lt;/author&gt;&lt;author&gt;McQuarrie, Tricia&lt;/author&gt;&lt;author&gt;Golding, Lily&lt;/author&gt;&lt;author&gt;Ryan, Mary&lt;/author&gt;&lt;/authors&gt;&lt;/contributors&gt;&lt;titles&gt;&lt;title&gt;Child and Parent Outcomes in the London Family Drug and Alcohol Court Five Years On: Building on International Evidence&lt;/title&gt;&lt;secondary-title&gt;International Journal of Law, Policy and the Family&lt;/secondary-title&gt;&lt;/titles&gt;&lt;periodical&gt;&lt;full-title&gt;International Journal of Law, Policy and the Family&lt;/full-title&gt;&lt;/periodical&gt;&lt;pages&gt;1-30&lt;/pages&gt;&lt;number&gt;0&lt;/number&gt;&lt;dates&gt;&lt;year&gt;2018&lt;/year&gt;&lt;/dates&gt;&lt;isbn&gt;1360-9939&lt;/isbn&gt;&lt;urls&gt;&lt;related-urls&gt;&lt;url&gt;&lt;style face="underline" font="default" size="100%"&gt;http://dx.doi.org/10.1093/lawfam/eby006&lt;/style&gt;&lt;/url&gt;&lt;/related-urls&gt;&lt;/urls&gt;&lt;electronic-resource-num&gt;10.1093/lawfam/eby006&lt;/electronic-resource-num&gt;&lt;/record&gt;&lt;/Cite&gt;&lt;/EndNote&gt;</w:instrText>
      </w:r>
      <w:r w:rsidRPr="00D224A1">
        <w:fldChar w:fldCharType="separate"/>
      </w:r>
      <w:r w:rsidR="00A77498">
        <w:rPr>
          <w:noProof/>
        </w:rPr>
        <w:t>(Harwin et al., 2018)</w:t>
      </w:r>
      <w:r w:rsidRPr="00D224A1">
        <w:fldChar w:fldCharType="end"/>
      </w:r>
      <w:r w:rsidRPr="00D224A1">
        <w:t xml:space="preserve">. </w:t>
      </w:r>
    </w:p>
    <w:p w14:paraId="19B36EC3" w14:textId="77777777" w:rsidR="00F74788" w:rsidRDefault="00F74788" w:rsidP="00F74788">
      <w:pPr>
        <w:pStyle w:val="NoSpacing"/>
        <w:spacing w:line="360" w:lineRule="auto"/>
      </w:pPr>
    </w:p>
    <w:p w14:paraId="68189469" w14:textId="61379ECA" w:rsidR="00F74788" w:rsidRDefault="00481EC0" w:rsidP="00F74788">
      <w:pPr>
        <w:pStyle w:val="NoSpacing"/>
        <w:spacing w:line="360" w:lineRule="auto"/>
      </w:pPr>
      <w:r>
        <w:t xml:space="preserve">One study in within the context of an FTDC compared different types of treatment intervention. </w:t>
      </w:r>
      <w:r w:rsidRPr="00925EA9">
        <w:t>The findings from the small scale Engaging Moms Program [</w:t>
      </w:r>
      <w:r w:rsidRPr="00925EA9">
        <w:rPr>
          <w:i/>
        </w:rPr>
        <w:t>sic</w:t>
      </w:r>
      <w:r w:rsidRPr="00925EA9">
        <w:t>.] – a form of multidimensional family therapy</w:t>
      </w:r>
      <w:r>
        <w:t xml:space="preserve"> for mothers with SUD adapted for use</w:t>
      </w:r>
      <w:r w:rsidRPr="00925EA9">
        <w:t xml:space="preserve"> within a </w:t>
      </w:r>
      <w:r>
        <w:t>Florida, USA</w:t>
      </w:r>
      <w:r w:rsidRPr="00925EA9">
        <w:t xml:space="preserve"> </w:t>
      </w:r>
      <w:r>
        <w:t>family treatment drug court</w:t>
      </w:r>
      <w:r w:rsidRPr="00925EA9">
        <w:t xml:space="preserve"> setting</w:t>
      </w:r>
      <w:r>
        <w:t xml:space="preserve"> </w:t>
      </w:r>
      <w:r w:rsidRPr="00925EA9">
        <w:t>– suggest</w:t>
      </w:r>
      <w:r>
        <w:t>ed</w:t>
      </w:r>
      <w:r w:rsidRPr="00925EA9">
        <w:t xml:space="preserve"> that compared with </w:t>
      </w:r>
      <w:r>
        <w:lastRenderedPageBreak/>
        <w:t>ICM</w:t>
      </w:r>
      <w:r w:rsidRPr="00925EA9">
        <w:t xml:space="preserve">, </w:t>
      </w:r>
      <w:r>
        <w:t xml:space="preserve">treatment plus other interventions such as those focusing on motivation and </w:t>
      </w:r>
      <w:r w:rsidRPr="00B7376F">
        <w:t xml:space="preserve">supporting parenting skills and family relationship building, can provide greater parental and filial outcomes in terms of reduction in substance use and family reunification </w:t>
      </w:r>
      <w:r w:rsidRPr="00B7376F">
        <w:fldChar w:fldCharType="begin"/>
      </w:r>
      <w:r w:rsidR="00B9334F">
        <w:instrText xml:space="preserve"> ADDIN EN.CITE &lt;EndNote&gt;&lt;Cite&gt;&lt;Author&gt;Dakof&lt;/Author&gt;&lt;Year&gt;2010&lt;/Year&gt;&lt;RecNum&gt;704&lt;/RecNum&gt;&lt;DisplayText&gt;(Dakof et al., 2010)&lt;/DisplayText&gt;&lt;record&gt;&lt;rec-number&gt;704&lt;/rec-number&gt;&lt;foreign-keys&gt;&lt;key app="EN" db-id="ffzvr5fstavwxoe9v04xf0wmp5t50as52da0" timestamp="1731671738" guid="9096c17b-7339-4e89-8ecd-4c5dadef04a1"&gt;704&lt;/key&gt;&lt;/foreign-keys&gt;&lt;ref-type name="Journal Article"&gt;17&lt;/ref-type&gt;&lt;contributors&gt;&lt;authors&gt;&lt;author&gt;Dakof, Gayle A. &lt;/author&gt;&lt;author&gt;Cohen, Jeri B. J. D.&lt;/author&gt;&lt;author&gt;Henderson, Craig E. &lt;/author&gt;&lt;author&gt;Duarte, Eliette M. A.&lt;/author&gt;&lt;author&gt;Boustani, Maya M. S.&lt;/author&gt;&lt;author&gt;Blackburn, Audra B. A.&lt;/author&gt;&lt;author&gt;Venzer, Ellen J. D.&lt;/author&gt;&lt;author&gt;Hawes, Sam M. S.&lt;/author&gt;&lt;/authors&gt;&lt;/contributors&gt;&lt;titles&gt;&lt;title&gt;A randomized pilot study of the Engaging Moms Program for family drug court&lt;/title&gt;&lt;secondary-title&gt;Journal of Substance Abuse Treatment&lt;/secondary-title&gt;&lt;/titles&gt;&lt;periodical&gt;&lt;full-title&gt;Journal of Substance Abuse Treatment&lt;/full-title&gt;&lt;/periodical&gt;&lt;pages&gt;263&lt;/pages&gt;&lt;volume&gt;38&lt;/volume&gt;&lt;number&gt;3&lt;/number&gt;&lt;keywords&gt;&lt;keyword&gt;Drug Abuse And Alcoholism&lt;/keyword&gt;&lt;keyword&gt;Families &amp;amp; family life&lt;/keyword&gt;&lt;keyword&gt;Mothers&lt;/keyword&gt;&lt;keyword&gt;Effectiveness studies&lt;/keyword&gt;&lt;keyword&gt;Substance abuse treatment&lt;/keyword&gt;&lt;keyword&gt;Behavior modification&lt;/keyword&gt;&lt;/keywords&gt;&lt;dates&gt;&lt;year&gt;2010&lt;/year&gt;&lt;pub-dates&gt;&lt;date&gt;16/05/2017&lt;/date&gt;&lt;/pub-dates&gt;&lt;/dates&gt;&lt;pub-location&gt;Elmsford&lt;/pub-location&gt;&lt;publisher&gt;Pergamon Press Inc.&lt;/publisher&gt;&lt;isbn&gt;07405472&lt;/isbn&gt;&lt;accession-num&gt;217319016&lt;/accession-num&gt;&lt;urls&gt;&lt;/urls&gt;&lt;electronic-resource-num&gt;https://doi.org/10.1016/j.jsat.2010.01.002&lt;/electronic-resource-num&gt;&lt;remote-database-name&gt;Applied Social Sciences Index &amp;amp; Abstracts (ASSIA)&lt;/remote-database-name&gt;&lt;language&gt;English&lt;/language&gt;&lt;/record&gt;&lt;/Cite&gt;&lt;/EndNote&gt;</w:instrText>
      </w:r>
      <w:r w:rsidRPr="00B7376F">
        <w:fldChar w:fldCharType="separate"/>
      </w:r>
      <w:r w:rsidR="00A77498">
        <w:rPr>
          <w:noProof/>
        </w:rPr>
        <w:t>(Dakof et al., 2010)</w:t>
      </w:r>
      <w:r w:rsidRPr="00B7376F">
        <w:fldChar w:fldCharType="end"/>
      </w:r>
      <w:r w:rsidRPr="00B7376F">
        <w:t>.</w:t>
      </w:r>
    </w:p>
    <w:p w14:paraId="023CA7F4" w14:textId="77777777" w:rsidR="00F74788" w:rsidRDefault="00F74788" w:rsidP="00F74788">
      <w:pPr>
        <w:pStyle w:val="NoSpacing"/>
        <w:spacing w:line="360" w:lineRule="auto"/>
      </w:pPr>
    </w:p>
    <w:p w14:paraId="695EDCB7" w14:textId="61FB5D54" w:rsidR="00F74788" w:rsidRDefault="00481EC0" w:rsidP="00425FB5">
      <w:pPr>
        <w:pStyle w:val="NoSpacing"/>
        <w:spacing w:line="360" w:lineRule="auto"/>
      </w:pPr>
      <w:r w:rsidRPr="00D224A1">
        <w:t>The increased likelihood of family reunification associated with FTDC participation should correspond to gross short-term savings to the authority with financial responsibility. T</w:t>
      </w:r>
      <w:r>
        <w:t>hree</w:t>
      </w:r>
      <w:r w:rsidRPr="00D224A1">
        <w:t xml:space="preserve"> studies explored costs and outcomes but fell short of being robust economic evaluations. </w:t>
      </w:r>
      <w:r w:rsidRPr="00D224A1">
        <w:fldChar w:fldCharType="begin"/>
      </w:r>
      <w:r w:rsidR="00B9334F">
        <w:instrText xml:space="preserve"> ADDIN EN.CITE &lt;EndNote&gt;&lt;Cite AuthorYear="1"&gt;&lt;Author&gt;Zeller&lt;/Author&gt;&lt;Year&gt;2007&lt;/Year&gt;&lt;RecNum&gt;136&lt;/RecNum&gt;&lt;DisplayText&gt;Zeller et al. (2007)&lt;/DisplayText&gt;&lt;record&gt;&lt;rec-number&gt;136&lt;/rec-number&gt;&lt;foreign-keys&gt;&lt;key app="EN" db-id="ffzvr5fstavwxoe9v04xf0wmp5t50as52da0" timestamp="1731671644" guid="4922420d-e832-4a61-b273-eb7b6568f743"&gt;136&lt;/key&gt;&lt;/foreign-keys&gt;&lt;ref-type name="Generic"&gt;13&lt;/ref-type&gt;&lt;contributors&gt;&lt;authors&gt;&lt;author&gt;Zeller, D. &lt;/author&gt;&lt;author&gt;Hornby, H. &lt;/author&gt;&lt;author&gt;Ferguson, A.&lt;/author&gt;&lt;/authors&gt;&lt;/contributors&gt;&lt;titles&gt;&lt;title&gt;Evaluation of Maine&amp;apos;s Family Treatment Drug Courts: A Preliminary Analysis of Short and Long-Term Outcomes&lt;/title&gt;&lt;/titles&gt;&lt;dates&gt;&lt;year&gt;2007&lt;/year&gt;&lt;/dates&gt;&lt;pub-location&gt;Portland, ME&lt;/pub-location&gt;&lt;publisher&gt;Hornby Zeller Associates.&lt;/publisher&gt;&lt;urls&gt;&lt;/urls&gt;&lt;/record&gt;&lt;/Cite&gt;&lt;/EndNote&gt;</w:instrText>
      </w:r>
      <w:r w:rsidRPr="00D224A1">
        <w:fldChar w:fldCharType="separate"/>
      </w:r>
      <w:r w:rsidR="00A77498">
        <w:rPr>
          <w:noProof/>
        </w:rPr>
        <w:t>Zeller et al. (2007)</w:t>
      </w:r>
      <w:r w:rsidRPr="00D224A1">
        <w:fldChar w:fldCharType="end"/>
      </w:r>
      <w:r w:rsidRPr="00D224A1">
        <w:t xml:space="preserve"> reported net savings of $21,705 for the 152 children in the</w:t>
      </w:r>
      <w:r>
        <w:t>ir</w:t>
      </w:r>
      <w:r w:rsidRPr="00D224A1">
        <w:t xml:space="preserve"> sample, largely a result of the differences in the types of foster care settings and the length of stay observed among FTDC children. </w:t>
      </w:r>
      <w:r w:rsidRPr="00D224A1">
        <w:fldChar w:fldCharType="begin"/>
      </w:r>
      <w:r w:rsidR="00B9334F">
        <w:instrText xml:space="preserve"> ADDIN EN.CITE &lt;EndNote&gt;&lt;Cite AuthorYear="1"&gt;&lt;Author&gt;Burrus&lt;/Author&gt;&lt;Year&gt;2011&lt;/Year&gt;&lt;RecNum&gt;133&lt;/RecNum&gt;&lt;DisplayText&gt;Burrus et al. (2011)&lt;/DisplayText&gt;&lt;record&gt;&lt;rec-number&gt;133&lt;/rec-number&gt;&lt;foreign-keys&gt;&lt;key app="EN" db-id="ffzvr5fstavwxoe9v04xf0wmp5t50as52da0" timestamp="1731671644" guid="b00b1a6c-1426-4273-9501-5f4690c106a3"&gt;133&lt;/key&gt;&lt;/foreign-keys&gt;&lt;ref-type name="Journal Article"&gt;17&lt;/ref-type&gt;&lt;contributors&gt;&lt;authors&gt;&lt;author&gt;Burrus, S. W. M.,&lt;/author&gt;&lt;author&gt;Mackin, J. R., &lt;/author&gt;&lt;author&gt;Finigan, M. W.,&lt;/author&gt;&lt;/authors&gt;&lt;/contributors&gt;&lt;titles&gt;&lt;title&gt;Show Me the Money: Child Welfare Cost Savings of a Family Drug Court&lt;/title&gt;&lt;secondary-title&gt;Juvenile and Family Court Journal&lt;/secondary-title&gt;&lt;/titles&gt;&lt;periodical&gt;&lt;full-title&gt;Juvenile and Family Court Journal&lt;/full-title&gt;&lt;/periodical&gt;&lt;pages&gt;1-14&lt;/pages&gt;&lt;volume&gt;62&lt;/volume&gt;&lt;number&gt;3&lt;/number&gt;&lt;dates&gt;&lt;year&gt;2011&lt;/year&gt;&lt;/dates&gt;&lt;pub-location&gt;Portland, Oregon&lt;/pub-location&gt;&lt;publisher&gt;National Council of Juvenile and Family Court Judges,&lt;/publisher&gt;&lt;urls&gt;&lt;/urls&gt;&lt;/record&gt;&lt;/Cite&gt;&lt;/EndNote&gt;</w:instrText>
      </w:r>
      <w:r w:rsidRPr="00D224A1">
        <w:fldChar w:fldCharType="separate"/>
      </w:r>
      <w:r w:rsidR="00A77498">
        <w:rPr>
          <w:noProof/>
        </w:rPr>
        <w:t>Burrus et al. (2011)</w:t>
      </w:r>
      <w:r w:rsidRPr="00D224A1">
        <w:fldChar w:fldCharType="end"/>
      </w:r>
      <w:r w:rsidRPr="00D224A1">
        <w:t xml:space="preserve"> found that FTDC  was not cost-effective during the follow-up period of the study (12 months), albeit it did result in an estimated net saving of circa $5,500 when modelling future foster care savings for children up until the age of 18, thereby assuming the study results would continue for many years after families </w:t>
      </w:r>
      <w:r w:rsidRPr="00D224A1">
        <w:rPr>
          <w:noProof/>
        </w:rPr>
        <w:t xml:space="preserve">were reunified. </w:t>
      </w:r>
      <w:r w:rsidRPr="00D224A1">
        <w:rPr>
          <w:noProof/>
        </w:rPr>
        <w:fldChar w:fldCharType="begin"/>
      </w:r>
      <w:r w:rsidR="00B9334F">
        <w:rPr>
          <w:noProof/>
        </w:rPr>
        <w:instrText xml:space="preserve"> ADDIN EN.CITE &lt;EndNote&gt;&lt;Cite AuthorYear="1"&gt;&lt;Author&gt;Harwin&lt;/Author&gt;&lt;Year&gt;2014&lt;/Year&gt;&lt;RecNum&gt;289&lt;/RecNum&gt;&lt;DisplayText&gt;Harwin et al. (2014)&lt;/DisplayText&gt;&lt;record&gt;&lt;rec-number&gt;289&lt;/rec-number&gt;&lt;foreign-keys&gt;&lt;key app="EN" db-id="ffzvr5fstavwxoe9v04xf0wmp5t50as52da0" timestamp="1731671655" guid="3356f393-80c3-48b2-bdaf-da9b596cfa34"&gt;289&lt;/key&gt;&lt;/foreign-keys&gt;&lt;ref-type name="Journal Article"&gt;17&lt;/ref-type&gt;&lt;contributors&gt;&lt;authors&gt;&lt;author&gt;Harwin, Judith&lt;/author&gt;&lt;author&gt;Alrouh, Bachar&lt;/author&gt;&lt;author&gt;Ryan, Mary&lt;/author&gt;&lt;author&gt;Tunnard, Jo&lt;/author&gt;&lt;/authors&gt;&lt;/contributors&gt;&lt;titles&gt;&lt;title&gt;Changing Lifestyles, Keeping Children Safe: An evaluation of the first Family Drug and Alcohol Court (FDAC) in care proceedings&lt;/title&gt;&lt;/titles&gt;&lt;dates&gt;&lt;year&gt;2014&lt;/year&gt;&lt;/dates&gt;&lt;urls&gt;&lt;/urls&gt;&lt;/record&gt;&lt;/Cite&gt;&lt;/EndNote&gt;</w:instrText>
      </w:r>
      <w:r w:rsidRPr="00D224A1">
        <w:rPr>
          <w:noProof/>
        </w:rPr>
        <w:fldChar w:fldCharType="separate"/>
      </w:r>
      <w:r w:rsidR="00A77498">
        <w:rPr>
          <w:noProof/>
        </w:rPr>
        <w:t>Harwin et al. (2014)</w:t>
      </w:r>
      <w:r w:rsidRPr="00D224A1">
        <w:rPr>
          <w:noProof/>
        </w:rPr>
        <w:fldChar w:fldCharType="end"/>
      </w:r>
      <w:r w:rsidRPr="00D224A1">
        <w:rPr>
          <w:noProof/>
        </w:rPr>
        <w:t xml:space="preserve"> estimated that the cost of the FDAC team per family (</w:t>
      </w:r>
      <w:r w:rsidRPr="00D224A1">
        <w:rPr>
          <w:noProof/>
          <w:szCs w:val="22"/>
        </w:rPr>
        <w:t>£8,740)</w:t>
      </w:r>
      <w:r w:rsidRPr="00D224A1">
        <w:rPr>
          <w:noProof/>
        </w:rPr>
        <w:t xml:space="preserve"> was offset</w:t>
      </w:r>
      <w:r w:rsidRPr="00D224A1">
        <w:t xml:space="preserve"> by the savings resulting from reunification, </w:t>
      </w:r>
      <w:r>
        <w:t>despite</w:t>
      </w:r>
      <w:r w:rsidRPr="00D224A1">
        <w:t xml:space="preserve"> the study f</w:t>
      </w:r>
      <w:r>
        <w:t>inding</w:t>
      </w:r>
      <w:r w:rsidRPr="00D224A1">
        <w:t xml:space="preserve"> no significant difference in achieving reunification and permanency. </w:t>
      </w:r>
    </w:p>
    <w:p w14:paraId="6687656C" w14:textId="77777777" w:rsidR="00425FB5" w:rsidRDefault="00425FB5" w:rsidP="00425FB5">
      <w:pPr>
        <w:pStyle w:val="NoSpacing"/>
        <w:spacing w:line="360" w:lineRule="auto"/>
      </w:pPr>
    </w:p>
    <w:p w14:paraId="38FBE66F" w14:textId="4E47DBFA" w:rsidR="0025732F" w:rsidRDefault="0025732F" w:rsidP="00856C3A">
      <w:pPr>
        <w:pStyle w:val="Heading2"/>
        <w:spacing w:after="240"/>
      </w:pPr>
      <w:bookmarkStart w:id="218" w:name="_Toc189229735"/>
      <w:r>
        <w:t>Summary</w:t>
      </w:r>
      <w:r w:rsidR="00F74788">
        <w:t xml:space="preserve"> of findings from the review</w:t>
      </w:r>
      <w:bookmarkEnd w:id="218"/>
    </w:p>
    <w:p w14:paraId="2276C515" w14:textId="18076307" w:rsidR="0025732F" w:rsidRDefault="0025732F" w:rsidP="00F74788">
      <w:pPr>
        <w:pStyle w:val="NoSpacing"/>
        <w:spacing w:line="360" w:lineRule="auto"/>
      </w:pPr>
      <w:r w:rsidRPr="001A44CE">
        <w:t>There are a handful of studies on pharmacological treatment for parents</w:t>
      </w:r>
      <w:r>
        <w:t xml:space="preserve"> all of which</w:t>
      </w:r>
      <w:r w:rsidRPr="001A44CE">
        <w:t xml:space="preserve"> centre</w:t>
      </w:r>
      <w:r>
        <w:t xml:space="preserve"> </w:t>
      </w:r>
      <w:r w:rsidRPr="001A44CE">
        <w:t xml:space="preserve">on heroin using pregnant women. This is perhaps not surprising given that pregnant women with an opiate use disorder are more likely to experience obstetrical complications, while newborns exposed to opiates in utero </w:t>
      </w:r>
      <w:r>
        <w:t>have a high</w:t>
      </w:r>
      <w:r w:rsidRPr="001A44CE">
        <w:t xml:space="preserve"> likelihood of experiencing withdrawal, among other serious and potentially fatal complications </w:t>
      </w:r>
      <w:r w:rsidRPr="001A44CE">
        <w:fldChar w:fldCharType="begin">
          <w:fldData xml:space="preserve">PEVuZE5vdGU+PENpdGU+PEF1dGhvcj5Db3lsZTwvQXV0aG9yPjxZZWFyPjIwMTI8L1llYXI+PFJl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==
</w:fldData>
        </w:fldChar>
      </w:r>
      <w:r w:rsidR="00B9334F">
        <w:instrText xml:space="preserve"> ADDIN EN.CITE </w:instrText>
      </w:r>
      <w:r w:rsidR="00B9334F">
        <w:fldChar w:fldCharType="begin">
          <w:fldData xml:space="preserve">PEVuZE5vdGU+PENpdGU+PEF1dGhvcj5Db3lsZTwvQXV0aG9yPjxZZWFyPjIwMTI8L1llYXI+PFJl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==
</w:fldData>
        </w:fldChar>
      </w:r>
      <w:r w:rsidR="00B9334F">
        <w:instrText xml:space="preserve"> ADDIN EN.CITE.DATA </w:instrText>
      </w:r>
      <w:r w:rsidR="00B9334F">
        <w:fldChar w:fldCharType="end"/>
      </w:r>
      <w:r w:rsidRPr="001A44CE">
        <w:fldChar w:fldCharType="separate"/>
      </w:r>
      <w:r w:rsidR="003C6F70">
        <w:rPr>
          <w:noProof/>
        </w:rPr>
        <w:t>(Coyle et al., 2012; Minozzi et al., 2020)</w:t>
      </w:r>
      <w:r w:rsidRPr="001A44CE">
        <w:fldChar w:fldCharType="end"/>
      </w:r>
      <w:r w:rsidRPr="001A44CE">
        <w:t>.</w:t>
      </w:r>
      <w:r>
        <w:t xml:space="preserve"> Results suggest that pharmacological treatment may be effective for pregnant women (and their neonates), with little difference in outcomes between types of medication prescribed. </w:t>
      </w:r>
    </w:p>
    <w:p w14:paraId="4173841B" w14:textId="77777777" w:rsidR="0025732F" w:rsidRDefault="0025732F" w:rsidP="00F74788">
      <w:pPr>
        <w:pStyle w:val="NoSpacing"/>
        <w:spacing w:line="360" w:lineRule="auto"/>
      </w:pPr>
    </w:p>
    <w:p w14:paraId="079FD29C" w14:textId="77777777" w:rsidR="0025732F" w:rsidRDefault="0025732F" w:rsidP="00F74788">
      <w:pPr>
        <w:pStyle w:val="NoSpacing"/>
        <w:spacing w:line="360" w:lineRule="auto"/>
      </w:pPr>
      <w:r>
        <w:t xml:space="preserve">There were mixed results for psychosocial treatments that did not include a parenting intervention, with moderate to high quality evidence showing that contingency management may have favourable outcomes for pregnant women, and </w:t>
      </w:r>
      <w:r>
        <w:lastRenderedPageBreak/>
        <w:t xml:space="preserve">high-quality evidence that intensive case management may be effective for postpartum cocaine using mothers. </w:t>
      </w:r>
    </w:p>
    <w:p w14:paraId="195F5323" w14:textId="77777777" w:rsidR="0025732F" w:rsidRPr="005A6BDE" w:rsidRDefault="0025732F" w:rsidP="00F74788">
      <w:pPr>
        <w:pStyle w:val="NoSpacing"/>
        <w:spacing w:line="360" w:lineRule="auto"/>
      </w:pPr>
    </w:p>
    <w:p w14:paraId="79051C7C" w14:textId="77777777" w:rsidR="0025732F" w:rsidRDefault="0025732F" w:rsidP="00F74788">
      <w:pPr>
        <w:pStyle w:val="NoSpacing"/>
        <w:spacing w:line="360" w:lineRule="auto"/>
        <w:rPr>
          <w:rFonts w:ascii="Source Sans Pro" w:hAnsi="Source Sans Pro"/>
          <w:color w:val="000000"/>
          <w:shd w:val="clear" w:color="auto" w:fill="FFFFFF"/>
        </w:rPr>
      </w:pPr>
      <w:r>
        <w:t>Parenting</w:t>
      </w:r>
      <w:r w:rsidRPr="004B7549">
        <w:t xml:space="preserve"> interventions </w:t>
      </w:r>
      <w:r>
        <w:t xml:space="preserve">can </w:t>
      </w:r>
      <w:r w:rsidRPr="004B7549">
        <w:t xml:space="preserve">improve parenting capacity and relationships, </w:t>
      </w:r>
      <w:r>
        <w:t xml:space="preserve">as well as helping </w:t>
      </w:r>
      <w:r w:rsidRPr="004B7549">
        <w:t xml:space="preserve">parents become aware of how their substance use affects </w:t>
      </w:r>
      <w:r>
        <w:t>their children</w:t>
      </w:r>
      <w:r w:rsidRPr="004B7549">
        <w:t>.</w:t>
      </w:r>
      <w:r>
        <w:rPr>
          <w:rFonts w:ascii="Source Sans Pro" w:hAnsi="Source Sans Pro"/>
          <w:color w:val="000000"/>
          <w:shd w:val="clear" w:color="auto" w:fill="FFFFFF"/>
        </w:rPr>
        <w:t xml:space="preserve">  </w:t>
      </w:r>
      <w:r w:rsidRPr="00B56409">
        <w:t xml:space="preserve">Compared with specialist treatment alone, </w:t>
      </w:r>
      <w:r>
        <w:t xml:space="preserve">the evidence suggests that </w:t>
      </w:r>
      <w:r w:rsidRPr="00B56409">
        <w:t>treatment plus a parenting intervention may be effective</w:t>
      </w:r>
      <w:r>
        <w:t xml:space="preserve"> in reducing parental substance use and improving parent-infant dyads</w:t>
      </w:r>
      <w:r w:rsidRPr="00B56409">
        <w:t xml:space="preserve">. </w:t>
      </w:r>
      <w:r>
        <w:t>R</w:t>
      </w:r>
      <w:r w:rsidRPr="00B56409">
        <w:t>elational therapies may enhance outcomes, but this may not be sustained over a long period. Attachment-based programmes are feasible and appear to be effective</w:t>
      </w:r>
      <w:r>
        <w:t xml:space="preserve">, while high quality studies suggest that home visitation interventions appear to be effective and cost-effective, including in the UK context. </w:t>
      </w:r>
    </w:p>
    <w:p w14:paraId="5422B8C8" w14:textId="77777777" w:rsidR="0025732F" w:rsidRPr="00F10B7B" w:rsidRDefault="0025732F" w:rsidP="00F74788">
      <w:pPr>
        <w:pStyle w:val="NoSpacing"/>
        <w:spacing w:line="360" w:lineRule="auto"/>
        <w:rPr>
          <w:rFonts w:ascii="Source Sans Pro" w:hAnsi="Source Sans Pro"/>
          <w:color w:val="000000"/>
          <w:shd w:val="clear" w:color="auto" w:fill="FFFFFF"/>
        </w:rPr>
      </w:pPr>
    </w:p>
    <w:p w14:paraId="5317B4AF" w14:textId="77777777" w:rsidR="0025732F" w:rsidRDefault="0025732F" w:rsidP="00F74788">
      <w:pPr>
        <w:pStyle w:val="NoSpacing"/>
        <w:spacing w:line="360" w:lineRule="auto"/>
      </w:pPr>
      <w:r>
        <w:t>Families in which children have been previously or are currently in care, and/or are at risk of being removed from their parents’ care represent the most extreme cases of harm associated with parental SUD. Thus, it is perhaps not surprising that for those involved with statutory child welfare services, intensive and comprehensive specialist treatment interventions appear to be the most effective. Additional parenting interventions may also be effective for this cohort, but studies were mostly of low quality. The evidence supporting family treatment drug courts is quasi-experimental with the economic evidence lacking in robustness.</w:t>
      </w:r>
    </w:p>
    <w:p w14:paraId="4F7B8A38" w14:textId="77777777" w:rsidR="0025732F" w:rsidRDefault="0025732F" w:rsidP="00F74788">
      <w:pPr>
        <w:pStyle w:val="NoSpacing"/>
        <w:spacing w:line="360" w:lineRule="auto"/>
      </w:pPr>
    </w:p>
    <w:p w14:paraId="51726EB8" w14:textId="33C00394" w:rsidR="0025732F" w:rsidRDefault="0025732F" w:rsidP="00F74788">
      <w:pPr>
        <w:pStyle w:val="NoSpacing"/>
        <w:spacing w:line="360" w:lineRule="auto"/>
      </w:pPr>
      <w:r>
        <w:t xml:space="preserve">The body of evidence on specialist treatment, treatment plus parenting interventions and </w:t>
      </w:r>
      <w:r w:rsidR="00545D7B">
        <w:t>plus</w:t>
      </w:r>
      <w:r>
        <w:t xml:space="preserve"> child welfare is too small to be confident in the interpretation of results and most studies were of low-moderate quality. Given how few robust studies there are, it is not possible to say with confidence which types of interventions might be more effective or cost-effective for pregnant women or parents with SUD. Furthermore, studies of parents were predominantly of mothers thus impeding further our understanding of the effectiveness of interventions on fathers. Generalisability was also hindered by the fact that interventions had varied </w:t>
      </w:r>
      <w:r w:rsidRPr="00925EA9">
        <w:t>measure</w:t>
      </w:r>
      <w:r>
        <w:t>s</w:t>
      </w:r>
      <w:r w:rsidRPr="00925EA9">
        <w:t xml:space="preserve"> of effectiveness</w:t>
      </w:r>
      <w:r>
        <w:t>/ cost-effectiveness</w:t>
      </w:r>
      <w:r w:rsidRPr="00925EA9">
        <w:t xml:space="preserve"> and context</w:t>
      </w:r>
      <w:r>
        <w:t>s</w:t>
      </w:r>
      <w:r w:rsidRPr="00925EA9">
        <w:t xml:space="preserve"> in which </w:t>
      </w:r>
      <w:r>
        <w:t>they were</w:t>
      </w:r>
      <w:r w:rsidRPr="00925EA9">
        <w:t xml:space="preserve"> delivered. </w:t>
      </w:r>
    </w:p>
    <w:p w14:paraId="2E0E63A9" w14:textId="77777777" w:rsidR="0025732F" w:rsidRDefault="0025732F" w:rsidP="00F74788">
      <w:pPr>
        <w:pStyle w:val="NoSpacing"/>
        <w:spacing w:line="360" w:lineRule="auto"/>
      </w:pPr>
    </w:p>
    <w:p w14:paraId="79120390" w14:textId="495F8008" w:rsidR="0025732F" w:rsidRDefault="0025732F" w:rsidP="00F74788">
      <w:pPr>
        <w:pStyle w:val="NoSpacing"/>
        <w:spacing w:line="360" w:lineRule="auto"/>
      </w:pPr>
      <w:r>
        <w:lastRenderedPageBreak/>
        <w:t>Most studies, in particular those evaluating interventions for pregnan</w:t>
      </w:r>
      <w:r w:rsidR="00C01B82">
        <w:t xml:space="preserve">t </w:t>
      </w:r>
      <w:r>
        <w:t xml:space="preserve">women had short follow-up periods. </w:t>
      </w:r>
      <w:r w:rsidRPr="00925EA9">
        <w:t xml:space="preserve">While with a longer the follow-up period it is harder to attribute outcomes solely to the programme, longer follow-up periods are necessary to understand whether positive short-term outcomes observed continue. </w:t>
      </w:r>
      <w:r>
        <w:t>SUD</w:t>
      </w:r>
      <w:r w:rsidRPr="00925EA9">
        <w:t xml:space="preserve"> is a chronic health condition which can involve multiple episodes of treatment, abstinence and relapse, which in turn may affect </w:t>
      </w:r>
      <w:r>
        <w:t>parent and child outcomes over time</w:t>
      </w:r>
      <w:r w:rsidRPr="00925EA9">
        <w:t xml:space="preserve">. </w:t>
      </w:r>
      <w:r>
        <w:t>I</w:t>
      </w:r>
      <w:r w:rsidRPr="00925EA9">
        <w:t>t is possible that in the longer-term,</w:t>
      </w:r>
      <w:r>
        <w:t xml:space="preserve"> remaining with a primary caregiver and</w:t>
      </w:r>
      <w:r w:rsidRPr="00925EA9">
        <w:t xml:space="preserve"> not being placed in care is </w:t>
      </w:r>
      <w:r>
        <w:t xml:space="preserve">a </w:t>
      </w:r>
      <w:r w:rsidRPr="00925EA9">
        <w:t xml:space="preserve">bad </w:t>
      </w:r>
      <w:r>
        <w:t xml:space="preserve">outcome </w:t>
      </w:r>
      <w:r w:rsidRPr="00925EA9">
        <w:t xml:space="preserve">for </w:t>
      </w:r>
      <w:r>
        <w:t>some children.</w:t>
      </w:r>
    </w:p>
    <w:p w14:paraId="431F9BDB" w14:textId="77777777" w:rsidR="0025732F" w:rsidRDefault="0025732F" w:rsidP="00F74788">
      <w:pPr>
        <w:pStyle w:val="NoSpacing"/>
        <w:spacing w:line="360" w:lineRule="auto"/>
      </w:pPr>
    </w:p>
    <w:p w14:paraId="2EAAF3CE" w14:textId="77777777" w:rsidR="0025732F" w:rsidRDefault="0025732F" w:rsidP="00F74788">
      <w:pPr>
        <w:pStyle w:val="NoSpacing"/>
        <w:spacing w:line="360" w:lineRule="auto"/>
      </w:pPr>
      <w:r>
        <w:t xml:space="preserve">Parental outcomes tended to focus on treatment retention and completion, and reductions in substance use, assuming that changes in substance use behaviour would improve outcomes for children. Where child outcomes were recorded these were </w:t>
      </w:r>
      <w:r w:rsidRPr="00925EA9">
        <w:t>generally either neonatal</w:t>
      </w:r>
      <w:r>
        <w:t xml:space="preserve"> or</w:t>
      </w:r>
      <w:r w:rsidRPr="00925EA9">
        <w:t xml:space="preserve"> after</w:t>
      </w:r>
      <w:r>
        <w:t xml:space="preserve"> a</w:t>
      </w:r>
      <w:r w:rsidRPr="00925EA9">
        <w:t xml:space="preserve"> child was taken into care. These children represent those most at risk. What is yet to be understood from the evidence base is </w:t>
      </w:r>
      <w:r>
        <w:t xml:space="preserve">whether </w:t>
      </w:r>
      <w:r w:rsidRPr="00925EA9">
        <w:t xml:space="preserve">parental </w:t>
      </w:r>
      <w:r>
        <w:t>SUD</w:t>
      </w:r>
      <w:r w:rsidRPr="00925EA9">
        <w:t xml:space="preserve"> treatment may prevent children having to be removed from their family in the first place.</w:t>
      </w:r>
      <w:r>
        <w:t xml:space="preserve"> </w:t>
      </w:r>
    </w:p>
    <w:p w14:paraId="6F57F81B" w14:textId="77777777" w:rsidR="0025732F" w:rsidRDefault="0025732F" w:rsidP="00F74788">
      <w:pPr>
        <w:pStyle w:val="NoSpacing"/>
        <w:spacing w:line="360" w:lineRule="auto"/>
      </w:pPr>
    </w:p>
    <w:p w14:paraId="1CD60E95" w14:textId="56AE9BF8" w:rsidR="0025732F" w:rsidRDefault="0025732F" w:rsidP="00F74788">
      <w:pPr>
        <w:pStyle w:val="NoSpacing"/>
        <w:spacing w:line="360" w:lineRule="auto"/>
      </w:pPr>
      <w:r>
        <w:t xml:space="preserve">Finally, most studies were from the US, </w:t>
      </w:r>
      <w:r w:rsidRPr="00925EA9">
        <w:t xml:space="preserve">thereby </w:t>
      </w:r>
      <w:r w:rsidR="00C01B82">
        <w:t>limiting</w:t>
      </w:r>
      <w:r w:rsidRPr="00925EA9">
        <w:t xml:space="preserve"> generalisability of effectiveness and cost-effectiveness results in the wider English context. In particular, the American and English legal, </w:t>
      </w:r>
      <w:r>
        <w:t>child welfare</w:t>
      </w:r>
      <w:r w:rsidRPr="00925EA9">
        <w:t xml:space="preserve"> and treatment systems are substantially different, with further notable differences in the types of drugs used by parents also apparent. In England</w:t>
      </w:r>
      <w:r w:rsidRPr="00925EA9">
        <w:rPr>
          <w:i/>
        </w:rPr>
        <w:t xml:space="preserve">, </w:t>
      </w:r>
      <w:r w:rsidRPr="00925EA9">
        <w:t xml:space="preserve">cases typically enter court at a later stage, residential treatment facilities are less frequently used, and the use of lower threshold services such Alcoholics Anonymous and Narcotics Anonymous are not essential parts of a treatment care plan </w:t>
      </w:r>
      <w:r w:rsidRPr="00925EA9">
        <w:fldChar w:fldCharType="begin"/>
      </w:r>
      <w:r w:rsidR="00B9334F">
        <w:instrText xml:space="preserve"> ADDIN EN.CITE &lt;EndNote&gt;&lt;Cite&gt;&lt;Author&gt;Gifford&lt;/Author&gt;&lt;Year&gt;2014&lt;/Year&gt;&lt;RecNum&gt;18&lt;/RecNum&gt;&lt;DisplayText&gt;(Gifford et al., 2014)&lt;/DisplayText&gt;&lt;record&gt;&lt;rec-number&gt;18&lt;/rec-number&gt;&lt;foreign-keys&gt;&lt;key app="EN" db-id="ffzvr5fstavwxoe9v04xf0wmp5t50as52da0" timestamp="1731671637" guid="e2f56576-b24c-4a3f-8f35-bd595abbe488"&gt;18&lt;/key&gt;&lt;/foreign-keys&gt;&lt;ref-type name="Journal Article"&gt;17&lt;/ref-type&gt;&lt;contributors&gt;&lt;authors&gt;&lt;author&gt;Gifford, Elizabeth Joanne&lt;/author&gt;&lt;author&gt;Eldred, Lindsey Morgan&lt;/author&gt;&lt;author&gt;Vernerey, Allison&lt;/author&gt;&lt;author&gt;Sloan, Frank Allen&lt;/author&gt;&lt;/authors&gt;&lt;/contributors&gt;&lt;titles&gt;&lt;title&gt;How does family drug treatment court participation affect child welfare outcomes?&lt;/title&gt;&lt;secondary-title&gt;Child Abuse &amp;amp; Neglect&lt;/secondary-title&gt;&lt;/titles&gt;&lt;periodical&gt;&lt;full-title&gt;Child Abuse &amp;amp; Neglect&lt;/full-title&gt;&lt;/periodical&gt;&lt;pages&gt;1659-1670&lt;/pages&gt;&lt;volume&gt;38&lt;/volume&gt;&lt;number&gt;10&lt;/number&gt;&lt;keywords&gt;&lt;keyword&gt;Parental substance use&lt;/keyword&gt;&lt;keyword&gt;Foster care&lt;/keyword&gt;&lt;keyword&gt;Child welfare&lt;/keyword&gt;&lt;keyword&gt;Family drug treatment court&lt;/keyword&gt;&lt;/keywords&gt;&lt;dates&gt;&lt;year&gt;2014&lt;/year&gt;&lt;pub-dates&gt;&lt;date&gt;2014/10/01/&lt;/date&gt;&lt;/pub-dates&gt;&lt;/dates&gt;&lt;isbn&gt;0145-2134&lt;/isbn&gt;&lt;urls&gt;&lt;related-urls&gt;&lt;url&gt;http://www.sciencedirect.com/science/article/pii/S0145213414001033&lt;/url&gt;&lt;/related-urls&gt;&lt;/urls&gt;&lt;electronic-resource-num&gt;https://doi.org/10.1016/j.chiabu.2014.03.010&lt;/electronic-resource-num&gt;&lt;/record&gt;&lt;/Cite&gt;&lt;/EndNote&gt;</w:instrText>
      </w:r>
      <w:r w:rsidRPr="00925EA9">
        <w:fldChar w:fldCharType="separate"/>
      </w:r>
      <w:r w:rsidR="00A77498">
        <w:rPr>
          <w:noProof/>
        </w:rPr>
        <w:t>(Gifford et al., 2014)</w:t>
      </w:r>
      <w:r w:rsidRPr="00925EA9">
        <w:fldChar w:fldCharType="end"/>
      </w:r>
      <w:r>
        <w:t xml:space="preserve">. </w:t>
      </w:r>
    </w:p>
    <w:p w14:paraId="5AFA3DD3" w14:textId="77777777" w:rsidR="0025732F" w:rsidRDefault="0025732F" w:rsidP="00F74788">
      <w:pPr>
        <w:pStyle w:val="NoSpacing"/>
        <w:spacing w:line="360" w:lineRule="auto"/>
      </w:pPr>
    </w:p>
    <w:p w14:paraId="4D229D5F" w14:textId="2C4ACEC6" w:rsidR="0025732F" w:rsidRDefault="0025732F" w:rsidP="00F74788">
      <w:pPr>
        <w:pStyle w:val="NoSpacing"/>
        <w:spacing w:line="360" w:lineRule="auto"/>
      </w:pPr>
      <w:r>
        <w:t xml:space="preserve">A key limitation of this chapter is that there was only one reviewer and so there is a risk of bias in the study selection procedure and quality assessment.  </w:t>
      </w:r>
      <w:r w:rsidRPr="00925EA9">
        <w:t xml:space="preserve">Many papers </w:t>
      </w:r>
      <w:r>
        <w:t xml:space="preserve">were </w:t>
      </w:r>
      <w:r w:rsidRPr="00925EA9">
        <w:t xml:space="preserve">found from forward and backward citation searching suggesting that the electronic database search was not comprehensive </w:t>
      </w:r>
      <w:r>
        <w:t xml:space="preserve">enough. However, papers included and findings are consistent with recent reviews on interventions for parents with SUD </w:t>
      </w:r>
      <w:r>
        <w:fldChar w:fldCharType="begin">
          <w:fldData xml:space="preserve">PEVuZE5vdGU+PENpdGU+PEF1dGhvcj5Nb3JlbGFuZDwvQXV0aG9yPjxZZWFyPjIwMTg8L1llYXI+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</w:fldData>
        </w:fldChar>
      </w:r>
      <w:r w:rsidR="00B9334F">
        <w:instrText xml:space="preserve"> ADDIN EN.CITE </w:instrText>
      </w:r>
      <w:r w:rsidR="00B9334F">
        <w:fldChar w:fldCharType="begin">
          <w:fldData xml:space="preserve">PEVuZE5vdGU+PENpdGU+PEF1dGhvcj5Nb3JlbGFuZDwvQXV0aG9yPjxZZWFyPjIwMTg8L1llYXI+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</w:fldData>
        </w:fldChar>
      </w:r>
      <w:r w:rsidR="00B9334F">
        <w:instrText xml:space="preserve"> ADDIN EN.CITE.DATA </w:instrText>
      </w:r>
      <w:r w:rsidR="00B9334F">
        <w:fldChar w:fldCharType="end"/>
      </w:r>
      <w:r>
        <w:fldChar w:fldCharType="separate"/>
      </w:r>
      <w:r w:rsidR="003C6F70">
        <w:rPr>
          <w:noProof/>
        </w:rPr>
        <w:t>(McGovern et al., 2021; Minozzi et al., 2020; Moreland &amp; McRae-Clark, 2018; Murphy et al., 2017; Neo et al., 2021; Smith et al., 2009)</w:t>
      </w:r>
      <w:r>
        <w:fldChar w:fldCharType="end"/>
      </w:r>
      <w:r>
        <w:t>.</w:t>
      </w:r>
    </w:p>
    <w:p w14:paraId="43FC178F" w14:textId="77777777" w:rsidR="0025732F" w:rsidRDefault="0025732F" w:rsidP="00F74788">
      <w:pPr>
        <w:pStyle w:val="NoSpacing"/>
        <w:spacing w:line="360" w:lineRule="auto"/>
      </w:pPr>
    </w:p>
    <w:p w14:paraId="39209ED1" w14:textId="77777777" w:rsidR="0025732F" w:rsidRDefault="0025732F" w:rsidP="00F74788">
      <w:pPr>
        <w:pStyle w:val="NoSpacing"/>
        <w:spacing w:line="360" w:lineRule="auto"/>
      </w:pPr>
      <w:r>
        <w:lastRenderedPageBreak/>
        <w:t xml:space="preserve">This chapter makes clear the need for more effective and cost-effective research on interventions for parents with SUD, especially in the English context. </w:t>
      </w:r>
    </w:p>
    <w:p w14:paraId="4B8A0B8F" w14:textId="77777777" w:rsidR="00647C92" w:rsidRDefault="00647C92" w:rsidP="0025732F">
      <w:pPr>
        <w:pStyle w:val="NoSpacing"/>
      </w:pPr>
    </w:p>
    <w:p w14:paraId="6F586F02" w14:textId="2E908457" w:rsidR="00635E37" w:rsidRDefault="00635E37" w:rsidP="00D718E4">
      <w:pPr>
        <w:pStyle w:val="Heading2"/>
      </w:pPr>
      <w:bookmarkStart w:id="219" w:name="_Ref177028128"/>
      <w:bookmarkStart w:id="220" w:name="_Toc189229736"/>
      <w:r w:rsidRPr="00D718E4">
        <w:t>O</w:t>
      </w:r>
      <w:r w:rsidR="00D718E4" w:rsidRPr="00D718E4">
        <w:t>vid MEDLINE</w:t>
      </w:r>
      <w:r w:rsidRPr="00D718E4">
        <w:t xml:space="preserve"> </w:t>
      </w:r>
      <w:r w:rsidR="00647C92" w:rsidRPr="00D718E4">
        <w:t>Search strategy</w:t>
      </w:r>
      <w:bookmarkEnd w:id="219"/>
      <w:bookmarkEnd w:id="220"/>
    </w:p>
    <w:p w14:paraId="03CA9424" w14:textId="77777777" w:rsidR="00D718E4" w:rsidRPr="00D718E4" w:rsidRDefault="00D718E4" w:rsidP="00D718E4">
      <w:pPr>
        <w:pStyle w:val="NoSpacing"/>
        <w:spacing w:line="240" w:lineRule="auto"/>
      </w:pPr>
    </w:p>
    <w:p w14:paraId="0C04C3D0" w14:textId="77777777" w:rsidR="00635E37" w:rsidRPr="00925EA9" w:rsidRDefault="00635E37" w:rsidP="00635E37">
      <w:pPr>
        <w:rPr>
          <w:rFonts w:cs="Arial"/>
        </w:rPr>
      </w:pPr>
      <w:r w:rsidRPr="00925EA9">
        <w:rPr>
          <w:rFonts w:cs="Arial"/>
        </w:rPr>
        <w:t>1. drug users/ or exp substance-related disorders/ or exp alcoholism/</w:t>
      </w:r>
      <w:r w:rsidRPr="00925EA9">
        <w:rPr>
          <w:rFonts w:cs="Arial"/>
        </w:rPr>
        <w:tab/>
      </w:r>
    </w:p>
    <w:p w14:paraId="2DD8C7B9" w14:textId="77777777" w:rsidR="00635E37" w:rsidRPr="00925EA9" w:rsidRDefault="00635E37" w:rsidP="00635E37">
      <w:pPr>
        <w:rPr>
          <w:rFonts w:cs="Arial"/>
        </w:rPr>
      </w:pPr>
      <w:r w:rsidRPr="00925EA9">
        <w:rPr>
          <w:rFonts w:cs="Arial"/>
        </w:rPr>
        <w:t>2. ((psychotropic drug* or street drug* or substance$ or alcohol* or drug* or polydrug* or polysubstance* or stimulant* or heroin or opioid* or opiate* or cocaine or crack or methadone or subutex or ecstasy or methamphetamine* or crystal meth or amphetamine* or cannabis or marijuana or LSD or mephedrone or khat) adj2 (user or using or misuse or misusing or depend* or addict* or disorder or abstain* or abstinen* or withdrawal or intoxicat* or problem)).mp. [mp=title, abstract, original title, name of substance word, subject heading word, keyword heading word, protocol supplementary concept word, rare disease supplementary concept word, unique identifier, synonyms]</w:t>
      </w:r>
      <w:r w:rsidRPr="00925EA9">
        <w:rPr>
          <w:rFonts w:cs="Arial"/>
        </w:rPr>
        <w:tab/>
      </w:r>
    </w:p>
    <w:p w14:paraId="7072D0C8" w14:textId="77777777" w:rsidR="00635E37" w:rsidRPr="00925EA9" w:rsidRDefault="00635E37" w:rsidP="00635E37">
      <w:pPr>
        <w:rPr>
          <w:rFonts w:cs="Arial"/>
        </w:rPr>
      </w:pPr>
      <w:r w:rsidRPr="00925EA9">
        <w:rPr>
          <w:rFonts w:cs="Arial"/>
        </w:rPr>
        <w:t>3. 1 or 2</w:t>
      </w:r>
      <w:r w:rsidRPr="00925EA9">
        <w:rPr>
          <w:rFonts w:cs="Arial"/>
        </w:rPr>
        <w:tab/>
      </w:r>
    </w:p>
    <w:p w14:paraId="7FC07AEB" w14:textId="77777777" w:rsidR="00635E37" w:rsidRPr="00925EA9" w:rsidRDefault="00635E37" w:rsidP="00635E37">
      <w:pPr>
        <w:rPr>
          <w:rFonts w:cs="Arial"/>
        </w:rPr>
      </w:pPr>
      <w:r w:rsidRPr="00925EA9">
        <w:rPr>
          <w:rFonts w:cs="Arial"/>
        </w:rPr>
        <w:t>4. (parent* or family or families or guardian* or mother or maternal or father or paternal or mum or dad).mp. [mp=title, abstract, original title, name of substance word, subject heading word, keyword heading word, protocol supplementary concept word, rare disease supplementary concept word, unique identifier, synonyms]</w:t>
      </w:r>
      <w:r w:rsidRPr="00925EA9">
        <w:rPr>
          <w:rFonts w:cs="Arial"/>
        </w:rPr>
        <w:tab/>
      </w:r>
    </w:p>
    <w:p w14:paraId="163889BA" w14:textId="77777777" w:rsidR="00635E37" w:rsidRPr="00925EA9" w:rsidRDefault="00635E37" w:rsidP="00635E37">
      <w:pPr>
        <w:rPr>
          <w:rFonts w:cs="Arial"/>
        </w:rPr>
      </w:pPr>
      <w:r w:rsidRPr="00925EA9">
        <w:rPr>
          <w:rFonts w:cs="Arial"/>
        </w:rPr>
        <w:t>5. exp "PARENTS"/ or "CHILD OF IMPAIRED PARENTS"/</w:t>
      </w:r>
      <w:r w:rsidRPr="00925EA9">
        <w:rPr>
          <w:rFonts w:cs="Arial"/>
        </w:rPr>
        <w:tab/>
      </w:r>
    </w:p>
    <w:p w14:paraId="12085DE5" w14:textId="77777777" w:rsidR="00635E37" w:rsidRPr="00925EA9" w:rsidRDefault="00635E37" w:rsidP="00635E37">
      <w:pPr>
        <w:rPr>
          <w:rFonts w:cs="Arial"/>
        </w:rPr>
      </w:pPr>
      <w:r w:rsidRPr="00925EA9">
        <w:rPr>
          <w:rFonts w:cs="Arial"/>
        </w:rPr>
        <w:t>6. 4 or 5</w:t>
      </w:r>
      <w:r w:rsidRPr="00925EA9">
        <w:rPr>
          <w:rFonts w:cs="Arial"/>
        </w:rPr>
        <w:tab/>
      </w:r>
    </w:p>
    <w:p w14:paraId="6606CBF1" w14:textId="77777777" w:rsidR="00635E37" w:rsidRPr="00925EA9" w:rsidRDefault="00635E37" w:rsidP="00635E37">
      <w:pPr>
        <w:rPr>
          <w:rFonts w:cs="Arial"/>
        </w:rPr>
      </w:pPr>
      <w:r w:rsidRPr="00925EA9">
        <w:rPr>
          <w:rFonts w:cs="Arial"/>
        </w:rPr>
        <w:t>7. 3 and 6</w:t>
      </w:r>
      <w:r w:rsidRPr="00925EA9">
        <w:rPr>
          <w:rFonts w:cs="Arial"/>
        </w:rPr>
        <w:tab/>
      </w:r>
    </w:p>
    <w:p w14:paraId="2DCACDC5" w14:textId="77777777" w:rsidR="00635E37" w:rsidRPr="00925EA9" w:rsidRDefault="00635E37" w:rsidP="00635E37">
      <w:pPr>
        <w:rPr>
          <w:rFonts w:cs="Arial"/>
        </w:rPr>
      </w:pPr>
      <w:r w:rsidRPr="00925EA9">
        <w:rPr>
          <w:rFonts w:cs="Arial"/>
        </w:rPr>
        <w:t>8. (social care or social service* or social work* or child welfare or social support or child protect* or care work or care officer).mp. [mp=title, abstract, original title, name of substance word, subject heading word, keyword heading word, protocol supplementary concept word, rare disease supplementary concept word, unique identifier, synonyms]</w:t>
      </w:r>
      <w:r w:rsidRPr="00925EA9">
        <w:rPr>
          <w:rFonts w:cs="Arial"/>
        </w:rPr>
        <w:tab/>
      </w:r>
    </w:p>
    <w:p w14:paraId="5844C3A6" w14:textId="77777777" w:rsidR="00635E37" w:rsidRPr="00925EA9" w:rsidRDefault="00635E37" w:rsidP="00635E37">
      <w:pPr>
        <w:rPr>
          <w:rFonts w:cs="Arial"/>
        </w:rPr>
      </w:pPr>
      <w:r w:rsidRPr="00925EA9">
        <w:rPr>
          <w:rFonts w:cs="Arial"/>
        </w:rPr>
        <w:t>9. (treatment or recovery or rehab* or detox* or psychosocial or psychological or pharmaco* or case management or assess*).mp. [mp=title, abstract, original title, name of substance word, subject heading word, keyword heading word, protocol supplementary concept word, rare disease supplementary concept word, unique identifier, synonyms]</w:t>
      </w:r>
      <w:r w:rsidRPr="00925EA9">
        <w:rPr>
          <w:rFonts w:cs="Arial"/>
        </w:rPr>
        <w:tab/>
      </w:r>
    </w:p>
    <w:p w14:paraId="6112A346" w14:textId="77777777" w:rsidR="00635E37" w:rsidRPr="00925EA9" w:rsidRDefault="00635E37" w:rsidP="00635E37">
      <w:pPr>
        <w:rPr>
          <w:rFonts w:cs="Arial"/>
        </w:rPr>
      </w:pPr>
      <w:r w:rsidRPr="00925EA9">
        <w:rPr>
          <w:rFonts w:cs="Arial"/>
        </w:rPr>
        <w:t>10. 7 and 8</w:t>
      </w:r>
      <w:r w:rsidRPr="00925EA9">
        <w:rPr>
          <w:rFonts w:cs="Arial"/>
        </w:rPr>
        <w:tab/>
      </w:r>
    </w:p>
    <w:p w14:paraId="230EAAD2" w14:textId="77777777" w:rsidR="00635E37" w:rsidRPr="00925EA9" w:rsidRDefault="00635E37" w:rsidP="00635E37">
      <w:pPr>
        <w:rPr>
          <w:rFonts w:cs="Arial"/>
        </w:rPr>
      </w:pPr>
      <w:r w:rsidRPr="00925EA9">
        <w:rPr>
          <w:rFonts w:cs="Arial"/>
        </w:rPr>
        <w:t>11. 7 and 9</w:t>
      </w:r>
      <w:r w:rsidRPr="00925EA9">
        <w:rPr>
          <w:rFonts w:cs="Arial"/>
        </w:rPr>
        <w:tab/>
      </w:r>
    </w:p>
    <w:p w14:paraId="04BBED78" w14:textId="77777777" w:rsidR="00635E37" w:rsidRPr="00925EA9" w:rsidRDefault="00635E37" w:rsidP="00635E37">
      <w:pPr>
        <w:rPr>
          <w:rFonts w:cs="Arial"/>
        </w:rPr>
      </w:pPr>
      <w:r w:rsidRPr="00925EA9">
        <w:rPr>
          <w:rFonts w:cs="Arial"/>
        </w:rPr>
        <w:t>12. 10 or 11</w:t>
      </w:r>
      <w:r w:rsidRPr="00925EA9">
        <w:rPr>
          <w:rFonts w:cs="Arial"/>
        </w:rPr>
        <w:tab/>
      </w:r>
    </w:p>
    <w:p w14:paraId="3891CA65" w14:textId="77777777" w:rsidR="00635E37" w:rsidRPr="00925EA9" w:rsidRDefault="00635E37" w:rsidP="00635E37">
      <w:pPr>
        <w:rPr>
          <w:rFonts w:cs="Arial"/>
        </w:rPr>
      </w:pPr>
      <w:r w:rsidRPr="00925EA9">
        <w:rPr>
          <w:rFonts w:cs="Arial"/>
        </w:rPr>
        <w:t>13. economics/</w:t>
      </w:r>
      <w:r w:rsidRPr="00925EA9">
        <w:rPr>
          <w:rFonts w:cs="Arial"/>
        </w:rPr>
        <w:tab/>
      </w:r>
    </w:p>
    <w:p w14:paraId="4C0E4834" w14:textId="77777777" w:rsidR="00635E37" w:rsidRPr="00925EA9" w:rsidRDefault="00635E37" w:rsidP="00635E37">
      <w:pPr>
        <w:rPr>
          <w:rFonts w:cs="Arial"/>
        </w:rPr>
      </w:pPr>
      <w:r w:rsidRPr="00925EA9">
        <w:rPr>
          <w:rFonts w:cs="Arial"/>
        </w:rPr>
        <w:t>14. "costs and cost analysis"/</w:t>
      </w:r>
      <w:r w:rsidRPr="00925EA9">
        <w:rPr>
          <w:rFonts w:cs="Arial"/>
        </w:rPr>
        <w:tab/>
      </w:r>
    </w:p>
    <w:p w14:paraId="5AF4BF9E" w14:textId="77777777" w:rsidR="00635E37" w:rsidRPr="00925EA9" w:rsidRDefault="00635E37" w:rsidP="00635E37">
      <w:pPr>
        <w:rPr>
          <w:rFonts w:cs="Arial"/>
        </w:rPr>
      </w:pPr>
      <w:r w:rsidRPr="00925EA9">
        <w:rPr>
          <w:rFonts w:cs="Arial"/>
        </w:rPr>
        <w:t>15. cost allocation/</w:t>
      </w:r>
      <w:r w:rsidRPr="00925EA9">
        <w:rPr>
          <w:rFonts w:cs="Arial"/>
        </w:rPr>
        <w:tab/>
      </w:r>
    </w:p>
    <w:p w14:paraId="7A67EA3C" w14:textId="77777777" w:rsidR="00635E37" w:rsidRPr="00925EA9" w:rsidRDefault="00635E37" w:rsidP="00635E37">
      <w:pPr>
        <w:rPr>
          <w:rFonts w:cs="Arial"/>
        </w:rPr>
      </w:pPr>
      <w:r w:rsidRPr="00925EA9">
        <w:rPr>
          <w:rFonts w:cs="Arial"/>
        </w:rPr>
        <w:t>16. cost-benefit analysis/</w:t>
      </w:r>
      <w:r w:rsidRPr="00925EA9">
        <w:rPr>
          <w:rFonts w:cs="Arial"/>
        </w:rPr>
        <w:tab/>
      </w:r>
    </w:p>
    <w:p w14:paraId="7F91F7D4" w14:textId="77777777" w:rsidR="00635E37" w:rsidRPr="00925EA9" w:rsidRDefault="00635E37" w:rsidP="00635E37">
      <w:pPr>
        <w:rPr>
          <w:rFonts w:cs="Arial"/>
        </w:rPr>
      </w:pPr>
      <w:r w:rsidRPr="00925EA9">
        <w:rPr>
          <w:rFonts w:cs="Arial"/>
        </w:rPr>
        <w:t>17. cost control/</w:t>
      </w:r>
      <w:r w:rsidRPr="00925EA9">
        <w:rPr>
          <w:rFonts w:cs="Arial"/>
        </w:rPr>
        <w:tab/>
      </w:r>
    </w:p>
    <w:p w14:paraId="1DDD7FEC" w14:textId="77777777" w:rsidR="00635E37" w:rsidRPr="00925EA9" w:rsidRDefault="00635E37" w:rsidP="00635E37">
      <w:pPr>
        <w:rPr>
          <w:rFonts w:cs="Arial"/>
        </w:rPr>
      </w:pPr>
      <w:r w:rsidRPr="00925EA9">
        <w:rPr>
          <w:rFonts w:cs="Arial"/>
        </w:rPr>
        <w:t>18. cost of illness/</w:t>
      </w:r>
      <w:r w:rsidRPr="00925EA9">
        <w:rPr>
          <w:rFonts w:cs="Arial"/>
        </w:rPr>
        <w:tab/>
      </w:r>
    </w:p>
    <w:p w14:paraId="5581369B" w14:textId="77777777" w:rsidR="00635E37" w:rsidRPr="00925EA9" w:rsidRDefault="00635E37" w:rsidP="00635E37">
      <w:pPr>
        <w:rPr>
          <w:rFonts w:cs="Arial"/>
        </w:rPr>
      </w:pPr>
      <w:r w:rsidRPr="00925EA9">
        <w:rPr>
          <w:rFonts w:cs="Arial"/>
        </w:rPr>
        <w:t>19. cost sharing/</w:t>
      </w:r>
      <w:r w:rsidRPr="00925EA9">
        <w:rPr>
          <w:rFonts w:cs="Arial"/>
        </w:rPr>
        <w:tab/>
      </w:r>
    </w:p>
    <w:p w14:paraId="5918C926" w14:textId="77777777" w:rsidR="00635E37" w:rsidRPr="00925EA9" w:rsidRDefault="00635E37" w:rsidP="00635E37">
      <w:pPr>
        <w:rPr>
          <w:rFonts w:cs="Arial"/>
        </w:rPr>
      </w:pPr>
      <w:r w:rsidRPr="00925EA9">
        <w:rPr>
          <w:rFonts w:cs="Arial"/>
        </w:rPr>
        <w:t>20. "deductibles and coinsurance"/</w:t>
      </w:r>
      <w:r w:rsidRPr="00925EA9">
        <w:rPr>
          <w:rFonts w:cs="Arial"/>
        </w:rPr>
        <w:tab/>
      </w:r>
    </w:p>
    <w:p w14:paraId="26E9A5C6" w14:textId="77777777" w:rsidR="00635E37" w:rsidRPr="00925EA9" w:rsidRDefault="00635E37" w:rsidP="00635E37">
      <w:pPr>
        <w:rPr>
          <w:rFonts w:cs="Arial"/>
        </w:rPr>
      </w:pPr>
      <w:r w:rsidRPr="00925EA9">
        <w:rPr>
          <w:rFonts w:cs="Arial"/>
        </w:rPr>
        <w:t>21. medical savings accounts/</w:t>
      </w:r>
      <w:r w:rsidRPr="00925EA9">
        <w:rPr>
          <w:rFonts w:cs="Arial"/>
        </w:rPr>
        <w:tab/>
      </w:r>
    </w:p>
    <w:p w14:paraId="6C897724" w14:textId="77777777" w:rsidR="00635E37" w:rsidRPr="00925EA9" w:rsidRDefault="00635E37" w:rsidP="00635E37">
      <w:pPr>
        <w:rPr>
          <w:rFonts w:cs="Arial"/>
        </w:rPr>
      </w:pPr>
      <w:r w:rsidRPr="00925EA9">
        <w:rPr>
          <w:rFonts w:cs="Arial"/>
        </w:rPr>
        <w:t>22. health care costs/</w:t>
      </w:r>
      <w:r w:rsidRPr="00925EA9">
        <w:rPr>
          <w:rFonts w:cs="Arial"/>
        </w:rPr>
        <w:tab/>
      </w:r>
    </w:p>
    <w:p w14:paraId="70AC9497" w14:textId="77777777" w:rsidR="00635E37" w:rsidRPr="00925EA9" w:rsidRDefault="00635E37" w:rsidP="00635E37">
      <w:pPr>
        <w:rPr>
          <w:rFonts w:cs="Arial"/>
        </w:rPr>
      </w:pPr>
      <w:r w:rsidRPr="00925EA9">
        <w:rPr>
          <w:rFonts w:cs="Arial"/>
        </w:rPr>
        <w:t>23. direct service costs/</w:t>
      </w:r>
      <w:r w:rsidRPr="00925EA9">
        <w:rPr>
          <w:rFonts w:cs="Arial"/>
        </w:rPr>
        <w:tab/>
      </w:r>
    </w:p>
    <w:p w14:paraId="27CD5014" w14:textId="77777777" w:rsidR="00635E37" w:rsidRPr="00925EA9" w:rsidRDefault="00635E37" w:rsidP="00635E37">
      <w:pPr>
        <w:rPr>
          <w:rFonts w:cs="Arial"/>
        </w:rPr>
      </w:pPr>
      <w:r w:rsidRPr="00925EA9">
        <w:rPr>
          <w:rFonts w:cs="Arial"/>
        </w:rPr>
        <w:t>24. drug costs/</w:t>
      </w:r>
      <w:r w:rsidRPr="00925EA9">
        <w:rPr>
          <w:rFonts w:cs="Arial"/>
        </w:rPr>
        <w:tab/>
      </w:r>
    </w:p>
    <w:p w14:paraId="0A85E669" w14:textId="77777777" w:rsidR="00635E37" w:rsidRPr="00925EA9" w:rsidRDefault="00635E37" w:rsidP="00635E37">
      <w:pPr>
        <w:rPr>
          <w:rFonts w:cs="Arial"/>
        </w:rPr>
      </w:pPr>
      <w:r w:rsidRPr="00925EA9">
        <w:rPr>
          <w:rFonts w:cs="Arial"/>
        </w:rPr>
        <w:lastRenderedPageBreak/>
        <w:t>25. employer health costs/</w:t>
      </w:r>
      <w:r w:rsidRPr="00925EA9">
        <w:rPr>
          <w:rFonts w:cs="Arial"/>
        </w:rPr>
        <w:tab/>
      </w:r>
    </w:p>
    <w:p w14:paraId="4DE50723" w14:textId="77777777" w:rsidR="00635E37" w:rsidRPr="00925EA9" w:rsidRDefault="00635E37" w:rsidP="00635E37">
      <w:pPr>
        <w:rPr>
          <w:rFonts w:cs="Arial"/>
        </w:rPr>
      </w:pPr>
      <w:r w:rsidRPr="00925EA9">
        <w:rPr>
          <w:rFonts w:cs="Arial"/>
        </w:rPr>
        <w:t>26. hospital costs/</w:t>
      </w:r>
      <w:r w:rsidRPr="00925EA9">
        <w:rPr>
          <w:rFonts w:cs="Arial"/>
        </w:rPr>
        <w:tab/>
      </w:r>
    </w:p>
    <w:p w14:paraId="664F9E02" w14:textId="77777777" w:rsidR="00635E37" w:rsidRPr="00925EA9" w:rsidRDefault="00635E37" w:rsidP="00635E37">
      <w:pPr>
        <w:rPr>
          <w:rFonts w:cs="Arial"/>
        </w:rPr>
      </w:pPr>
      <w:r w:rsidRPr="00925EA9">
        <w:rPr>
          <w:rFonts w:cs="Arial"/>
        </w:rPr>
        <w:t>27. health expenditures/</w:t>
      </w:r>
      <w:r w:rsidRPr="00925EA9">
        <w:rPr>
          <w:rFonts w:cs="Arial"/>
        </w:rPr>
        <w:tab/>
      </w:r>
    </w:p>
    <w:p w14:paraId="176D99D5" w14:textId="77777777" w:rsidR="00635E37" w:rsidRPr="00925EA9" w:rsidRDefault="00635E37" w:rsidP="00635E37">
      <w:pPr>
        <w:rPr>
          <w:rFonts w:cs="Arial"/>
        </w:rPr>
      </w:pPr>
      <w:r w:rsidRPr="00925EA9">
        <w:rPr>
          <w:rFonts w:cs="Arial"/>
        </w:rPr>
        <w:t>28. capital expenditures/</w:t>
      </w:r>
      <w:r w:rsidRPr="00925EA9">
        <w:rPr>
          <w:rFonts w:cs="Arial"/>
        </w:rPr>
        <w:tab/>
      </w:r>
    </w:p>
    <w:p w14:paraId="62B33175" w14:textId="77777777" w:rsidR="00635E37" w:rsidRPr="00925EA9" w:rsidRDefault="00635E37" w:rsidP="00635E37">
      <w:pPr>
        <w:rPr>
          <w:rFonts w:cs="Arial"/>
        </w:rPr>
      </w:pPr>
      <w:r w:rsidRPr="00925EA9">
        <w:rPr>
          <w:rFonts w:cs="Arial"/>
        </w:rPr>
        <w:t>29. value of life/</w:t>
      </w:r>
      <w:r w:rsidRPr="00925EA9">
        <w:rPr>
          <w:rFonts w:cs="Arial"/>
        </w:rPr>
        <w:tab/>
      </w:r>
    </w:p>
    <w:p w14:paraId="0F7D2E5F" w14:textId="77777777" w:rsidR="00635E37" w:rsidRPr="00925EA9" w:rsidRDefault="00635E37" w:rsidP="00635E37">
      <w:pPr>
        <w:rPr>
          <w:rFonts w:cs="Arial"/>
        </w:rPr>
      </w:pPr>
      <w:r w:rsidRPr="00925EA9">
        <w:rPr>
          <w:rFonts w:cs="Arial"/>
        </w:rPr>
        <w:t>30. exp economics, hospital/</w:t>
      </w:r>
      <w:r w:rsidRPr="00925EA9">
        <w:rPr>
          <w:rFonts w:cs="Arial"/>
        </w:rPr>
        <w:tab/>
      </w:r>
    </w:p>
    <w:p w14:paraId="5068B652" w14:textId="77777777" w:rsidR="00635E37" w:rsidRPr="00925EA9" w:rsidRDefault="00635E37" w:rsidP="00635E37">
      <w:pPr>
        <w:rPr>
          <w:rFonts w:cs="Arial"/>
        </w:rPr>
      </w:pPr>
      <w:r w:rsidRPr="00925EA9">
        <w:rPr>
          <w:rFonts w:cs="Arial"/>
        </w:rPr>
        <w:t>31. exp economics, medical/</w:t>
      </w:r>
      <w:r w:rsidRPr="00925EA9">
        <w:rPr>
          <w:rFonts w:cs="Arial"/>
        </w:rPr>
        <w:tab/>
      </w:r>
    </w:p>
    <w:p w14:paraId="5C275063" w14:textId="77777777" w:rsidR="00635E37" w:rsidRPr="00925EA9" w:rsidRDefault="00635E37" w:rsidP="00635E37">
      <w:pPr>
        <w:rPr>
          <w:rFonts w:cs="Arial"/>
        </w:rPr>
      </w:pPr>
      <w:r w:rsidRPr="00925EA9">
        <w:rPr>
          <w:rFonts w:cs="Arial"/>
        </w:rPr>
        <w:t>32. economics, nursing/</w:t>
      </w:r>
      <w:r w:rsidRPr="00925EA9">
        <w:rPr>
          <w:rFonts w:cs="Arial"/>
        </w:rPr>
        <w:tab/>
      </w:r>
    </w:p>
    <w:p w14:paraId="6B43D5AE" w14:textId="77777777" w:rsidR="00635E37" w:rsidRPr="00925EA9" w:rsidRDefault="00635E37" w:rsidP="00635E37">
      <w:pPr>
        <w:rPr>
          <w:rFonts w:cs="Arial"/>
        </w:rPr>
      </w:pPr>
      <w:r w:rsidRPr="00925EA9">
        <w:rPr>
          <w:rFonts w:cs="Arial"/>
        </w:rPr>
        <w:t>33. economics, pharmaceutical/</w:t>
      </w:r>
      <w:r w:rsidRPr="00925EA9">
        <w:rPr>
          <w:rFonts w:cs="Arial"/>
        </w:rPr>
        <w:tab/>
      </w:r>
    </w:p>
    <w:p w14:paraId="24696DBF" w14:textId="77777777" w:rsidR="00635E37" w:rsidRPr="00925EA9" w:rsidRDefault="00635E37" w:rsidP="00635E37">
      <w:pPr>
        <w:rPr>
          <w:rFonts w:cs="Arial"/>
        </w:rPr>
      </w:pPr>
      <w:r w:rsidRPr="00925EA9">
        <w:rPr>
          <w:rFonts w:cs="Arial"/>
        </w:rPr>
        <w:t>34. exp "fees and charges"/</w:t>
      </w:r>
      <w:r w:rsidRPr="00925EA9">
        <w:rPr>
          <w:rFonts w:cs="Arial"/>
        </w:rPr>
        <w:tab/>
      </w:r>
    </w:p>
    <w:p w14:paraId="7BA403D6" w14:textId="77777777" w:rsidR="00635E37" w:rsidRPr="00925EA9" w:rsidRDefault="00635E37" w:rsidP="00635E37">
      <w:pPr>
        <w:rPr>
          <w:rFonts w:cs="Arial"/>
        </w:rPr>
      </w:pPr>
      <w:r w:rsidRPr="00925EA9">
        <w:rPr>
          <w:rFonts w:cs="Arial"/>
        </w:rPr>
        <w:t>35. exp budgets/</w:t>
      </w:r>
      <w:r w:rsidRPr="00925EA9">
        <w:rPr>
          <w:rFonts w:cs="Arial"/>
        </w:rPr>
        <w:tab/>
      </w:r>
    </w:p>
    <w:p w14:paraId="5E342592" w14:textId="77777777" w:rsidR="00635E37" w:rsidRPr="00925EA9" w:rsidRDefault="00635E37" w:rsidP="00635E37">
      <w:pPr>
        <w:rPr>
          <w:rFonts w:cs="Arial"/>
        </w:rPr>
      </w:pPr>
      <w:r w:rsidRPr="00925EA9">
        <w:rPr>
          <w:rFonts w:cs="Arial"/>
        </w:rPr>
        <w:t>36. (low adj cost).mp.</w:t>
      </w:r>
      <w:r w:rsidRPr="00925EA9">
        <w:rPr>
          <w:rFonts w:cs="Arial"/>
        </w:rPr>
        <w:tab/>
      </w:r>
    </w:p>
    <w:p w14:paraId="1192438F" w14:textId="77777777" w:rsidR="00635E37" w:rsidRPr="00925EA9" w:rsidRDefault="00635E37" w:rsidP="00635E37">
      <w:pPr>
        <w:rPr>
          <w:rFonts w:cs="Arial"/>
        </w:rPr>
      </w:pPr>
      <w:r w:rsidRPr="00925EA9">
        <w:rPr>
          <w:rFonts w:cs="Arial"/>
        </w:rPr>
        <w:t>37. (high adj cost).mp.</w:t>
      </w:r>
      <w:r w:rsidRPr="00925EA9">
        <w:rPr>
          <w:rFonts w:cs="Arial"/>
        </w:rPr>
        <w:tab/>
      </w:r>
    </w:p>
    <w:p w14:paraId="33367F8B" w14:textId="77777777" w:rsidR="00635E37" w:rsidRPr="00925EA9" w:rsidRDefault="00635E37" w:rsidP="00635E37">
      <w:pPr>
        <w:rPr>
          <w:rFonts w:cs="Arial"/>
        </w:rPr>
      </w:pPr>
      <w:r w:rsidRPr="00925EA9">
        <w:rPr>
          <w:rFonts w:cs="Arial"/>
        </w:rPr>
        <w:t>38. (health?care adj cost$).mp.</w:t>
      </w:r>
      <w:r w:rsidRPr="00925EA9">
        <w:rPr>
          <w:rFonts w:cs="Arial"/>
        </w:rPr>
        <w:tab/>
      </w:r>
    </w:p>
    <w:p w14:paraId="4CC7D2FC" w14:textId="77777777" w:rsidR="00635E37" w:rsidRPr="00925EA9" w:rsidRDefault="00635E37" w:rsidP="00635E37">
      <w:pPr>
        <w:rPr>
          <w:rFonts w:cs="Arial"/>
        </w:rPr>
      </w:pPr>
      <w:r w:rsidRPr="00925EA9">
        <w:rPr>
          <w:rFonts w:cs="Arial"/>
        </w:rPr>
        <w:t>39. (fiscal or funding or financial or finance).tw.</w:t>
      </w:r>
      <w:r w:rsidRPr="00925EA9">
        <w:rPr>
          <w:rFonts w:cs="Arial"/>
        </w:rPr>
        <w:tab/>
      </w:r>
    </w:p>
    <w:p w14:paraId="28F5DF12" w14:textId="77777777" w:rsidR="00635E37" w:rsidRPr="00925EA9" w:rsidRDefault="00635E37" w:rsidP="00635E37">
      <w:pPr>
        <w:rPr>
          <w:rFonts w:cs="Arial"/>
        </w:rPr>
      </w:pPr>
      <w:r w:rsidRPr="00925EA9">
        <w:rPr>
          <w:rFonts w:cs="Arial"/>
        </w:rPr>
        <w:t>40. (cost adj estimate$).mp.</w:t>
      </w:r>
      <w:r w:rsidRPr="00925EA9">
        <w:rPr>
          <w:rFonts w:cs="Arial"/>
        </w:rPr>
        <w:tab/>
      </w:r>
    </w:p>
    <w:p w14:paraId="7B7B80FD" w14:textId="77777777" w:rsidR="00635E37" w:rsidRPr="00925EA9" w:rsidRDefault="00635E37" w:rsidP="00635E37">
      <w:pPr>
        <w:rPr>
          <w:rFonts w:cs="Arial"/>
        </w:rPr>
      </w:pPr>
      <w:r w:rsidRPr="00925EA9">
        <w:rPr>
          <w:rFonts w:cs="Arial"/>
        </w:rPr>
        <w:t>41. (cost adj variable).mp.</w:t>
      </w:r>
      <w:r w:rsidRPr="00925EA9">
        <w:rPr>
          <w:rFonts w:cs="Arial"/>
        </w:rPr>
        <w:tab/>
      </w:r>
    </w:p>
    <w:p w14:paraId="4C1066BE" w14:textId="77777777" w:rsidR="00635E37" w:rsidRPr="00925EA9" w:rsidRDefault="00635E37" w:rsidP="00635E37">
      <w:pPr>
        <w:rPr>
          <w:rFonts w:cs="Arial"/>
        </w:rPr>
      </w:pPr>
      <w:r w:rsidRPr="00925EA9">
        <w:rPr>
          <w:rFonts w:cs="Arial"/>
        </w:rPr>
        <w:t>42. (unit adj cost$).mp.</w:t>
      </w:r>
      <w:r w:rsidRPr="00925EA9">
        <w:rPr>
          <w:rFonts w:cs="Arial"/>
        </w:rPr>
        <w:tab/>
      </w:r>
    </w:p>
    <w:p w14:paraId="2C42522E" w14:textId="77777777" w:rsidR="00635E37" w:rsidRPr="00925EA9" w:rsidRDefault="00635E37" w:rsidP="00635E37">
      <w:pPr>
        <w:rPr>
          <w:rFonts w:cs="Arial"/>
        </w:rPr>
      </w:pPr>
      <w:r w:rsidRPr="00925EA9">
        <w:rPr>
          <w:rFonts w:cs="Arial"/>
        </w:rPr>
        <w:t>43. (economic$ or pharmacoeconomic$ or price$ or pricing).tw.</w:t>
      </w:r>
      <w:r w:rsidRPr="00925EA9">
        <w:rPr>
          <w:rFonts w:cs="Arial"/>
        </w:rPr>
        <w:tab/>
      </w:r>
    </w:p>
    <w:p w14:paraId="0757694F" w14:textId="77777777" w:rsidR="00635E37" w:rsidRPr="00925EA9" w:rsidRDefault="00635E37" w:rsidP="00635E37">
      <w:pPr>
        <w:rPr>
          <w:rFonts w:cs="Arial"/>
        </w:rPr>
      </w:pPr>
      <w:r w:rsidRPr="00925EA9">
        <w:rPr>
          <w:rFonts w:cs="Arial"/>
        </w:rPr>
        <w:t>44. or/13-43</w:t>
      </w:r>
      <w:r w:rsidRPr="00925EA9">
        <w:rPr>
          <w:rFonts w:cs="Arial"/>
        </w:rPr>
        <w:tab/>
      </w:r>
    </w:p>
    <w:p w14:paraId="3F6FB0D3" w14:textId="77777777" w:rsidR="00635E37" w:rsidRPr="00925EA9" w:rsidRDefault="00635E37" w:rsidP="00635E37">
      <w:pPr>
        <w:rPr>
          <w:rFonts w:cs="Arial"/>
        </w:rPr>
      </w:pPr>
      <w:r w:rsidRPr="00925EA9">
        <w:rPr>
          <w:rFonts w:cs="Arial"/>
        </w:rPr>
        <w:t>45. 12 and 44</w:t>
      </w:r>
      <w:r w:rsidRPr="00925EA9">
        <w:rPr>
          <w:rFonts w:cs="Arial"/>
        </w:rPr>
        <w:tab/>
      </w:r>
    </w:p>
    <w:p w14:paraId="3ADF602D" w14:textId="77777777" w:rsidR="00635E37" w:rsidRPr="00925EA9" w:rsidRDefault="00635E37" w:rsidP="00635E37">
      <w:pPr>
        <w:rPr>
          <w:rFonts w:cs="Arial"/>
        </w:rPr>
      </w:pPr>
      <w:r w:rsidRPr="00925EA9">
        <w:rPr>
          <w:rFonts w:cs="Arial"/>
        </w:rPr>
        <w:t>46. meta-analysis as topic/</w:t>
      </w:r>
      <w:r w:rsidRPr="00925EA9">
        <w:rPr>
          <w:rFonts w:cs="Arial"/>
        </w:rPr>
        <w:tab/>
      </w:r>
    </w:p>
    <w:p w14:paraId="267969CD" w14:textId="77777777" w:rsidR="00635E37" w:rsidRPr="00925EA9" w:rsidRDefault="00635E37" w:rsidP="00635E37">
      <w:pPr>
        <w:rPr>
          <w:rFonts w:cs="Arial"/>
        </w:rPr>
      </w:pPr>
      <w:r w:rsidRPr="00925EA9">
        <w:rPr>
          <w:rFonts w:cs="Arial"/>
        </w:rPr>
        <w:t>47. meta analy$.tw.</w:t>
      </w:r>
      <w:r w:rsidRPr="00925EA9">
        <w:rPr>
          <w:rFonts w:cs="Arial"/>
        </w:rPr>
        <w:tab/>
      </w:r>
    </w:p>
    <w:p w14:paraId="1ADCB3F1" w14:textId="77777777" w:rsidR="00635E37" w:rsidRPr="00925EA9" w:rsidRDefault="00635E37" w:rsidP="00635E37">
      <w:pPr>
        <w:rPr>
          <w:rFonts w:cs="Arial"/>
        </w:rPr>
      </w:pPr>
      <w:r w:rsidRPr="00925EA9">
        <w:rPr>
          <w:rFonts w:cs="Arial"/>
        </w:rPr>
        <w:t>48. metaanaly$.tw.</w:t>
      </w:r>
      <w:r w:rsidRPr="00925EA9">
        <w:rPr>
          <w:rFonts w:cs="Arial"/>
        </w:rPr>
        <w:tab/>
      </w:r>
    </w:p>
    <w:p w14:paraId="1FEFEF8E" w14:textId="77777777" w:rsidR="00635E37" w:rsidRPr="00925EA9" w:rsidRDefault="00635E37" w:rsidP="00635E37">
      <w:pPr>
        <w:rPr>
          <w:rFonts w:cs="Arial"/>
        </w:rPr>
      </w:pPr>
      <w:r w:rsidRPr="00925EA9">
        <w:rPr>
          <w:rFonts w:cs="Arial"/>
        </w:rPr>
        <w:t>49. meta-analysis/</w:t>
      </w:r>
      <w:r w:rsidRPr="00925EA9">
        <w:rPr>
          <w:rFonts w:cs="Arial"/>
        </w:rPr>
        <w:tab/>
      </w:r>
    </w:p>
    <w:p w14:paraId="52C5ED9B" w14:textId="77777777" w:rsidR="00635E37" w:rsidRPr="00925EA9" w:rsidRDefault="00635E37" w:rsidP="00635E37">
      <w:pPr>
        <w:rPr>
          <w:rFonts w:cs="Arial"/>
        </w:rPr>
      </w:pPr>
      <w:r w:rsidRPr="00925EA9">
        <w:rPr>
          <w:rFonts w:cs="Arial"/>
        </w:rPr>
        <w:t>50. (systematic adj (review$1 or overview$1)).tw.</w:t>
      </w:r>
      <w:r w:rsidRPr="00925EA9">
        <w:rPr>
          <w:rFonts w:cs="Arial"/>
        </w:rPr>
        <w:tab/>
      </w:r>
    </w:p>
    <w:p w14:paraId="0E39370B" w14:textId="77777777" w:rsidR="00635E37" w:rsidRPr="00925EA9" w:rsidRDefault="00635E37" w:rsidP="00635E37">
      <w:pPr>
        <w:rPr>
          <w:rFonts w:cs="Arial"/>
        </w:rPr>
      </w:pPr>
      <w:r w:rsidRPr="00925EA9">
        <w:rPr>
          <w:rFonts w:cs="Arial"/>
        </w:rPr>
        <w:t>51. exp review literature as topic/</w:t>
      </w:r>
      <w:r w:rsidRPr="00925EA9">
        <w:rPr>
          <w:rFonts w:cs="Arial"/>
        </w:rPr>
        <w:tab/>
      </w:r>
    </w:p>
    <w:p w14:paraId="44014B68" w14:textId="77777777" w:rsidR="00635E37" w:rsidRPr="00925EA9" w:rsidRDefault="00635E37" w:rsidP="00635E37">
      <w:pPr>
        <w:rPr>
          <w:rFonts w:cs="Arial"/>
        </w:rPr>
      </w:pPr>
      <w:r w:rsidRPr="00925EA9">
        <w:rPr>
          <w:rFonts w:cs="Arial"/>
        </w:rPr>
        <w:t>52. or/46-51</w:t>
      </w:r>
      <w:r w:rsidRPr="00925EA9">
        <w:rPr>
          <w:rFonts w:cs="Arial"/>
        </w:rPr>
        <w:tab/>
      </w:r>
    </w:p>
    <w:p w14:paraId="00B6A748" w14:textId="77777777" w:rsidR="00635E37" w:rsidRPr="00925EA9" w:rsidRDefault="00635E37" w:rsidP="00635E37">
      <w:pPr>
        <w:rPr>
          <w:rFonts w:cs="Arial"/>
        </w:rPr>
      </w:pPr>
      <w:r w:rsidRPr="00925EA9">
        <w:rPr>
          <w:rFonts w:cs="Arial"/>
        </w:rPr>
        <w:t>53. cochrane.ab.</w:t>
      </w:r>
      <w:r w:rsidRPr="00925EA9">
        <w:rPr>
          <w:rFonts w:cs="Arial"/>
        </w:rPr>
        <w:tab/>
      </w:r>
    </w:p>
    <w:p w14:paraId="7A3C281B" w14:textId="77777777" w:rsidR="00635E37" w:rsidRPr="00925EA9" w:rsidRDefault="00635E37" w:rsidP="00635E37">
      <w:pPr>
        <w:rPr>
          <w:rFonts w:cs="Arial"/>
        </w:rPr>
      </w:pPr>
      <w:r w:rsidRPr="00925EA9">
        <w:rPr>
          <w:rFonts w:cs="Arial"/>
        </w:rPr>
        <w:t>54. embase.ab.</w:t>
      </w:r>
      <w:r w:rsidRPr="00925EA9">
        <w:rPr>
          <w:rFonts w:cs="Arial"/>
        </w:rPr>
        <w:tab/>
      </w:r>
    </w:p>
    <w:p w14:paraId="70DB816D" w14:textId="77777777" w:rsidR="00635E37" w:rsidRPr="00F979F4" w:rsidRDefault="00635E37" w:rsidP="00635E37">
      <w:pPr>
        <w:rPr>
          <w:rFonts w:cs="Arial"/>
          <w:lang w:val="de-DE"/>
        </w:rPr>
      </w:pPr>
      <w:r w:rsidRPr="00F979F4">
        <w:rPr>
          <w:rFonts w:cs="Arial"/>
          <w:lang w:val="de-DE"/>
        </w:rPr>
        <w:t>55. (psychlit or psyclit).ab.</w:t>
      </w:r>
      <w:r w:rsidRPr="00F979F4">
        <w:rPr>
          <w:rFonts w:cs="Arial"/>
          <w:lang w:val="de-DE"/>
        </w:rPr>
        <w:tab/>
      </w:r>
    </w:p>
    <w:p w14:paraId="30013473" w14:textId="77777777" w:rsidR="00635E37" w:rsidRPr="00F979F4" w:rsidRDefault="00635E37" w:rsidP="00635E37">
      <w:pPr>
        <w:rPr>
          <w:rFonts w:cs="Arial"/>
          <w:lang w:val="de-DE"/>
        </w:rPr>
      </w:pPr>
      <w:r w:rsidRPr="00F979F4">
        <w:rPr>
          <w:rFonts w:cs="Arial"/>
          <w:lang w:val="de-DE"/>
        </w:rPr>
        <w:t>56. (psychinfo or psycinfo).ab.</w:t>
      </w:r>
      <w:r w:rsidRPr="00F979F4">
        <w:rPr>
          <w:rFonts w:cs="Arial"/>
          <w:lang w:val="de-DE"/>
        </w:rPr>
        <w:tab/>
      </w:r>
    </w:p>
    <w:p w14:paraId="3945F160" w14:textId="77777777" w:rsidR="00635E37" w:rsidRPr="00925EA9" w:rsidRDefault="00635E37" w:rsidP="00635E37">
      <w:pPr>
        <w:rPr>
          <w:rFonts w:cs="Arial"/>
        </w:rPr>
      </w:pPr>
      <w:r w:rsidRPr="00925EA9">
        <w:rPr>
          <w:rFonts w:cs="Arial"/>
        </w:rPr>
        <w:t>57. (cinahl or cinhal).ab.</w:t>
      </w:r>
      <w:r w:rsidRPr="00925EA9">
        <w:rPr>
          <w:rFonts w:cs="Arial"/>
        </w:rPr>
        <w:tab/>
      </w:r>
    </w:p>
    <w:p w14:paraId="4B49C24C" w14:textId="77777777" w:rsidR="00635E37" w:rsidRPr="00925EA9" w:rsidRDefault="00635E37" w:rsidP="00635E37">
      <w:pPr>
        <w:rPr>
          <w:rFonts w:cs="Arial"/>
        </w:rPr>
      </w:pPr>
      <w:r w:rsidRPr="00925EA9">
        <w:rPr>
          <w:rFonts w:cs="Arial"/>
        </w:rPr>
        <w:t>58. science citation index.ab.</w:t>
      </w:r>
      <w:r w:rsidRPr="00925EA9">
        <w:rPr>
          <w:rFonts w:cs="Arial"/>
        </w:rPr>
        <w:tab/>
      </w:r>
    </w:p>
    <w:p w14:paraId="67AFAFF4" w14:textId="77777777" w:rsidR="00635E37" w:rsidRPr="00925EA9" w:rsidRDefault="00635E37" w:rsidP="00635E37">
      <w:pPr>
        <w:rPr>
          <w:rFonts w:cs="Arial"/>
        </w:rPr>
      </w:pPr>
      <w:r w:rsidRPr="00925EA9">
        <w:rPr>
          <w:rFonts w:cs="Arial"/>
        </w:rPr>
        <w:t>59. bids.ab.</w:t>
      </w:r>
      <w:r w:rsidRPr="00925EA9">
        <w:rPr>
          <w:rFonts w:cs="Arial"/>
        </w:rPr>
        <w:tab/>
      </w:r>
    </w:p>
    <w:p w14:paraId="59FE1561" w14:textId="77777777" w:rsidR="00635E37" w:rsidRPr="00925EA9" w:rsidRDefault="00635E37" w:rsidP="00635E37">
      <w:pPr>
        <w:rPr>
          <w:rFonts w:cs="Arial"/>
        </w:rPr>
      </w:pPr>
      <w:r w:rsidRPr="00925EA9">
        <w:rPr>
          <w:rFonts w:cs="Arial"/>
        </w:rPr>
        <w:t>60. cancerlit.ab.</w:t>
      </w:r>
      <w:r w:rsidRPr="00925EA9">
        <w:rPr>
          <w:rFonts w:cs="Arial"/>
        </w:rPr>
        <w:tab/>
      </w:r>
    </w:p>
    <w:p w14:paraId="0387201B" w14:textId="77777777" w:rsidR="00635E37" w:rsidRPr="00925EA9" w:rsidRDefault="00635E37" w:rsidP="00635E37">
      <w:pPr>
        <w:rPr>
          <w:rFonts w:cs="Arial"/>
        </w:rPr>
      </w:pPr>
      <w:r w:rsidRPr="00925EA9">
        <w:rPr>
          <w:rFonts w:cs="Arial"/>
        </w:rPr>
        <w:t>61. or/53-60</w:t>
      </w:r>
      <w:r w:rsidRPr="00925EA9">
        <w:rPr>
          <w:rFonts w:cs="Arial"/>
        </w:rPr>
        <w:tab/>
      </w:r>
    </w:p>
    <w:p w14:paraId="71E75491" w14:textId="77777777" w:rsidR="00635E37" w:rsidRPr="00F979F4" w:rsidRDefault="00635E37" w:rsidP="00635E37">
      <w:pPr>
        <w:rPr>
          <w:rFonts w:cs="Arial"/>
          <w:lang w:val="de-DE"/>
        </w:rPr>
      </w:pPr>
      <w:r w:rsidRPr="00F979F4">
        <w:rPr>
          <w:rFonts w:cs="Arial"/>
          <w:lang w:val="de-DE"/>
        </w:rPr>
        <w:t>62. reference list$.ab.</w:t>
      </w:r>
      <w:r w:rsidRPr="00F979F4">
        <w:rPr>
          <w:rFonts w:cs="Arial"/>
          <w:lang w:val="de-DE"/>
        </w:rPr>
        <w:tab/>
      </w:r>
    </w:p>
    <w:p w14:paraId="52A437AF" w14:textId="77777777" w:rsidR="00635E37" w:rsidRPr="00F979F4" w:rsidRDefault="00635E37" w:rsidP="00635E37">
      <w:pPr>
        <w:rPr>
          <w:rFonts w:cs="Arial"/>
          <w:lang w:val="de-DE"/>
        </w:rPr>
      </w:pPr>
      <w:r w:rsidRPr="00F979F4">
        <w:rPr>
          <w:rFonts w:cs="Arial"/>
          <w:lang w:val="de-DE"/>
        </w:rPr>
        <w:t>63. bibliograph$.ab.</w:t>
      </w:r>
      <w:r w:rsidRPr="00F979F4">
        <w:rPr>
          <w:rFonts w:cs="Arial"/>
          <w:lang w:val="de-DE"/>
        </w:rPr>
        <w:tab/>
      </w:r>
    </w:p>
    <w:p w14:paraId="00F91BE8" w14:textId="77777777" w:rsidR="00635E37" w:rsidRPr="00925EA9" w:rsidRDefault="00635E37" w:rsidP="00635E37">
      <w:pPr>
        <w:rPr>
          <w:rFonts w:cs="Arial"/>
        </w:rPr>
      </w:pPr>
      <w:r w:rsidRPr="00925EA9">
        <w:rPr>
          <w:rFonts w:cs="Arial"/>
        </w:rPr>
        <w:t>64. hand-search$ab.</w:t>
      </w:r>
    </w:p>
    <w:p w14:paraId="6FB032E6" w14:textId="77777777" w:rsidR="00635E37" w:rsidRPr="00925EA9" w:rsidRDefault="00635E37" w:rsidP="00635E37">
      <w:pPr>
        <w:rPr>
          <w:rFonts w:cs="Arial"/>
        </w:rPr>
      </w:pPr>
      <w:r w:rsidRPr="00925EA9">
        <w:rPr>
          <w:rFonts w:cs="Arial"/>
        </w:rPr>
        <w:t>65. relevant journals.ab.</w:t>
      </w:r>
      <w:r w:rsidRPr="00925EA9">
        <w:rPr>
          <w:rFonts w:cs="Arial"/>
        </w:rPr>
        <w:tab/>
      </w:r>
    </w:p>
    <w:p w14:paraId="559D946C" w14:textId="77777777" w:rsidR="00635E37" w:rsidRPr="00925EA9" w:rsidRDefault="00635E37" w:rsidP="00635E37">
      <w:pPr>
        <w:rPr>
          <w:rFonts w:cs="Arial"/>
        </w:rPr>
      </w:pPr>
      <w:r w:rsidRPr="00925EA9">
        <w:rPr>
          <w:rFonts w:cs="Arial"/>
        </w:rPr>
        <w:t>66. manual search$.ab.</w:t>
      </w:r>
      <w:r w:rsidRPr="00925EA9">
        <w:rPr>
          <w:rFonts w:cs="Arial"/>
        </w:rPr>
        <w:tab/>
      </w:r>
    </w:p>
    <w:p w14:paraId="1953C3C9" w14:textId="77777777" w:rsidR="00635E37" w:rsidRPr="00925EA9" w:rsidRDefault="00635E37" w:rsidP="00635E37">
      <w:pPr>
        <w:rPr>
          <w:rFonts w:cs="Arial"/>
        </w:rPr>
      </w:pPr>
      <w:r w:rsidRPr="00925EA9">
        <w:rPr>
          <w:rFonts w:cs="Arial"/>
        </w:rPr>
        <w:t>67. or/62-66</w:t>
      </w:r>
      <w:r w:rsidRPr="00925EA9">
        <w:rPr>
          <w:rFonts w:cs="Arial"/>
        </w:rPr>
        <w:tab/>
      </w:r>
    </w:p>
    <w:p w14:paraId="3D8AB39C" w14:textId="77777777" w:rsidR="00635E37" w:rsidRPr="00925EA9" w:rsidRDefault="00635E37" w:rsidP="00635E37">
      <w:pPr>
        <w:rPr>
          <w:rFonts w:cs="Arial"/>
        </w:rPr>
      </w:pPr>
      <w:r w:rsidRPr="00925EA9">
        <w:rPr>
          <w:rFonts w:cs="Arial"/>
        </w:rPr>
        <w:t>68. selection criteria.ab.</w:t>
      </w:r>
      <w:r w:rsidRPr="00925EA9">
        <w:rPr>
          <w:rFonts w:cs="Arial"/>
        </w:rPr>
        <w:tab/>
      </w:r>
    </w:p>
    <w:p w14:paraId="0D194D5A" w14:textId="77777777" w:rsidR="00635E37" w:rsidRPr="00925EA9" w:rsidRDefault="00635E37" w:rsidP="00635E37">
      <w:pPr>
        <w:rPr>
          <w:rFonts w:cs="Arial"/>
        </w:rPr>
      </w:pPr>
      <w:r w:rsidRPr="00925EA9">
        <w:rPr>
          <w:rFonts w:cs="Arial"/>
        </w:rPr>
        <w:t>69. data extraction.ab.</w:t>
      </w:r>
      <w:r w:rsidRPr="00925EA9">
        <w:rPr>
          <w:rFonts w:cs="Arial"/>
        </w:rPr>
        <w:tab/>
      </w:r>
    </w:p>
    <w:p w14:paraId="1EB93BD5" w14:textId="77777777" w:rsidR="00635E37" w:rsidRPr="00925EA9" w:rsidRDefault="00635E37" w:rsidP="00635E37">
      <w:pPr>
        <w:rPr>
          <w:rFonts w:cs="Arial"/>
        </w:rPr>
      </w:pPr>
      <w:r w:rsidRPr="00925EA9">
        <w:rPr>
          <w:rFonts w:cs="Arial"/>
        </w:rPr>
        <w:t>70. 68 or 69</w:t>
      </w:r>
      <w:r w:rsidRPr="00925EA9">
        <w:rPr>
          <w:rFonts w:cs="Arial"/>
        </w:rPr>
        <w:tab/>
      </w:r>
    </w:p>
    <w:p w14:paraId="43390E74" w14:textId="77777777" w:rsidR="00635E37" w:rsidRPr="00925EA9" w:rsidRDefault="00635E37" w:rsidP="00635E37">
      <w:pPr>
        <w:rPr>
          <w:rFonts w:cs="Arial"/>
        </w:rPr>
      </w:pPr>
      <w:r w:rsidRPr="00925EA9">
        <w:rPr>
          <w:rFonts w:cs="Arial"/>
        </w:rPr>
        <w:t>71. comment/</w:t>
      </w:r>
      <w:r w:rsidRPr="00925EA9">
        <w:rPr>
          <w:rFonts w:cs="Arial"/>
        </w:rPr>
        <w:tab/>
      </w:r>
    </w:p>
    <w:p w14:paraId="7EEC5B31" w14:textId="77777777" w:rsidR="00635E37" w:rsidRPr="00925EA9" w:rsidRDefault="00635E37" w:rsidP="00635E37">
      <w:pPr>
        <w:rPr>
          <w:rFonts w:cs="Arial"/>
        </w:rPr>
      </w:pPr>
      <w:r w:rsidRPr="00925EA9">
        <w:rPr>
          <w:rFonts w:cs="Arial"/>
        </w:rPr>
        <w:t>72. letter/</w:t>
      </w:r>
      <w:r w:rsidRPr="00925EA9">
        <w:rPr>
          <w:rFonts w:cs="Arial"/>
        </w:rPr>
        <w:tab/>
      </w:r>
    </w:p>
    <w:p w14:paraId="4C736BF3" w14:textId="77777777" w:rsidR="00635E37" w:rsidRPr="00925EA9" w:rsidRDefault="00635E37" w:rsidP="00635E37">
      <w:pPr>
        <w:rPr>
          <w:rFonts w:cs="Arial"/>
        </w:rPr>
      </w:pPr>
      <w:r w:rsidRPr="00925EA9">
        <w:rPr>
          <w:rFonts w:cs="Arial"/>
        </w:rPr>
        <w:t>73. editorial/</w:t>
      </w:r>
      <w:r w:rsidRPr="00925EA9">
        <w:rPr>
          <w:rFonts w:cs="Arial"/>
        </w:rPr>
        <w:tab/>
      </w:r>
    </w:p>
    <w:p w14:paraId="03011A94" w14:textId="77777777" w:rsidR="00635E37" w:rsidRPr="00925EA9" w:rsidRDefault="00635E37" w:rsidP="00635E37">
      <w:pPr>
        <w:rPr>
          <w:rFonts w:cs="Arial"/>
        </w:rPr>
      </w:pPr>
      <w:r w:rsidRPr="00925EA9">
        <w:rPr>
          <w:rFonts w:cs="Arial"/>
        </w:rPr>
        <w:t>74. animal/</w:t>
      </w:r>
      <w:r w:rsidRPr="00925EA9">
        <w:rPr>
          <w:rFonts w:cs="Arial"/>
        </w:rPr>
        <w:tab/>
      </w:r>
    </w:p>
    <w:p w14:paraId="5C655650" w14:textId="77777777" w:rsidR="00635E37" w:rsidRPr="00925EA9" w:rsidRDefault="00635E37" w:rsidP="00635E37">
      <w:pPr>
        <w:rPr>
          <w:rFonts w:cs="Arial"/>
        </w:rPr>
      </w:pPr>
      <w:r w:rsidRPr="00925EA9">
        <w:rPr>
          <w:rFonts w:cs="Arial"/>
        </w:rPr>
        <w:lastRenderedPageBreak/>
        <w:t>75. human/</w:t>
      </w:r>
      <w:r w:rsidRPr="00925EA9">
        <w:rPr>
          <w:rFonts w:cs="Arial"/>
        </w:rPr>
        <w:tab/>
      </w:r>
    </w:p>
    <w:p w14:paraId="36AD1DE5" w14:textId="77777777" w:rsidR="00635E37" w:rsidRPr="00925EA9" w:rsidRDefault="00635E37" w:rsidP="00635E37">
      <w:pPr>
        <w:rPr>
          <w:rFonts w:cs="Arial"/>
        </w:rPr>
      </w:pPr>
      <w:r w:rsidRPr="00925EA9">
        <w:rPr>
          <w:rFonts w:cs="Arial"/>
        </w:rPr>
        <w:t>76. 74 not (73 and 74))</w:t>
      </w:r>
      <w:r w:rsidRPr="00925EA9">
        <w:rPr>
          <w:rFonts w:cs="Arial"/>
        </w:rPr>
        <w:tab/>
      </w:r>
    </w:p>
    <w:p w14:paraId="2A60BB13" w14:textId="77777777" w:rsidR="00635E37" w:rsidRPr="00925EA9" w:rsidRDefault="00635E37" w:rsidP="00635E37">
      <w:pPr>
        <w:rPr>
          <w:rFonts w:cs="Arial"/>
        </w:rPr>
      </w:pPr>
      <w:r w:rsidRPr="00925EA9">
        <w:rPr>
          <w:rFonts w:cs="Arial"/>
        </w:rPr>
        <w:t>77. or/71-73,76</w:t>
      </w:r>
      <w:r w:rsidRPr="00925EA9">
        <w:rPr>
          <w:rFonts w:cs="Arial"/>
        </w:rPr>
        <w:tab/>
      </w:r>
    </w:p>
    <w:p w14:paraId="5BF59C6C" w14:textId="77777777" w:rsidR="00635E37" w:rsidRPr="00925EA9" w:rsidRDefault="00635E37" w:rsidP="00635E37">
      <w:pPr>
        <w:rPr>
          <w:rFonts w:cs="Arial"/>
        </w:rPr>
      </w:pPr>
      <w:r w:rsidRPr="00925EA9">
        <w:rPr>
          <w:rFonts w:cs="Arial"/>
        </w:rPr>
        <w:t>78. 52 or 67 or 70</w:t>
      </w:r>
      <w:r w:rsidRPr="00925EA9">
        <w:rPr>
          <w:rFonts w:cs="Arial"/>
        </w:rPr>
        <w:tab/>
      </w:r>
    </w:p>
    <w:p w14:paraId="787EB0E0" w14:textId="77777777" w:rsidR="00635E37" w:rsidRPr="00925EA9" w:rsidRDefault="00635E37" w:rsidP="00635E37">
      <w:pPr>
        <w:rPr>
          <w:rFonts w:cs="Arial"/>
        </w:rPr>
      </w:pPr>
      <w:r w:rsidRPr="00925EA9">
        <w:rPr>
          <w:rFonts w:cs="Arial"/>
        </w:rPr>
        <w:t>79. 78 not 77</w:t>
      </w:r>
      <w:r w:rsidRPr="00925EA9">
        <w:rPr>
          <w:rFonts w:cs="Arial"/>
        </w:rPr>
        <w:tab/>
      </w:r>
    </w:p>
    <w:p w14:paraId="6DE14FD8" w14:textId="77777777" w:rsidR="00635E37" w:rsidRDefault="00635E37" w:rsidP="00635E37">
      <w:pPr>
        <w:rPr>
          <w:rFonts w:cs="Arial"/>
        </w:rPr>
      </w:pPr>
      <w:r w:rsidRPr="00925EA9">
        <w:rPr>
          <w:rFonts w:cs="Arial"/>
        </w:rPr>
        <w:t>80. 12 and 7</w:t>
      </w:r>
    </w:p>
    <w:p w14:paraId="45625EB6" w14:textId="77777777" w:rsidR="00832D60" w:rsidRDefault="00832D60" w:rsidP="00832D60">
      <w:pPr>
        <w:pStyle w:val="NoSpacing"/>
      </w:pPr>
    </w:p>
    <w:p w14:paraId="2848A1F4" w14:textId="77777777" w:rsidR="00832D60" w:rsidRDefault="00832D60" w:rsidP="00832D60">
      <w:pPr>
        <w:pStyle w:val="NoSpacing"/>
      </w:pPr>
    </w:p>
    <w:p w14:paraId="6D00FA10" w14:textId="77777777" w:rsidR="005B56C1" w:rsidRDefault="00832D60" w:rsidP="00025E98">
      <w:pPr>
        <w:spacing w:after="200" w:line="276" w:lineRule="auto"/>
        <w:contextualSpacing w:val="0"/>
        <w:sectPr w:rsidR="005B56C1" w:rsidSect="00635E37">
          <w:footerReference w:type="default" r:id="rId314"/>
          <w:pgSz w:w="11906" w:h="16838"/>
          <w:pgMar w:top="1440" w:right="1440" w:bottom="1440" w:left="1440" w:header="708" w:footer="708" w:gutter="0"/>
          <w:cols w:space="708"/>
          <w:docGrid w:linePitch="360"/>
        </w:sectPr>
      </w:pPr>
      <w:r>
        <w:br w:type="page"/>
      </w:r>
    </w:p>
    <w:p w14:paraId="2605592E" w14:textId="28FC2389" w:rsidR="005B56C1" w:rsidRDefault="005B56C1" w:rsidP="00856C3A">
      <w:pPr>
        <w:pStyle w:val="Heading1"/>
        <w:numPr>
          <w:ilvl w:val="0"/>
          <w:numId w:val="0"/>
        </w:numPr>
        <w:ind w:left="405" w:hanging="405"/>
      </w:pPr>
      <w:bookmarkStart w:id="221" w:name="_Toc189229737"/>
      <w:r>
        <w:lastRenderedPageBreak/>
        <w:t xml:space="preserve">Appendix </w:t>
      </w:r>
      <w:r w:rsidR="009D721B">
        <w:t>B</w:t>
      </w:r>
      <w:r>
        <w:tab/>
      </w:r>
      <w:r w:rsidR="009D721B" w:rsidRPr="003544A3">
        <w:t>Supplementary tables</w:t>
      </w:r>
      <w:bookmarkEnd w:id="221"/>
    </w:p>
    <w:p w14:paraId="63C64304" w14:textId="77777777" w:rsidR="005B56C1" w:rsidRDefault="005B56C1" w:rsidP="005B56C1">
      <w:pPr>
        <w:pStyle w:val="Caption"/>
        <w:rPr>
          <w:rFonts w:cs="Arial"/>
          <w:color w:val="auto"/>
          <w:sz w:val="32"/>
          <w:szCs w:val="32"/>
        </w:rPr>
      </w:pPr>
    </w:p>
    <w:p w14:paraId="24CE1DE5" w14:textId="77777777" w:rsidR="003544A3" w:rsidRPr="00CB1E9C" w:rsidRDefault="003544A3" w:rsidP="003544A3">
      <w:pPr>
        <w:rPr>
          <w:i/>
          <w:iCs/>
          <w:szCs w:val="24"/>
        </w:rPr>
      </w:pPr>
    </w:p>
    <w:p w14:paraId="59861A0B" w14:textId="77753540" w:rsidR="005B56C1" w:rsidRPr="003544A3" w:rsidRDefault="00D06727" w:rsidP="00D06727">
      <w:pPr>
        <w:pStyle w:val="Caption"/>
        <w:rPr>
          <w:b w:val="0"/>
          <w:bCs w:val="0"/>
          <w:i/>
          <w:iCs/>
          <w:color w:val="auto"/>
          <w:sz w:val="24"/>
          <w:szCs w:val="24"/>
        </w:rPr>
      </w:pPr>
      <w:bookmarkStart w:id="222" w:name="idp1533232"/>
      <w:bookmarkStart w:id="223" w:name="_Ref177139445"/>
      <w:bookmarkStart w:id="224" w:name="_Toc185845004"/>
      <w:bookmarkEnd w:id="222"/>
      <w:r w:rsidRPr="00CB1E9C">
        <w:rPr>
          <w:b w:val="0"/>
          <w:bCs w:val="0"/>
          <w:i/>
          <w:iCs/>
          <w:color w:val="auto"/>
          <w:sz w:val="24"/>
          <w:szCs w:val="24"/>
        </w:rPr>
        <w:t>Table</w:t>
      </w:r>
      <w:r w:rsidR="00CB1E9C" w:rsidRPr="00CB1E9C">
        <w:rPr>
          <w:b w:val="0"/>
          <w:bCs w:val="0"/>
          <w:i/>
          <w:iCs/>
          <w:color w:val="auto"/>
          <w:sz w:val="24"/>
          <w:szCs w:val="24"/>
        </w:rPr>
        <w:t xml:space="preserve"> B</w:t>
      </w:r>
      <w:r w:rsidR="00367870">
        <w:rPr>
          <w:b w:val="0"/>
          <w:bCs w:val="0"/>
          <w:i/>
          <w:iCs/>
          <w:color w:val="auto"/>
          <w:sz w:val="24"/>
          <w:szCs w:val="24"/>
        </w:rPr>
        <w:noBreakHyphen/>
      </w:r>
      <w:r w:rsidR="00367870">
        <w:rPr>
          <w:b w:val="0"/>
          <w:bCs w:val="0"/>
          <w:i/>
          <w:iCs/>
          <w:color w:val="auto"/>
          <w:sz w:val="24"/>
          <w:szCs w:val="24"/>
        </w:rPr>
        <w:fldChar w:fldCharType="begin"/>
      </w:r>
      <w:r w:rsidR="00367870">
        <w:rPr>
          <w:b w:val="0"/>
          <w:bCs w:val="0"/>
          <w:i/>
          <w:iCs/>
          <w:color w:val="auto"/>
          <w:sz w:val="24"/>
          <w:szCs w:val="24"/>
        </w:rPr>
        <w:instrText xml:space="preserve"> SEQ Table \* ARABIC \s 2 </w:instrText>
      </w:r>
      <w:r w:rsidR="00367870">
        <w:rPr>
          <w:b w:val="0"/>
          <w:bCs w:val="0"/>
          <w:i/>
          <w:iCs/>
          <w:color w:val="auto"/>
          <w:sz w:val="24"/>
          <w:szCs w:val="24"/>
        </w:rPr>
        <w:fldChar w:fldCharType="separate"/>
      </w:r>
      <w:r w:rsidR="00367870">
        <w:rPr>
          <w:b w:val="0"/>
          <w:bCs w:val="0"/>
          <w:i/>
          <w:iCs/>
          <w:noProof/>
          <w:color w:val="auto"/>
          <w:sz w:val="24"/>
          <w:szCs w:val="24"/>
        </w:rPr>
        <w:t>1</w:t>
      </w:r>
      <w:r w:rsidR="00367870">
        <w:rPr>
          <w:b w:val="0"/>
          <w:bCs w:val="0"/>
          <w:i/>
          <w:iCs/>
          <w:color w:val="auto"/>
          <w:sz w:val="24"/>
          <w:szCs w:val="24"/>
        </w:rPr>
        <w:fldChar w:fldCharType="end"/>
      </w:r>
      <w:bookmarkEnd w:id="223"/>
      <w:r w:rsidR="003544A3">
        <w:rPr>
          <w:b w:val="0"/>
          <w:bCs w:val="0"/>
          <w:i/>
          <w:iCs/>
          <w:color w:val="auto"/>
          <w:sz w:val="24"/>
          <w:szCs w:val="24"/>
        </w:rPr>
        <w:tab/>
      </w:r>
      <w:r w:rsidR="009D721B" w:rsidRPr="003544A3">
        <w:rPr>
          <w:b w:val="0"/>
          <w:bCs w:val="0"/>
          <w:i/>
          <w:iCs/>
          <w:color w:val="auto"/>
          <w:sz w:val="24"/>
          <w:szCs w:val="24"/>
        </w:rPr>
        <w:t>Statistics comparing similarity of multiple imputation model results (n=1,150,580)</w:t>
      </w:r>
      <w:bookmarkEnd w:id="224"/>
      <w:r w:rsidR="009D721B" w:rsidRPr="003544A3">
        <w:rPr>
          <w:rFonts w:eastAsia="Times New Roman"/>
          <w:b w:val="0"/>
          <w:bCs w:val="0"/>
          <w:i/>
          <w:iCs/>
          <w:color w:val="auto"/>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1155"/>
        <w:gridCol w:w="1155"/>
        <w:gridCol w:w="1155"/>
        <w:gridCol w:w="1155"/>
        <w:gridCol w:w="1155"/>
        <w:gridCol w:w="1155"/>
        <w:gridCol w:w="1155"/>
        <w:gridCol w:w="1155"/>
        <w:gridCol w:w="1260"/>
      </w:tblGrid>
      <w:tr w:rsidR="005B56C1" w:rsidRPr="00C672CD" w14:paraId="13E48C77" w14:textId="77777777">
        <w:trPr>
          <w:trHeight w:val="315"/>
        </w:trPr>
        <w:tc>
          <w:tcPr>
            <w:tcW w:w="2295" w:type="dxa"/>
            <w:vMerge w:val="restart"/>
            <w:tcBorders>
              <w:top w:val="nil"/>
              <w:left w:val="nil"/>
              <w:bottom w:val="nil"/>
              <w:right w:val="single" w:sz="6" w:space="0" w:color="auto"/>
            </w:tcBorders>
            <w:shd w:val="clear" w:color="auto" w:fill="auto"/>
            <w:vAlign w:val="bottom"/>
            <w:hideMark/>
          </w:tcPr>
          <w:p w14:paraId="08A1F6E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Baseline covariates </w:t>
            </w:r>
          </w:p>
        </w:tc>
        <w:tc>
          <w:tcPr>
            <w:tcW w:w="10500" w:type="dxa"/>
            <w:gridSpan w:val="9"/>
            <w:tcBorders>
              <w:top w:val="nil"/>
              <w:left w:val="single" w:sz="6" w:space="0" w:color="auto"/>
              <w:bottom w:val="nil"/>
              <w:right w:val="nil"/>
            </w:tcBorders>
            <w:shd w:val="clear" w:color="auto" w:fill="auto"/>
            <w:vAlign w:val="bottom"/>
            <w:hideMark/>
          </w:tcPr>
          <w:p w14:paraId="488AE79F" w14:textId="77777777" w:rsidR="005B56C1" w:rsidRPr="00C672CD" w:rsidRDefault="005B56C1">
            <w:pPr>
              <w:jc w:val="cente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Model number  </w:t>
            </w:r>
          </w:p>
        </w:tc>
      </w:tr>
      <w:tr w:rsidR="005B56C1" w:rsidRPr="00C672CD" w14:paraId="350BC482" w14:textId="77777777">
        <w:trPr>
          <w:trHeight w:val="315"/>
        </w:trPr>
        <w:tc>
          <w:tcPr>
            <w:tcW w:w="0" w:type="auto"/>
            <w:vMerge/>
            <w:tcBorders>
              <w:top w:val="nil"/>
              <w:left w:val="nil"/>
              <w:bottom w:val="nil"/>
              <w:right w:val="single" w:sz="6" w:space="0" w:color="auto"/>
            </w:tcBorders>
            <w:shd w:val="clear" w:color="auto" w:fill="auto"/>
            <w:vAlign w:val="center"/>
            <w:hideMark/>
          </w:tcPr>
          <w:p w14:paraId="41ED7291" w14:textId="77777777" w:rsidR="005B56C1" w:rsidRPr="00C672CD" w:rsidRDefault="005B56C1">
            <w:pPr>
              <w:rPr>
                <w:rFonts w:ascii="Times New Roman" w:eastAsia="Times New Roman" w:hAnsi="Times New Roman" w:cs="Times New Roman"/>
                <w:szCs w:val="24"/>
                <w:lang w:eastAsia="en-GB"/>
              </w:rPr>
            </w:pPr>
          </w:p>
        </w:tc>
        <w:tc>
          <w:tcPr>
            <w:tcW w:w="1155" w:type="dxa"/>
            <w:tcBorders>
              <w:top w:val="nil"/>
              <w:left w:val="single" w:sz="6" w:space="0" w:color="auto"/>
              <w:bottom w:val="nil"/>
              <w:right w:val="nil"/>
            </w:tcBorders>
            <w:shd w:val="clear" w:color="auto" w:fill="auto"/>
            <w:vAlign w:val="bottom"/>
            <w:hideMark/>
          </w:tcPr>
          <w:p w14:paraId="4D510D80"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2 </w:t>
            </w:r>
          </w:p>
        </w:tc>
        <w:tc>
          <w:tcPr>
            <w:tcW w:w="1155" w:type="dxa"/>
            <w:tcBorders>
              <w:top w:val="nil"/>
              <w:left w:val="nil"/>
              <w:bottom w:val="nil"/>
              <w:right w:val="nil"/>
            </w:tcBorders>
            <w:shd w:val="clear" w:color="auto" w:fill="auto"/>
            <w:vAlign w:val="bottom"/>
            <w:hideMark/>
          </w:tcPr>
          <w:p w14:paraId="397FC5C3"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3 </w:t>
            </w:r>
          </w:p>
        </w:tc>
        <w:tc>
          <w:tcPr>
            <w:tcW w:w="1155" w:type="dxa"/>
            <w:tcBorders>
              <w:top w:val="nil"/>
              <w:left w:val="nil"/>
              <w:bottom w:val="nil"/>
              <w:right w:val="nil"/>
            </w:tcBorders>
            <w:shd w:val="clear" w:color="auto" w:fill="auto"/>
            <w:vAlign w:val="bottom"/>
            <w:hideMark/>
          </w:tcPr>
          <w:p w14:paraId="75D290A5"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4 </w:t>
            </w:r>
          </w:p>
        </w:tc>
        <w:tc>
          <w:tcPr>
            <w:tcW w:w="1155" w:type="dxa"/>
            <w:tcBorders>
              <w:top w:val="nil"/>
              <w:left w:val="nil"/>
              <w:bottom w:val="nil"/>
              <w:right w:val="nil"/>
            </w:tcBorders>
            <w:shd w:val="clear" w:color="auto" w:fill="auto"/>
            <w:vAlign w:val="bottom"/>
            <w:hideMark/>
          </w:tcPr>
          <w:p w14:paraId="2A03FCBC"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5 </w:t>
            </w:r>
          </w:p>
        </w:tc>
        <w:tc>
          <w:tcPr>
            <w:tcW w:w="1155" w:type="dxa"/>
            <w:tcBorders>
              <w:top w:val="nil"/>
              <w:left w:val="nil"/>
              <w:bottom w:val="nil"/>
              <w:right w:val="nil"/>
            </w:tcBorders>
            <w:shd w:val="clear" w:color="auto" w:fill="auto"/>
            <w:vAlign w:val="bottom"/>
            <w:hideMark/>
          </w:tcPr>
          <w:p w14:paraId="76037642"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6 </w:t>
            </w:r>
          </w:p>
        </w:tc>
        <w:tc>
          <w:tcPr>
            <w:tcW w:w="1155" w:type="dxa"/>
            <w:tcBorders>
              <w:top w:val="nil"/>
              <w:left w:val="nil"/>
              <w:bottom w:val="nil"/>
              <w:right w:val="nil"/>
            </w:tcBorders>
            <w:shd w:val="clear" w:color="auto" w:fill="auto"/>
            <w:vAlign w:val="bottom"/>
            <w:hideMark/>
          </w:tcPr>
          <w:p w14:paraId="7DDCCA7E"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7 </w:t>
            </w:r>
          </w:p>
        </w:tc>
        <w:tc>
          <w:tcPr>
            <w:tcW w:w="1155" w:type="dxa"/>
            <w:tcBorders>
              <w:top w:val="nil"/>
              <w:left w:val="nil"/>
              <w:bottom w:val="nil"/>
              <w:right w:val="nil"/>
            </w:tcBorders>
            <w:shd w:val="clear" w:color="auto" w:fill="auto"/>
            <w:vAlign w:val="bottom"/>
            <w:hideMark/>
          </w:tcPr>
          <w:p w14:paraId="1A51422E"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8 </w:t>
            </w:r>
          </w:p>
        </w:tc>
        <w:tc>
          <w:tcPr>
            <w:tcW w:w="1155" w:type="dxa"/>
            <w:tcBorders>
              <w:top w:val="nil"/>
              <w:left w:val="nil"/>
              <w:bottom w:val="nil"/>
              <w:right w:val="nil"/>
            </w:tcBorders>
            <w:shd w:val="clear" w:color="auto" w:fill="auto"/>
            <w:vAlign w:val="bottom"/>
            <w:hideMark/>
          </w:tcPr>
          <w:p w14:paraId="3A64A2AC"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9 </w:t>
            </w:r>
          </w:p>
        </w:tc>
        <w:tc>
          <w:tcPr>
            <w:tcW w:w="1155" w:type="dxa"/>
            <w:tcBorders>
              <w:top w:val="nil"/>
              <w:left w:val="nil"/>
              <w:bottom w:val="nil"/>
              <w:right w:val="nil"/>
            </w:tcBorders>
            <w:shd w:val="clear" w:color="auto" w:fill="auto"/>
            <w:vAlign w:val="bottom"/>
            <w:hideMark/>
          </w:tcPr>
          <w:p w14:paraId="41C170A8"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10 </w:t>
            </w:r>
          </w:p>
        </w:tc>
      </w:tr>
      <w:tr w:rsidR="005B56C1" w:rsidRPr="00C672CD" w14:paraId="5A8505B1" w14:textId="77777777">
        <w:trPr>
          <w:trHeight w:val="300"/>
        </w:trPr>
        <w:tc>
          <w:tcPr>
            <w:tcW w:w="2295" w:type="dxa"/>
            <w:tcBorders>
              <w:top w:val="nil"/>
              <w:left w:val="nil"/>
              <w:bottom w:val="single" w:sz="6" w:space="0" w:color="auto"/>
              <w:right w:val="single" w:sz="6" w:space="0" w:color="auto"/>
            </w:tcBorders>
            <w:shd w:val="clear" w:color="auto" w:fill="auto"/>
            <w:vAlign w:val="bottom"/>
            <w:hideMark/>
          </w:tcPr>
          <w:p w14:paraId="1F7E832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single" w:sz="6" w:space="0" w:color="auto"/>
              <w:bottom w:val="single" w:sz="6" w:space="0" w:color="auto"/>
              <w:right w:val="nil"/>
            </w:tcBorders>
            <w:shd w:val="clear" w:color="auto" w:fill="auto"/>
            <w:vAlign w:val="bottom"/>
            <w:hideMark/>
          </w:tcPr>
          <w:p w14:paraId="537A0D1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SE (p-value) </w:t>
            </w:r>
          </w:p>
        </w:tc>
        <w:tc>
          <w:tcPr>
            <w:tcW w:w="1155" w:type="dxa"/>
            <w:tcBorders>
              <w:top w:val="nil"/>
              <w:left w:val="nil"/>
              <w:bottom w:val="single" w:sz="6" w:space="0" w:color="auto"/>
              <w:right w:val="nil"/>
            </w:tcBorders>
            <w:shd w:val="clear" w:color="auto" w:fill="auto"/>
            <w:vAlign w:val="bottom"/>
            <w:hideMark/>
          </w:tcPr>
          <w:p w14:paraId="0C540AD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SE (p-value) </w:t>
            </w:r>
          </w:p>
        </w:tc>
        <w:tc>
          <w:tcPr>
            <w:tcW w:w="1155" w:type="dxa"/>
            <w:tcBorders>
              <w:top w:val="nil"/>
              <w:left w:val="nil"/>
              <w:bottom w:val="single" w:sz="6" w:space="0" w:color="auto"/>
              <w:right w:val="nil"/>
            </w:tcBorders>
            <w:shd w:val="clear" w:color="auto" w:fill="auto"/>
            <w:vAlign w:val="bottom"/>
            <w:hideMark/>
          </w:tcPr>
          <w:p w14:paraId="0F3170E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SE (p-value) </w:t>
            </w:r>
          </w:p>
        </w:tc>
        <w:tc>
          <w:tcPr>
            <w:tcW w:w="1155" w:type="dxa"/>
            <w:tcBorders>
              <w:top w:val="nil"/>
              <w:left w:val="nil"/>
              <w:bottom w:val="single" w:sz="6" w:space="0" w:color="auto"/>
              <w:right w:val="nil"/>
            </w:tcBorders>
            <w:shd w:val="clear" w:color="auto" w:fill="auto"/>
            <w:vAlign w:val="bottom"/>
            <w:hideMark/>
          </w:tcPr>
          <w:p w14:paraId="76C5966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SE (p-value) </w:t>
            </w:r>
          </w:p>
        </w:tc>
        <w:tc>
          <w:tcPr>
            <w:tcW w:w="1155" w:type="dxa"/>
            <w:tcBorders>
              <w:top w:val="nil"/>
              <w:left w:val="nil"/>
              <w:bottom w:val="single" w:sz="6" w:space="0" w:color="auto"/>
              <w:right w:val="nil"/>
            </w:tcBorders>
            <w:shd w:val="clear" w:color="auto" w:fill="auto"/>
            <w:vAlign w:val="bottom"/>
            <w:hideMark/>
          </w:tcPr>
          <w:p w14:paraId="1528B02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SE (p-value) </w:t>
            </w:r>
          </w:p>
        </w:tc>
        <w:tc>
          <w:tcPr>
            <w:tcW w:w="1155" w:type="dxa"/>
            <w:tcBorders>
              <w:top w:val="nil"/>
              <w:left w:val="nil"/>
              <w:bottom w:val="single" w:sz="6" w:space="0" w:color="auto"/>
              <w:right w:val="nil"/>
            </w:tcBorders>
            <w:shd w:val="clear" w:color="auto" w:fill="auto"/>
            <w:vAlign w:val="bottom"/>
            <w:hideMark/>
          </w:tcPr>
          <w:p w14:paraId="54F9EEC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SE (p-value) </w:t>
            </w:r>
          </w:p>
        </w:tc>
        <w:tc>
          <w:tcPr>
            <w:tcW w:w="1155" w:type="dxa"/>
            <w:tcBorders>
              <w:top w:val="nil"/>
              <w:left w:val="nil"/>
              <w:bottom w:val="single" w:sz="6" w:space="0" w:color="auto"/>
              <w:right w:val="nil"/>
            </w:tcBorders>
            <w:shd w:val="clear" w:color="auto" w:fill="auto"/>
            <w:vAlign w:val="bottom"/>
            <w:hideMark/>
          </w:tcPr>
          <w:p w14:paraId="134A2DC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SE (p-value) </w:t>
            </w:r>
          </w:p>
        </w:tc>
        <w:tc>
          <w:tcPr>
            <w:tcW w:w="1155" w:type="dxa"/>
            <w:tcBorders>
              <w:top w:val="nil"/>
              <w:left w:val="nil"/>
              <w:bottom w:val="single" w:sz="6" w:space="0" w:color="auto"/>
              <w:right w:val="nil"/>
            </w:tcBorders>
            <w:shd w:val="clear" w:color="auto" w:fill="auto"/>
            <w:vAlign w:val="bottom"/>
            <w:hideMark/>
          </w:tcPr>
          <w:p w14:paraId="1FC9CFF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SE (p-value) </w:t>
            </w:r>
          </w:p>
        </w:tc>
        <w:tc>
          <w:tcPr>
            <w:tcW w:w="1155" w:type="dxa"/>
            <w:tcBorders>
              <w:top w:val="nil"/>
              <w:left w:val="nil"/>
              <w:bottom w:val="single" w:sz="6" w:space="0" w:color="auto"/>
              <w:right w:val="nil"/>
            </w:tcBorders>
            <w:shd w:val="clear" w:color="auto" w:fill="auto"/>
            <w:vAlign w:val="bottom"/>
            <w:hideMark/>
          </w:tcPr>
          <w:p w14:paraId="1C3C90A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SE (p-value) </w:t>
            </w:r>
          </w:p>
        </w:tc>
      </w:tr>
      <w:tr w:rsidR="005B56C1" w:rsidRPr="00C672CD" w14:paraId="708000C3" w14:textId="77777777">
        <w:trPr>
          <w:trHeight w:val="300"/>
        </w:trPr>
        <w:tc>
          <w:tcPr>
            <w:tcW w:w="2295" w:type="dxa"/>
            <w:tcBorders>
              <w:top w:val="single" w:sz="6" w:space="0" w:color="auto"/>
              <w:left w:val="nil"/>
              <w:bottom w:val="nil"/>
              <w:right w:val="single" w:sz="6" w:space="0" w:color="auto"/>
            </w:tcBorders>
            <w:shd w:val="clear" w:color="auto" w:fill="auto"/>
            <w:vAlign w:val="bottom"/>
            <w:hideMark/>
          </w:tcPr>
          <w:p w14:paraId="3C3840A7" w14:textId="77777777" w:rsidR="005B56C1" w:rsidRPr="00C672CD" w:rsidRDefault="005B56C1">
            <w:pPr>
              <w:textAlignment w:val="baseline"/>
              <w:rPr>
                <w:rFonts w:ascii="Times New Roman" w:eastAsia="Times New Roman" w:hAnsi="Times New Roman" w:cs="Times New Roman"/>
                <w:szCs w:val="24"/>
                <w:lang w:eastAsia="en-GB"/>
              </w:rPr>
            </w:pPr>
            <w:r>
              <w:rPr>
                <w:rFonts w:eastAsia="Times New Roman" w:cs="Arial"/>
                <w:color w:val="000000"/>
                <w:sz w:val="16"/>
                <w:szCs w:val="16"/>
                <w:lang w:eastAsia="en-GB"/>
              </w:rPr>
              <w:t>Child living arrangements</w:t>
            </w:r>
            <w:r w:rsidRPr="00C672CD">
              <w:rPr>
                <w:rFonts w:eastAsia="Times New Roman" w:cs="Arial"/>
                <w:color w:val="000000"/>
                <w:sz w:val="16"/>
                <w:szCs w:val="16"/>
                <w:lang w:eastAsia="en-GB"/>
              </w:rPr>
              <w:t>: </w:t>
            </w:r>
          </w:p>
        </w:tc>
        <w:tc>
          <w:tcPr>
            <w:tcW w:w="1155" w:type="dxa"/>
            <w:tcBorders>
              <w:top w:val="single" w:sz="6" w:space="0" w:color="auto"/>
              <w:left w:val="single" w:sz="6" w:space="0" w:color="auto"/>
              <w:bottom w:val="nil"/>
              <w:right w:val="nil"/>
            </w:tcBorders>
            <w:shd w:val="clear" w:color="auto" w:fill="auto"/>
            <w:vAlign w:val="bottom"/>
            <w:hideMark/>
          </w:tcPr>
          <w:p w14:paraId="551508F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single" w:sz="6" w:space="0" w:color="auto"/>
              <w:left w:val="nil"/>
              <w:bottom w:val="nil"/>
              <w:right w:val="nil"/>
            </w:tcBorders>
            <w:shd w:val="clear" w:color="auto" w:fill="auto"/>
            <w:vAlign w:val="bottom"/>
            <w:hideMark/>
          </w:tcPr>
          <w:p w14:paraId="2306558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single" w:sz="6" w:space="0" w:color="auto"/>
              <w:left w:val="nil"/>
              <w:bottom w:val="nil"/>
              <w:right w:val="nil"/>
            </w:tcBorders>
            <w:shd w:val="clear" w:color="auto" w:fill="auto"/>
            <w:vAlign w:val="bottom"/>
            <w:hideMark/>
          </w:tcPr>
          <w:p w14:paraId="450B2B4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single" w:sz="6" w:space="0" w:color="auto"/>
              <w:left w:val="nil"/>
              <w:bottom w:val="nil"/>
              <w:right w:val="nil"/>
            </w:tcBorders>
            <w:shd w:val="clear" w:color="auto" w:fill="auto"/>
            <w:vAlign w:val="bottom"/>
            <w:hideMark/>
          </w:tcPr>
          <w:p w14:paraId="58880E7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single" w:sz="6" w:space="0" w:color="auto"/>
              <w:left w:val="nil"/>
              <w:bottom w:val="nil"/>
              <w:right w:val="nil"/>
            </w:tcBorders>
            <w:shd w:val="clear" w:color="auto" w:fill="auto"/>
            <w:vAlign w:val="bottom"/>
            <w:hideMark/>
          </w:tcPr>
          <w:p w14:paraId="769FFCF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single" w:sz="6" w:space="0" w:color="auto"/>
              <w:left w:val="nil"/>
              <w:bottom w:val="nil"/>
              <w:right w:val="nil"/>
            </w:tcBorders>
            <w:shd w:val="clear" w:color="auto" w:fill="auto"/>
            <w:vAlign w:val="bottom"/>
            <w:hideMark/>
          </w:tcPr>
          <w:p w14:paraId="72B874B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single" w:sz="6" w:space="0" w:color="auto"/>
              <w:left w:val="nil"/>
              <w:bottom w:val="nil"/>
              <w:right w:val="nil"/>
            </w:tcBorders>
            <w:shd w:val="clear" w:color="auto" w:fill="auto"/>
            <w:vAlign w:val="bottom"/>
            <w:hideMark/>
          </w:tcPr>
          <w:p w14:paraId="2963247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single" w:sz="6" w:space="0" w:color="auto"/>
              <w:left w:val="nil"/>
              <w:bottom w:val="nil"/>
              <w:right w:val="nil"/>
            </w:tcBorders>
            <w:shd w:val="clear" w:color="auto" w:fill="auto"/>
            <w:vAlign w:val="bottom"/>
            <w:hideMark/>
          </w:tcPr>
          <w:p w14:paraId="5B79DC4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single" w:sz="6" w:space="0" w:color="auto"/>
              <w:left w:val="nil"/>
              <w:bottom w:val="nil"/>
              <w:right w:val="nil"/>
            </w:tcBorders>
            <w:shd w:val="clear" w:color="auto" w:fill="auto"/>
            <w:hideMark/>
          </w:tcPr>
          <w:p w14:paraId="6D04E98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r>
      <w:tr w:rsidR="005B56C1" w:rsidRPr="00C672CD" w14:paraId="1A71606F" w14:textId="77777777">
        <w:trPr>
          <w:trHeight w:val="300"/>
        </w:trPr>
        <w:tc>
          <w:tcPr>
            <w:tcW w:w="2295" w:type="dxa"/>
            <w:tcBorders>
              <w:top w:val="nil"/>
              <w:left w:val="nil"/>
              <w:bottom w:val="nil"/>
              <w:right w:val="single" w:sz="6" w:space="0" w:color="auto"/>
            </w:tcBorders>
            <w:shd w:val="clear" w:color="auto" w:fill="auto"/>
            <w:vAlign w:val="bottom"/>
            <w:hideMark/>
          </w:tcPr>
          <w:p w14:paraId="79AA2A8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Not living with child </w:t>
            </w:r>
          </w:p>
        </w:tc>
        <w:tc>
          <w:tcPr>
            <w:tcW w:w="1155" w:type="dxa"/>
            <w:tcBorders>
              <w:top w:val="nil"/>
              <w:left w:val="single" w:sz="6" w:space="0" w:color="auto"/>
              <w:bottom w:val="nil"/>
              <w:right w:val="nil"/>
            </w:tcBorders>
            <w:shd w:val="clear" w:color="auto" w:fill="auto"/>
            <w:vAlign w:val="bottom"/>
            <w:hideMark/>
          </w:tcPr>
          <w:p w14:paraId="102D85D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(0.986) </w:t>
            </w:r>
          </w:p>
        </w:tc>
        <w:tc>
          <w:tcPr>
            <w:tcW w:w="1155" w:type="dxa"/>
            <w:tcBorders>
              <w:top w:val="nil"/>
              <w:left w:val="nil"/>
              <w:bottom w:val="nil"/>
              <w:right w:val="nil"/>
            </w:tcBorders>
            <w:shd w:val="clear" w:color="auto" w:fill="auto"/>
            <w:vAlign w:val="bottom"/>
            <w:hideMark/>
          </w:tcPr>
          <w:p w14:paraId="3D7416A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(0.986) </w:t>
            </w:r>
          </w:p>
        </w:tc>
        <w:tc>
          <w:tcPr>
            <w:tcW w:w="1155" w:type="dxa"/>
            <w:tcBorders>
              <w:top w:val="nil"/>
              <w:left w:val="nil"/>
              <w:bottom w:val="nil"/>
              <w:right w:val="nil"/>
            </w:tcBorders>
            <w:shd w:val="clear" w:color="auto" w:fill="auto"/>
            <w:vAlign w:val="bottom"/>
            <w:hideMark/>
          </w:tcPr>
          <w:p w14:paraId="2996733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(0.989) </w:t>
            </w:r>
          </w:p>
        </w:tc>
        <w:tc>
          <w:tcPr>
            <w:tcW w:w="1155" w:type="dxa"/>
            <w:tcBorders>
              <w:top w:val="nil"/>
              <w:left w:val="nil"/>
              <w:bottom w:val="nil"/>
              <w:right w:val="nil"/>
            </w:tcBorders>
            <w:shd w:val="clear" w:color="auto" w:fill="auto"/>
            <w:vAlign w:val="bottom"/>
            <w:hideMark/>
          </w:tcPr>
          <w:p w14:paraId="0BCFD23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(0.994) </w:t>
            </w:r>
          </w:p>
        </w:tc>
        <w:tc>
          <w:tcPr>
            <w:tcW w:w="1155" w:type="dxa"/>
            <w:tcBorders>
              <w:top w:val="nil"/>
              <w:left w:val="nil"/>
              <w:bottom w:val="nil"/>
              <w:right w:val="nil"/>
            </w:tcBorders>
            <w:shd w:val="clear" w:color="auto" w:fill="auto"/>
            <w:vAlign w:val="bottom"/>
            <w:hideMark/>
          </w:tcPr>
          <w:p w14:paraId="3EBF4BE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(0.984) </w:t>
            </w:r>
          </w:p>
        </w:tc>
        <w:tc>
          <w:tcPr>
            <w:tcW w:w="1155" w:type="dxa"/>
            <w:tcBorders>
              <w:top w:val="nil"/>
              <w:left w:val="nil"/>
              <w:bottom w:val="nil"/>
              <w:right w:val="nil"/>
            </w:tcBorders>
            <w:shd w:val="clear" w:color="auto" w:fill="auto"/>
            <w:vAlign w:val="bottom"/>
            <w:hideMark/>
          </w:tcPr>
          <w:p w14:paraId="4BD006A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(0.958) </w:t>
            </w:r>
          </w:p>
        </w:tc>
        <w:tc>
          <w:tcPr>
            <w:tcW w:w="1155" w:type="dxa"/>
            <w:tcBorders>
              <w:top w:val="nil"/>
              <w:left w:val="nil"/>
              <w:bottom w:val="nil"/>
              <w:right w:val="nil"/>
            </w:tcBorders>
            <w:shd w:val="clear" w:color="auto" w:fill="auto"/>
            <w:vAlign w:val="bottom"/>
            <w:hideMark/>
          </w:tcPr>
          <w:p w14:paraId="069B384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(0.993) </w:t>
            </w:r>
          </w:p>
        </w:tc>
        <w:tc>
          <w:tcPr>
            <w:tcW w:w="1155" w:type="dxa"/>
            <w:tcBorders>
              <w:top w:val="nil"/>
              <w:left w:val="nil"/>
              <w:bottom w:val="nil"/>
              <w:right w:val="nil"/>
            </w:tcBorders>
            <w:shd w:val="clear" w:color="auto" w:fill="auto"/>
            <w:vAlign w:val="bottom"/>
            <w:hideMark/>
          </w:tcPr>
          <w:p w14:paraId="0BCB34A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(0.994) </w:t>
            </w:r>
          </w:p>
        </w:tc>
        <w:tc>
          <w:tcPr>
            <w:tcW w:w="1155" w:type="dxa"/>
            <w:tcBorders>
              <w:top w:val="nil"/>
              <w:left w:val="nil"/>
              <w:bottom w:val="nil"/>
              <w:right w:val="nil"/>
            </w:tcBorders>
            <w:shd w:val="clear" w:color="auto" w:fill="auto"/>
            <w:vAlign w:val="bottom"/>
            <w:hideMark/>
          </w:tcPr>
          <w:p w14:paraId="0DAF558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(1.000) </w:t>
            </w:r>
          </w:p>
        </w:tc>
      </w:tr>
      <w:tr w:rsidR="005B56C1" w:rsidRPr="00C672CD" w14:paraId="61BEDF52" w14:textId="77777777">
        <w:trPr>
          <w:trHeight w:val="300"/>
        </w:trPr>
        <w:tc>
          <w:tcPr>
            <w:tcW w:w="2295" w:type="dxa"/>
            <w:tcBorders>
              <w:top w:val="nil"/>
              <w:left w:val="nil"/>
              <w:bottom w:val="nil"/>
              <w:right w:val="single" w:sz="6" w:space="0" w:color="auto"/>
            </w:tcBorders>
            <w:shd w:val="clear" w:color="auto" w:fill="auto"/>
            <w:vAlign w:val="bottom"/>
            <w:hideMark/>
          </w:tcPr>
          <w:p w14:paraId="0A8D38E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Drug category: </w:t>
            </w:r>
          </w:p>
        </w:tc>
        <w:tc>
          <w:tcPr>
            <w:tcW w:w="1155" w:type="dxa"/>
            <w:tcBorders>
              <w:top w:val="nil"/>
              <w:left w:val="single" w:sz="6" w:space="0" w:color="auto"/>
              <w:bottom w:val="nil"/>
              <w:right w:val="nil"/>
            </w:tcBorders>
            <w:shd w:val="clear" w:color="auto" w:fill="auto"/>
            <w:vAlign w:val="bottom"/>
            <w:hideMark/>
          </w:tcPr>
          <w:p w14:paraId="66CBA5D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2DA6195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582748E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7625343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0C5006F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75279FA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0C256BF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12AACA1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3D18213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r>
      <w:tr w:rsidR="005B56C1" w:rsidRPr="00C672CD" w14:paraId="19C0E4F9" w14:textId="77777777">
        <w:trPr>
          <w:trHeight w:val="300"/>
        </w:trPr>
        <w:tc>
          <w:tcPr>
            <w:tcW w:w="2295" w:type="dxa"/>
            <w:tcBorders>
              <w:top w:val="nil"/>
              <w:left w:val="nil"/>
              <w:bottom w:val="nil"/>
              <w:right w:val="single" w:sz="6" w:space="0" w:color="auto"/>
            </w:tcBorders>
            <w:shd w:val="clear" w:color="auto" w:fill="auto"/>
            <w:vAlign w:val="bottom"/>
            <w:hideMark/>
          </w:tcPr>
          <w:p w14:paraId="728A2A4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Alcohol and non-OU </w:t>
            </w:r>
          </w:p>
        </w:tc>
        <w:tc>
          <w:tcPr>
            <w:tcW w:w="1155" w:type="dxa"/>
            <w:tcBorders>
              <w:top w:val="nil"/>
              <w:left w:val="single" w:sz="6" w:space="0" w:color="auto"/>
              <w:bottom w:val="nil"/>
              <w:right w:val="nil"/>
            </w:tcBorders>
            <w:shd w:val="clear" w:color="auto" w:fill="auto"/>
            <w:vAlign w:val="bottom"/>
            <w:hideMark/>
          </w:tcPr>
          <w:p w14:paraId="398599D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0.023 (0.990) </w:t>
            </w:r>
          </w:p>
        </w:tc>
        <w:tc>
          <w:tcPr>
            <w:tcW w:w="1155" w:type="dxa"/>
            <w:tcBorders>
              <w:top w:val="nil"/>
              <w:left w:val="nil"/>
              <w:bottom w:val="nil"/>
              <w:right w:val="nil"/>
            </w:tcBorders>
            <w:shd w:val="clear" w:color="auto" w:fill="auto"/>
            <w:vAlign w:val="bottom"/>
            <w:hideMark/>
          </w:tcPr>
          <w:p w14:paraId="556B030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0.023 (0.982) </w:t>
            </w:r>
          </w:p>
        </w:tc>
        <w:tc>
          <w:tcPr>
            <w:tcW w:w="1155" w:type="dxa"/>
            <w:tcBorders>
              <w:top w:val="nil"/>
              <w:left w:val="nil"/>
              <w:bottom w:val="nil"/>
              <w:right w:val="nil"/>
            </w:tcBorders>
            <w:shd w:val="clear" w:color="auto" w:fill="auto"/>
            <w:vAlign w:val="bottom"/>
            <w:hideMark/>
          </w:tcPr>
          <w:p w14:paraId="055EFE8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0.023 (0.995) </w:t>
            </w:r>
          </w:p>
        </w:tc>
        <w:tc>
          <w:tcPr>
            <w:tcW w:w="1155" w:type="dxa"/>
            <w:tcBorders>
              <w:top w:val="nil"/>
              <w:left w:val="nil"/>
              <w:bottom w:val="nil"/>
              <w:right w:val="nil"/>
            </w:tcBorders>
            <w:shd w:val="clear" w:color="auto" w:fill="auto"/>
            <w:vAlign w:val="bottom"/>
            <w:hideMark/>
          </w:tcPr>
          <w:p w14:paraId="2858421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0.023 (0.987) </w:t>
            </w:r>
          </w:p>
        </w:tc>
        <w:tc>
          <w:tcPr>
            <w:tcW w:w="1155" w:type="dxa"/>
            <w:tcBorders>
              <w:top w:val="nil"/>
              <w:left w:val="nil"/>
              <w:bottom w:val="nil"/>
              <w:right w:val="nil"/>
            </w:tcBorders>
            <w:shd w:val="clear" w:color="auto" w:fill="auto"/>
            <w:vAlign w:val="bottom"/>
            <w:hideMark/>
          </w:tcPr>
          <w:p w14:paraId="5CED12A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0.023 (0.994) </w:t>
            </w:r>
          </w:p>
        </w:tc>
        <w:tc>
          <w:tcPr>
            <w:tcW w:w="1155" w:type="dxa"/>
            <w:tcBorders>
              <w:top w:val="nil"/>
              <w:left w:val="nil"/>
              <w:bottom w:val="nil"/>
              <w:right w:val="nil"/>
            </w:tcBorders>
            <w:shd w:val="clear" w:color="auto" w:fill="auto"/>
            <w:vAlign w:val="bottom"/>
            <w:hideMark/>
          </w:tcPr>
          <w:p w14:paraId="0DF23CE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0.023 (0.985) </w:t>
            </w:r>
          </w:p>
        </w:tc>
        <w:tc>
          <w:tcPr>
            <w:tcW w:w="1155" w:type="dxa"/>
            <w:tcBorders>
              <w:top w:val="nil"/>
              <w:left w:val="nil"/>
              <w:bottom w:val="nil"/>
              <w:right w:val="nil"/>
            </w:tcBorders>
            <w:shd w:val="clear" w:color="auto" w:fill="auto"/>
            <w:vAlign w:val="bottom"/>
            <w:hideMark/>
          </w:tcPr>
          <w:p w14:paraId="211763C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0.023 (0.991) </w:t>
            </w:r>
          </w:p>
        </w:tc>
        <w:tc>
          <w:tcPr>
            <w:tcW w:w="1155" w:type="dxa"/>
            <w:tcBorders>
              <w:top w:val="nil"/>
              <w:left w:val="nil"/>
              <w:bottom w:val="nil"/>
              <w:right w:val="nil"/>
            </w:tcBorders>
            <w:shd w:val="clear" w:color="auto" w:fill="auto"/>
            <w:vAlign w:val="bottom"/>
            <w:hideMark/>
          </w:tcPr>
          <w:p w14:paraId="195AA3E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0.023 (0.978) </w:t>
            </w:r>
          </w:p>
        </w:tc>
        <w:tc>
          <w:tcPr>
            <w:tcW w:w="1155" w:type="dxa"/>
            <w:tcBorders>
              <w:top w:val="nil"/>
              <w:left w:val="nil"/>
              <w:bottom w:val="nil"/>
              <w:right w:val="nil"/>
            </w:tcBorders>
            <w:shd w:val="clear" w:color="auto" w:fill="auto"/>
            <w:vAlign w:val="bottom"/>
            <w:hideMark/>
          </w:tcPr>
          <w:p w14:paraId="454F998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0.023 (0.995) </w:t>
            </w:r>
          </w:p>
        </w:tc>
      </w:tr>
      <w:tr w:rsidR="005B56C1" w:rsidRPr="00C672CD" w14:paraId="5612413C" w14:textId="77777777">
        <w:trPr>
          <w:trHeight w:val="300"/>
        </w:trPr>
        <w:tc>
          <w:tcPr>
            <w:tcW w:w="2295" w:type="dxa"/>
            <w:tcBorders>
              <w:top w:val="nil"/>
              <w:left w:val="nil"/>
              <w:bottom w:val="nil"/>
              <w:right w:val="single" w:sz="6" w:space="0" w:color="auto"/>
            </w:tcBorders>
            <w:shd w:val="clear" w:color="auto" w:fill="auto"/>
            <w:vAlign w:val="bottom"/>
            <w:hideMark/>
          </w:tcPr>
          <w:p w14:paraId="181CE8A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OU  </w:t>
            </w:r>
          </w:p>
        </w:tc>
        <w:tc>
          <w:tcPr>
            <w:tcW w:w="1155" w:type="dxa"/>
            <w:tcBorders>
              <w:top w:val="nil"/>
              <w:left w:val="single" w:sz="6" w:space="0" w:color="auto"/>
              <w:bottom w:val="nil"/>
              <w:right w:val="nil"/>
            </w:tcBorders>
            <w:shd w:val="clear" w:color="auto" w:fill="auto"/>
            <w:vAlign w:val="bottom"/>
            <w:hideMark/>
          </w:tcPr>
          <w:p w14:paraId="2815C0A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0.021 (0.979) </w:t>
            </w:r>
          </w:p>
        </w:tc>
        <w:tc>
          <w:tcPr>
            <w:tcW w:w="1155" w:type="dxa"/>
            <w:tcBorders>
              <w:top w:val="nil"/>
              <w:left w:val="nil"/>
              <w:bottom w:val="nil"/>
              <w:right w:val="nil"/>
            </w:tcBorders>
            <w:shd w:val="clear" w:color="auto" w:fill="auto"/>
            <w:vAlign w:val="bottom"/>
            <w:hideMark/>
          </w:tcPr>
          <w:p w14:paraId="658CC82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0.021 (0.950) </w:t>
            </w:r>
          </w:p>
        </w:tc>
        <w:tc>
          <w:tcPr>
            <w:tcW w:w="1155" w:type="dxa"/>
            <w:tcBorders>
              <w:top w:val="nil"/>
              <w:left w:val="nil"/>
              <w:bottom w:val="nil"/>
              <w:right w:val="nil"/>
            </w:tcBorders>
            <w:shd w:val="clear" w:color="auto" w:fill="auto"/>
            <w:vAlign w:val="bottom"/>
            <w:hideMark/>
          </w:tcPr>
          <w:p w14:paraId="64E7087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0.021 (0.957) </w:t>
            </w:r>
          </w:p>
        </w:tc>
        <w:tc>
          <w:tcPr>
            <w:tcW w:w="1155" w:type="dxa"/>
            <w:tcBorders>
              <w:top w:val="nil"/>
              <w:left w:val="nil"/>
              <w:bottom w:val="nil"/>
              <w:right w:val="nil"/>
            </w:tcBorders>
            <w:shd w:val="clear" w:color="auto" w:fill="auto"/>
            <w:vAlign w:val="bottom"/>
            <w:hideMark/>
          </w:tcPr>
          <w:p w14:paraId="0E3D5D1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0.021 (0.998) </w:t>
            </w:r>
          </w:p>
        </w:tc>
        <w:tc>
          <w:tcPr>
            <w:tcW w:w="1155" w:type="dxa"/>
            <w:tcBorders>
              <w:top w:val="nil"/>
              <w:left w:val="nil"/>
              <w:bottom w:val="nil"/>
              <w:right w:val="nil"/>
            </w:tcBorders>
            <w:shd w:val="clear" w:color="auto" w:fill="auto"/>
            <w:vAlign w:val="bottom"/>
            <w:hideMark/>
          </w:tcPr>
          <w:p w14:paraId="6329A96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0.021 (0.995) </w:t>
            </w:r>
          </w:p>
        </w:tc>
        <w:tc>
          <w:tcPr>
            <w:tcW w:w="1155" w:type="dxa"/>
            <w:tcBorders>
              <w:top w:val="nil"/>
              <w:left w:val="nil"/>
              <w:bottom w:val="nil"/>
              <w:right w:val="nil"/>
            </w:tcBorders>
            <w:shd w:val="clear" w:color="auto" w:fill="auto"/>
            <w:vAlign w:val="bottom"/>
            <w:hideMark/>
          </w:tcPr>
          <w:p w14:paraId="5054B10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0.021 (0.979) </w:t>
            </w:r>
          </w:p>
        </w:tc>
        <w:tc>
          <w:tcPr>
            <w:tcW w:w="1155" w:type="dxa"/>
            <w:tcBorders>
              <w:top w:val="nil"/>
              <w:left w:val="nil"/>
              <w:bottom w:val="nil"/>
              <w:right w:val="nil"/>
            </w:tcBorders>
            <w:shd w:val="clear" w:color="auto" w:fill="auto"/>
            <w:vAlign w:val="bottom"/>
            <w:hideMark/>
          </w:tcPr>
          <w:p w14:paraId="5C1846D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0.021 (0.990) </w:t>
            </w:r>
          </w:p>
        </w:tc>
        <w:tc>
          <w:tcPr>
            <w:tcW w:w="1155" w:type="dxa"/>
            <w:tcBorders>
              <w:top w:val="nil"/>
              <w:left w:val="nil"/>
              <w:bottom w:val="nil"/>
              <w:right w:val="nil"/>
            </w:tcBorders>
            <w:shd w:val="clear" w:color="auto" w:fill="auto"/>
            <w:vAlign w:val="bottom"/>
            <w:hideMark/>
          </w:tcPr>
          <w:p w14:paraId="2A6366A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0.021 (0.974) </w:t>
            </w:r>
          </w:p>
        </w:tc>
        <w:tc>
          <w:tcPr>
            <w:tcW w:w="1155" w:type="dxa"/>
            <w:tcBorders>
              <w:top w:val="nil"/>
              <w:left w:val="nil"/>
              <w:bottom w:val="nil"/>
              <w:right w:val="nil"/>
            </w:tcBorders>
            <w:shd w:val="clear" w:color="auto" w:fill="auto"/>
            <w:vAlign w:val="bottom"/>
            <w:hideMark/>
          </w:tcPr>
          <w:p w14:paraId="4265CA6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0.021 (0.995) </w:t>
            </w:r>
          </w:p>
        </w:tc>
      </w:tr>
      <w:tr w:rsidR="005B56C1" w:rsidRPr="00C672CD" w14:paraId="26E139C3" w14:textId="77777777">
        <w:trPr>
          <w:trHeight w:val="300"/>
        </w:trPr>
        <w:tc>
          <w:tcPr>
            <w:tcW w:w="2295" w:type="dxa"/>
            <w:tcBorders>
              <w:top w:val="nil"/>
              <w:left w:val="nil"/>
              <w:bottom w:val="nil"/>
              <w:right w:val="single" w:sz="6" w:space="0" w:color="auto"/>
            </w:tcBorders>
            <w:shd w:val="clear" w:color="auto" w:fill="auto"/>
            <w:vAlign w:val="bottom"/>
            <w:hideMark/>
          </w:tcPr>
          <w:p w14:paraId="155D6BA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Alcohol only </w:t>
            </w:r>
          </w:p>
        </w:tc>
        <w:tc>
          <w:tcPr>
            <w:tcW w:w="1155" w:type="dxa"/>
            <w:tcBorders>
              <w:top w:val="nil"/>
              <w:left w:val="single" w:sz="6" w:space="0" w:color="auto"/>
              <w:bottom w:val="nil"/>
              <w:right w:val="nil"/>
            </w:tcBorders>
            <w:shd w:val="clear" w:color="auto" w:fill="auto"/>
            <w:vAlign w:val="bottom"/>
            <w:hideMark/>
          </w:tcPr>
          <w:p w14:paraId="3BF7726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0.020 (0.982) </w:t>
            </w:r>
          </w:p>
        </w:tc>
        <w:tc>
          <w:tcPr>
            <w:tcW w:w="1155" w:type="dxa"/>
            <w:tcBorders>
              <w:top w:val="nil"/>
              <w:left w:val="nil"/>
              <w:bottom w:val="nil"/>
              <w:right w:val="nil"/>
            </w:tcBorders>
            <w:shd w:val="clear" w:color="auto" w:fill="auto"/>
            <w:vAlign w:val="bottom"/>
            <w:hideMark/>
          </w:tcPr>
          <w:p w14:paraId="1EECD4F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0.020 (0.959) </w:t>
            </w:r>
          </w:p>
        </w:tc>
        <w:tc>
          <w:tcPr>
            <w:tcW w:w="1155" w:type="dxa"/>
            <w:tcBorders>
              <w:top w:val="nil"/>
              <w:left w:val="nil"/>
              <w:bottom w:val="nil"/>
              <w:right w:val="nil"/>
            </w:tcBorders>
            <w:shd w:val="clear" w:color="auto" w:fill="auto"/>
            <w:vAlign w:val="bottom"/>
            <w:hideMark/>
          </w:tcPr>
          <w:p w14:paraId="7EB3427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0.020 (0.963) </w:t>
            </w:r>
          </w:p>
        </w:tc>
        <w:tc>
          <w:tcPr>
            <w:tcW w:w="1155" w:type="dxa"/>
            <w:tcBorders>
              <w:top w:val="nil"/>
              <w:left w:val="nil"/>
              <w:bottom w:val="nil"/>
              <w:right w:val="nil"/>
            </w:tcBorders>
            <w:shd w:val="clear" w:color="auto" w:fill="auto"/>
            <w:vAlign w:val="bottom"/>
            <w:hideMark/>
          </w:tcPr>
          <w:p w14:paraId="3E09287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0.020 (0.981) </w:t>
            </w:r>
          </w:p>
        </w:tc>
        <w:tc>
          <w:tcPr>
            <w:tcW w:w="1155" w:type="dxa"/>
            <w:tcBorders>
              <w:top w:val="nil"/>
              <w:left w:val="nil"/>
              <w:bottom w:val="nil"/>
              <w:right w:val="nil"/>
            </w:tcBorders>
            <w:shd w:val="clear" w:color="auto" w:fill="auto"/>
            <w:vAlign w:val="bottom"/>
            <w:hideMark/>
          </w:tcPr>
          <w:p w14:paraId="0063473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0.020 (0.974) </w:t>
            </w:r>
          </w:p>
        </w:tc>
        <w:tc>
          <w:tcPr>
            <w:tcW w:w="1155" w:type="dxa"/>
            <w:tcBorders>
              <w:top w:val="nil"/>
              <w:left w:val="nil"/>
              <w:bottom w:val="nil"/>
              <w:right w:val="nil"/>
            </w:tcBorders>
            <w:shd w:val="clear" w:color="auto" w:fill="auto"/>
            <w:vAlign w:val="bottom"/>
            <w:hideMark/>
          </w:tcPr>
          <w:p w14:paraId="7BAFA97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0.020 (0.969) </w:t>
            </w:r>
          </w:p>
        </w:tc>
        <w:tc>
          <w:tcPr>
            <w:tcW w:w="1155" w:type="dxa"/>
            <w:tcBorders>
              <w:top w:val="nil"/>
              <w:left w:val="nil"/>
              <w:bottom w:val="nil"/>
              <w:right w:val="nil"/>
            </w:tcBorders>
            <w:shd w:val="clear" w:color="auto" w:fill="auto"/>
            <w:vAlign w:val="bottom"/>
            <w:hideMark/>
          </w:tcPr>
          <w:p w14:paraId="1D0666E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0.020 (0.986) </w:t>
            </w:r>
          </w:p>
        </w:tc>
        <w:tc>
          <w:tcPr>
            <w:tcW w:w="1155" w:type="dxa"/>
            <w:tcBorders>
              <w:top w:val="nil"/>
              <w:left w:val="nil"/>
              <w:bottom w:val="nil"/>
              <w:right w:val="nil"/>
            </w:tcBorders>
            <w:shd w:val="clear" w:color="auto" w:fill="auto"/>
            <w:vAlign w:val="bottom"/>
            <w:hideMark/>
          </w:tcPr>
          <w:p w14:paraId="19A64DD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0.020 (0.967) </w:t>
            </w:r>
          </w:p>
        </w:tc>
        <w:tc>
          <w:tcPr>
            <w:tcW w:w="1155" w:type="dxa"/>
            <w:tcBorders>
              <w:top w:val="nil"/>
              <w:left w:val="nil"/>
              <w:bottom w:val="nil"/>
              <w:right w:val="nil"/>
            </w:tcBorders>
            <w:shd w:val="clear" w:color="auto" w:fill="auto"/>
            <w:vAlign w:val="bottom"/>
            <w:hideMark/>
          </w:tcPr>
          <w:p w14:paraId="1C05D5A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0.020 (0.998) </w:t>
            </w:r>
          </w:p>
        </w:tc>
      </w:tr>
      <w:tr w:rsidR="005B56C1" w:rsidRPr="00C672CD" w14:paraId="36C8B45B" w14:textId="77777777">
        <w:trPr>
          <w:trHeight w:val="300"/>
        </w:trPr>
        <w:tc>
          <w:tcPr>
            <w:tcW w:w="2295" w:type="dxa"/>
            <w:tcBorders>
              <w:top w:val="nil"/>
              <w:left w:val="nil"/>
              <w:bottom w:val="nil"/>
              <w:right w:val="single" w:sz="6" w:space="0" w:color="auto"/>
            </w:tcBorders>
            <w:shd w:val="clear" w:color="auto" w:fill="auto"/>
            <w:vAlign w:val="bottom"/>
            <w:hideMark/>
          </w:tcPr>
          <w:p w14:paraId="2971B12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Intervention: </w:t>
            </w:r>
          </w:p>
        </w:tc>
        <w:tc>
          <w:tcPr>
            <w:tcW w:w="1155" w:type="dxa"/>
            <w:tcBorders>
              <w:top w:val="nil"/>
              <w:left w:val="single" w:sz="6" w:space="0" w:color="auto"/>
              <w:bottom w:val="nil"/>
              <w:right w:val="nil"/>
            </w:tcBorders>
            <w:shd w:val="clear" w:color="auto" w:fill="auto"/>
            <w:vAlign w:val="bottom"/>
            <w:hideMark/>
          </w:tcPr>
          <w:p w14:paraId="09A4F6D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189D496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6515C4F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0F321BB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105CEE4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582CF9B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5075EED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5757F7B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c>
          <w:tcPr>
            <w:tcW w:w="1155" w:type="dxa"/>
            <w:tcBorders>
              <w:top w:val="nil"/>
              <w:left w:val="nil"/>
              <w:bottom w:val="nil"/>
              <w:right w:val="nil"/>
            </w:tcBorders>
            <w:shd w:val="clear" w:color="auto" w:fill="auto"/>
            <w:vAlign w:val="bottom"/>
            <w:hideMark/>
          </w:tcPr>
          <w:p w14:paraId="64C6B98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w:t>
            </w:r>
          </w:p>
        </w:tc>
      </w:tr>
      <w:tr w:rsidR="005B56C1" w:rsidRPr="00C672CD" w14:paraId="19E180F3" w14:textId="77777777">
        <w:trPr>
          <w:trHeight w:val="300"/>
        </w:trPr>
        <w:tc>
          <w:tcPr>
            <w:tcW w:w="2295" w:type="dxa"/>
            <w:tcBorders>
              <w:top w:val="nil"/>
              <w:left w:val="nil"/>
              <w:bottom w:val="nil"/>
              <w:right w:val="single" w:sz="6" w:space="0" w:color="auto"/>
            </w:tcBorders>
            <w:shd w:val="clear" w:color="auto" w:fill="auto"/>
            <w:vAlign w:val="bottom"/>
            <w:hideMark/>
          </w:tcPr>
          <w:p w14:paraId="4CBBDD0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Family help </w:t>
            </w:r>
          </w:p>
        </w:tc>
        <w:tc>
          <w:tcPr>
            <w:tcW w:w="1155" w:type="dxa"/>
            <w:tcBorders>
              <w:top w:val="nil"/>
              <w:left w:val="single" w:sz="6" w:space="0" w:color="auto"/>
              <w:bottom w:val="nil"/>
              <w:right w:val="nil"/>
            </w:tcBorders>
            <w:shd w:val="clear" w:color="auto" w:fill="auto"/>
            <w:vAlign w:val="bottom"/>
            <w:hideMark/>
          </w:tcPr>
          <w:p w14:paraId="5E1A2FF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(0.832) </w:t>
            </w:r>
          </w:p>
        </w:tc>
        <w:tc>
          <w:tcPr>
            <w:tcW w:w="1155" w:type="dxa"/>
            <w:tcBorders>
              <w:top w:val="nil"/>
              <w:left w:val="nil"/>
              <w:bottom w:val="nil"/>
              <w:right w:val="nil"/>
            </w:tcBorders>
            <w:shd w:val="clear" w:color="auto" w:fill="auto"/>
            <w:vAlign w:val="bottom"/>
            <w:hideMark/>
          </w:tcPr>
          <w:p w14:paraId="2DAE6D2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(0.912) </w:t>
            </w:r>
          </w:p>
        </w:tc>
        <w:tc>
          <w:tcPr>
            <w:tcW w:w="1155" w:type="dxa"/>
            <w:tcBorders>
              <w:top w:val="nil"/>
              <w:left w:val="nil"/>
              <w:bottom w:val="nil"/>
              <w:right w:val="nil"/>
            </w:tcBorders>
            <w:shd w:val="clear" w:color="auto" w:fill="auto"/>
            <w:vAlign w:val="bottom"/>
            <w:hideMark/>
          </w:tcPr>
          <w:p w14:paraId="179E058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(0.711) </w:t>
            </w:r>
          </w:p>
        </w:tc>
        <w:tc>
          <w:tcPr>
            <w:tcW w:w="1155" w:type="dxa"/>
            <w:tcBorders>
              <w:top w:val="nil"/>
              <w:left w:val="nil"/>
              <w:bottom w:val="nil"/>
              <w:right w:val="nil"/>
            </w:tcBorders>
            <w:shd w:val="clear" w:color="auto" w:fill="auto"/>
            <w:vAlign w:val="bottom"/>
            <w:hideMark/>
          </w:tcPr>
          <w:p w14:paraId="2447B54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(0.983) </w:t>
            </w:r>
          </w:p>
        </w:tc>
        <w:tc>
          <w:tcPr>
            <w:tcW w:w="1155" w:type="dxa"/>
            <w:tcBorders>
              <w:top w:val="nil"/>
              <w:left w:val="nil"/>
              <w:bottom w:val="nil"/>
              <w:right w:val="nil"/>
            </w:tcBorders>
            <w:shd w:val="clear" w:color="auto" w:fill="auto"/>
            <w:vAlign w:val="bottom"/>
            <w:hideMark/>
          </w:tcPr>
          <w:p w14:paraId="6E027AC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(0.964) </w:t>
            </w:r>
          </w:p>
        </w:tc>
        <w:tc>
          <w:tcPr>
            <w:tcW w:w="1155" w:type="dxa"/>
            <w:tcBorders>
              <w:top w:val="nil"/>
              <w:left w:val="nil"/>
              <w:bottom w:val="nil"/>
              <w:right w:val="nil"/>
            </w:tcBorders>
            <w:shd w:val="clear" w:color="auto" w:fill="auto"/>
            <w:vAlign w:val="bottom"/>
            <w:hideMark/>
          </w:tcPr>
          <w:p w14:paraId="702DD6A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(0.958) </w:t>
            </w:r>
          </w:p>
        </w:tc>
        <w:tc>
          <w:tcPr>
            <w:tcW w:w="1155" w:type="dxa"/>
            <w:tcBorders>
              <w:top w:val="nil"/>
              <w:left w:val="nil"/>
              <w:bottom w:val="nil"/>
              <w:right w:val="nil"/>
            </w:tcBorders>
            <w:shd w:val="clear" w:color="auto" w:fill="auto"/>
            <w:vAlign w:val="bottom"/>
            <w:hideMark/>
          </w:tcPr>
          <w:p w14:paraId="29917A5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(0.800) </w:t>
            </w:r>
          </w:p>
        </w:tc>
        <w:tc>
          <w:tcPr>
            <w:tcW w:w="1155" w:type="dxa"/>
            <w:tcBorders>
              <w:top w:val="nil"/>
              <w:left w:val="nil"/>
              <w:bottom w:val="nil"/>
              <w:right w:val="nil"/>
            </w:tcBorders>
            <w:shd w:val="clear" w:color="auto" w:fill="auto"/>
            <w:vAlign w:val="bottom"/>
            <w:hideMark/>
          </w:tcPr>
          <w:p w14:paraId="4D0F778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(0.903) </w:t>
            </w:r>
          </w:p>
        </w:tc>
        <w:tc>
          <w:tcPr>
            <w:tcW w:w="1155" w:type="dxa"/>
            <w:tcBorders>
              <w:top w:val="nil"/>
              <w:left w:val="nil"/>
              <w:bottom w:val="nil"/>
              <w:right w:val="nil"/>
            </w:tcBorders>
            <w:shd w:val="clear" w:color="auto" w:fill="auto"/>
            <w:vAlign w:val="bottom"/>
            <w:hideMark/>
          </w:tcPr>
          <w:p w14:paraId="6569760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(0.817) </w:t>
            </w:r>
          </w:p>
        </w:tc>
      </w:tr>
      <w:tr w:rsidR="005B56C1" w:rsidRPr="00C672CD" w14:paraId="17FA3FA5" w14:textId="77777777">
        <w:trPr>
          <w:trHeight w:val="300"/>
        </w:trPr>
        <w:tc>
          <w:tcPr>
            <w:tcW w:w="2295" w:type="dxa"/>
            <w:tcBorders>
              <w:top w:val="nil"/>
              <w:left w:val="nil"/>
              <w:bottom w:val="nil"/>
              <w:right w:val="single" w:sz="6" w:space="0" w:color="auto"/>
            </w:tcBorders>
            <w:shd w:val="clear" w:color="auto" w:fill="auto"/>
            <w:vAlign w:val="bottom"/>
            <w:hideMark/>
          </w:tcPr>
          <w:p w14:paraId="7B1CA9A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      Intensive  </w:t>
            </w:r>
          </w:p>
        </w:tc>
        <w:tc>
          <w:tcPr>
            <w:tcW w:w="1155" w:type="dxa"/>
            <w:tcBorders>
              <w:top w:val="nil"/>
              <w:left w:val="single" w:sz="6" w:space="0" w:color="auto"/>
              <w:bottom w:val="nil"/>
              <w:right w:val="nil"/>
            </w:tcBorders>
            <w:shd w:val="clear" w:color="auto" w:fill="auto"/>
            <w:vAlign w:val="bottom"/>
            <w:hideMark/>
          </w:tcPr>
          <w:p w14:paraId="15A5D23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(0.856) </w:t>
            </w:r>
          </w:p>
        </w:tc>
        <w:tc>
          <w:tcPr>
            <w:tcW w:w="1155" w:type="dxa"/>
            <w:tcBorders>
              <w:top w:val="nil"/>
              <w:left w:val="nil"/>
              <w:bottom w:val="nil"/>
              <w:right w:val="nil"/>
            </w:tcBorders>
            <w:shd w:val="clear" w:color="auto" w:fill="auto"/>
            <w:vAlign w:val="bottom"/>
            <w:hideMark/>
          </w:tcPr>
          <w:p w14:paraId="157EAB1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(0.608) </w:t>
            </w:r>
          </w:p>
        </w:tc>
        <w:tc>
          <w:tcPr>
            <w:tcW w:w="1155" w:type="dxa"/>
            <w:tcBorders>
              <w:top w:val="nil"/>
              <w:left w:val="nil"/>
              <w:bottom w:val="nil"/>
              <w:right w:val="nil"/>
            </w:tcBorders>
            <w:shd w:val="clear" w:color="auto" w:fill="auto"/>
            <w:vAlign w:val="bottom"/>
            <w:hideMark/>
          </w:tcPr>
          <w:p w14:paraId="3776C87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(0.571) </w:t>
            </w:r>
          </w:p>
        </w:tc>
        <w:tc>
          <w:tcPr>
            <w:tcW w:w="1155" w:type="dxa"/>
            <w:tcBorders>
              <w:top w:val="nil"/>
              <w:left w:val="nil"/>
              <w:bottom w:val="nil"/>
              <w:right w:val="nil"/>
            </w:tcBorders>
            <w:shd w:val="clear" w:color="auto" w:fill="auto"/>
            <w:vAlign w:val="bottom"/>
            <w:hideMark/>
          </w:tcPr>
          <w:p w14:paraId="62F5EDD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(0.874) </w:t>
            </w:r>
          </w:p>
        </w:tc>
        <w:tc>
          <w:tcPr>
            <w:tcW w:w="1155" w:type="dxa"/>
            <w:tcBorders>
              <w:top w:val="nil"/>
              <w:left w:val="nil"/>
              <w:bottom w:val="nil"/>
              <w:right w:val="nil"/>
            </w:tcBorders>
            <w:shd w:val="clear" w:color="auto" w:fill="auto"/>
            <w:vAlign w:val="bottom"/>
            <w:hideMark/>
          </w:tcPr>
          <w:p w14:paraId="0FB19B0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(0.784) </w:t>
            </w:r>
          </w:p>
        </w:tc>
        <w:tc>
          <w:tcPr>
            <w:tcW w:w="1155" w:type="dxa"/>
            <w:tcBorders>
              <w:top w:val="nil"/>
              <w:left w:val="nil"/>
              <w:bottom w:val="nil"/>
              <w:right w:val="nil"/>
            </w:tcBorders>
            <w:shd w:val="clear" w:color="auto" w:fill="auto"/>
            <w:vAlign w:val="bottom"/>
            <w:hideMark/>
          </w:tcPr>
          <w:p w14:paraId="2B94700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(0.830) </w:t>
            </w:r>
          </w:p>
        </w:tc>
        <w:tc>
          <w:tcPr>
            <w:tcW w:w="1155" w:type="dxa"/>
            <w:tcBorders>
              <w:top w:val="nil"/>
              <w:left w:val="nil"/>
              <w:bottom w:val="nil"/>
              <w:right w:val="nil"/>
            </w:tcBorders>
            <w:shd w:val="clear" w:color="auto" w:fill="auto"/>
            <w:vAlign w:val="bottom"/>
            <w:hideMark/>
          </w:tcPr>
          <w:p w14:paraId="789A56E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(0.772) </w:t>
            </w:r>
          </w:p>
        </w:tc>
        <w:tc>
          <w:tcPr>
            <w:tcW w:w="1155" w:type="dxa"/>
            <w:tcBorders>
              <w:top w:val="nil"/>
              <w:left w:val="nil"/>
              <w:bottom w:val="nil"/>
              <w:right w:val="nil"/>
            </w:tcBorders>
            <w:shd w:val="clear" w:color="auto" w:fill="auto"/>
            <w:vAlign w:val="bottom"/>
            <w:hideMark/>
          </w:tcPr>
          <w:p w14:paraId="54054CD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(0.673) </w:t>
            </w:r>
          </w:p>
        </w:tc>
        <w:tc>
          <w:tcPr>
            <w:tcW w:w="1155" w:type="dxa"/>
            <w:tcBorders>
              <w:top w:val="nil"/>
              <w:left w:val="nil"/>
              <w:bottom w:val="nil"/>
              <w:right w:val="nil"/>
            </w:tcBorders>
            <w:shd w:val="clear" w:color="auto" w:fill="auto"/>
            <w:vAlign w:val="bottom"/>
            <w:hideMark/>
          </w:tcPr>
          <w:p w14:paraId="6A60A08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0.019 (0.957) </w:t>
            </w:r>
          </w:p>
        </w:tc>
      </w:tr>
      <w:tr w:rsidR="005B56C1" w:rsidRPr="00C672CD" w14:paraId="6CC53698" w14:textId="77777777">
        <w:trPr>
          <w:trHeight w:val="300"/>
        </w:trPr>
        <w:tc>
          <w:tcPr>
            <w:tcW w:w="2295" w:type="dxa"/>
            <w:tcBorders>
              <w:top w:val="nil"/>
              <w:left w:val="nil"/>
              <w:bottom w:val="nil"/>
              <w:right w:val="single" w:sz="6" w:space="0" w:color="auto"/>
            </w:tcBorders>
            <w:shd w:val="clear" w:color="auto" w:fill="auto"/>
            <w:vAlign w:val="bottom"/>
            <w:hideMark/>
          </w:tcPr>
          <w:p w14:paraId="76685B0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Pregnant  </w:t>
            </w:r>
          </w:p>
        </w:tc>
        <w:tc>
          <w:tcPr>
            <w:tcW w:w="1155" w:type="dxa"/>
            <w:tcBorders>
              <w:top w:val="nil"/>
              <w:left w:val="single" w:sz="6" w:space="0" w:color="auto"/>
              <w:bottom w:val="nil"/>
              <w:right w:val="nil"/>
            </w:tcBorders>
            <w:shd w:val="clear" w:color="auto" w:fill="auto"/>
            <w:vAlign w:val="bottom"/>
            <w:hideMark/>
          </w:tcPr>
          <w:p w14:paraId="1C7A182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0.053 (0.834) </w:t>
            </w:r>
          </w:p>
        </w:tc>
        <w:tc>
          <w:tcPr>
            <w:tcW w:w="1155" w:type="dxa"/>
            <w:tcBorders>
              <w:top w:val="nil"/>
              <w:left w:val="nil"/>
              <w:bottom w:val="nil"/>
              <w:right w:val="nil"/>
            </w:tcBorders>
            <w:shd w:val="clear" w:color="auto" w:fill="auto"/>
            <w:vAlign w:val="bottom"/>
            <w:hideMark/>
          </w:tcPr>
          <w:p w14:paraId="12FE6C5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0.053 (0.971) </w:t>
            </w:r>
          </w:p>
        </w:tc>
        <w:tc>
          <w:tcPr>
            <w:tcW w:w="1155" w:type="dxa"/>
            <w:tcBorders>
              <w:top w:val="nil"/>
              <w:left w:val="nil"/>
              <w:bottom w:val="nil"/>
              <w:right w:val="nil"/>
            </w:tcBorders>
            <w:shd w:val="clear" w:color="auto" w:fill="auto"/>
            <w:vAlign w:val="bottom"/>
            <w:hideMark/>
          </w:tcPr>
          <w:p w14:paraId="458FE27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0.053 (0.822) </w:t>
            </w:r>
          </w:p>
        </w:tc>
        <w:tc>
          <w:tcPr>
            <w:tcW w:w="1155" w:type="dxa"/>
            <w:tcBorders>
              <w:top w:val="nil"/>
              <w:left w:val="nil"/>
              <w:bottom w:val="nil"/>
              <w:right w:val="nil"/>
            </w:tcBorders>
            <w:shd w:val="clear" w:color="auto" w:fill="auto"/>
            <w:vAlign w:val="bottom"/>
            <w:hideMark/>
          </w:tcPr>
          <w:p w14:paraId="3BF0797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0.053 (0.948) </w:t>
            </w:r>
          </w:p>
        </w:tc>
        <w:tc>
          <w:tcPr>
            <w:tcW w:w="1155" w:type="dxa"/>
            <w:tcBorders>
              <w:top w:val="nil"/>
              <w:left w:val="nil"/>
              <w:bottom w:val="nil"/>
              <w:right w:val="nil"/>
            </w:tcBorders>
            <w:shd w:val="clear" w:color="auto" w:fill="auto"/>
            <w:vAlign w:val="bottom"/>
            <w:hideMark/>
          </w:tcPr>
          <w:p w14:paraId="137018C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0.053 (0.988) </w:t>
            </w:r>
          </w:p>
        </w:tc>
        <w:tc>
          <w:tcPr>
            <w:tcW w:w="1155" w:type="dxa"/>
            <w:tcBorders>
              <w:top w:val="nil"/>
              <w:left w:val="nil"/>
              <w:bottom w:val="nil"/>
              <w:right w:val="nil"/>
            </w:tcBorders>
            <w:shd w:val="clear" w:color="auto" w:fill="auto"/>
            <w:vAlign w:val="bottom"/>
            <w:hideMark/>
          </w:tcPr>
          <w:p w14:paraId="4E7368A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0.053 (0.970) </w:t>
            </w:r>
          </w:p>
        </w:tc>
        <w:tc>
          <w:tcPr>
            <w:tcW w:w="1155" w:type="dxa"/>
            <w:tcBorders>
              <w:top w:val="nil"/>
              <w:left w:val="nil"/>
              <w:bottom w:val="nil"/>
              <w:right w:val="nil"/>
            </w:tcBorders>
            <w:shd w:val="clear" w:color="auto" w:fill="auto"/>
            <w:vAlign w:val="bottom"/>
            <w:hideMark/>
          </w:tcPr>
          <w:p w14:paraId="3C81B64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0.053 (0.903) </w:t>
            </w:r>
          </w:p>
        </w:tc>
        <w:tc>
          <w:tcPr>
            <w:tcW w:w="1155" w:type="dxa"/>
            <w:tcBorders>
              <w:top w:val="nil"/>
              <w:left w:val="nil"/>
              <w:bottom w:val="nil"/>
              <w:right w:val="nil"/>
            </w:tcBorders>
            <w:shd w:val="clear" w:color="auto" w:fill="auto"/>
            <w:vAlign w:val="bottom"/>
            <w:hideMark/>
          </w:tcPr>
          <w:p w14:paraId="573A170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0.053 (0.956) </w:t>
            </w:r>
          </w:p>
        </w:tc>
        <w:tc>
          <w:tcPr>
            <w:tcW w:w="1155" w:type="dxa"/>
            <w:tcBorders>
              <w:top w:val="nil"/>
              <w:left w:val="nil"/>
              <w:bottom w:val="nil"/>
              <w:right w:val="nil"/>
            </w:tcBorders>
            <w:shd w:val="clear" w:color="auto" w:fill="auto"/>
            <w:vAlign w:val="bottom"/>
            <w:hideMark/>
          </w:tcPr>
          <w:p w14:paraId="6A918C6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0.053 (0.927) </w:t>
            </w:r>
          </w:p>
        </w:tc>
      </w:tr>
      <w:tr w:rsidR="005B56C1" w:rsidRPr="00C672CD" w14:paraId="5EB67118" w14:textId="77777777">
        <w:trPr>
          <w:trHeight w:val="300"/>
        </w:trPr>
        <w:tc>
          <w:tcPr>
            <w:tcW w:w="2295" w:type="dxa"/>
            <w:tcBorders>
              <w:top w:val="nil"/>
              <w:left w:val="nil"/>
              <w:bottom w:val="nil"/>
              <w:right w:val="single" w:sz="6" w:space="0" w:color="auto"/>
            </w:tcBorders>
            <w:shd w:val="clear" w:color="auto" w:fill="auto"/>
            <w:vAlign w:val="bottom"/>
            <w:hideMark/>
          </w:tcPr>
          <w:p w14:paraId="64CC4ED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Aged 18-24 </w:t>
            </w:r>
          </w:p>
        </w:tc>
        <w:tc>
          <w:tcPr>
            <w:tcW w:w="1155" w:type="dxa"/>
            <w:tcBorders>
              <w:top w:val="nil"/>
              <w:left w:val="single" w:sz="6" w:space="0" w:color="auto"/>
              <w:bottom w:val="nil"/>
              <w:right w:val="nil"/>
            </w:tcBorders>
            <w:shd w:val="clear" w:color="auto" w:fill="auto"/>
            <w:vAlign w:val="bottom"/>
            <w:hideMark/>
          </w:tcPr>
          <w:p w14:paraId="0CFA78F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0.031 (0.989) </w:t>
            </w:r>
          </w:p>
        </w:tc>
        <w:tc>
          <w:tcPr>
            <w:tcW w:w="1155" w:type="dxa"/>
            <w:tcBorders>
              <w:top w:val="nil"/>
              <w:left w:val="nil"/>
              <w:bottom w:val="nil"/>
              <w:right w:val="nil"/>
            </w:tcBorders>
            <w:shd w:val="clear" w:color="auto" w:fill="auto"/>
            <w:vAlign w:val="bottom"/>
            <w:hideMark/>
          </w:tcPr>
          <w:p w14:paraId="0000295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0.031 (0.964) </w:t>
            </w:r>
          </w:p>
        </w:tc>
        <w:tc>
          <w:tcPr>
            <w:tcW w:w="1155" w:type="dxa"/>
            <w:tcBorders>
              <w:top w:val="nil"/>
              <w:left w:val="nil"/>
              <w:bottom w:val="nil"/>
              <w:right w:val="nil"/>
            </w:tcBorders>
            <w:shd w:val="clear" w:color="auto" w:fill="auto"/>
            <w:vAlign w:val="bottom"/>
            <w:hideMark/>
          </w:tcPr>
          <w:p w14:paraId="213E1D7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0.031 (0.989) </w:t>
            </w:r>
          </w:p>
        </w:tc>
        <w:tc>
          <w:tcPr>
            <w:tcW w:w="1155" w:type="dxa"/>
            <w:tcBorders>
              <w:top w:val="nil"/>
              <w:left w:val="nil"/>
              <w:bottom w:val="nil"/>
              <w:right w:val="nil"/>
            </w:tcBorders>
            <w:shd w:val="clear" w:color="auto" w:fill="auto"/>
            <w:vAlign w:val="bottom"/>
            <w:hideMark/>
          </w:tcPr>
          <w:p w14:paraId="66FCF63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0.031 (0.987) </w:t>
            </w:r>
          </w:p>
        </w:tc>
        <w:tc>
          <w:tcPr>
            <w:tcW w:w="1155" w:type="dxa"/>
            <w:tcBorders>
              <w:top w:val="nil"/>
              <w:left w:val="nil"/>
              <w:bottom w:val="nil"/>
              <w:right w:val="nil"/>
            </w:tcBorders>
            <w:shd w:val="clear" w:color="auto" w:fill="auto"/>
            <w:vAlign w:val="bottom"/>
            <w:hideMark/>
          </w:tcPr>
          <w:p w14:paraId="117E3BA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0.031 (0.981) </w:t>
            </w:r>
          </w:p>
        </w:tc>
        <w:tc>
          <w:tcPr>
            <w:tcW w:w="1155" w:type="dxa"/>
            <w:tcBorders>
              <w:top w:val="nil"/>
              <w:left w:val="nil"/>
              <w:bottom w:val="nil"/>
              <w:right w:val="nil"/>
            </w:tcBorders>
            <w:shd w:val="clear" w:color="auto" w:fill="auto"/>
            <w:vAlign w:val="bottom"/>
            <w:hideMark/>
          </w:tcPr>
          <w:p w14:paraId="32C42F5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0.031 (0.983) </w:t>
            </w:r>
          </w:p>
        </w:tc>
        <w:tc>
          <w:tcPr>
            <w:tcW w:w="1155" w:type="dxa"/>
            <w:tcBorders>
              <w:top w:val="nil"/>
              <w:left w:val="nil"/>
              <w:bottom w:val="nil"/>
              <w:right w:val="nil"/>
            </w:tcBorders>
            <w:shd w:val="clear" w:color="auto" w:fill="auto"/>
            <w:vAlign w:val="bottom"/>
            <w:hideMark/>
          </w:tcPr>
          <w:p w14:paraId="2B581D9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0.031 (0.993) </w:t>
            </w:r>
          </w:p>
        </w:tc>
        <w:tc>
          <w:tcPr>
            <w:tcW w:w="1155" w:type="dxa"/>
            <w:tcBorders>
              <w:top w:val="nil"/>
              <w:left w:val="nil"/>
              <w:bottom w:val="nil"/>
              <w:right w:val="nil"/>
            </w:tcBorders>
            <w:shd w:val="clear" w:color="auto" w:fill="auto"/>
            <w:vAlign w:val="bottom"/>
            <w:hideMark/>
          </w:tcPr>
          <w:p w14:paraId="6E747B5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0.031 (0.981) </w:t>
            </w:r>
          </w:p>
        </w:tc>
        <w:tc>
          <w:tcPr>
            <w:tcW w:w="1155" w:type="dxa"/>
            <w:tcBorders>
              <w:top w:val="nil"/>
              <w:left w:val="nil"/>
              <w:bottom w:val="nil"/>
              <w:right w:val="nil"/>
            </w:tcBorders>
            <w:shd w:val="clear" w:color="auto" w:fill="auto"/>
            <w:vAlign w:val="bottom"/>
            <w:hideMark/>
          </w:tcPr>
          <w:p w14:paraId="05AD26C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0.031 (0.999) </w:t>
            </w:r>
          </w:p>
        </w:tc>
      </w:tr>
      <w:tr w:rsidR="005B56C1" w:rsidRPr="00C672CD" w14:paraId="6C76D5FB" w14:textId="77777777">
        <w:trPr>
          <w:trHeight w:val="300"/>
        </w:trPr>
        <w:tc>
          <w:tcPr>
            <w:tcW w:w="2295" w:type="dxa"/>
            <w:tcBorders>
              <w:top w:val="nil"/>
              <w:left w:val="nil"/>
              <w:bottom w:val="nil"/>
              <w:right w:val="single" w:sz="6" w:space="0" w:color="auto"/>
            </w:tcBorders>
            <w:shd w:val="clear" w:color="auto" w:fill="auto"/>
            <w:vAlign w:val="bottom"/>
            <w:hideMark/>
          </w:tcPr>
          <w:p w14:paraId="181D91C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Female </w:t>
            </w:r>
          </w:p>
        </w:tc>
        <w:tc>
          <w:tcPr>
            <w:tcW w:w="1155" w:type="dxa"/>
            <w:tcBorders>
              <w:top w:val="nil"/>
              <w:left w:val="single" w:sz="6" w:space="0" w:color="auto"/>
              <w:bottom w:val="nil"/>
              <w:right w:val="nil"/>
            </w:tcBorders>
            <w:shd w:val="clear" w:color="auto" w:fill="auto"/>
            <w:vAlign w:val="bottom"/>
            <w:hideMark/>
          </w:tcPr>
          <w:p w14:paraId="416DE33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0.013 (0.993) </w:t>
            </w:r>
          </w:p>
        </w:tc>
        <w:tc>
          <w:tcPr>
            <w:tcW w:w="1155" w:type="dxa"/>
            <w:tcBorders>
              <w:top w:val="nil"/>
              <w:left w:val="nil"/>
              <w:bottom w:val="nil"/>
              <w:right w:val="nil"/>
            </w:tcBorders>
            <w:shd w:val="clear" w:color="auto" w:fill="auto"/>
            <w:vAlign w:val="bottom"/>
            <w:hideMark/>
          </w:tcPr>
          <w:p w14:paraId="2FB1CA9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0.013 (0.907) </w:t>
            </w:r>
          </w:p>
        </w:tc>
        <w:tc>
          <w:tcPr>
            <w:tcW w:w="1155" w:type="dxa"/>
            <w:tcBorders>
              <w:top w:val="nil"/>
              <w:left w:val="nil"/>
              <w:bottom w:val="nil"/>
              <w:right w:val="nil"/>
            </w:tcBorders>
            <w:shd w:val="clear" w:color="auto" w:fill="auto"/>
            <w:vAlign w:val="bottom"/>
            <w:hideMark/>
          </w:tcPr>
          <w:p w14:paraId="52B592A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0.013 (0.980) </w:t>
            </w:r>
          </w:p>
        </w:tc>
        <w:tc>
          <w:tcPr>
            <w:tcW w:w="1155" w:type="dxa"/>
            <w:tcBorders>
              <w:top w:val="nil"/>
              <w:left w:val="nil"/>
              <w:bottom w:val="nil"/>
              <w:right w:val="nil"/>
            </w:tcBorders>
            <w:shd w:val="clear" w:color="auto" w:fill="auto"/>
            <w:vAlign w:val="bottom"/>
            <w:hideMark/>
          </w:tcPr>
          <w:p w14:paraId="1AC86A1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0.013 (0.987) </w:t>
            </w:r>
          </w:p>
        </w:tc>
        <w:tc>
          <w:tcPr>
            <w:tcW w:w="1155" w:type="dxa"/>
            <w:tcBorders>
              <w:top w:val="nil"/>
              <w:left w:val="nil"/>
              <w:bottom w:val="nil"/>
              <w:right w:val="nil"/>
            </w:tcBorders>
            <w:shd w:val="clear" w:color="auto" w:fill="auto"/>
            <w:vAlign w:val="bottom"/>
            <w:hideMark/>
          </w:tcPr>
          <w:p w14:paraId="159B92A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0.013 (0.941) </w:t>
            </w:r>
          </w:p>
        </w:tc>
        <w:tc>
          <w:tcPr>
            <w:tcW w:w="1155" w:type="dxa"/>
            <w:tcBorders>
              <w:top w:val="nil"/>
              <w:left w:val="nil"/>
              <w:bottom w:val="nil"/>
              <w:right w:val="nil"/>
            </w:tcBorders>
            <w:shd w:val="clear" w:color="auto" w:fill="auto"/>
            <w:vAlign w:val="bottom"/>
            <w:hideMark/>
          </w:tcPr>
          <w:p w14:paraId="0C5612B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0.013 (0.968) </w:t>
            </w:r>
          </w:p>
        </w:tc>
        <w:tc>
          <w:tcPr>
            <w:tcW w:w="1155" w:type="dxa"/>
            <w:tcBorders>
              <w:top w:val="nil"/>
              <w:left w:val="nil"/>
              <w:bottom w:val="nil"/>
              <w:right w:val="nil"/>
            </w:tcBorders>
            <w:shd w:val="clear" w:color="auto" w:fill="auto"/>
            <w:vAlign w:val="bottom"/>
            <w:hideMark/>
          </w:tcPr>
          <w:p w14:paraId="5D19E97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0.013 (0.983) </w:t>
            </w:r>
          </w:p>
        </w:tc>
        <w:tc>
          <w:tcPr>
            <w:tcW w:w="1155" w:type="dxa"/>
            <w:tcBorders>
              <w:top w:val="nil"/>
              <w:left w:val="nil"/>
              <w:bottom w:val="nil"/>
              <w:right w:val="nil"/>
            </w:tcBorders>
            <w:shd w:val="clear" w:color="auto" w:fill="auto"/>
            <w:vAlign w:val="bottom"/>
            <w:hideMark/>
          </w:tcPr>
          <w:p w14:paraId="461DC63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0.013 (0.992) </w:t>
            </w:r>
          </w:p>
        </w:tc>
        <w:tc>
          <w:tcPr>
            <w:tcW w:w="1155" w:type="dxa"/>
            <w:tcBorders>
              <w:top w:val="nil"/>
              <w:left w:val="nil"/>
              <w:bottom w:val="nil"/>
              <w:right w:val="nil"/>
            </w:tcBorders>
            <w:shd w:val="clear" w:color="auto" w:fill="auto"/>
            <w:vAlign w:val="bottom"/>
            <w:hideMark/>
          </w:tcPr>
          <w:p w14:paraId="7F4A9D0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0.013 (0.991) </w:t>
            </w:r>
          </w:p>
        </w:tc>
      </w:tr>
      <w:tr w:rsidR="005B56C1" w:rsidRPr="00C672CD" w14:paraId="3A11F070" w14:textId="77777777">
        <w:trPr>
          <w:trHeight w:val="300"/>
        </w:trPr>
        <w:tc>
          <w:tcPr>
            <w:tcW w:w="2295" w:type="dxa"/>
            <w:tcBorders>
              <w:top w:val="nil"/>
              <w:left w:val="nil"/>
              <w:bottom w:val="nil"/>
              <w:right w:val="single" w:sz="6" w:space="0" w:color="auto"/>
            </w:tcBorders>
            <w:shd w:val="clear" w:color="auto" w:fill="auto"/>
            <w:vAlign w:val="bottom"/>
            <w:hideMark/>
          </w:tcPr>
          <w:p w14:paraId="25FBE01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NEET </w:t>
            </w:r>
          </w:p>
        </w:tc>
        <w:tc>
          <w:tcPr>
            <w:tcW w:w="1155" w:type="dxa"/>
            <w:tcBorders>
              <w:top w:val="nil"/>
              <w:left w:val="single" w:sz="6" w:space="0" w:color="auto"/>
              <w:bottom w:val="nil"/>
              <w:right w:val="nil"/>
            </w:tcBorders>
            <w:shd w:val="clear" w:color="auto" w:fill="auto"/>
            <w:vAlign w:val="bottom"/>
            <w:hideMark/>
          </w:tcPr>
          <w:p w14:paraId="4AD1A1F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0.014 (0.859) </w:t>
            </w:r>
          </w:p>
        </w:tc>
        <w:tc>
          <w:tcPr>
            <w:tcW w:w="1155" w:type="dxa"/>
            <w:tcBorders>
              <w:top w:val="nil"/>
              <w:left w:val="nil"/>
              <w:bottom w:val="nil"/>
              <w:right w:val="nil"/>
            </w:tcBorders>
            <w:shd w:val="clear" w:color="auto" w:fill="auto"/>
            <w:vAlign w:val="bottom"/>
            <w:hideMark/>
          </w:tcPr>
          <w:p w14:paraId="673F23A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0.014 (0.931) </w:t>
            </w:r>
          </w:p>
        </w:tc>
        <w:tc>
          <w:tcPr>
            <w:tcW w:w="1155" w:type="dxa"/>
            <w:tcBorders>
              <w:top w:val="nil"/>
              <w:left w:val="nil"/>
              <w:bottom w:val="nil"/>
              <w:right w:val="nil"/>
            </w:tcBorders>
            <w:shd w:val="clear" w:color="auto" w:fill="auto"/>
            <w:vAlign w:val="bottom"/>
            <w:hideMark/>
          </w:tcPr>
          <w:p w14:paraId="7C47638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0.014 (0.707) </w:t>
            </w:r>
          </w:p>
        </w:tc>
        <w:tc>
          <w:tcPr>
            <w:tcW w:w="1155" w:type="dxa"/>
            <w:tcBorders>
              <w:top w:val="nil"/>
              <w:left w:val="nil"/>
              <w:bottom w:val="nil"/>
              <w:right w:val="nil"/>
            </w:tcBorders>
            <w:shd w:val="clear" w:color="auto" w:fill="auto"/>
            <w:vAlign w:val="bottom"/>
            <w:hideMark/>
          </w:tcPr>
          <w:p w14:paraId="59C141A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0.014 (0.962) </w:t>
            </w:r>
          </w:p>
        </w:tc>
        <w:tc>
          <w:tcPr>
            <w:tcW w:w="1155" w:type="dxa"/>
            <w:tcBorders>
              <w:top w:val="nil"/>
              <w:left w:val="nil"/>
              <w:bottom w:val="nil"/>
              <w:right w:val="nil"/>
            </w:tcBorders>
            <w:shd w:val="clear" w:color="auto" w:fill="auto"/>
            <w:vAlign w:val="bottom"/>
            <w:hideMark/>
          </w:tcPr>
          <w:p w14:paraId="66006BD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0.014 (0.977) </w:t>
            </w:r>
          </w:p>
        </w:tc>
        <w:tc>
          <w:tcPr>
            <w:tcW w:w="1155" w:type="dxa"/>
            <w:tcBorders>
              <w:top w:val="nil"/>
              <w:left w:val="nil"/>
              <w:bottom w:val="nil"/>
              <w:right w:val="nil"/>
            </w:tcBorders>
            <w:shd w:val="clear" w:color="auto" w:fill="auto"/>
            <w:vAlign w:val="bottom"/>
            <w:hideMark/>
          </w:tcPr>
          <w:p w14:paraId="3935546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0.014 (0.881) </w:t>
            </w:r>
          </w:p>
        </w:tc>
        <w:tc>
          <w:tcPr>
            <w:tcW w:w="1155" w:type="dxa"/>
            <w:tcBorders>
              <w:top w:val="nil"/>
              <w:left w:val="nil"/>
              <w:bottom w:val="nil"/>
              <w:right w:val="nil"/>
            </w:tcBorders>
            <w:shd w:val="clear" w:color="auto" w:fill="auto"/>
            <w:vAlign w:val="bottom"/>
            <w:hideMark/>
          </w:tcPr>
          <w:p w14:paraId="4DF473B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0.014 (0.921) </w:t>
            </w:r>
          </w:p>
        </w:tc>
        <w:tc>
          <w:tcPr>
            <w:tcW w:w="1155" w:type="dxa"/>
            <w:tcBorders>
              <w:top w:val="nil"/>
              <w:left w:val="nil"/>
              <w:bottom w:val="nil"/>
              <w:right w:val="nil"/>
            </w:tcBorders>
            <w:shd w:val="clear" w:color="auto" w:fill="auto"/>
            <w:vAlign w:val="bottom"/>
            <w:hideMark/>
          </w:tcPr>
          <w:p w14:paraId="36094F4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0.014 (0.999) </w:t>
            </w:r>
          </w:p>
        </w:tc>
        <w:tc>
          <w:tcPr>
            <w:tcW w:w="1155" w:type="dxa"/>
            <w:tcBorders>
              <w:top w:val="nil"/>
              <w:left w:val="nil"/>
              <w:bottom w:val="nil"/>
              <w:right w:val="nil"/>
            </w:tcBorders>
            <w:shd w:val="clear" w:color="auto" w:fill="auto"/>
            <w:vAlign w:val="bottom"/>
            <w:hideMark/>
          </w:tcPr>
          <w:p w14:paraId="1E3388C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0.014 (0.818) </w:t>
            </w:r>
          </w:p>
        </w:tc>
      </w:tr>
      <w:tr w:rsidR="005B56C1" w:rsidRPr="00C672CD" w14:paraId="73BA4A23" w14:textId="77777777">
        <w:trPr>
          <w:trHeight w:val="300"/>
        </w:trPr>
        <w:tc>
          <w:tcPr>
            <w:tcW w:w="2295" w:type="dxa"/>
            <w:tcBorders>
              <w:top w:val="nil"/>
              <w:left w:val="nil"/>
              <w:bottom w:val="nil"/>
              <w:right w:val="single" w:sz="6" w:space="0" w:color="auto"/>
            </w:tcBorders>
            <w:shd w:val="clear" w:color="auto" w:fill="auto"/>
            <w:vAlign w:val="bottom"/>
            <w:hideMark/>
          </w:tcPr>
          <w:p w14:paraId="5D41C57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Housing problem </w:t>
            </w:r>
          </w:p>
        </w:tc>
        <w:tc>
          <w:tcPr>
            <w:tcW w:w="1155" w:type="dxa"/>
            <w:tcBorders>
              <w:top w:val="nil"/>
              <w:left w:val="single" w:sz="6" w:space="0" w:color="auto"/>
              <w:bottom w:val="nil"/>
              <w:right w:val="nil"/>
            </w:tcBorders>
            <w:shd w:val="clear" w:color="auto" w:fill="auto"/>
            <w:vAlign w:val="bottom"/>
            <w:hideMark/>
          </w:tcPr>
          <w:p w14:paraId="3F422D3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(0.993) </w:t>
            </w:r>
          </w:p>
        </w:tc>
        <w:tc>
          <w:tcPr>
            <w:tcW w:w="1155" w:type="dxa"/>
            <w:tcBorders>
              <w:top w:val="nil"/>
              <w:left w:val="nil"/>
              <w:bottom w:val="nil"/>
              <w:right w:val="nil"/>
            </w:tcBorders>
            <w:shd w:val="clear" w:color="auto" w:fill="auto"/>
            <w:vAlign w:val="bottom"/>
            <w:hideMark/>
          </w:tcPr>
          <w:p w14:paraId="68CD8AE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(0.998) </w:t>
            </w:r>
          </w:p>
        </w:tc>
        <w:tc>
          <w:tcPr>
            <w:tcW w:w="1155" w:type="dxa"/>
            <w:tcBorders>
              <w:top w:val="nil"/>
              <w:left w:val="nil"/>
              <w:bottom w:val="nil"/>
              <w:right w:val="nil"/>
            </w:tcBorders>
            <w:shd w:val="clear" w:color="auto" w:fill="auto"/>
            <w:vAlign w:val="bottom"/>
            <w:hideMark/>
          </w:tcPr>
          <w:p w14:paraId="30564CF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(0.901) </w:t>
            </w:r>
          </w:p>
        </w:tc>
        <w:tc>
          <w:tcPr>
            <w:tcW w:w="1155" w:type="dxa"/>
            <w:tcBorders>
              <w:top w:val="nil"/>
              <w:left w:val="nil"/>
              <w:bottom w:val="nil"/>
              <w:right w:val="nil"/>
            </w:tcBorders>
            <w:shd w:val="clear" w:color="auto" w:fill="auto"/>
            <w:vAlign w:val="bottom"/>
            <w:hideMark/>
          </w:tcPr>
          <w:p w14:paraId="79D31DB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(0.986) </w:t>
            </w:r>
          </w:p>
        </w:tc>
        <w:tc>
          <w:tcPr>
            <w:tcW w:w="1155" w:type="dxa"/>
            <w:tcBorders>
              <w:top w:val="nil"/>
              <w:left w:val="nil"/>
              <w:bottom w:val="nil"/>
              <w:right w:val="nil"/>
            </w:tcBorders>
            <w:shd w:val="clear" w:color="auto" w:fill="auto"/>
            <w:vAlign w:val="bottom"/>
            <w:hideMark/>
          </w:tcPr>
          <w:p w14:paraId="3327864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(0.989) </w:t>
            </w:r>
          </w:p>
        </w:tc>
        <w:tc>
          <w:tcPr>
            <w:tcW w:w="1155" w:type="dxa"/>
            <w:tcBorders>
              <w:top w:val="nil"/>
              <w:left w:val="nil"/>
              <w:bottom w:val="nil"/>
              <w:right w:val="nil"/>
            </w:tcBorders>
            <w:shd w:val="clear" w:color="auto" w:fill="auto"/>
            <w:vAlign w:val="bottom"/>
            <w:hideMark/>
          </w:tcPr>
          <w:p w14:paraId="0E56AC8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(0.950) </w:t>
            </w:r>
          </w:p>
        </w:tc>
        <w:tc>
          <w:tcPr>
            <w:tcW w:w="1155" w:type="dxa"/>
            <w:tcBorders>
              <w:top w:val="nil"/>
              <w:left w:val="nil"/>
              <w:bottom w:val="nil"/>
              <w:right w:val="nil"/>
            </w:tcBorders>
            <w:shd w:val="clear" w:color="auto" w:fill="auto"/>
            <w:vAlign w:val="bottom"/>
            <w:hideMark/>
          </w:tcPr>
          <w:p w14:paraId="2E2692D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(0.900) </w:t>
            </w:r>
          </w:p>
        </w:tc>
        <w:tc>
          <w:tcPr>
            <w:tcW w:w="1155" w:type="dxa"/>
            <w:tcBorders>
              <w:top w:val="nil"/>
              <w:left w:val="nil"/>
              <w:bottom w:val="nil"/>
              <w:right w:val="nil"/>
            </w:tcBorders>
            <w:shd w:val="clear" w:color="auto" w:fill="auto"/>
            <w:vAlign w:val="bottom"/>
            <w:hideMark/>
          </w:tcPr>
          <w:p w14:paraId="18DCE28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(0.979) </w:t>
            </w:r>
          </w:p>
        </w:tc>
        <w:tc>
          <w:tcPr>
            <w:tcW w:w="1155" w:type="dxa"/>
            <w:tcBorders>
              <w:top w:val="nil"/>
              <w:left w:val="nil"/>
              <w:bottom w:val="nil"/>
              <w:right w:val="nil"/>
            </w:tcBorders>
            <w:shd w:val="clear" w:color="auto" w:fill="auto"/>
            <w:vAlign w:val="bottom"/>
            <w:hideMark/>
          </w:tcPr>
          <w:p w14:paraId="6CEA4DD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0.015 (0.997) </w:t>
            </w:r>
          </w:p>
        </w:tc>
      </w:tr>
      <w:tr w:rsidR="005B56C1" w:rsidRPr="00C672CD" w14:paraId="122607AC" w14:textId="77777777">
        <w:trPr>
          <w:trHeight w:val="300"/>
        </w:trPr>
        <w:tc>
          <w:tcPr>
            <w:tcW w:w="2295" w:type="dxa"/>
            <w:tcBorders>
              <w:top w:val="nil"/>
              <w:left w:val="nil"/>
              <w:bottom w:val="nil"/>
              <w:right w:val="single" w:sz="6" w:space="0" w:color="auto"/>
            </w:tcBorders>
            <w:shd w:val="clear" w:color="auto" w:fill="auto"/>
            <w:vAlign w:val="bottom"/>
            <w:hideMark/>
          </w:tcPr>
          <w:p w14:paraId="4CBB10B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Mental health treatment need </w:t>
            </w:r>
          </w:p>
        </w:tc>
        <w:tc>
          <w:tcPr>
            <w:tcW w:w="1155" w:type="dxa"/>
            <w:tcBorders>
              <w:top w:val="nil"/>
              <w:left w:val="single" w:sz="6" w:space="0" w:color="auto"/>
              <w:bottom w:val="nil"/>
              <w:right w:val="nil"/>
            </w:tcBorders>
            <w:shd w:val="clear" w:color="auto" w:fill="auto"/>
            <w:vAlign w:val="bottom"/>
            <w:hideMark/>
          </w:tcPr>
          <w:p w14:paraId="3F7DC50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0.012 (0.964) </w:t>
            </w:r>
          </w:p>
        </w:tc>
        <w:tc>
          <w:tcPr>
            <w:tcW w:w="1155" w:type="dxa"/>
            <w:tcBorders>
              <w:top w:val="nil"/>
              <w:left w:val="nil"/>
              <w:bottom w:val="nil"/>
              <w:right w:val="nil"/>
            </w:tcBorders>
            <w:shd w:val="clear" w:color="auto" w:fill="auto"/>
            <w:vAlign w:val="bottom"/>
            <w:hideMark/>
          </w:tcPr>
          <w:p w14:paraId="56FD6BD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0.012 (0.930) </w:t>
            </w:r>
          </w:p>
        </w:tc>
        <w:tc>
          <w:tcPr>
            <w:tcW w:w="1155" w:type="dxa"/>
            <w:tcBorders>
              <w:top w:val="nil"/>
              <w:left w:val="nil"/>
              <w:bottom w:val="nil"/>
              <w:right w:val="nil"/>
            </w:tcBorders>
            <w:shd w:val="clear" w:color="auto" w:fill="auto"/>
            <w:vAlign w:val="bottom"/>
            <w:hideMark/>
          </w:tcPr>
          <w:p w14:paraId="5320364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0.012 (0.841) </w:t>
            </w:r>
          </w:p>
        </w:tc>
        <w:tc>
          <w:tcPr>
            <w:tcW w:w="1155" w:type="dxa"/>
            <w:tcBorders>
              <w:top w:val="nil"/>
              <w:left w:val="nil"/>
              <w:bottom w:val="nil"/>
              <w:right w:val="nil"/>
            </w:tcBorders>
            <w:shd w:val="clear" w:color="auto" w:fill="auto"/>
            <w:vAlign w:val="bottom"/>
            <w:hideMark/>
          </w:tcPr>
          <w:p w14:paraId="15CF540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0.012 (0.816) </w:t>
            </w:r>
          </w:p>
        </w:tc>
        <w:tc>
          <w:tcPr>
            <w:tcW w:w="1155" w:type="dxa"/>
            <w:tcBorders>
              <w:top w:val="nil"/>
              <w:left w:val="nil"/>
              <w:bottom w:val="nil"/>
              <w:right w:val="nil"/>
            </w:tcBorders>
            <w:shd w:val="clear" w:color="auto" w:fill="auto"/>
            <w:vAlign w:val="bottom"/>
            <w:hideMark/>
          </w:tcPr>
          <w:p w14:paraId="4DD8662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0.012 (0.858) </w:t>
            </w:r>
          </w:p>
        </w:tc>
        <w:tc>
          <w:tcPr>
            <w:tcW w:w="1155" w:type="dxa"/>
            <w:tcBorders>
              <w:top w:val="nil"/>
              <w:left w:val="nil"/>
              <w:bottom w:val="nil"/>
              <w:right w:val="nil"/>
            </w:tcBorders>
            <w:shd w:val="clear" w:color="auto" w:fill="auto"/>
            <w:vAlign w:val="bottom"/>
            <w:hideMark/>
          </w:tcPr>
          <w:p w14:paraId="01D350B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0.012 (0.856) </w:t>
            </w:r>
          </w:p>
        </w:tc>
        <w:tc>
          <w:tcPr>
            <w:tcW w:w="1155" w:type="dxa"/>
            <w:tcBorders>
              <w:top w:val="nil"/>
              <w:left w:val="nil"/>
              <w:bottom w:val="nil"/>
              <w:right w:val="nil"/>
            </w:tcBorders>
            <w:shd w:val="clear" w:color="auto" w:fill="auto"/>
            <w:vAlign w:val="bottom"/>
            <w:hideMark/>
          </w:tcPr>
          <w:p w14:paraId="22CD3E7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0.012 (0.781) </w:t>
            </w:r>
          </w:p>
        </w:tc>
        <w:tc>
          <w:tcPr>
            <w:tcW w:w="1155" w:type="dxa"/>
            <w:tcBorders>
              <w:top w:val="nil"/>
              <w:left w:val="nil"/>
              <w:bottom w:val="nil"/>
              <w:right w:val="nil"/>
            </w:tcBorders>
            <w:shd w:val="clear" w:color="auto" w:fill="auto"/>
            <w:vAlign w:val="bottom"/>
            <w:hideMark/>
          </w:tcPr>
          <w:p w14:paraId="36E188D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0.012 (0.704) </w:t>
            </w:r>
          </w:p>
        </w:tc>
        <w:tc>
          <w:tcPr>
            <w:tcW w:w="1155" w:type="dxa"/>
            <w:tcBorders>
              <w:top w:val="nil"/>
              <w:left w:val="nil"/>
              <w:bottom w:val="nil"/>
              <w:right w:val="nil"/>
            </w:tcBorders>
            <w:shd w:val="clear" w:color="auto" w:fill="auto"/>
            <w:vAlign w:val="bottom"/>
            <w:hideMark/>
          </w:tcPr>
          <w:p w14:paraId="054A658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6"/>
                <w:szCs w:val="16"/>
                <w:lang w:eastAsia="en-GB"/>
              </w:rPr>
              <w:t>0.012 (0.843) </w:t>
            </w:r>
          </w:p>
        </w:tc>
      </w:tr>
      <w:tr w:rsidR="005B56C1" w:rsidRPr="00C672CD" w14:paraId="334E7794" w14:textId="77777777">
        <w:trPr>
          <w:trHeight w:val="315"/>
        </w:trPr>
        <w:tc>
          <w:tcPr>
            <w:tcW w:w="2295" w:type="dxa"/>
            <w:tcBorders>
              <w:top w:val="nil"/>
              <w:left w:val="nil"/>
              <w:bottom w:val="single" w:sz="6" w:space="0" w:color="auto"/>
              <w:right w:val="single" w:sz="6" w:space="0" w:color="auto"/>
            </w:tcBorders>
            <w:shd w:val="clear" w:color="auto" w:fill="auto"/>
            <w:vAlign w:val="bottom"/>
            <w:hideMark/>
          </w:tcPr>
          <w:p w14:paraId="58010F3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6"/>
                <w:szCs w:val="16"/>
                <w:lang w:eastAsia="en-GB"/>
              </w:rPr>
              <w:t>Constant</w:t>
            </w:r>
            <w:r w:rsidRPr="00C672CD">
              <w:rPr>
                <w:rFonts w:eastAsia="Times New Roman" w:cs="Arial"/>
                <w:color w:val="000000"/>
                <w:sz w:val="16"/>
                <w:szCs w:val="16"/>
                <w:lang w:eastAsia="en-GB"/>
              </w:rPr>
              <w:t> </w:t>
            </w:r>
          </w:p>
        </w:tc>
        <w:tc>
          <w:tcPr>
            <w:tcW w:w="1155" w:type="dxa"/>
            <w:tcBorders>
              <w:top w:val="nil"/>
              <w:left w:val="single" w:sz="6" w:space="0" w:color="auto"/>
              <w:bottom w:val="single" w:sz="6" w:space="0" w:color="auto"/>
              <w:right w:val="nil"/>
            </w:tcBorders>
            <w:shd w:val="clear" w:color="auto" w:fill="auto"/>
            <w:vAlign w:val="bottom"/>
            <w:hideMark/>
          </w:tcPr>
          <w:p w14:paraId="3BB1F15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6"/>
                <w:szCs w:val="16"/>
                <w:lang w:eastAsia="en-GB"/>
              </w:rPr>
              <w:t>0.022 (0.956)</w:t>
            </w:r>
            <w:r w:rsidRPr="00C672CD">
              <w:rPr>
                <w:rFonts w:eastAsia="Times New Roman" w:cs="Arial"/>
                <w:color w:val="000000"/>
                <w:sz w:val="16"/>
                <w:szCs w:val="16"/>
                <w:lang w:eastAsia="en-GB"/>
              </w:rPr>
              <w:t> </w:t>
            </w:r>
          </w:p>
        </w:tc>
        <w:tc>
          <w:tcPr>
            <w:tcW w:w="1155" w:type="dxa"/>
            <w:tcBorders>
              <w:top w:val="nil"/>
              <w:left w:val="nil"/>
              <w:bottom w:val="single" w:sz="6" w:space="0" w:color="auto"/>
              <w:right w:val="nil"/>
            </w:tcBorders>
            <w:shd w:val="clear" w:color="auto" w:fill="auto"/>
            <w:vAlign w:val="bottom"/>
            <w:hideMark/>
          </w:tcPr>
          <w:p w14:paraId="3483BB0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6"/>
                <w:szCs w:val="16"/>
                <w:lang w:eastAsia="en-GB"/>
              </w:rPr>
              <w:t>0.022 (0.958)</w:t>
            </w:r>
            <w:r w:rsidRPr="00C672CD">
              <w:rPr>
                <w:rFonts w:eastAsia="Times New Roman" w:cs="Arial"/>
                <w:color w:val="000000"/>
                <w:sz w:val="16"/>
                <w:szCs w:val="16"/>
                <w:lang w:eastAsia="en-GB"/>
              </w:rPr>
              <w:t> </w:t>
            </w:r>
          </w:p>
        </w:tc>
        <w:tc>
          <w:tcPr>
            <w:tcW w:w="1155" w:type="dxa"/>
            <w:tcBorders>
              <w:top w:val="nil"/>
              <w:left w:val="nil"/>
              <w:bottom w:val="single" w:sz="6" w:space="0" w:color="auto"/>
              <w:right w:val="nil"/>
            </w:tcBorders>
            <w:shd w:val="clear" w:color="auto" w:fill="auto"/>
            <w:vAlign w:val="bottom"/>
            <w:hideMark/>
          </w:tcPr>
          <w:p w14:paraId="3CAB702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6"/>
                <w:szCs w:val="16"/>
                <w:lang w:eastAsia="en-GB"/>
              </w:rPr>
              <w:t>0.022 (0.996)</w:t>
            </w:r>
            <w:r w:rsidRPr="00C672CD">
              <w:rPr>
                <w:rFonts w:eastAsia="Times New Roman" w:cs="Arial"/>
                <w:color w:val="000000"/>
                <w:sz w:val="16"/>
                <w:szCs w:val="16"/>
                <w:lang w:eastAsia="en-GB"/>
              </w:rPr>
              <w:t> </w:t>
            </w:r>
          </w:p>
        </w:tc>
        <w:tc>
          <w:tcPr>
            <w:tcW w:w="1155" w:type="dxa"/>
            <w:tcBorders>
              <w:top w:val="nil"/>
              <w:left w:val="nil"/>
              <w:bottom w:val="single" w:sz="6" w:space="0" w:color="auto"/>
              <w:right w:val="nil"/>
            </w:tcBorders>
            <w:shd w:val="clear" w:color="auto" w:fill="auto"/>
            <w:vAlign w:val="bottom"/>
            <w:hideMark/>
          </w:tcPr>
          <w:p w14:paraId="17FB971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6"/>
                <w:szCs w:val="16"/>
                <w:lang w:eastAsia="en-GB"/>
              </w:rPr>
              <w:t>0.022 (0.988)</w:t>
            </w:r>
            <w:r w:rsidRPr="00C672CD">
              <w:rPr>
                <w:rFonts w:eastAsia="Times New Roman" w:cs="Arial"/>
                <w:color w:val="000000"/>
                <w:sz w:val="16"/>
                <w:szCs w:val="16"/>
                <w:lang w:eastAsia="en-GB"/>
              </w:rPr>
              <w:t> </w:t>
            </w:r>
          </w:p>
        </w:tc>
        <w:tc>
          <w:tcPr>
            <w:tcW w:w="1155" w:type="dxa"/>
            <w:tcBorders>
              <w:top w:val="nil"/>
              <w:left w:val="nil"/>
              <w:bottom w:val="single" w:sz="6" w:space="0" w:color="auto"/>
              <w:right w:val="nil"/>
            </w:tcBorders>
            <w:shd w:val="clear" w:color="auto" w:fill="auto"/>
            <w:vAlign w:val="bottom"/>
            <w:hideMark/>
          </w:tcPr>
          <w:p w14:paraId="29E002E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6"/>
                <w:szCs w:val="16"/>
                <w:lang w:eastAsia="en-GB"/>
              </w:rPr>
              <w:t>0.022 (0.953)</w:t>
            </w:r>
            <w:r w:rsidRPr="00C672CD">
              <w:rPr>
                <w:rFonts w:eastAsia="Times New Roman" w:cs="Arial"/>
                <w:color w:val="000000"/>
                <w:sz w:val="16"/>
                <w:szCs w:val="16"/>
                <w:lang w:eastAsia="en-GB"/>
              </w:rPr>
              <w:t> </w:t>
            </w:r>
          </w:p>
        </w:tc>
        <w:tc>
          <w:tcPr>
            <w:tcW w:w="1155" w:type="dxa"/>
            <w:tcBorders>
              <w:top w:val="nil"/>
              <w:left w:val="nil"/>
              <w:bottom w:val="single" w:sz="6" w:space="0" w:color="auto"/>
              <w:right w:val="nil"/>
            </w:tcBorders>
            <w:shd w:val="clear" w:color="auto" w:fill="auto"/>
            <w:vAlign w:val="bottom"/>
            <w:hideMark/>
          </w:tcPr>
          <w:p w14:paraId="11DD396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6"/>
                <w:szCs w:val="16"/>
                <w:lang w:eastAsia="en-GB"/>
              </w:rPr>
              <w:t>0.022 (0.973)</w:t>
            </w:r>
            <w:r w:rsidRPr="00C672CD">
              <w:rPr>
                <w:rFonts w:eastAsia="Times New Roman" w:cs="Arial"/>
                <w:color w:val="000000"/>
                <w:sz w:val="16"/>
                <w:szCs w:val="16"/>
                <w:lang w:eastAsia="en-GB"/>
              </w:rPr>
              <w:t> </w:t>
            </w:r>
          </w:p>
        </w:tc>
        <w:tc>
          <w:tcPr>
            <w:tcW w:w="1155" w:type="dxa"/>
            <w:tcBorders>
              <w:top w:val="nil"/>
              <w:left w:val="nil"/>
              <w:bottom w:val="single" w:sz="6" w:space="0" w:color="auto"/>
              <w:right w:val="nil"/>
            </w:tcBorders>
            <w:shd w:val="clear" w:color="auto" w:fill="auto"/>
            <w:vAlign w:val="bottom"/>
            <w:hideMark/>
          </w:tcPr>
          <w:p w14:paraId="6EF10A0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6"/>
                <w:szCs w:val="16"/>
                <w:lang w:eastAsia="en-GB"/>
              </w:rPr>
              <w:t>0.022 (0.921)</w:t>
            </w:r>
            <w:r w:rsidRPr="00C672CD">
              <w:rPr>
                <w:rFonts w:eastAsia="Times New Roman" w:cs="Arial"/>
                <w:color w:val="000000"/>
                <w:sz w:val="16"/>
                <w:szCs w:val="16"/>
                <w:lang w:eastAsia="en-GB"/>
              </w:rPr>
              <w:t> </w:t>
            </w:r>
          </w:p>
        </w:tc>
        <w:tc>
          <w:tcPr>
            <w:tcW w:w="1155" w:type="dxa"/>
            <w:tcBorders>
              <w:top w:val="nil"/>
              <w:left w:val="nil"/>
              <w:bottom w:val="single" w:sz="6" w:space="0" w:color="auto"/>
              <w:right w:val="nil"/>
            </w:tcBorders>
            <w:shd w:val="clear" w:color="auto" w:fill="auto"/>
            <w:vAlign w:val="bottom"/>
            <w:hideMark/>
          </w:tcPr>
          <w:p w14:paraId="301B6D7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6"/>
                <w:szCs w:val="16"/>
                <w:lang w:eastAsia="en-GB"/>
              </w:rPr>
              <w:t>0.022 (0.968)</w:t>
            </w:r>
            <w:r w:rsidRPr="00C672CD">
              <w:rPr>
                <w:rFonts w:eastAsia="Times New Roman" w:cs="Arial"/>
                <w:color w:val="000000"/>
                <w:sz w:val="16"/>
                <w:szCs w:val="16"/>
                <w:lang w:eastAsia="en-GB"/>
              </w:rPr>
              <w:t> </w:t>
            </w:r>
          </w:p>
        </w:tc>
        <w:tc>
          <w:tcPr>
            <w:tcW w:w="1155" w:type="dxa"/>
            <w:tcBorders>
              <w:top w:val="nil"/>
              <w:left w:val="nil"/>
              <w:bottom w:val="single" w:sz="6" w:space="0" w:color="auto"/>
              <w:right w:val="nil"/>
            </w:tcBorders>
            <w:shd w:val="clear" w:color="auto" w:fill="auto"/>
            <w:vAlign w:val="bottom"/>
            <w:hideMark/>
          </w:tcPr>
          <w:p w14:paraId="27423DE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6"/>
                <w:szCs w:val="16"/>
                <w:lang w:eastAsia="en-GB"/>
              </w:rPr>
              <w:t>0.022 (0.953)</w:t>
            </w:r>
            <w:r w:rsidRPr="00C672CD">
              <w:rPr>
                <w:rFonts w:eastAsia="Times New Roman" w:cs="Arial"/>
                <w:color w:val="000000"/>
                <w:sz w:val="16"/>
                <w:szCs w:val="16"/>
                <w:lang w:eastAsia="en-GB"/>
              </w:rPr>
              <w:t> </w:t>
            </w:r>
          </w:p>
        </w:tc>
      </w:tr>
    </w:tbl>
    <w:p w14:paraId="644E315F" w14:textId="77777777" w:rsidR="005B56C1" w:rsidRPr="00C672CD" w:rsidRDefault="005B56C1" w:rsidP="005B56C1">
      <w:pPr>
        <w:ind w:left="1440" w:hanging="1440"/>
        <w:textAlignment w:val="baseline"/>
        <w:rPr>
          <w:rFonts w:ascii="Segoe UI" w:eastAsia="Times New Roman" w:hAnsi="Segoe UI" w:cs="Segoe UI"/>
          <w:sz w:val="18"/>
          <w:szCs w:val="18"/>
          <w:lang w:eastAsia="en-GB"/>
        </w:rPr>
      </w:pPr>
      <w:r w:rsidRPr="00C672CD">
        <w:rPr>
          <w:rFonts w:eastAsia="Times New Roman" w:cs="Arial"/>
          <w:szCs w:val="24"/>
          <w:lang w:eastAsia="en-GB"/>
        </w:rPr>
        <w:t> </w:t>
      </w:r>
    </w:p>
    <w:p w14:paraId="26C8E3BA" w14:textId="77777777" w:rsidR="005B56C1" w:rsidRDefault="005B56C1" w:rsidP="005B56C1">
      <w:pPr>
        <w:ind w:left="1440" w:hanging="1440"/>
        <w:textAlignment w:val="baseline"/>
        <w:rPr>
          <w:rFonts w:eastAsia="Times New Roman" w:cs="Arial"/>
          <w:szCs w:val="24"/>
          <w:lang w:eastAsia="en-GB"/>
        </w:rPr>
      </w:pPr>
      <w:r w:rsidRPr="00C672CD">
        <w:rPr>
          <w:rFonts w:eastAsia="Times New Roman" w:cs="Arial"/>
          <w:szCs w:val="24"/>
          <w:lang w:eastAsia="en-GB"/>
        </w:rPr>
        <w:t> </w:t>
      </w:r>
    </w:p>
    <w:p w14:paraId="03D524B9" w14:textId="77777777" w:rsidR="005B56C1" w:rsidRDefault="005B56C1" w:rsidP="005B56C1">
      <w:pPr>
        <w:pStyle w:val="NoSpacing"/>
        <w:rPr>
          <w:lang w:eastAsia="en-GB"/>
        </w:rPr>
      </w:pPr>
    </w:p>
    <w:p w14:paraId="22EE91FE" w14:textId="77777777" w:rsidR="005B56C1" w:rsidRDefault="005B56C1" w:rsidP="005B56C1">
      <w:pPr>
        <w:pStyle w:val="NoSpacing"/>
        <w:rPr>
          <w:lang w:eastAsia="en-GB"/>
        </w:rPr>
      </w:pPr>
    </w:p>
    <w:p w14:paraId="35638D5F" w14:textId="77777777" w:rsidR="005B56C1" w:rsidRDefault="005B56C1" w:rsidP="005B56C1">
      <w:pPr>
        <w:pStyle w:val="NoSpacing"/>
        <w:rPr>
          <w:lang w:eastAsia="en-GB"/>
        </w:rPr>
      </w:pPr>
    </w:p>
    <w:p w14:paraId="47335605" w14:textId="77777777" w:rsidR="005B56C1" w:rsidRPr="00C672CD" w:rsidRDefault="005B56C1" w:rsidP="005B56C1">
      <w:pPr>
        <w:pStyle w:val="NoSpacing"/>
        <w:rPr>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1095"/>
        <w:gridCol w:w="1095"/>
        <w:gridCol w:w="1095"/>
        <w:gridCol w:w="1095"/>
        <w:gridCol w:w="1095"/>
        <w:gridCol w:w="1095"/>
        <w:gridCol w:w="1095"/>
        <w:gridCol w:w="1095"/>
        <w:gridCol w:w="1215"/>
        <w:gridCol w:w="1095"/>
      </w:tblGrid>
      <w:tr w:rsidR="005B56C1" w:rsidRPr="00C672CD" w14:paraId="3C502D17" w14:textId="77777777">
        <w:trPr>
          <w:trHeight w:val="315"/>
        </w:trPr>
        <w:tc>
          <w:tcPr>
            <w:tcW w:w="2160" w:type="dxa"/>
            <w:vMerge w:val="restart"/>
            <w:tcBorders>
              <w:top w:val="nil"/>
              <w:left w:val="nil"/>
              <w:bottom w:val="nil"/>
              <w:right w:val="single" w:sz="6" w:space="0" w:color="auto"/>
            </w:tcBorders>
            <w:shd w:val="clear" w:color="auto" w:fill="auto"/>
            <w:vAlign w:val="bottom"/>
            <w:hideMark/>
          </w:tcPr>
          <w:p w14:paraId="1777D5D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Baseline covariates </w:t>
            </w:r>
          </w:p>
        </w:tc>
        <w:tc>
          <w:tcPr>
            <w:tcW w:w="9975" w:type="dxa"/>
            <w:gridSpan w:val="9"/>
            <w:tcBorders>
              <w:top w:val="nil"/>
              <w:left w:val="single" w:sz="6" w:space="0" w:color="auto"/>
              <w:bottom w:val="nil"/>
              <w:right w:val="nil"/>
            </w:tcBorders>
            <w:shd w:val="clear" w:color="auto" w:fill="auto"/>
            <w:vAlign w:val="bottom"/>
            <w:hideMark/>
          </w:tcPr>
          <w:p w14:paraId="6B541CCE" w14:textId="77777777" w:rsidR="005B56C1" w:rsidRPr="00C672CD" w:rsidRDefault="005B56C1">
            <w:pPr>
              <w:jc w:val="cente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Model number  </w:t>
            </w:r>
          </w:p>
        </w:tc>
        <w:tc>
          <w:tcPr>
            <w:tcW w:w="1095" w:type="dxa"/>
            <w:tcBorders>
              <w:top w:val="nil"/>
              <w:left w:val="nil"/>
              <w:bottom w:val="nil"/>
              <w:right w:val="nil"/>
            </w:tcBorders>
            <w:shd w:val="clear" w:color="auto" w:fill="auto"/>
            <w:hideMark/>
          </w:tcPr>
          <w:p w14:paraId="14E1FA68" w14:textId="77777777" w:rsidR="005B56C1" w:rsidRPr="00C672CD" w:rsidRDefault="005B56C1">
            <w:pPr>
              <w:jc w:val="cente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r>
      <w:tr w:rsidR="005B56C1" w:rsidRPr="00C672CD" w14:paraId="4C889804" w14:textId="77777777">
        <w:trPr>
          <w:trHeight w:val="315"/>
        </w:trPr>
        <w:tc>
          <w:tcPr>
            <w:tcW w:w="0" w:type="auto"/>
            <w:vMerge/>
            <w:tcBorders>
              <w:top w:val="nil"/>
              <w:left w:val="nil"/>
              <w:bottom w:val="nil"/>
              <w:right w:val="single" w:sz="6" w:space="0" w:color="auto"/>
            </w:tcBorders>
            <w:shd w:val="clear" w:color="auto" w:fill="auto"/>
            <w:vAlign w:val="center"/>
            <w:hideMark/>
          </w:tcPr>
          <w:p w14:paraId="6ADEA5DE" w14:textId="77777777" w:rsidR="005B56C1" w:rsidRPr="00C672CD" w:rsidRDefault="005B56C1">
            <w:pPr>
              <w:rPr>
                <w:rFonts w:ascii="Times New Roman" w:eastAsia="Times New Roman" w:hAnsi="Times New Roman" w:cs="Times New Roman"/>
                <w:szCs w:val="24"/>
                <w:lang w:eastAsia="en-GB"/>
              </w:rPr>
            </w:pPr>
          </w:p>
        </w:tc>
        <w:tc>
          <w:tcPr>
            <w:tcW w:w="1095" w:type="dxa"/>
            <w:tcBorders>
              <w:top w:val="nil"/>
              <w:left w:val="single" w:sz="6" w:space="0" w:color="auto"/>
              <w:bottom w:val="nil"/>
              <w:right w:val="nil"/>
            </w:tcBorders>
            <w:shd w:val="clear" w:color="auto" w:fill="auto"/>
            <w:vAlign w:val="bottom"/>
            <w:hideMark/>
          </w:tcPr>
          <w:p w14:paraId="7A8E1FAB"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11 </w:t>
            </w:r>
          </w:p>
        </w:tc>
        <w:tc>
          <w:tcPr>
            <w:tcW w:w="1095" w:type="dxa"/>
            <w:tcBorders>
              <w:top w:val="nil"/>
              <w:left w:val="nil"/>
              <w:bottom w:val="nil"/>
              <w:right w:val="nil"/>
            </w:tcBorders>
            <w:shd w:val="clear" w:color="auto" w:fill="auto"/>
            <w:vAlign w:val="bottom"/>
            <w:hideMark/>
          </w:tcPr>
          <w:p w14:paraId="3961E439"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12 </w:t>
            </w:r>
          </w:p>
        </w:tc>
        <w:tc>
          <w:tcPr>
            <w:tcW w:w="1095" w:type="dxa"/>
            <w:tcBorders>
              <w:top w:val="nil"/>
              <w:left w:val="nil"/>
              <w:bottom w:val="nil"/>
              <w:right w:val="nil"/>
            </w:tcBorders>
            <w:shd w:val="clear" w:color="auto" w:fill="auto"/>
            <w:vAlign w:val="bottom"/>
            <w:hideMark/>
          </w:tcPr>
          <w:p w14:paraId="7B7D3758"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13 </w:t>
            </w:r>
          </w:p>
        </w:tc>
        <w:tc>
          <w:tcPr>
            <w:tcW w:w="1095" w:type="dxa"/>
            <w:tcBorders>
              <w:top w:val="nil"/>
              <w:left w:val="nil"/>
              <w:bottom w:val="nil"/>
              <w:right w:val="nil"/>
            </w:tcBorders>
            <w:shd w:val="clear" w:color="auto" w:fill="auto"/>
            <w:vAlign w:val="bottom"/>
            <w:hideMark/>
          </w:tcPr>
          <w:p w14:paraId="0DC1269B"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14 </w:t>
            </w:r>
          </w:p>
        </w:tc>
        <w:tc>
          <w:tcPr>
            <w:tcW w:w="1095" w:type="dxa"/>
            <w:tcBorders>
              <w:top w:val="nil"/>
              <w:left w:val="nil"/>
              <w:bottom w:val="nil"/>
              <w:right w:val="nil"/>
            </w:tcBorders>
            <w:shd w:val="clear" w:color="auto" w:fill="auto"/>
            <w:vAlign w:val="bottom"/>
            <w:hideMark/>
          </w:tcPr>
          <w:p w14:paraId="45F2B0B2"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15 </w:t>
            </w:r>
          </w:p>
        </w:tc>
        <w:tc>
          <w:tcPr>
            <w:tcW w:w="1095" w:type="dxa"/>
            <w:tcBorders>
              <w:top w:val="nil"/>
              <w:left w:val="nil"/>
              <w:bottom w:val="nil"/>
              <w:right w:val="nil"/>
            </w:tcBorders>
            <w:shd w:val="clear" w:color="auto" w:fill="auto"/>
            <w:vAlign w:val="bottom"/>
            <w:hideMark/>
          </w:tcPr>
          <w:p w14:paraId="0A7172D6"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16 </w:t>
            </w:r>
          </w:p>
        </w:tc>
        <w:tc>
          <w:tcPr>
            <w:tcW w:w="1095" w:type="dxa"/>
            <w:tcBorders>
              <w:top w:val="nil"/>
              <w:left w:val="nil"/>
              <w:bottom w:val="nil"/>
              <w:right w:val="nil"/>
            </w:tcBorders>
            <w:shd w:val="clear" w:color="auto" w:fill="auto"/>
            <w:vAlign w:val="bottom"/>
            <w:hideMark/>
          </w:tcPr>
          <w:p w14:paraId="3D4F2ADF"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17 </w:t>
            </w:r>
          </w:p>
        </w:tc>
        <w:tc>
          <w:tcPr>
            <w:tcW w:w="1095" w:type="dxa"/>
            <w:tcBorders>
              <w:top w:val="nil"/>
              <w:left w:val="nil"/>
              <w:bottom w:val="nil"/>
              <w:right w:val="nil"/>
            </w:tcBorders>
            <w:shd w:val="clear" w:color="auto" w:fill="auto"/>
            <w:vAlign w:val="bottom"/>
            <w:hideMark/>
          </w:tcPr>
          <w:p w14:paraId="212C9085"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18 </w:t>
            </w:r>
          </w:p>
        </w:tc>
        <w:tc>
          <w:tcPr>
            <w:tcW w:w="1095" w:type="dxa"/>
            <w:tcBorders>
              <w:top w:val="nil"/>
              <w:left w:val="nil"/>
              <w:bottom w:val="nil"/>
              <w:right w:val="nil"/>
            </w:tcBorders>
            <w:shd w:val="clear" w:color="auto" w:fill="auto"/>
            <w:vAlign w:val="bottom"/>
            <w:hideMark/>
          </w:tcPr>
          <w:p w14:paraId="45B0FA2F"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19 </w:t>
            </w:r>
          </w:p>
        </w:tc>
        <w:tc>
          <w:tcPr>
            <w:tcW w:w="1095" w:type="dxa"/>
            <w:tcBorders>
              <w:top w:val="nil"/>
              <w:left w:val="nil"/>
              <w:bottom w:val="nil"/>
              <w:right w:val="nil"/>
            </w:tcBorders>
            <w:shd w:val="clear" w:color="auto" w:fill="auto"/>
            <w:vAlign w:val="bottom"/>
            <w:hideMark/>
          </w:tcPr>
          <w:p w14:paraId="317ABBEF" w14:textId="77777777" w:rsidR="005B56C1" w:rsidRPr="00C672CD" w:rsidRDefault="005B56C1">
            <w:pPr>
              <w:jc w:val="right"/>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20 </w:t>
            </w:r>
          </w:p>
        </w:tc>
      </w:tr>
      <w:tr w:rsidR="005B56C1" w:rsidRPr="00C672CD" w14:paraId="7D31FC25" w14:textId="77777777">
        <w:trPr>
          <w:trHeight w:val="300"/>
        </w:trPr>
        <w:tc>
          <w:tcPr>
            <w:tcW w:w="2160" w:type="dxa"/>
            <w:tcBorders>
              <w:top w:val="nil"/>
              <w:left w:val="nil"/>
              <w:bottom w:val="single" w:sz="6" w:space="0" w:color="auto"/>
              <w:right w:val="single" w:sz="6" w:space="0" w:color="auto"/>
            </w:tcBorders>
            <w:shd w:val="clear" w:color="auto" w:fill="auto"/>
            <w:vAlign w:val="bottom"/>
            <w:hideMark/>
          </w:tcPr>
          <w:p w14:paraId="2F3CA34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single" w:sz="6" w:space="0" w:color="auto"/>
              <w:bottom w:val="single" w:sz="6" w:space="0" w:color="auto"/>
              <w:right w:val="nil"/>
            </w:tcBorders>
            <w:shd w:val="clear" w:color="auto" w:fill="auto"/>
            <w:vAlign w:val="bottom"/>
            <w:hideMark/>
          </w:tcPr>
          <w:p w14:paraId="44509BC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SE (p-value) </w:t>
            </w:r>
          </w:p>
        </w:tc>
        <w:tc>
          <w:tcPr>
            <w:tcW w:w="1095" w:type="dxa"/>
            <w:tcBorders>
              <w:top w:val="nil"/>
              <w:left w:val="nil"/>
              <w:bottom w:val="single" w:sz="6" w:space="0" w:color="auto"/>
              <w:right w:val="nil"/>
            </w:tcBorders>
            <w:shd w:val="clear" w:color="auto" w:fill="auto"/>
            <w:vAlign w:val="bottom"/>
            <w:hideMark/>
          </w:tcPr>
          <w:p w14:paraId="6374277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SE (p-value) </w:t>
            </w:r>
          </w:p>
        </w:tc>
        <w:tc>
          <w:tcPr>
            <w:tcW w:w="1095" w:type="dxa"/>
            <w:tcBorders>
              <w:top w:val="nil"/>
              <w:left w:val="nil"/>
              <w:bottom w:val="single" w:sz="6" w:space="0" w:color="auto"/>
              <w:right w:val="nil"/>
            </w:tcBorders>
            <w:shd w:val="clear" w:color="auto" w:fill="auto"/>
            <w:vAlign w:val="bottom"/>
            <w:hideMark/>
          </w:tcPr>
          <w:p w14:paraId="7A1AA65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SE (p-value) </w:t>
            </w:r>
          </w:p>
        </w:tc>
        <w:tc>
          <w:tcPr>
            <w:tcW w:w="1095" w:type="dxa"/>
            <w:tcBorders>
              <w:top w:val="nil"/>
              <w:left w:val="nil"/>
              <w:bottom w:val="single" w:sz="6" w:space="0" w:color="auto"/>
              <w:right w:val="nil"/>
            </w:tcBorders>
            <w:shd w:val="clear" w:color="auto" w:fill="auto"/>
            <w:vAlign w:val="bottom"/>
            <w:hideMark/>
          </w:tcPr>
          <w:p w14:paraId="6B6D4F7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SE (p-value) </w:t>
            </w:r>
          </w:p>
        </w:tc>
        <w:tc>
          <w:tcPr>
            <w:tcW w:w="1095" w:type="dxa"/>
            <w:tcBorders>
              <w:top w:val="nil"/>
              <w:left w:val="nil"/>
              <w:bottom w:val="single" w:sz="6" w:space="0" w:color="auto"/>
              <w:right w:val="nil"/>
            </w:tcBorders>
            <w:shd w:val="clear" w:color="auto" w:fill="auto"/>
            <w:vAlign w:val="bottom"/>
            <w:hideMark/>
          </w:tcPr>
          <w:p w14:paraId="5B8DA67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SE (p-value) </w:t>
            </w:r>
          </w:p>
        </w:tc>
        <w:tc>
          <w:tcPr>
            <w:tcW w:w="1095" w:type="dxa"/>
            <w:tcBorders>
              <w:top w:val="nil"/>
              <w:left w:val="nil"/>
              <w:bottom w:val="single" w:sz="6" w:space="0" w:color="auto"/>
              <w:right w:val="nil"/>
            </w:tcBorders>
            <w:shd w:val="clear" w:color="auto" w:fill="auto"/>
            <w:vAlign w:val="bottom"/>
            <w:hideMark/>
          </w:tcPr>
          <w:p w14:paraId="6437621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SE (p-value) </w:t>
            </w:r>
          </w:p>
        </w:tc>
        <w:tc>
          <w:tcPr>
            <w:tcW w:w="1095" w:type="dxa"/>
            <w:tcBorders>
              <w:top w:val="nil"/>
              <w:left w:val="nil"/>
              <w:bottom w:val="single" w:sz="6" w:space="0" w:color="auto"/>
              <w:right w:val="nil"/>
            </w:tcBorders>
            <w:shd w:val="clear" w:color="auto" w:fill="auto"/>
            <w:vAlign w:val="bottom"/>
            <w:hideMark/>
          </w:tcPr>
          <w:p w14:paraId="3BBBF8A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SE (p-value) </w:t>
            </w:r>
          </w:p>
        </w:tc>
        <w:tc>
          <w:tcPr>
            <w:tcW w:w="1095" w:type="dxa"/>
            <w:tcBorders>
              <w:top w:val="nil"/>
              <w:left w:val="nil"/>
              <w:bottom w:val="single" w:sz="6" w:space="0" w:color="auto"/>
              <w:right w:val="nil"/>
            </w:tcBorders>
            <w:shd w:val="clear" w:color="auto" w:fill="auto"/>
            <w:vAlign w:val="bottom"/>
            <w:hideMark/>
          </w:tcPr>
          <w:p w14:paraId="353F241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SE (p-value) </w:t>
            </w:r>
          </w:p>
        </w:tc>
        <w:tc>
          <w:tcPr>
            <w:tcW w:w="1095" w:type="dxa"/>
            <w:tcBorders>
              <w:top w:val="nil"/>
              <w:left w:val="nil"/>
              <w:bottom w:val="single" w:sz="6" w:space="0" w:color="auto"/>
              <w:right w:val="nil"/>
            </w:tcBorders>
            <w:shd w:val="clear" w:color="auto" w:fill="auto"/>
            <w:vAlign w:val="bottom"/>
            <w:hideMark/>
          </w:tcPr>
          <w:p w14:paraId="525959A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SE (p-value) </w:t>
            </w:r>
          </w:p>
        </w:tc>
        <w:tc>
          <w:tcPr>
            <w:tcW w:w="1095" w:type="dxa"/>
            <w:tcBorders>
              <w:top w:val="nil"/>
              <w:left w:val="nil"/>
              <w:bottom w:val="single" w:sz="6" w:space="0" w:color="auto"/>
              <w:right w:val="nil"/>
            </w:tcBorders>
            <w:shd w:val="clear" w:color="auto" w:fill="auto"/>
            <w:vAlign w:val="bottom"/>
            <w:hideMark/>
          </w:tcPr>
          <w:p w14:paraId="48D0614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SE (p-value) </w:t>
            </w:r>
          </w:p>
        </w:tc>
      </w:tr>
      <w:tr w:rsidR="005B56C1" w:rsidRPr="00C672CD" w14:paraId="7E8AC8A4" w14:textId="77777777">
        <w:trPr>
          <w:trHeight w:val="300"/>
        </w:trPr>
        <w:tc>
          <w:tcPr>
            <w:tcW w:w="2160" w:type="dxa"/>
            <w:tcBorders>
              <w:top w:val="single" w:sz="6" w:space="0" w:color="auto"/>
              <w:left w:val="nil"/>
              <w:bottom w:val="nil"/>
              <w:right w:val="single" w:sz="6" w:space="0" w:color="auto"/>
            </w:tcBorders>
            <w:shd w:val="clear" w:color="auto" w:fill="auto"/>
            <w:vAlign w:val="bottom"/>
            <w:hideMark/>
          </w:tcPr>
          <w:p w14:paraId="01A31F9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Parent category: </w:t>
            </w:r>
          </w:p>
        </w:tc>
        <w:tc>
          <w:tcPr>
            <w:tcW w:w="1095" w:type="dxa"/>
            <w:tcBorders>
              <w:top w:val="single" w:sz="6" w:space="0" w:color="auto"/>
              <w:left w:val="single" w:sz="6" w:space="0" w:color="auto"/>
              <w:bottom w:val="nil"/>
              <w:right w:val="nil"/>
            </w:tcBorders>
            <w:shd w:val="clear" w:color="auto" w:fill="auto"/>
            <w:vAlign w:val="bottom"/>
            <w:hideMark/>
          </w:tcPr>
          <w:p w14:paraId="69FF98F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single" w:sz="6" w:space="0" w:color="auto"/>
              <w:left w:val="nil"/>
              <w:bottom w:val="nil"/>
              <w:right w:val="nil"/>
            </w:tcBorders>
            <w:shd w:val="clear" w:color="auto" w:fill="auto"/>
            <w:vAlign w:val="bottom"/>
            <w:hideMark/>
          </w:tcPr>
          <w:p w14:paraId="0D9CA6B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single" w:sz="6" w:space="0" w:color="auto"/>
              <w:left w:val="nil"/>
              <w:bottom w:val="nil"/>
              <w:right w:val="nil"/>
            </w:tcBorders>
            <w:shd w:val="clear" w:color="auto" w:fill="auto"/>
            <w:vAlign w:val="bottom"/>
            <w:hideMark/>
          </w:tcPr>
          <w:p w14:paraId="4DB444A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single" w:sz="6" w:space="0" w:color="auto"/>
              <w:left w:val="nil"/>
              <w:bottom w:val="nil"/>
              <w:right w:val="nil"/>
            </w:tcBorders>
            <w:shd w:val="clear" w:color="auto" w:fill="auto"/>
            <w:vAlign w:val="bottom"/>
            <w:hideMark/>
          </w:tcPr>
          <w:p w14:paraId="17BB48F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single" w:sz="6" w:space="0" w:color="auto"/>
              <w:left w:val="nil"/>
              <w:bottom w:val="nil"/>
              <w:right w:val="nil"/>
            </w:tcBorders>
            <w:shd w:val="clear" w:color="auto" w:fill="auto"/>
            <w:vAlign w:val="bottom"/>
            <w:hideMark/>
          </w:tcPr>
          <w:p w14:paraId="06E9D97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single" w:sz="6" w:space="0" w:color="auto"/>
              <w:left w:val="nil"/>
              <w:bottom w:val="nil"/>
              <w:right w:val="nil"/>
            </w:tcBorders>
            <w:shd w:val="clear" w:color="auto" w:fill="auto"/>
            <w:vAlign w:val="bottom"/>
            <w:hideMark/>
          </w:tcPr>
          <w:p w14:paraId="544929A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single" w:sz="6" w:space="0" w:color="auto"/>
              <w:left w:val="nil"/>
              <w:bottom w:val="nil"/>
              <w:right w:val="nil"/>
            </w:tcBorders>
            <w:shd w:val="clear" w:color="auto" w:fill="auto"/>
            <w:vAlign w:val="bottom"/>
            <w:hideMark/>
          </w:tcPr>
          <w:p w14:paraId="15D01A6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single" w:sz="6" w:space="0" w:color="auto"/>
              <w:left w:val="nil"/>
              <w:bottom w:val="nil"/>
              <w:right w:val="nil"/>
            </w:tcBorders>
            <w:shd w:val="clear" w:color="auto" w:fill="auto"/>
            <w:vAlign w:val="bottom"/>
            <w:hideMark/>
          </w:tcPr>
          <w:p w14:paraId="6B91AB5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single" w:sz="6" w:space="0" w:color="auto"/>
              <w:left w:val="nil"/>
              <w:bottom w:val="nil"/>
              <w:right w:val="nil"/>
            </w:tcBorders>
            <w:shd w:val="clear" w:color="auto" w:fill="auto"/>
            <w:hideMark/>
          </w:tcPr>
          <w:p w14:paraId="4E68401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single" w:sz="6" w:space="0" w:color="auto"/>
              <w:left w:val="nil"/>
              <w:bottom w:val="nil"/>
              <w:right w:val="nil"/>
            </w:tcBorders>
            <w:shd w:val="clear" w:color="auto" w:fill="auto"/>
            <w:vAlign w:val="bottom"/>
            <w:hideMark/>
          </w:tcPr>
          <w:p w14:paraId="106E9D0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r>
      <w:tr w:rsidR="005B56C1" w:rsidRPr="00C672CD" w14:paraId="7D77397F" w14:textId="77777777">
        <w:trPr>
          <w:trHeight w:val="300"/>
        </w:trPr>
        <w:tc>
          <w:tcPr>
            <w:tcW w:w="2160" w:type="dxa"/>
            <w:tcBorders>
              <w:top w:val="nil"/>
              <w:left w:val="nil"/>
              <w:bottom w:val="nil"/>
              <w:right w:val="single" w:sz="6" w:space="0" w:color="auto"/>
            </w:tcBorders>
            <w:shd w:val="clear" w:color="auto" w:fill="auto"/>
            <w:vAlign w:val="bottom"/>
            <w:hideMark/>
          </w:tcPr>
          <w:p w14:paraId="2D40372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Not living with child </w:t>
            </w:r>
          </w:p>
        </w:tc>
        <w:tc>
          <w:tcPr>
            <w:tcW w:w="1095" w:type="dxa"/>
            <w:tcBorders>
              <w:top w:val="nil"/>
              <w:left w:val="single" w:sz="6" w:space="0" w:color="auto"/>
              <w:bottom w:val="nil"/>
              <w:right w:val="nil"/>
            </w:tcBorders>
            <w:shd w:val="clear" w:color="auto" w:fill="auto"/>
            <w:vAlign w:val="bottom"/>
            <w:hideMark/>
          </w:tcPr>
          <w:p w14:paraId="1390016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(0.977) </w:t>
            </w:r>
          </w:p>
        </w:tc>
        <w:tc>
          <w:tcPr>
            <w:tcW w:w="1095" w:type="dxa"/>
            <w:tcBorders>
              <w:top w:val="nil"/>
              <w:left w:val="nil"/>
              <w:bottom w:val="nil"/>
              <w:right w:val="nil"/>
            </w:tcBorders>
            <w:shd w:val="clear" w:color="auto" w:fill="auto"/>
            <w:vAlign w:val="bottom"/>
            <w:hideMark/>
          </w:tcPr>
          <w:p w14:paraId="16935F8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(0.994) </w:t>
            </w:r>
          </w:p>
        </w:tc>
        <w:tc>
          <w:tcPr>
            <w:tcW w:w="1095" w:type="dxa"/>
            <w:tcBorders>
              <w:top w:val="nil"/>
              <w:left w:val="nil"/>
              <w:bottom w:val="nil"/>
              <w:right w:val="nil"/>
            </w:tcBorders>
            <w:shd w:val="clear" w:color="auto" w:fill="auto"/>
            <w:vAlign w:val="bottom"/>
            <w:hideMark/>
          </w:tcPr>
          <w:p w14:paraId="2EC5A3D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(0.973) </w:t>
            </w:r>
          </w:p>
        </w:tc>
        <w:tc>
          <w:tcPr>
            <w:tcW w:w="1095" w:type="dxa"/>
            <w:tcBorders>
              <w:top w:val="nil"/>
              <w:left w:val="nil"/>
              <w:bottom w:val="nil"/>
              <w:right w:val="nil"/>
            </w:tcBorders>
            <w:shd w:val="clear" w:color="auto" w:fill="auto"/>
            <w:vAlign w:val="bottom"/>
            <w:hideMark/>
          </w:tcPr>
          <w:p w14:paraId="6F2ABC4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(0.960) </w:t>
            </w:r>
          </w:p>
        </w:tc>
        <w:tc>
          <w:tcPr>
            <w:tcW w:w="1095" w:type="dxa"/>
            <w:tcBorders>
              <w:top w:val="nil"/>
              <w:left w:val="nil"/>
              <w:bottom w:val="nil"/>
              <w:right w:val="nil"/>
            </w:tcBorders>
            <w:shd w:val="clear" w:color="auto" w:fill="auto"/>
            <w:vAlign w:val="bottom"/>
            <w:hideMark/>
          </w:tcPr>
          <w:p w14:paraId="5586D05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(0.955) </w:t>
            </w:r>
          </w:p>
        </w:tc>
        <w:tc>
          <w:tcPr>
            <w:tcW w:w="1095" w:type="dxa"/>
            <w:tcBorders>
              <w:top w:val="nil"/>
              <w:left w:val="nil"/>
              <w:bottom w:val="nil"/>
              <w:right w:val="nil"/>
            </w:tcBorders>
            <w:shd w:val="clear" w:color="auto" w:fill="auto"/>
            <w:vAlign w:val="bottom"/>
            <w:hideMark/>
          </w:tcPr>
          <w:p w14:paraId="2FF3182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(0.934) </w:t>
            </w:r>
          </w:p>
        </w:tc>
        <w:tc>
          <w:tcPr>
            <w:tcW w:w="1095" w:type="dxa"/>
            <w:tcBorders>
              <w:top w:val="nil"/>
              <w:left w:val="nil"/>
              <w:bottom w:val="nil"/>
              <w:right w:val="nil"/>
            </w:tcBorders>
            <w:shd w:val="clear" w:color="auto" w:fill="auto"/>
            <w:vAlign w:val="bottom"/>
            <w:hideMark/>
          </w:tcPr>
          <w:p w14:paraId="1BF38B9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(0.947) </w:t>
            </w:r>
          </w:p>
        </w:tc>
        <w:tc>
          <w:tcPr>
            <w:tcW w:w="1095" w:type="dxa"/>
            <w:tcBorders>
              <w:top w:val="nil"/>
              <w:left w:val="nil"/>
              <w:bottom w:val="nil"/>
              <w:right w:val="nil"/>
            </w:tcBorders>
            <w:shd w:val="clear" w:color="auto" w:fill="auto"/>
            <w:vAlign w:val="bottom"/>
            <w:hideMark/>
          </w:tcPr>
          <w:p w14:paraId="693F8C8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(0.936) </w:t>
            </w:r>
          </w:p>
        </w:tc>
        <w:tc>
          <w:tcPr>
            <w:tcW w:w="1095" w:type="dxa"/>
            <w:tcBorders>
              <w:top w:val="nil"/>
              <w:left w:val="nil"/>
              <w:bottom w:val="nil"/>
              <w:right w:val="nil"/>
            </w:tcBorders>
            <w:shd w:val="clear" w:color="auto" w:fill="auto"/>
            <w:vAlign w:val="bottom"/>
            <w:hideMark/>
          </w:tcPr>
          <w:p w14:paraId="45FFF5D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(0.970) </w:t>
            </w:r>
          </w:p>
        </w:tc>
        <w:tc>
          <w:tcPr>
            <w:tcW w:w="1095" w:type="dxa"/>
            <w:tcBorders>
              <w:top w:val="nil"/>
              <w:left w:val="nil"/>
              <w:bottom w:val="nil"/>
              <w:right w:val="nil"/>
            </w:tcBorders>
            <w:shd w:val="clear" w:color="auto" w:fill="auto"/>
            <w:vAlign w:val="bottom"/>
            <w:hideMark/>
          </w:tcPr>
          <w:p w14:paraId="0787BD5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(0.926) </w:t>
            </w:r>
          </w:p>
        </w:tc>
      </w:tr>
      <w:tr w:rsidR="005B56C1" w:rsidRPr="00C672CD" w14:paraId="1E808BFA" w14:textId="77777777">
        <w:trPr>
          <w:trHeight w:val="300"/>
        </w:trPr>
        <w:tc>
          <w:tcPr>
            <w:tcW w:w="2160" w:type="dxa"/>
            <w:tcBorders>
              <w:top w:val="nil"/>
              <w:left w:val="nil"/>
              <w:bottom w:val="nil"/>
              <w:right w:val="single" w:sz="6" w:space="0" w:color="auto"/>
            </w:tcBorders>
            <w:shd w:val="clear" w:color="auto" w:fill="auto"/>
            <w:vAlign w:val="bottom"/>
            <w:hideMark/>
          </w:tcPr>
          <w:p w14:paraId="61E5B23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Drug category: </w:t>
            </w:r>
          </w:p>
        </w:tc>
        <w:tc>
          <w:tcPr>
            <w:tcW w:w="1095" w:type="dxa"/>
            <w:tcBorders>
              <w:top w:val="nil"/>
              <w:left w:val="single" w:sz="6" w:space="0" w:color="auto"/>
              <w:bottom w:val="nil"/>
              <w:right w:val="nil"/>
            </w:tcBorders>
            <w:shd w:val="clear" w:color="auto" w:fill="auto"/>
            <w:vAlign w:val="bottom"/>
            <w:hideMark/>
          </w:tcPr>
          <w:p w14:paraId="43F4177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0636193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6472F22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28C1B15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29BC4BC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37B361C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77BB561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68E212F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43FF1F9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2D6BE01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r>
      <w:tr w:rsidR="005B56C1" w:rsidRPr="00C672CD" w14:paraId="1344DAD7" w14:textId="77777777">
        <w:trPr>
          <w:trHeight w:val="300"/>
        </w:trPr>
        <w:tc>
          <w:tcPr>
            <w:tcW w:w="2160" w:type="dxa"/>
            <w:tcBorders>
              <w:top w:val="nil"/>
              <w:left w:val="nil"/>
              <w:bottom w:val="nil"/>
              <w:right w:val="single" w:sz="6" w:space="0" w:color="auto"/>
            </w:tcBorders>
            <w:shd w:val="clear" w:color="auto" w:fill="auto"/>
            <w:vAlign w:val="bottom"/>
            <w:hideMark/>
          </w:tcPr>
          <w:p w14:paraId="4486C37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Alcohol and non-OU </w:t>
            </w:r>
          </w:p>
        </w:tc>
        <w:tc>
          <w:tcPr>
            <w:tcW w:w="1095" w:type="dxa"/>
            <w:tcBorders>
              <w:top w:val="nil"/>
              <w:left w:val="single" w:sz="6" w:space="0" w:color="auto"/>
              <w:bottom w:val="nil"/>
              <w:right w:val="nil"/>
            </w:tcBorders>
            <w:shd w:val="clear" w:color="auto" w:fill="auto"/>
            <w:vAlign w:val="bottom"/>
            <w:hideMark/>
          </w:tcPr>
          <w:p w14:paraId="0104CD2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0.023 (0.985) </w:t>
            </w:r>
          </w:p>
        </w:tc>
        <w:tc>
          <w:tcPr>
            <w:tcW w:w="1095" w:type="dxa"/>
            <w:tcBorders>
              <w:top w:val="nil"/>
              <w:left w:val="nil"/>
              <w:bottom w:val="nil"/>
              <w:right w:val="nil"/>
            </w:tcBorders>
            <w:shd w:val="clear" w:color="auto" w:fill="auto"/>
            <w:vAlign w:val="bottom"/>
            <w:hideMark/>
          </w:tcPr>
          <w:p w14:paraId="303EF16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0.023 (0.992) </w:t>
            </w:r>
          </w:p>
        </w:tc>
        <w:tc>
          <w:tcPr>
            <w:tcW w:w="1095" w:type="dxa"/>
            <w:tcBorders>
              <w:top w:val="nil"/>
              <w:left w:val="nil"/>
              <w:bottom w:val="nil"/>
              <w:right w:val="nil"/>
            </w:tcBorders>
            <w:shd w:val="clear" w:color="auto" w:fill="auto"/>
            <w:vAlign w:val="bottom"/>
            <w:hideMark/>
          </w:tcPr>
          <w:p w14:paraId="79BF40D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0.023 (0.995) </w:t>
            </w:r>
          </w:p>
        </w:tc>
        <w:tc>
          <w:tcPr>
            <w:tcW w:w="1095" w:type="dxa"/>
            <w:tcBorders>
              <w:top w:val="nil"/>
              <w:left w:val="nil"/>
              <w:bottom w:val="nil"/>
              <w:right w:val="nil"/>
            </w:tcBorders>
            <w:shd w:val="clear" w:color="auto" w:fill="auto"/>
            <w:vAlign w:val="bottom"/>
            <w:hideMark/>
          </w:tcPr>
          <w:p w14:paraId="3927C10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0.023 (1.000) </w:t>
            </w:r>
          </w:p>
        </w:tc>
        <w:tc>
          <w:tcPr>
            <w:tcW w:w="1095" w:type="dxa"/>
            <w:tcBorders>
              <w:top w:val="nil"/>
              <w:left w:val="nil"/>
              <w:bottom w:val="nil"/>
              <w:right w:val="nil"/>
            </w:tcBorders>
            <w:shd w:val="clear" w:color="auto" w:fill="auto"/>
            <w:vAlign w:val="bottom"/>
            <w:hideMark/>
          </w:tcPr>
          <w:p w14:paraId="4524F2E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0.023 (0.985) </w:t>
            </w:r>
          </w:p>
        </w:tc>
        <w:tc>
          <w:tcPr>
            <w:tcW w:w="1095" w:type="dxa"/>
            <w:tcBorders>
              <w:top w:val="nil"/>
              <w:left w:val="nil"/>
              <w:bottom w:val="nil"/>
              <w:right w:val="nil"/>
            </w:tcBorders>
            <w:shd w:val="clear" w:color="auto" w:fill="auto"/>
            <w:vAlign w:val="bottom"/>
            <w:hideMark/>
          </w:tcPr>
          <w:p w14:paraId="358734B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0.023 (0.997) </w:t>
            </w:r>
          </w:p>
        </w:tc>
        <w:tc>
          <w:tcPr>
            <w:tcW w:w="1095" w:type="dxa"/>
            <w:tcBorders>
              <w:top w:val="nil"/>
              <w:left w:val="nil"/>
              <w:bottom w:val="nil"/>
              <w:right w:val="nil"/>
            </w:tcBorders>
            <w:shd w:val="clear" w:color="auto" w:fill="auto"/>
            <w:vAlign w:val="bottom"/>
            <w:hideMark/>
          </w:tcPr>
          <w:p w14:paraId="1EFE8EE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0.023 (0.994) </w:t>
            </w:r>
          </w:p>
        </w:tc>
        <w:tc>
          <w:tcPr>
            <w:tcW w:w="1095" w:type="dxa"/>
            <w:tcBorders>
              <w:top w:val="nil"/>
              <w:left w:val="nil"/>
              <w:bottom w:val="nil"/>
              <w:right w:val="nil"/>
            </w:tcBorders>
            <w:shd w:val="clear" w:color="auto" w:fill="auto"/>
            <w:vAlign w:val="bottom"/>
            <w:hideMark/>
          </w:tcPr>
          <w:p w14:paraId="26BBEFE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0.023 (0.993) </w:t>
            </w:r>
          </w:p>
        </w:tc>
        <w:tc>
          <w:tcPr>
            <w:tcW w:w="1095" w:type="dxa"/>
            <w:tcBorders>
              <w:top w:val="nil"/>
              <w:left w:val="nil"/>
              <w:bottom w:val="nil"/>
              <w:right w:val="nil"/>
            </w:tcBorders>
            <w:shd w:val="clear" w:color="auto" w:fill="auto"/>
            <w:vAlign w:val="bottom"/>
            <w:hideMark/>
          </w:tcPr>
          <w:p w14:paraId="12EF6A8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0.023 (0.996) </w:t>
            </w:r>
          </w:p>
        </w:tc>
        <w:tc>
          <w:tcPr>
            <w:tcW w:w="1095" w:type="dxa"/>
            <w:tcBorders>
              <w:top w:val="nil"/>
              <w:left w:val="nil"/>
              <w:bottom w:val="nil"/>
              <w:right w:val="nil"/>
            </w:tcBorders>
            <w:shd w:val="clear" w:color="auto" w:fill="auto"/>
            <w:vAlign w:val="bottom"/>
            <w:hideMark/>
          </w:tcPr>
          <w:p w14:paraId="05D68F5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0.023 (0.998) </w:t>
            </w:r>
          </w:p>
        </w:tc>
      </w:tr>
      <w:tr w:rsidR="005B56C1" w:rsidRPr="00C672CD" w14:paraId="0AD7BB8E" w14:textId="77777777">
        <w:trPr>
          <w:trHeight w:val="300"/>
        </w:trPr>
        <w:tc>
          <w:tcPr>
            <w:tcW w:w="2160" w:type="dxa"/>
            <w:tcBorders>
              <w:top w:val="nil"/>
              <w:left w:val="nil"/>
              <w:bottom w:val="nil"/>
              <w:right w:val="single" w:sz="6" w:space="0" w:color="auto"/>
            </w:tcBorders>
            <w:shd w:val="clear" w:color="auto" w:fill="auto"/>
            <w:vAlign w:val="bottom"/>
            <w:hideMark/>
          </w:tcPr>
          <w:p w14:paraId="538C175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OU  </w:t>
            </w:r>
          </w:p>
        </w:tc>
        <w:tc>
          <w:tcPr>
            <w:tcW w:w="1095" w:type="dxa"/>
            <w:tcBorders>
              <w:top w:val="nil"/>
              <w:left w:val="single" w:sz="6" w:space="0" w:color="auto"/>
              <w:bottom w:val="nil"/>
              <w:right w:val="nil"/>
            </w:tcBorders>
            <w:shd w:val="clear" w:color="auto" w:fill="auto"/>
            <w:vAlign w:val="bottom"/>
            <w:hideMark/>
          </w:tcPr>
          <w:p w14:paraId="4069198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0.021 (0.986) </w:t>
            </w:r>
          </w:p>
        </w:tc>
        <w:tc>
          <w:tcPr>
            <w:tcW w:w="1095" w:type="dxa"/>
            <w:tcBorders>
              <w:top w:val="nil"/>
              <w:left w:val="nil"/>
              <w:bottom w:val="nil"/>
              <w:right w:val="nil"/>
            </w:tcBorders>
            <w:shd w:val="clear" w:color="auto" w:fill="auto"/>
            <w:vAlign w:val="bottom"/>
            <w:hideMark/>
          </w:tcPr>
          <w:p w14:paraId="1B0572F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0.021 (0.957) </w:t>
            </w:r>
          </w:p>
        </w:tc>
        <w:tc>
          <w:tcPr>
            <w:tcW w:w="1095" w:type="dxa"/>
            <w:tcBorders>
              <w:top w:val="nil"/>
              <w:left w:val="nil"/>
              <w:bottom w:val="nil"/>
              <w:right w:val="nil"/>
            </w:tcBorders>
            <w:shd w:val="clear" w:color="auto" w:fill="auto"/>
            <w:vAlign w:val="bottom"/>
            <w:hideMark/>
          </w:tcPr>
          <w:p w14:paraId="3B1736A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0.021 (0.968) </w:t>
            </w:r>
          </w:p>
        </w:tc>
        <w:tc>
          <w:tcPr>
            <w:tcW w:w="1095" w:type="dxa"/>
            <w:tcBorders>
              <w:top w:val="nil"/>
              <w:left w:val="nil"/>
              <w:bottom w:val="nil"/>
              <w:right w:val="nil"/>
            </w:tcBorders>
            <w:shd w:val="clear" w:color="auto" w:fill="auto"/>
            <w:vAlign w:val="bottom"/>
            <w:hideMark/>
          </w:tcPr>
          <w:p w14:paraId="049994B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0.021 (0.999) </w:t>
            </w:r>
          </w:p>
        </w:tc>
        <w:tc>
          <w:tcPr>
            <w:tcW w:w="1095" w:type="dxa"/>
            <w:tcBorders>
              <w:top w:val="nil"/>
              <w:left w:val="nil"/>
              <w:bottom w:val="nil"/>
              <w:right w:val="nil"/>
            </w:tcBorders>
            <w:shd w:val="clear" w:color="auto" w:fill="auto"/>
            <w:vAlign w:val="bottom"/>
            <w:hideMark/>
          </w:tcPr>
          <w:p w14:paraId="12EB12B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0.021 (0.990) </w:t>
            </w:r>
          </w:p>
        </w:tc>
        <w:tc>
          <w:tcPr>
            <w:tcW w:w="1095" w:type="dxa"/>
            <w:tcBorders>
              <w:top w:val="nil"/>
              <w:left w:val="nil"/>
              <w:bottom w:val="nil"/>
              <w:right w:val="nil"/>
            </w:tcBorders>
            <w:shd w:val="clear" w:color="auto" w:fill="auto"/>
            <w:vAlign w:val="bottom"/>
            <w:hideMark/>
          </w:tcPr>
          <w:p w14:paraId="5F39AEF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0.021 (0.981) </w:t>
            </w:r>
          </w:p>
        </w:tc>
        <w:tc>
          <w:tcPr>
            <w:tcW w:w="1095" w:type="dxa"/>
            <w:tcBorders>
              <w:top w:val="nil"/>
              <w:left w:val="nil"/>
              <w:bottom w:val="nil"/>
              <w:right w:val="nil"/>
            </w:tcBorders>
            <w:shd w:val="clear" w:color="auto" w:fill="auto"/>
            <w:vAlign w:val="bottom"/>
            <w:hideMark/>
          </w:tcPr>
          <w:p w14:paraId="42FA850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0.021 (0.995) </w:t>
            </w:r>
          </w:p>
        </w:tc>
        <w:tc>
          <w:tcPr>
            <w:tcW w:w="1095" w:type="dxa"/>
            <w:tcBorders>
              <w:top w:val="nil"/>
              <w:left w:val="nil"/>
              <w:bottom w:val="nil"/>
              <w:right w:val="nil"/>
            </w:tcBorders>
            <w:shd w:val="clear" w:color="auto" w:fill="auto"/>
            <w:vAlign w:val="bottom"/>
            <w:hideMark/>
          </w:tcPr>
          <w:p w14:paraId="1FCD95E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0.021 (0.959) </w:t>
            </w:r>
          </w:p>
        </w:tc>
        <w:tc>
          <w:tcPr>
            <w:tcW w:w="1095" w:type="dxa"/>
            <w:tcBorders>
              <w:top w:val="nil"/>
              <w:left w:val="nil"/>
              <w:bottom w:val="nil"/>
              <w:right w:val="nil"/>
            </w:tcBorders>
            <w:shd w:val="clear" w:color="auto" w:fill="auto"/>
            <w:vAlign w:val="bottom"/>
            <w:hideMark/>
          </w:tcPr>
          <w:p w14:paraId="2CFCF2F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0.021 (0.975) </w:t>
            </w:r>
          </w:p>
        </w:tc>
        <w:tc>
          <w:tcPr>
            <w:tcW w:w="1095" w:type="dxa"/>
            <w:tcBorders>
              <w:top w:val="nil"/>
              <w:left w:val="nil"/>
              <w:bottom w:val="nil"/>
              <w:right w:val="nil"/>
            </w:tcBorders>
            <w:shd w:val="clear" w:color="auto" w:fill="auto"/>
            <w:vAlign w:val="bottom"/>
            <w:hideMark/>
          </w:tcPr>
          <w:p w14:paraId="7F02007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0.021 (0.978) </w:t>
            </w:r>
          </w:p>
        </w:tc>
      </w:tr>
      <w:tr w:rsidR="005B56C1" w:rsidRPr="00C672CD" w14:paraId="488BABE7" w14:textId="77777777">
        <w:trPr>
          <w:trHeight w:val="300"/>
        </w:trPr>
        <w:tc>
          <w:tcPr>
            <w:tcW w:w="2160" w:type="dxa"/>
            <w:tcBorders>
              <w:top w:val="nil"/>
              <w:left w:val="nil"/>
              <w:bottom w:val="nil"/>
              <w:right w:val="single" w:sz="6" w:space="0" w:color="auto"/>
            </w:tcBorders>
            <w:shd w:val="clear" w:color="auto" w:fill="auto"/>
            <w:vAlign w:val="bottom"/>
            <w:hideMark/>
          </w:tcPr>
          <w:p w14:paraId="1142FB9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Alcohol only </w:t>
            </w:r>
          </w:p>
        </w:tc>
        <w:tc>
          <w:tcPr>
            <w:tcW w:w="1095" w:type="dxa"/>
            <w:tcBorders>
              <w:top w:val="nil"/>
              <w:left w:val="single" w:sz="6" w:space="0" w:color="auto"/>
              <w:bottom w:val="nil"/>
              <w:right w:val="nil"/>
            </w:tcBorders>
            <w:shd w:val="clear" w:color="auto" w:fill="auto"/>
            <w:vAlign w:val="bottom"/>
            <w:hideMark/>
          </w:tcPr>
          <w:p w14:paraId="51BADB3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0.020 (0.974) </w:t>
            </w:r>
          </w:p>
        </w:tc>
        <w:tc>
          <w:tcPr>
            <w:tcW w:w="1095" w:type="dxa"/>
            <w:tcBorders>
              <w:top w:val="nil"/>
              <w:left w:val="nil"/>
              <w:bottom w:val="nil"/>
              <w:right w:val="nil"/>
            </w:tcBorders>
            <w:shd w:val="clear" w:color="auto" w:fill="auto"/>
            <w:vAlign w:val="bottom"/>
            <w:hideMark/>
          </w:tcPr>
          <w:p w14:paraId="0878EDD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0.020 (0.976) </w:t>
            </w:r>
          </w:p>
        </w:tc>
        <w:tc>
          <w:tcPr>
            <w:tcW w:w="1095" w:type="dxa"/>
            <w:tcBorders>
              <w:top w:val="nil"/>
              <w:left w:val="nil"/>
              <w:bottom w:val="nil"/>
              <w:right w:val="nil"/>
            </w:tcBorders>
            <w:shd w:val="clear" w:color="auto" w:fill="auto"/>
            <w:vAlign w:val="bottom"/>
            <w:hideMark/>
          </w:tcPr>
          <w:p w14:paraId="22499D5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0.020 (0.994) </w:t>
            </w:r>
          </w:p>
        </w:tc>
        <w:tc>
          <w:tcPr>
            <w:tcW w:w="1095" w:type="dxa"/>
            <w:tcBorders>
              <w:top w:val="nil"/>
              <w:left w:val="nil"/>
              <w:bottom w:val="nil"/>
              <w:right w:val="nil"/>
            </w:tcBorders>
            <w:shd w:val="clear" w:color="auto" w:fill="auto"/>
            <w:vAlign w:val="bottom"/>
            <w:hideMark/>
          </w:tcPr>
          <w:p w14:paraId="7D26B21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0.020 (0.986) </w:t>
            </w:r>
          </w:p>
        </w:tc>
        <w:tc>
          <w:tcPr>
            <w:tcW w:w="1095" w:type="dxa"/>
            <w:tcBorders>
              <w:top w:val="nil"/>
              <w:left w:val="nil"/>
              <w:bottom w:val="nil"/>
              <w:right w:val="nil"/>
            </w:tcBorders>
            <w:shd w:val="clear" w:color="auto" w:fill="auto"/>
            <w:vAlign w:val="bottom"/>
            <w:hideMark/>
          </w:tcPr>
          <w:p w14:paraId="508B8DE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0.020 (0.969) </w:t>
            </w:r>
          </w:p>
        </w:tc>
        <w:tc>
          <w:tcPr>
            <w:tcW w:w="1095" w:type="dxa"/>
            <w:tcBorders>
              <w:top w:val="nil"/>
              <w:left w:val="nil"/>
              <w:bottom w:val="nil"/>
              <w:right w:val="nil"/>
            </w:tcBorders>
            <w:shd w:val="clear" w:color="auto" w:fill="auto"/>
            <w:vAlign w:val="bottom"/>
            <w:hideMark/>
          </w:tcPr>
          <w:p w14:paraId="14D087F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0.020 (0.993) </w:t>
            </w:r>
          </w:p>
        </w:tc>
        <w:tc>
          <w:tcPr>
            <w:tcW w:w="1095" w:type="dxa"/>
            <w:tcBorders>
              <w:top w:val="nil"/>
              <w:left w:val="nil"/>
              <w:bottom w:val="nil"/>
              <w:right w:val="nil"/>
            </w:tcBorders>
            <w:shd w:val="clear" w:color="auto" w:fill="auto"/>
            <w:vAlign w:val="bottom"/>
            <w:hideMark/>
          </w:tcPr>
          <w:p w14:paraId="1EFC60B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0.020 (1.000) </w:t>
            </w:r>
          </w:p>
        </w:tc>
        <w:tc>
          <w:tcPr>
            <w:tcW w:w="1095" w:type="dxa"/>
            <w:tcBorders>
              <w:top w:val="nil"/>
              <w:left w:val="nil"/>
              <w:bottom w:val="nil"/>
              <w:right w:val="nil"/>
            </w:tcBorders>
            <w:shd w:val="clear" w:color="auto" w:fill="auto"/>
            <w:vAlign w:val="bottom"/>
            <w:hideMark/>
          </w:tcPr>
          <w:p w14:paraId="5317852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0.020 (0.997) </w:t>
            </w:r>
          </w:p>
        </w:tc>
        <w:tc>
          <w:tcPr>
            <w:tcW w:w="1095" w:type="dxa"/>
            <w:tcBorders>
              <w:top w:val="nil"/>
              <w:left w:val="nil"/>
              <w:bottom w:val="nil"/>
              <w:right w:val="nil"/>
            </w:tcBorders>
            <w:shd w:val="clear" w:color="auto" w:fill="auto"/>
            <w:vAlign w:val="bottom"/>
            <w:hideMark/>
          </w:tcPr>
          <w:p w14:paraId="485D05B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0.020 (0.974) </w:t>
            </w:r>
          </w:p>
        </w:tc>
        <w:tc>
          <w:tcPr>
            <w:tcW w:w="1095" w:type="dxa"/>
            <w:tcBorders>
              <w:top w:val="nil"/>
              <w:left w:val="nil"/>
              <w:bottom w:val="nil"/>
              <w:right w:val="nil"/>
            </w:tcBorders>
            <w:shd w:val="clear" w:color="auto" w:fill="auto"/>
            <w:vAlign w:val="bottom"/>
            <w:hideMark/>
          </w:tcPr>
          <w:p w14:paraId="33B1D6D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0.020 (0.984) </w:t>
            </w:r>
          </w:p>
        </w:tc>
      </w:tr>
      <w:tr w:rsidR="005B56C1" w:rsidRPr="00C672CD" w14:paraId="525734A7" w14:textId="77777777">
        <w:trPr>
          <w:trHeight w:val="300"/>
        </w:trPr>
        <w:tc>
          <w:tcPr>
            <w:tcW w:w="2160" w:type="dxa"/>
            <w:tcBorders>
              <w:top w:val="nil"/>
              <w:left w:val="nil"/>
              <w:bottom w:val="nil"/>
              <w:right w:val="single" w:sz="6" w:space="0" w:color="auto"/>
            </w:tcBorders>
            <w:shd w:val="clear" w:color="auto" w:fill="auto"/>
            <w:vAlign w:val="bottom"/>
            <w:hideMark/>
          </w:tcPr>
          <w:p w14:paraId="314EA6C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Intervention: </w:t>
            </w:r>
          </w:p>
        </w:tc>
        <w:tc>
          <w:tcPr>
            <w:tcW w:w="1095" w:type="dxa"/>
            <w:tcBorders>
              <w:top w:val="nil"/>
              <w:left w:val="single" w:sz="6" w:space="0" w:color="auto"/>
              <w:bottom w:val="nil"/>
              <w:right w:val="nil"/>
            </w:tcBorders>
            <w:shd w:val="clear" w:color="auto" w:fill="auto"/>
            <w:vAlign w:val="bottom"/>
            <w:hideMark/>
          </w:tcPr>
          <w:p w14:paraId="3161867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0570A9C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4E2EC8C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73D97A0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792BEC9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2520023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5802F6F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04C83D0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10DA790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c>
          <w:tcPr>
            <w:tcW w:w="1095" w:type="dxa"/>
            <w:tcBorders>
              <w:top w:val="nil"/>
              <w:left w:val="nil"/>
              <w:bottom w:val="nil"/>
              <w:right w:val="nil"/>
            </w:tcBorders>
            <w:shd w:val="clear" w:color="auto" w:fill="auto"/>
            <w:vAlign w:val="bottom"/>
            <w:hideMark/>
          </w:tcPr>
          <w:p w14:paraId="2861FDE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w:t>
            </w:r>
          </w:p>
        </w:tc>
      </w:tr>
      <w:tr w:rsidR="005B56C1" w:rsidRPr="00C672CD" w14:paraId="25BF6D72" w14:textId="77777777">
        <w:trPr>
          <w:trHeight w:val="300"/>
        </w:trPr>
        <w:tc>
          <w:tcPr>
            <w:tcW w:w="2160" w:type="dxa"/>
            <w:tcBorders>
              <w:top w:val="nil"/>
              <w:left w:val="nil"/>
              <w:bottom w:val="nil"/>
              <w:right w:val="single" w:sz="6" w:space="0" w:color="auto"/>
            </w:tcBorders>
            <w:shd w:val="clear" w:color="auto" w:fill="auto"/>
            <w:vAlign w:val="bottom"/>
            <w:hideMark/>
          </w:tcPr>
          <w:p w14:paraId="768BD66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Family help </w:t>
            </w:r>
          </w:p>
        </w:tc>
        <w:tc>
          <w:tcPr>
            <w:tcW w:w="1095" w:type="dxa"/>
            <w:tcBorders>
              <w:top w:val="nil"/>
              <w:left w:val="single" w:sz="6" w:space="0" w:color="auto"/>
              <w:bottom w:val="nil"/>
              <w:right w:val="nil"/>
            </w:tcBorders>
            <w:shd w:val="clear" w:color="auto" w:fill="auto"/>
            <w:vAlign w:val="bottom"/>
            <w:hideMark/>
          </w:tcPr>
          <w:p w14:paraId="6DAD81F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(0.807) </w:t>
            </w:r>
          </w:p>
        </w:tc>
        <w:tc>
          <w:tcPr>
            <w:tcW w:w="1095" w:type="dxa"/>
            <w:tcBorders>
              <w:top w:val="nil"/>
              <w:left w:val="nil"/>
              <w:bottom w:val="nil"/>
              <w:right w:val="nil"/>
            </w:tcBorders>
            <w:shd w:val="clear" w:color="auto" w:fill="auto"/>
            <w:vAlign w:val="bottom"/>
            <w:hideMark/>
          </w:tcPr>
          <w:p w14:paraId="3460ACE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(0.666) </w:t>
            </w:r>
          </w:p>
        </w:tc>
        <w:tc>
          <w:tcPr>
            <w:tcW w:w="1095" w:type="dxa"/>
            <w:tcBorders>
              <w:top w:val="nil"/>
              <w:left w:val="nil"/>
              <w:bottom w:val="nil"/>
              <w:right w:val="nil"/>
            </w:tcBorders>
            <w:shd w:val="clear" w:color="auto" w:fill="auto"/>
            <w:vAlign w:val="bottom"/>
            <w:hideMark/>
          </w:tcPr>
          <w:p w14:paraId="7BD5628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(0.816) </w:t>
            </w:r>
          </w:p>
        </w:tc>
        <w:tc>
          <w:tcPr>
            <w:tcW w:w="1095" w:type="dxa"/>
            <w:tcBorders>
              <w:top w:val="nil"/>
              <w:left w:val="nil"/>
              <w:bottom w:val="nil"/>
              <w:right w:val="nil"/>
            </w:tcBorders>
            <w:shd w:val="clear" w:color="auto" w:fill="auto"/>
            <w:vAlign w:val="bottom"/>
            <w:hideMark/>
          </w:tcPr>
          <w:p w14:paraId="443265C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(0.849) </w:t>
            </w:r>
          </w:p>
        </w:tc>
        <w:tc>
          <w:tcPr>
            <w:tcW w:w="1095" w:type="dxa"/>
            <w:tcBorders>
              <w:top w:val="nil"/>
              <w:left w:val="nil"/>
              <w:bottom w:val="nil"/>
              <w:right w:val="nil"/>
            </w:tcBorders>
            <w:shd w:val="clear" w:color="auto" w:fill="auto"/>
            <w:vAlign w:val="bottom"/>
            <w:hideMark/>
          </w:tcPr>
          <w:p w14:paraId="5C778A1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(0.980) </w:t>
            </w:r>
          </w:p>
        </w:tc>
        <w:tc>
          <w:tcPr>
            <w:tcW w:w="1095" w:type="dxa"/>
            <w:tcBorders>
              <w:top w:val="nil"/>
              <w:left w:val="nil"/>
              <w:bottom w:val="nil"/>
              <w:right w:val="nil"/>
            </w:tcBorders>
            <w:shd w:val="clear" w:color="auto" w:fill="auto"/>
            <w:vAlign w:val="bottom"/>
            <w:hideMark/>
          </w:tcPr>
          <w:p w14:paraId="70F9656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(0.685) </w:t>
            </w:r>
          </w:p>
        </w:tc>
        <w:tc>
          <w:tcPr>
            <w:tcW w:w="1095" w:type="dxa"/>
            <w:tcBorders>
              <w:top w:val="nil"/>
              <w:left w:val="nil"/>
              <w:bottom w:val="nil"/>
              <w:right w:val="nil"/>
            </w:tcBorders>
            <w:shd w:val="clear" w:color="auto" w:fill="auto"/>
            <w:vAlign w:val="bottom"/>
            <w:hideMark/>
          </w:tcPr>
          <w:p w14:paraId="2AB4F4F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(0.809) </w:t>
            </w:r>
          </w:p>
        </w:tc>
        <w:tc>
          <w:tcPr>
            <w:tcW w:w="1095" w:type="dxa"/>
            <w:tcBorders>
              <w:top w:val="nil"/>
              <w:left w:val="nil"/>
              <w:bottom w:val="nil"/>
              <w:right w:val="nil"/>
            </w:tcBorders>
            <w:shd w:val="clear" w:color="auto" w:fill="auto"/>
            <w:vAlign w:val="bottom"/>
            <w:hideMark/>
          </w:tcPr>
          <w:p w14:paraId="7B2696F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(0.997) </w:t>
            </w:r>
          </w:p>
        </w:tc>
        <w:tc>
          <w:tcPr>
            <w:tcW w:w="1095" w:type="dxa"/>
            <w:tcBorders>
              <w:top w:val="nil"/>
              <w:left w:val="nil"/>
              <w:bottom w:val="nil"/>
              <w:right w:val="nil"/>
            </w:tcBorders>
            <w:shd w:val="clear" w:color="auto" w:fill="auto"/>
            <w:vAlign w:val="bottom"/>
            <w:hideMark/>
          </w:tcPr>
          <w:p w14:paraId="127BAAB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(0.954) </w:t>
            </w:r>
          </w:p>
        </w:tc>
        <w:tc>
          <w:tcPr>
            <w:tcW w:w="1095" w:type="dxa"/>
            <w:tcBorders>
              <w:top w:val="nil"/>
              <w:left w:val="nil"/>
              <w:bottom w:val="nil"/>
              <w:right w:val="nil"/>
            </w:tcBorders>
            <w:shd w:val="clear" w:color="auto" w:fill="auto"/>
            <w:vAlign w:val="bottom"/>
            <w:hideMark/>
          </w:tcPr>
          <w:p w14:paraId="2D515F3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(0.856) </w:t>
            </w:r>
          </w:p>
        </w:tc>
      </w:tr>
      <w:tr w:rsidR="005B56C1" w:rsidRPr="00C672CD" w14:paraId="77AD9C38" w14:textId="77777777">
        <w:trPr>
          <w:trHeight w:val="300"/>
        </w:trPr>
        <w:tc>
          <w:tcPr>
            <w:tcW w:w="2160" w:type="dxa"/>
            <w:tcBorders>
              <w:top w:val="nil"/>
              <w:left w:val="nil"/>
              <w:bottom w:val="nil"/>
              <w:right w:val="single" w:sz="6" w:space="0" w:color="auto"/>
            </w:tcBorders>
            <w:shd w:val="clear" w:color="auto" w:fill="auto"/>
            <w:vAlign w:val="bottom"/>
            <w:hideMark/>
          </w:tcPr>
          <w:p w14:paraId="3BD6706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      Intensive  </w:t>
            </w:r>
          </w:p>
        </w:tc>
        <w:tc>
          <w:tcPr>
            <w:tcW w:w="1095" w:type="dxa"/>
            <w:tcBorders>
              <w:top w:val="nil"/>
              <w:left w:val="single" w:sz="6" w:space="0" w:color="auto"/>
              <w:bottom w:val="nil"/>
              <w:right w:val="nil"/>
            </w:tcBorders>
            <w:shd w:val="clear" w:color="auto" w:fill="auto"/>
            <w:vAlign w:val="bottom"/>
            <w:hideMark/>
          </w:tcPr>
          <w:p w14:paraId="2CA3E06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(0.690) </w:t>
            </w:r>
          </w:p>
        </w:tc>
        <w:tc>
          <w:tcPr>
            <w:tcW w:w="1095" w:type="dxa"/>
            <w:tcBorders>
              <w:top w:val="nil"/>
              <w:left w:val="nil"/>
              <w:bottom w:val="nil"/>
              <w:right w:val="nil"/>
            </w:tcBorders>
            <w:shd w:val="clear" w:color="auto" w:fill="auto"/>
            <w:vAlign w:val="bottom"/>
            <w:hideMark/>
          </w:tcPr>
          <w:p w14:paraId="25E4FBA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(0.688) </w:t>
            </w:r>
          </w:p>
        </w:tc>
        <w:tc>
          <w:tcPr>
            <w:tcW w:w="1095" w:type="dxa"/>
            <w:tcBorders>
              <w:top w:val="nil"/>
              <w:left w:val="nil"/>
              <w:bottom w:val="nil"/>
              <w:right w:val="nil"/>
            </w:tcBorders>
            <w:shd w:val="clear" w:color="auto" w:fill="auto"/>
            <w:vAlign w:val="bottom"/>
            <w:hideMark/>
          </w:tcPr>
          <w:p w14:paraId="5C980C6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(0.968) </w:t>
            </w:r>
          </w:p>
        </w:tc>
        <w:tc>
          <w:tcPr>
            <w:tcW w:w="1095" w:type="dxa"/>
            <w:tcBorders>
              <w:top w:val="nil"/>
              <w:left w:val="nil"/>
              <w:bottom w:val="nil"/>
              <w:right w:val="nil"/>
            </w:tcBorders>
            <w:shd w:val="clear" w:color="auto" w:fill="auto"/>
            <w:vAlign w:val="bottom"/>
            <w:hideMark/>
          </w:tcPr>
          <w:p w14:paraId="50202B6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(0.864) </w:t>
            </w:r>
          </w:p>
        </w:tc>
        <w:tc>
          <w:tcPr>
            <w:tcW w:w="1095" w:type="dxa"/>
            <w:tcBorders>
              <w:top w:val="nil"/>
              <w:left w:val="nil"/>
              <w:bottom w:val="nil"/>
              <w:right w:val="nil"/>
            </w:tcBorders>
            <w:shd w:val="clear" w:color="auto" w:fill="auto"/>
            <w:vAlign w:val="bottom"/>
            <w:hideMark/>
          </w:tcPr>
          <w:p w14:paraId="7D2EB8E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(0.787) </w:t>
            </w:r>
          </w:p>
        </w:tc>
        <w:tc>
          <w:tcPr>
            <w:tcW w:w="1095" w:type="dxa"/>
            <w:tcBorders>
              <w:top w:val="nil"/>
              <w:left w:val="nil"/>
              <w:bottom w:val="nil"/>
              <w:right w:val="nil"/>
            </w:tcBorders>
            <w:shd w:val="clear" w:color="auto" w:fill="auto"/>
            <w:vAlign w:val="bottom"/>
            <w:hideMark/>
          </w:tcPr>
          <w:p w14:paraId="0479757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(0.964) </w:t>
            </w:r>
          </w:p>
        </w:tc>
        <w:tc>
          <w:tcPr>
            <w:tcW w:w="1095" w:type="dxa"/>
            <w:tcBorders>
              <w:top w:val="nil"/>
              <w:left w:val="nil"/>
              <w:bottom w:val="nil"/>
              <w:right w:val="nil"/>
            </w:tcBorders>
            <w:shd w:val="clear" w:color="auto" w:fill="auto"/>
            <w:vAlign w:val="bottom"/>
            <w:hideMark/>
          </w:tcPr>
          <w:p w14:paraId="429C9C4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(0.927) </w:t>
            </w:r>
          </w:p>
        </w:tc>
        <w:tc>
          <w:tcPr>
            <w:tcW w:w="1095" w:type="dxa"/>
            <w:tcBorders>
              <w:top w:val="nil"/>
              <w:left w:val="nil"/>
              <w:bottom w:val="nil"/>
              <w:right w:val="nil"/>
            </w:tcBorders>
            <w:shd w:val="clear" w:color="auto" w:fill="auto"/>
            <w:vAlign w:val="bottom"/>
            <w:hideMark/>
          </w:tcPr>
          <w:p w14:paraId="0D23B97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(0.905) </w:t>
            </w:r>
          </w:p>
        </w:tc>
        <w:tc>
          <w:tcPr>
            <w:tcW w:w="1095" w:type="dxa"/>
            <w:tcBorders>
              <w:top w:val="nil"/>
              <w:left w:val="nil"/>
              <w:bottom w:val="nil"/>
              <w:right w:val="nil"/>
            </w:tcBorders>
            <w:shd w:val="clear" w:color="auto" w:fill="auto"/>
            <w:vAlign w:val="bottom"/>
            <w:hideMark/>
          </w:tcPr>
          <w:p w14:paraId="2E8EDF2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(0.827) </w:t>
            </w:r>
          </w:p>
        </w:tc>
        <w:tc>
          <w:tcPr>
            <w:tcW w:w="1095" w:type="dxa"/>
            <w:tcBorders>
              <w:top w:val="nil"/>
              <w:left w:val="nil"/>
              <w:bottom w:val="nil"/>
              <w:right w:val="nil"/>
            </w:tcBorders>
            <w:shd w:val="clear" w:color="auto" w:fill="auto"/>
            <w:vAlign w:val="bottom"/>
            <w:hideMark/>
          </w:tcPr>
          <w:p w14:paraId="3A12A0B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0.019 (0.932) </w:t>
            </w:r>
          </w:p>
        </w:tc>
      </w:tr>
      <w:tr w:rsidR="005B56C1" w:rsidRPr="00C672CD" w14:paraId="60833171" w14:textId="77777777">
        <w:trPr>
          <w:trHeight w:val="300"/>
        </w:trPr>
        <w:tc>
          <w:tcPr>
            <w:tcW w:w="2160" w:type="dxa"/>
            <w:tcBorders>
              <w:top w:val="nil"/>
              <w:left w:val="nil"/>
              <w:bottom w:val="nil"/>
              <w:right w:val="single" w:sz="6" w:space="0" w:color="auto"/>
            </w:tcBorders>
            <w:shd w:val="clear" w:color="auto" w:fill="auto"/>
            <w:vAlign w:val="bottom"/>
            <w:hideMark/>
          </w:tcPr>
          <w:p w14:paraId="5A4F129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Pregnant  </w:t>
            </w:r>
          </w:p>
        </w:tc>
        <w:tc>
          <w:tcPr>
            <w:tcW w:w="1095" w:type="dxa"/>
            <w:tcBorders>
              <w:top w:val="nil"/>
              <w:left w:val="single" w:sz="6" w:space="0" w:color="auto"/>
              <w:bottom w:val="nil"/>
              <w:right w:val="nil"/>
            </w:tcBorders>
            <w:shd w:val="clear" w:color="auto" w:fill="auto"/>
            <w:vAlign w:val="bottom"/>
            <w:hideMark/>
          </w:tcPr>
          <w:p w14:paraId="2688393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0.053 (0.885) </w:t>
            </w:r>
          </w:p>
        </w:tc>
        <w:tc>
          <w:tcPr>
            <w:tcW w:w="1095" w:type="dxa"/>
            <w:tcBorders>
              <w:top w:val="nil"/>
              <w:left w:val="nil"/>
              <w:bottom w:val="nil"/>
              <w:right w:val="nil"/>
            </w:tcBorders>
            <w:shd w:val="clear" w:color="auto" w:fill="auto"/>
            <w:vAlign w:val="bottom"/>
            <w:hideMark/>
          </w:tcPr>
          <w:p w14:paraId="5306D19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0.053 (0.986) </w:t>
            </w:r>
          </w:p>
        </w:tc>
        <w:tc>
          <w:tcPr>
            <w:tcW w:w="1095" w:type="dxa"/>
            <w:tcBorders>
              <w:top w:val="nil"/>
              <w:left w:val="nil"/>
              <w:bottom w:val="nil"/>
              <w:right w:val="nil"/>
            </w:tcBorders>
            <w:shd w:val="clear" w:color="auto" w:fill="auto"/>
            <w:vAlign w:val="bottom"/>
            <w:hideMark/>
          </w:tcPr>
          <w:p w14:paraId="47A3379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0.053 (0.929) </w:t>
            </w:r>
          </w:p>
        </w:tc>
        <w:tc>
          <w:tcPr>
            <w:tcW w:w="1095" w:type="dxa"/>
            <w:tcBorders>
              <w:top w:val="nil"/>
              <w:left w:val="nil"/>
              <w:bottom w:val="nil"/>
              <w:right w:val="nil"/>
            </w:tcBorders>
            <w:shd w:val="clear" w:color="auto" w:fill="auto"/>
            <w:vAlign w:val="bottom"/>
            <w:hideMark/>
          </w:tcPr>
          <w:p w14:paraId="5B987C5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0.053 (0.957) </w:t>
            </w:r>
          </w:p>
        </w:tc>
        <w:tc>
          <w:tcPr>
            <w:tcW w:w="1095" w:type="dxa"/>
            <w:tcBorders>
              <w:top w:val="nil"/>
              <w:left w:val="nil"/>
              <w:bottom w:val="nil"/>
              <w:right w:val="nil"/>
            </w:tcBorders>
            <w:shd w:val="clear" w:color="auto" w:fill="auto"/>
            <w:vAlign w:val="bottom"/>
            <w:hideMark/>
          </w:tcPr>
          <w:p w14:paraId="03E7D3D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0.053 (0.981) </w:t>
            </w:r>
          </w:p>
        </w:tc>
        <w:tc>
          <w:tcPr>
            <w:tcW w:w="1095" w:type="dxa"/>
            <w:tcBorders>
              <w:top w:val="nil"/>
              <w:left w:val="nil"/>
              <w:bottom w:val="nil"/>
              <w:right w:val="nil"/>
            </w:tcBorders>
            <w:shd w:val="clear" w:color="auto" w:fill="auto"/>
            <w:vAlign w:val="bottom"/>
            <w:hideMark/>
          </w:tcPr>
          <w:p w14:paraId="6FB62FE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0.053 (0.897) </w:t>
            </w:r>
          </w:p>
        </w:tc>
        <w:tc>
          <w:tcPr>
            <w:tcW w:w="1095" w:type="dxa"/>
            <w:tcBorders>
              <w:top w:val="nil"/>
              <w:left w:val="nil"/>
              <w:bottom w:val="nil"/>
              <w:right w:val="nil"/>
            </w:tcBorders>
            <w:shd w:val="clear" w:color="auto" w:fill="auto"/>
            <w:vAlign w:val="bottom"/>
            <w:hideMark/>
          </w:tcPr>
          <w:p w14:paraId="3B587A2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0.053 (1.000) </w:t>
            </w:r>
          </w:p>
        </w:tc>
        <w:tc>
          <w:tcPr>
            <w:tcW w:w="1095" w:type="dxa"/>
            <w:tcBorders>
              <w:top w:val="nil"/>
              <w:left w:val="nil"/>
              <w:bottom w:val="nil"/>
              <w:right w:val="nil"/>
            </w:tcBorders>
            <w:shd w:val="clear" w:color="auto" w:fill="auto"/>
            <w:vAlign w:val="bottom"/>
            <w:hideMark/>
          </w:tcPr>
          <w:p w14:paraId="4C51E2E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0.053 (0.975) </w:t>
            </w:r>
          </w:p>
        </w:tc>
        <w:tc>
          <w:tcPr>
            <w:tcW w:w="1095" w:type="dxa"/>
            <w:tcBorders>
              <w:top w:val="nil"/>
              <w:left w:val="nil"/>
              <w:bottom w:val="nil"/>
              <w:right w:val="nil"/>
            </w:tcBorders>
            <w:shd w:val="clear" w:color="auto" w:fill="auto"/>
            <w:vAlign w:val="bottom"/>
            <w:hideMark/>
          </w:tcPr>
          <w:p w14:paraId="7C7BC55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0.053 (0.969) </w:t>
            </w:r>
          </w:p>
        </w:tc>
        <w:tc>
          <w:tcPr>
            <w:tcW w:w="1095" w:type="dxa"/>
            <w:tcBorders>
              <w:top w:val="nil"/>
              <w:left w:val="nil"/>
              <w:bottom w:val="nil"/>
              <w:right w:val="nil"/>
            </w:tcBorders>
            <w:shd w:val="clear" w:color="auto" w:fill="auto"/>
            <w:vAlign w:val="bottom"/>
            <w:hideMark/>
          </w:tcPr>
          <w:p w14:paraId="334E5E4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0.053 (0.978) </w:t>
            </w:r>
          </w:p>
        </w:tc>
      </w:tr>
      <w:tr w:rsidR="005B56C1" w:rsidRPr="00C672CD" w14:paraId="40DF82E9" w14:textId="77777777">
        <w:trPr>
          <w:trHeight w:val="300"/>
        </w:trPr>
        <w:tc>
          <w:tcPr>
            <w:tcW w:w="2160" w:type="dxa"/>
            <w:tcBorders>
              <w:top w:val="nil"/>
              <w:left w:val="nil"/>
              <w:bottom w:val="nil"/>
              <w:right w:val="single" w:sz="6" w:space="0" w:color="auto"/>
            </w:tcBorders>
            <w:shd w:val="clear" w:color="auto" w:fill="auto"/>
            <w:vAlign w:val="bottom"/>
            <w:hideMark/>
          </w:tcPr>
          <w:p w14:paraId="240C949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Aged 18-24 </w:t>
            </w:r>
          </w:p>
        </w:tc>
        <w:tc>
          <w:tcPr>
            <w:tcW w:w="1095" w:type="dxa"/>
            <w:tcBorders>
              <w:top w:val="nil"/>
              <w:left w:val="single" w:sz="6" w:space="0" w:color="auto"/>
              <w:bottom w:val="nil"/>
              <w:right w:val="nil"/>
            </w:tcBorders>
            <w:shd w:val="clear" w:color="auto" w:fill="auto"/>
            <w:vAlign w:val="bottom"/>
            <w:hideMark/>
          </w:tcPr>
          <w:p w14:paraId="11AE3FB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0.031 (0.974) </w:t>
            </w:r>
          </w:p>
        </w:tc>
        <w:tc>
          <w:tcPr>
            <w:tcW w:w="1095" w:type="dxa"/>
            <w:tcBorders>
              <w:top w:val="nil"/>
              <w:left w:val="nil"/>
              <w:bottom w:val="nil"/>
              <w:right w:val="nil"/>
            </w:tcBorders>
            <w:shd w:val="clear" w:color="auto" w:fill="auto"/>
            <w:vAlign w:val="bottom"/>
            <w:hideMark/>
          </w:tcPr>
          <w:p w14:paraId="64CE88B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0.031 (0.987) </w:t>
            </w:r>
          </w:p>
        </w:tc>
        <w:tc>
          <w:tcPr>
            <w:tcW w:w="1095" w:type="dxa"/>
            <w:tcBorders>
              <w:top w:val="nil"/>
              <w:left w:val="nil"/>
              <w:bottom w:val="nil"/>
              <w:right w:val="nil"/>
            </w:tcBorders>
            <w:shd w:val="clear" w:color="auto" w:fill="auto"/>
            <w:vAlign w:val="bottom"/>
            <w:hideMark/>
          </w:tcPr>
          <w:p w14:paraId="6260F59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0.031 (0.997) </w:t>
            </w:r>
          </w:p>
        </w:tc>
        <w:tc>
          <w:tcPr>
            <w:tcW w:w="1095" w:type="dxa"/>
            <w:tcBorders>
              <w:top w:val="nil"/>
              <w:left w:val="nil"/>
              <w:bottom w:val="nil"/>
              <w:right w:val="nil"/>
            </w:tcBorders>
            <w:shd w:val="clear" w:color="auto" w:fill="auto"/>
            <w:vAlign w:val="bottom"/>
            <w:hideMark/>
          </w:tcPr>
          <w:p w14:paraId="3CBB1C9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0.031 (0.994) </w:t>
            </w:r>
          </w:p>
        </w:tc>
        <w:tc>
          <w:tcPr>
            <w:tcW w:w="1095" w:type="dxa"/>
            <w:tcBorders>
              <w:top w:val="nil"/>
              <w:left w:val="nil"/>
              <w:bottom w:val="nil"/>
              <w:right w:val="nil"/>
            </w:tcBorders>
            <w:shd w:val="clear" w:color="auto" w:fill="auto"/>
            <w:vAlign w:val="bottom"/>
            <w:hideMark/>
          </w:tcPr>
          <w:p w14:paraId="7143B7A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0.031 (0.979) </w:t>
            </w:r>
          </w:p>
        </w:tc>
        <w:tc>
          <w:tcPr>
            <w:tcW w:w="1095" w:type="dxa"/>
            <w:tcBorders>
              <w:top w:val="nil"/>
              <w:left w:val="nil"/>
              <w:bottom w:val="nil"/>
              <w:right w:val="nil"/>
            </w:tcBorders>
            <w:shd w:val="clear" w:color="auto" w:fill="auto"/>
            <w:vAlign w:val="bottom"/>
            <w:hideMark/>
          </w:tcPr>
          <w:p w14:paraId="4DEA28E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0.031 (0.996) </w:t>
            </w:r>
          </w:p>
        </w:tc>
        <w:tc>
          <w:tcPr>
            <w:tcW w:w="1095" w:type="dxa"/>
            <w:tcBorders>
              <w:top w:val="nil"/>
              <w:left w:val="nil"/>
              <w:bottom w:val="nil"/>
              <w:right w:val="nil"/>
            </w:tcBorders>
            <w:shd w:val="clear" w:color="auto" w:fill="auto"/>
            <w:vAlign w:val="bottom"/>
            <w:hideMark/>
          </w:tcPr>
          <w:p w14:paraId="2B2F596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0.031 (0.992) </w:t>
            </w:r>
          </w:p>
        </w:tc>
        <w:tc>
          <w:tcPr>
            <w:tcW w:w="1095" w:type="dxa"/>
            <w:tcBorders>
              <w:top w:val="nil"/>
              <w:left w:val="nil"/>
              <w:bottom w:val="nil"/>
              <w:right w:val="nil"/>
            </w:tcBorders>
            <w:shd w:val="clear" w:color="auto" w:fill="auto"/>
            <w:vAlign w:val="bottom"/>
            <w:hideMark/>
          </w:tcPr>
          <w:p w14:paraId="5286264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0.031 (0.998) </w:t>
            </w:r>
          </w:p>
        </w:tc>
        <w:tc>
          <w:tcPr>
            <w:tcW w:w="1095" w:type="dxa"/>
            <w:tcBorders>
              <w:top w:val="nil"/>
              <w:left w:val="nil"/>
              <w:bottom w:val="nil"/>
              <w:right w:val="nil"/>
            </w:tcBorders>
            <w:shd w:val="clear" w:color="auto" w:fill="auto"/>
            <w:vAlign w:val="bottom"/>
            <w:hideMark/>
          </w:tcPr>
          <w:p w14:paraId="7F7650E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0.031 (0.980) </w:t>
            </w:r>
          </w:p>
        </w:tc>
        <w:tc>
          <w:tcPr>
            <w:tcW w:w="1095" w:type="dxa"/>
            <w:tcBorders>
              <w:top w:val="nil"/>
              <w:left w:val="nil"/>
              <w:bottom w:val="nil"/>
              <w:right w:val="nil"/>
            </w:tcBorders>
            <w:shd w:val="clear" w:color="auto" w:fill="auto"/>
            <w:vAlign w:val="bottom"/>
            <w:hideMark/>
          </w:tcPr>
          <w:p w14:paraId="790B483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0.031 (0.992) </w:t>
            </w:r>
          </w:p>
        </w:tc>
      </w:tr>
      <w:tr w:rsidR="005B56C1" w:rsidRPr="00C672CD" w14:paraId="14901242" w14:textId="77777777">
        <w:trPr>
          <w:trHeight w:val="300"/>
        </w:trPr>
        <w:tc>
          <w:tcPr>
            <w:tcW w:w="2160" w:type="dxa"/>
            <w:tcBorders>
              <w:top w:val="nil"/>
              <w:left w:val="nil"/>
              <w:bottom w:val="nil"/>
              <w:right w:val="single" w:sz="6" w:space="0" w:color="auto"/>
            </w:tcBorders>
            <w:shd w:val="clear" w:color="auto" w:fill="auto"/>
            <w:vAlign w:val="bottom"/>
            <w:hideMark/>
          </w:tcPr>
          <w:p w14:paraId="59ADFF6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Female </w:t>
            </w:r>
          </w:p>
        </w:tc>
        <w:tc>
          <w:tcPr>
            <w:tcW w:w="1095" w:type="dxa"/>
            <w:tcBorders>
              <w:top w:val="nil"/>
              <w:left w:val="single" w:sz="6" w:space="0" w:color="auto"/>
              <w:bottom w:val="nil"/>
              <w:right w:val="nil"/>
            </w:tcBorders>
            <w:shd w:val="clear" w:color="auto" w:fill="auto"/>
            <w:vAlign w:val="bottom"/>
            <w:hideMark/>
          </w:tcPr>
          <w:p w14:paraId="032B2B2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0.013 (0.936) </w:t>
            </w:r>
          </w:p>
        </w:tc>
        <w:tc>
          <w:tcPr>
            <w:tcW w:w="1095" w:type="dxa"/>
            <w:tcBorders>
              <w:top w:val="nil"/>
              <w:left w:val="nil"/>
              <w:bottom w:val="nil"/>
              <w:right w:val="nil"/>
            </w:tcBorders>
            <w:shd w:val="clear" w:color="auto" w:fill="auto"/>
            <w:vAlign w:val="bottom"/>
            <w:hideMark/>
          </w:tcPr>
          <w:p w14:paraId="2A23DEE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0.013 (0.988) </w:t>
            </w:r>
          </w:p>
        </w:tc>
        <w:tc>
          <w:tcPr>
            <w:tcW w:w="1095" w:type="dxa"/>
            <w:tcBorders>
              <w:top w:val="nil"/>
              <w:left w:val="nil"/>
              <w:bottom w:val="nil"/>
              <w:right w:val="nil"/>
            </w:tcBorders>
            <w:shd w:val="clear" w:color="auto" w:fill="auto"/>
            <w:vAlign w:val="bottom"/>
            <w:hideMark/>
          </w:tcPr>
          <w:p w14:paraId="3D2BD67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0.013 (0.976) </w:t>
            </w:r>
          </w:p>
        </w:tc>
        <w:tc>
          <w:tcPr>
            <w:tcW w:w="1095" w:type="dxa"/>
            <w:tcBorders>
              <w:top w:val="nil"/>
              <w:left w:val="nil"/>
              <w:bottom w:val="nil"/>
              <w:right w:val="nil"/>
            </w:tcBorders>
            <w:shd w:val="clear" w:color="auto" w:fill="auto"/>
            <w:vAlign w:val="bottom"/>
            <w:hideMark/>
          </w:tcPr>
          <w:p w14:paraId="55CF255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0.013 (0.971) </w:t>
            </w:r>
          </w:p>
        </w:tc>
        <w:tc>
          <w:tcPr>
            <w:tcW w:w="1095" w:type="dxa"/>
            <w:tcBorders>
              <w:top w:val="nil"/>
              <w:left w:val="nil"/>
              <w:bottom w:val="nil"/>
              <w:right w:val="nil"/>
            </w:tcBorders>
            <w:shd w:val="clear" w:color="auto" w:fill="auto"/>
            <w:vAlign w:val="bottom"/>
            <w:hideMark/>
          </w:tcPr>
          <w:p w14:paraId="06D938F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0.013 (0.930) </w:t>
            </w:r>
          </w:p>
        </w:tc>
        <w:tc>
          <w:tcPr>
            <w:tcW w:w="1095" w:type="dxa"/>
            <w:tcBorders>
              <w:top w:val="nil"/>
              <w:left w:val="nil"/>
              <w:bottom w:val="nil"/>
              <w:right w:val="nil"/>
            </w:tcBorders>
            <w:shd w:val="clear" w:color="auto" w:fill="auto"/>
            <w:vAlign w:val="bottom"/>
            <w:hideMark/>
          </w:tcPr>
          <w:p w14:paraId="566BA0A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0.013 (0.982) </w:t>
            </w:r>
          </w:p>
        </w:tc>
        <w:tc>
          <w:tcPr>
            <w:tcW w:w="1095" w:type="dxa"/>
            <w:tcBorders>
              <w:top w:val="nil"/>
              <w:left w:val="nil"/>
              <w:bottom w:val="nil"/>
              <w:right w:val="nil"/>
            </w:tcBorders>
            <w:shd w:val="clear" w:color="auto" w:fill="auto"/>
            <w:vAlign w:val="bottom"/>
            <w:hideMark/>
          </w:tcPr>
          <w:p w14:paraId="79FE9AE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0.013 (0.917) </w:t>
            </w:r>
          </w:p>
        </w:tc>
        <w:tc>
          <w:tcPr>
            <w:tcW w:w="1095" w:type="dxa"/>
            <w:tcBorders>
              <w:top w:val="nil"/>
              <w:left w:val="nil"/>
              <w:bottom w:val="nil"/>
              <w:right w:val="nil"/>
            </w:tcBorders>
            <w:shd w:val="clear" w:color="auto" w:fill="auto"/>
            <w:vAlign w:val="bottom"/>
            <w:hideMark/>
          </w:tcPr>
          <w:p w14:paraId="37897C44"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0.013 (0.983) </w:t>
            </w:r>
          </w:p>
        </w:tc>
        <w:tc>
          <w:tcPr>
            <w:tcW w:w="1095" w:type="dxa"/>
            <w:tcBorders>
              <w:top w:val="nil"/>
              <w:left w:val="nil"/>
              <w:bottom w:val="nil"/>
              <w:right w:val="nil"/>
            </w:tcBorders>
            <w:shd w:val="clear" w:color="auto" w:fill="auto"/>
            <w:vAlign w:val="bottom"/>
            <w:hideMark/>
          </w:tcPr>
          <w:p w14:paraId="3071095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0.013 (0.929) </w:t>
            </w:r>
          </w:p>
        </w:tc>
        <w:tc>
          <w:tcPr>
            <w:tcW w:w="1095" w:type="dxa"/>
            <w:tcBorders>
              <w:top w:val="nil"/>
              <w:left w:val="nil"/>
              <w:bottom w:val="nil"/>
              <w:right w:val="nil"/>
            </w:tcBorders>
            <w:shd w:val="clear" w:color="auto" w:fill="auto"/>
            <w:vAlign w:val="bottom"/>
            <w:hideMark/>
          </w:tcPr>
          <w:p w14:paraId="7B80BAE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0.013 (0.972) </w:t>
            </w:r>
          </w:p>
        </w:tc>
      </w:tr>
      <w:tr w:rsidR="005B56C1" w:rsidRPr="00C672CD" w14:paraId="368157F2" w14:textId="77777777">
        <w:trPr>
          <w:trHeight w:val="300"/>
        </w:trPr>
        <w:tc>
          <w:tcPr>
            <w:tcW w:w="2160" w:type="dxa"/>
            <w:tcBorders>
              <w:top w:val="nil"/>
              <w:left w:val="nil"/>
              <w:bottom w:val="nil"/>
              <w:right w:val="single" w:sz="6" w:space="0" w:color="auto"/>
            </w:tcBorders>
            <w:shd w:val="clear" w:color="auto" w:fill="auto"/>
            <w:vAlign w:val="bottom"/>
            <w:hideMark/>
          </w:tcPr>
          <w:p w14:paraId="761920B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NEET </w:t>
            </w:r>
          </w:p>
        </w:tc>
        <w:tc>
          <w:tcPr>
            <w:tcW w:w="1095" w:type="dxa"/>
            <w:tcBorders>
              <w:top w:val="nil"/>
              <w:left w:val="single" w:sz="6" w:space="0" w:color="auto"/>
              <w:bottom w:val="nil"/>
              <w:right w:val="nil"/>
            </w:tcBorders>
            <w:shd w:val="clear" w:color="auto" w:fill="auto"/>
            <w:vAlign w:val="bottom"/>
            <w:hideMark/>
          </w:tcPr>
          <w:p w14:paraId="3D08721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0.014 (0.942) </w:t>
            </w:r>
          </w:p>
        </w:tc>
        <w:tc>
          <w:tcPr>
            <w:tcW w:w="1095" w:type="dxa"/>
            <w:tcBorders>
              <w:top w:val="nil"/>
              <w:left w:val="nil"/>
              <w:bottom w:val="nil"/>
              <w:right w:val="nil"/>
            </w:tcBorders>
            <w:shd w:val="clear" w:color="auto" w:fill="auto"/>
            <w:vAlign w:val="bottom"/>
            <w:hideMark/>
          </w:tcPr>
          <w:p w14:paraId="080E520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0.014 (0.767) </w:t>
            </w:r>
          </w:p>
        </w:tc>
        <w:tc>
          <w:tcPr>
            <w:tcW w:w="1095" w:type="dxa"/>
            <w:tcBorders>
              <w:top w:val="nil"/>
              <w:left w:val="nil"/>
              <w:bottom w:val="nil"/>
              <w:right w:val="nil"/>
            </w:tcBorders>
            <w:shd w:val="clear" w:color="auto" w:fill="auto"/>
            <w:vAlign w:val="bottom"/>
            <w:hideMark/>
          </w:tcPr>
          <w:p w14:paraId="286E60D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0.014 (0.776) </w:t>
            </w:r>
          </w:p>
        </w:tc>
        <w:tc>
          <w:tcPr>
            <w:tcW w:w="1095" w:type="dxa"/>
            <w:tcBorders>
              <w:top w:val="nil"/>
              <w:left w:val="nil"/>
              <w:bottom w:val="nil"/>
              <w:right w:val="nil"/>
            </w:tcBorders>
            <w:shd w:val="clear" w:color="auto" w:fill="auto"/>
            <w:vAlign w:val="bottom"/>
            <w:hideMark/>
          </w:tcPr>
          <w:p w14:paraId="2D85E0B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0.014 (0.977) </w:t>
            </w:r>
          </w:p>
        </w:tc>
        <w:tc>
          <w:tcPr>
            <w:tcW w:w="1095" w:type="dxa"/>
            <w:tcBorders>
              <w:top w:val="nil"/>
              <w:left w:val="nil"/>
              <w:bottom w:val="nil"/>
              <w:right w:val="nil"/>
            </w:tcBorders>
            <w:shd w:val="clear" w:color="auto" w:fill="auto"/>
            <w:vAlign w:val="bottom"/>
            <w:hideMark/>
          </w:tcPr>
          <w:p w14:paraId="040A805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0.014 (0.771) </w:t>
            </w:r>
          </w:p>
        </w:tc>
        <w:tc>
          <w:tcPr>
            <w:tcW w:w="1095" w:type="dxa"/>
            <w:tcBorders>
              <w:top w:val="nil"/>
              <w:left w:val="nil"/>
              <w:bottom w:val="nil"/>
              <w:right w:val="nil"/>
            </w:tcBorders>
            <w:shd w:val="clear" w:color="auto" w:fill="auto"/>
            <w:vAlign w:val="bottom"/>
            <w:hideMark/>
          </w:tcPr>
          <w:p w14:paraId="21EA0B0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0.014 (0.922) </w:t>
            </w:r>
          </w:p>
        </w:tc>
        <w:tc>
          <w:tcPr>
            <w:tcW w:w="1095" w:type="dxa"/>
            <w:tcBorders>
              <w:top w:val="nil"/>
              <w:left w:val="nil"/>
              <w:bottom w:val="nil"/>
              <w:right w:val="nil"/>
            </w:tcBorders>
            <w:shd w:val="clear" w:color="auto" w:fill="auto"/>
            <w:vAlign w:val="bottom"/>
            <w:hideMark/>
          </w:tcPr>
          <w:p w14:paraId="2AB5F6B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0.014 (0.746) </w:t>
            </w:r>
          </w:p>
        </w:tc>
        <w:tc>
          <w:tcPr>
            <w:tcW w:w="1095" w:type="dxa"/>
            <w:tcBorders>
              <w:top w:val="nil"/>
              <w:left w:val="nil"/>
              <w:bottom w:val="nil"/>
              <w:right w:val="nil"/>
            </w:tcBorders>
            <w:shd w:val="clear" w:color="auto" w:fill="auto"/>
            <w:vAlign w:val="bottom"/>
            <w:hideMark/>
          </w:tcPr>
          <w:p w14:paraId="21C5B46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0.014 (0.664) </w:t>
            </w:r>
          </w:p>
        </w:tc>
        <w:tc>
          <w:tcPr>
            <w:tcW w:w="1095" w:type="dxa"/>
            <w:tcBorders>
              <w:top w:val="nil"/>
              <w:left w:val="nil"/>
              <w:bottom w:val="nil"/>
              <w:right w:val="nil"/>
            </w:tcBorders>
            <w:shd w:val="clear" w:color="auto" w:fill="auto"/>
            <w:vAlign w:val="bottom"/>
            <w:hideMark/>
          </w:tcPr>
          <w:p w14:paraId="38A68D9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0.014 (0.928) </w:t>
            </w:r>
          </w:p>
        </w:tc>
        <w:tc>
          <w:tcPr>
            <w:tcW w:w="1095" w:type="dxa"/>
            <w:tcBorders>
              <w:top w:val="nil"/>
              <w:left w:val="nil"/>
              <w:bottom w:val="nil"/>
              <w:right w:val="nil"/>
            </w:tcBorders>
            <w:shd w:val="clear" w:color="auto" w:fill="auto"/>
            <w:vAlign w:val="bottom"/>
            <w:hideMark/>
          </w:tcPr>
          <w:p w14:paraId="6891A55A"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0.014 (0.846) </w:t>
            </w:r>
          </w:p>
        </w:tc>
      </w:tr>
      <w:tr w:rsidR="005B56C1" w:rsidRPr="00C672CD" w14:paraId="1D7DAB9D" w14:textId="77777777">
        <w:trPr>
          <w:trHeight w:val="300"/>
        </w:trPr>
        <w:tc>
          <w:tcPr>
            <w:tcW w:w="2160" w:type="dxa"/>
            <w:tcBorders>
              <w:top w:val="nil"/>
              <w:left w:val="nil"/>
              <w:bottom w:val="nil"/>
              <w:right w:val="single" w:sz="6" w:space="0" w:color="auto"/>
            </w:tcBorders>
            <w:shd w:val="clear" w:color="auto" w:fill="auto"/>
            <w:vAlign w:val="bottom"/>
            <w:hideMark/>
          </w:tcPr>
          <w:p w14:paraId="1B17A81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Housing problem </w:t>
            </w:r>
          </w:p>
        </w:tc>
        <w:tc>
          <w:tcPr>
            <w:tcW w:w="1095" w:type="dxa"/>
            <w:tcBorders>
              <w:top w:val="nil"/>
              <w:left w:val="single" w:sz="6" w:space="0" w:color="auto"/>
              <w:bottom w:val="nil"/>
              <w:right w:val="nil"/>
            </w:tcBorders>
            <w:shd w:val="clear" w:color="auto" w:fill="auto"/>
            <w:vAlign w:val="bottom"/>
            <w:hideMark/>
          </w:tcPr>
          <w:p w14:paraId="7599727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(0.959) </w:t>
            </w:r>
          </w:p>
        </w:tc>
        <w:tc>
          <w:tcPr>
            <w:tcW w:w="1095" w:type="dxa"/>
            <w:tcBorders>
              <w:top w:val="nil"/>
              <w:left w:val="nil"/>
              <w:bottom w:val="nil"/>
              <w:right w:val="nil"/>
            </w:tcBorders>
            <w:shd w:val="clear" w:color="auto" w:fill="auto"/>
            <w:vAlign w:val="bottom"/>
            <w:hideMark/>
          </w:tcPr>
          <w:p w14:paraId="1ACA45A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(0.955) </w:t>
            </w:r>
          </w:p>
        </w:tc>
        <w:tc>
          <w:tcPr>
            <w:tcW w:w="1095" w:type="dxa"/>
            <w:tcBorders>
              <w:top w:val="nil"/>
              <w:left w:val="nil"/>
              <w:bottom w:val="nil"/>
              <w:right w:val="nil"/>
            </w:tcBorders>
            <w:shd w:val="clear" w:color="auto" w:fill="auto"/>
            <w:vAlign w:val="bottom"/>
            <w:hideMark/>
          </w:tcPr>
          <w:p w14:paraId="5CE0126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(1.000) </w:t>
            </w:r>
          </w:p>
        </w:tc>
        <w:tc>
          <w:tcPr>
            <w:tcW w:w="1095" w:type="dxa"/>
            <w:tcBorders>
              <w:top w:val="nil"/>
              <w:left w:val="nil"/>
              <w:bottom w:val="nil"/>
              <w:right w:val="nil"/>
            </w:tcBorders>
            <w:shd w:val="clear" w:color="auto" w:fill="auto"/>
            <w:vAlign w:val="bottom"/>
            <w:hideMark/>
          </w:tcPr>
          <w:p w14:paraId="1B2FE73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(0.980) </w:t>
            </w:r>
          </w:p>
        </w:tc>
        <w:tc>
          <w:tcPr>
            <w:tcW w:w="1095" w:type="dxa"/>
            <w:tcBorders>
              <w:top w:val="nil"/>
              <w:left w:val="nil"/>
              <w:bottom w:val="nil"/>
              <w:right w:val="nil"/>
            </w:tcBorders>
            <w:shd w:val="clear" w:color="auto" w:fill="auto"/>
            <w:vAlign w:val="bottom"/>
            <w:hideMark/>
          </w:tcPr>
          <w:p w14:paraId="17C6205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(0.976) </w:t>
            </w:r>
          </w:p>
        </w:tc>
        <w:tc>
          <w:tcPr>
            <w:tcW w:w="1095" w:type="dxa"/>
            <w:tcBorders>
              <w:top w:val="nil"/>
              <w:left w:val="nil"/>
              <w:bottom w:val="nil"/>
              <w:right w:val="nil"/>
            </w:tcBorders>
            <w:shd w:val="clear" w:color="auto" w:fill="auto"/>
            <w:vAlign w:val="bottom"/>
            <w:hideMark/>
          </w:tcPr>
          <w:p w14:paraId="26D3910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(0.931) </w:t>
            </w:r>
          </w:p>
        </w:tc>
        <w:tc>
          <w:tcPr>
            <w:tcW w:w="1095" w:type="dxa"/>
            <w:tcBorders>
              <w:top w:val="nil"/>
              <w:left w:val="nil"/>
              <w:bottom w:val="nil"/>
              <w:right w:val="nil"/>
            </w:tcBorders>
            <w:shd w:val="clear" w:color="auto" w:fill="auto"/>
            <w:vAlign w:val="bottom"/>
            <w:hideMark/>
          </w:tcPr>
          <w:p w14:paraId="1D6EC6A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(0.969) </w:t>
            </w:r>
          </w:p>
        </w:tc>
        <w:tc>
          <w:tcPr>
            <w:tcW w:w="1095" w:type="dxa"/>
            <w:tcBorders>
              <w:top w:val="nil"/>
              <w:left w:val="nil"/>
              <w:bottom w:val="nil"/>
              <w:right w:val="nil"/>
            </w:tcBorders>
            <w:shd w:val="clear" w:color="auto" w:fill="auto"/>
            <w:vAlign w:val="bottom"/>
            <w:hideMark/>
          </w:tcPr>
          <w:p w14:paraId="3DC8C99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(0.998) </w:t>
            </w:r>
          </w:p>
        </w:tc>
        <w:tc>
          <w:tcPr>
            <w:tcW w:w="1095" w:type="dxa"/>
            <w:tcBorders>
              <w:top w:val="nil"/>
              <w:left w:val="nil"/>
              <w:bottom w:val="nil"/>
              <w:right w:val="nil"/>
            </w:tcBorders>
            <w:shd w:val="clear" w:color="auto" w:fill="auto"/>
            <w:vAlign w:val="bottom"/>
            <w:hideMark/>
          </w:tcPr>
          <w:p w14:paraId="5AEA918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(0.941) </w:t>
            </w:r>
          </w:p>
        </w:tc>
        <w:tc>
          <w:tcPr>
            <w:tcW w:w="1095" w:type="dxa"/>
            <w:tcBorders>
              <w:top w:val="nil"/>
              <w:left w:val="nil"/>
              <w:bottom w:val="nil"/>
              <w:right w:val="nil"/>
            </w:tcBorders>
            <w:shd w:val="clear" w:color="auto" w:fill="auto"/>
            <w:vAlign w:val="bottom"/>
            <w:hideMark/>
          </w:tcPr>
          <w:p w14:paraId="73DDC28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0.015 (0.947) </w:t>
            </w:r>
          </w:p>
        </w:tc>
      </w:tr>
      <w:tr w:rsidR="005B56C1" w:rsidRPr="00C672CD" w14:paraId="32650EE4" w14:textId="77777777">
        <w:trPr>
          <w:trHeight w:val="300"/>
        </w:trPr>
        <w:tc>
          <w:tcPr>
            <w:tcW w:w="2160" w:type="dxa"/>
            <w:tcBorders>
              <w:top w:val="nil"/>
              <w:left w:val="nil"/>
              <w:bottom w:val="nil"/>
              <w:right w:val="single" w:sz="6" w:space="0" w:color="auto"/>
            </w:tcBorders>
            <w:shd w:val="clear" w:color="auto" w:fill="auto"/>
            <w:vAlign w:val="bottom"/>
            <w:hideMark/>
          </w:tcPr>
          <w:p w14:paraId="792D5A68"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Mental health treatment need </w:t>
            </w:r>
          </w:p>
        </w:tc>
        <w:tc>
          <w:tcPr>
            <w:tcW w:w="1095" w:type="dxa"/>
            <w:tcBorders>
              <w:top w:val="nil"/>
              <w:left w:val="single" w:sz="6" w:space="0" w:color="auto"/>
              <w:bottom w:val="nil"/>
              <w:right w:val="nil"/>
            </w:tcBorders>
            <w:shd w:val="clear" w:color="auto" w:fill="auto"/>
            <w:vAlign w:val="bottom"/>
            <w:hideMark/>
          </w:tcPr>
          <w:p w14:paraId="5BF246B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0.012 (0.963) </w:t>
            </w:r>
          </w:p>
        </w:tc>
        <w:tc>
          <w:tcPr>
            <w:tcW w:w="1095" w:type="dxa"/>
            <w:tcBorders>
              <w:top w:val="nil"/>
              <w:left w:val="nil"/>
              <w:bottom w:val="nil"/>
              <w:right w:val="nil"/>
            </w:tcBorders>
            <w:shd w:val="clear" w:color="auto" w:fill="auto"/>
            <w:vAlign w:val="bottom"/>
            <w:hideMark/>
          </w:tcPr>
          <w:p w14:paraId="788F829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0.012 (0.998) </w:t>
            </w:r>
          </w:p>
        </w:tc>
        <w:tc>
          <w:tcPr>
            <w:tcW w:w="1095" w:type="dxa"/>
            <w:tcBorders>
              <w:top w:val="nil"/>
              <w:left w:val="nil"/>
              <w:bottom w:val="nil"/>
              <w:right w:val="nil"/>
            </w:tcBorders>
            <w:shd w:val="clear" w:color="auto" w:fill="auto"/>
            <w:vAlign w:val="bottom"/>
            <w:hideMark/>
          </w:tcPr>
          <w:p w14:paraId="3490D556"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0.012 (0.885) </w:t>
            </w:r>
          </w:p>
        </w:tc>
        <w:tc>
          <w:tcPr>
            <w:tcW w:w="1095" w:type="dxa"/>
            <w:tcBorders>
              <w:top w:val="nil"/>
              <w:left w:val="nil"/>
              <w:bottom w:val="nil"/>
              <w:right w:val="nil"/>
            </w:tcBorders>
            <w:shd w:val="clear" w:color="auto" w:fill="auto"/>
            <w:vAlign w:val="bottom"/>
            <w:hideMark/>
          </w:tcPr>
          <w:p w14:paraId="3355040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0.012 (0.835) </w:t>
            </w:r>
          </w:p>
        </w:tc>
        <w:tc>
          <w:tcPr>
            <w:tcW w:w="1095" w:type="dxa"/>
            <w:tcBorders>
              <w:top w:val="nil"/>
              <w:left w:val="nil"/>
              <w:bottom w:val="nil"/>
              <w:right w:val="nil"/>
            </w:tcBorders>
            <w:shd w:val="clear" w:color="auto" w:fill="auto"/>
            <w:vAlign w:val="bottom"/>
            <w:hideMark/>
          </w:tcPr>
          <w:p w14:paraId="5F878A4E"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0.012 (0.909) </w:t>
            </w:r>
          </w:p>
        </w:tc>
        <w:tc>
          <w:tcPr>
            <w:tcW w:w="1095" w:type="dxa"/>
            <w:tcBorders>
              <w:top w:val="nil"/>
              <w:left w:val="nil"/>
              <w:bottom w:val="nil"/>
              <w:right w:val="nil"/>
            </w:tcBorders>
            <w:shd w:val="clear" w:color="auto" w:fill="auto"/>
            <w:vAlign w:val="bottom"/>
            <w:hideMark/>
          </w:tcPr>
          <w:p w14:paraId="6DD1BA6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0.012 (0.920) </w:t>
            </w:r>
          </w:p>
        </w:tc>
        <w:tc>
          <w:tcPr>
            <w:tcW w:w="1095" w:type="dxa"/>
            <w:tcBorders>
              <w:top w:val="nil"/>
              <w:left w:val="nil"/>
              <w:bottom w:val="nil"/>
              <w:right w:val="nil"/>
            </w:tcBorders>
            <w:shd w:val="clear" w:color="auto" w:fill="auto"/>
            <w:vAlign w:val="bottom"/>
            <w:hideMark/>
          </w:tcPr>
          <w:p w14:paraId="21E93373"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0.012 (0.770) </w:t>
            </w:r>
          </w:p>
        </w:tc>
        <w:tc>
          <w:tcPr>
            <w:tcW w:w="1095" w:type="dxa"/>
            <w:tcBorders>
              <w:top w:val="nil"/>
              <w:left w:val="nil"/>
              <w:bottom w:val="nil"/>
              <w:right w:val="nil"/>
            </w:tcBorders>
            <w:shd w:val="clear" w:color="auto" w:fill="auto"/>
            <w:vAlign w:val="bottom"/>
            <w:hideMark/>
          </w:tcPr>
          <w:p w14:paraId="0A678C6F"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0.012 (0.811) </w:t>
            </w:r>
          </w:p>
        </w:tc>
        <w:tc>
          <w:tcPr>
            <w:tcW w:w="1095" w:type="dxa"/>
            <w:tcBorders>
              <w:top w:val="nil"/>
              <w:left w:val="nil"/>
              <w:bottom w:val="nil"/>
              <w:right w:val="nil"/>
            </w:tcBorders>
            <w:shd w:val="clear" w:color="auto" w:fill="auto"/>
            <w:vAlign w:val="bottom"/>
            <w:hideMark/>
          </w:tcPr>
          <w:p w14:paraId="41834701"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0.012 (0.879) </w:t>
            </w:r>
          </w:p>
        </w:tc>
        <w:tc>
          <w:tcPr>
            <w:tcW w:w="1095" w:type="dxa"/>
            <w:tcBorders>
              <w:top w:val="nil"/>
              <w:left w:val="nil"/>
              <w:bottom w:val="nil"/>
              <w:right w:val="nil"/>
            </w:tcBorders>
            <w:shd w:val="clear" w:color="auto" w:fill="auto"/>
            <w:vAlign w:val="bottom"/>
            <w:hideMark/>
          </w:tcPr>
          <w:p w14:paraId="6447D28B"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color w:val="000000"/>
                <w:sz w:val="15"/>
                <w:szCs w:val="15"/>
                <w:lang w:eastAsia="en-GB"/>
              </w:rPr>
              <w:t>0.012 (0.934) </w:t>
            </w:r>
          </w:p>
        </w:tc>
      </w:tr>
      <w:tr w:rsidR="005B56C1" w:rsidRPr="00C672CD" w14:paraId="0D4C06A4" w14:textId="77777777">
        <w:trPr>
          <w:trHeight w:val="315"/>
        </w:trPr>
        <w:tc>
          <w:tcPr>
            <w:tcW w:w="2160" w:type="dxa"/>
            <w:tcBorders>
              <w:top w:val="nil"/>
              <w:left w:val="nil"/>
              <w:bottom w:val="single" w:sz="6" w:space="0" w:color="auto"/>
              <w:right w:val="single" w:sz="6" w:space="0" w:color="auto"/>
            </w:tcBorders>
            <w:shd w:val="clear" w:color="auto" w:fill="auto"/>
            <w:vAlign w:val="bottom"/>
            <w:hideMark/>
          </w:tcPr>
          <w:p w14:paraId="69F905F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Constant</w:t>
            </w:r>
            <w:r w:rsidRPr="00C672CD">
              <w:rPr>
                <w:rFonts w:eastAsia="Times New Roman" w:cs="Arial"/>
                <w:color w:val="000000"/>
                <w:sz w:val="15"/>
                <w:szCs w:val="15"/>
                <w:lang w:eastAsia="en-GB"/>
              </w:rPr>
              <w:t> </w:t>
            </w:r>
          </w:p>
        </w:tc>
        <w:tc>
          <w:tcPr>
            <w:tcW w:w="1095" w:type="dxa"/>
            <w:tcBorders>
              <w:top w:val="nil"/>
              <w:left w:val="single" w:sz="6" w:space="0" w:color="auto"/>
              <w:bottom w:val="single" w:sz="6" w:space="0" w:color="auto"/>
              <w:right w:val="nil"/>
            </w:tcBorders>
            <w:shd w:val="clear" w:color="auto" w:fill="auto"/>
            <w:vAlign w:val="bottom"/>
            <w:hideMark/>
          </w:tcPr>
          <w:p w14:paraId="1167877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0.022 (0.951)</w:t>
            </w:r>
            <w:r w:rsidRPr="00C672CD">
              <w:rPr>
                <w:rFonts w:eastAsia="Times New Roman" w:cs="Arial"/>
                <w:color w:val="000000"/>
                <w:sz w:val="15"/>
                <w:szCs w:val="15"/>
                <w:lang w:eastAsia="en-GB"/>
              </w:rPr>
              <w:t> </w:t>
            </w:r>
          </w:p>
        </w:tc>
        <w:tc>
          <w:tcPr>
            <w:tcW w:w="1095" w:type="dxa"/>
            <w:tcBorders>
              <w:top w:val="nil"/>
              <w:left w:val="nil"/>
              <w:bottom w:val="single" w:sz="6" w:space="0" w:color="auto"/>
              <w:right w:val="nil"/>
            </w:tcBorders>
            <w:shd w:val="clear" w:color="auto" w:fill="auto"/>
            <w:vAlign w:val="bottom"/>
            <w:hideMark/>
          </w:tcPr>
          <w:p w14:paraId="4BC59250"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0.022 (0.932)</w:t>
            </w:r>
            <w:r w:rsidRPr="00C672CD">
              <w:rPr>
                <w:rFonts w:eastAsia="Times New Roman" w:cs="Arial"/>
                <w:color w:val="000000"/>
                <w:sz w:val="15"/>
                <w:szCs w:val="15"/>
                <w:lang w:eastAsia="en-GB"/>
              </w:rPr>
              <w:t> </w:t>
            </w:r>
          </w:p>
        </w:tc>
        <w:tc>
          <w:tcPr>
            <w:tcW w:w="1095" w:type="dxa"/>
            <w:tcBorders>
              <w:top w:val="nil"/>
              <w:left w:val="nil"/>
              <w:bottom w:val="single" w:sz="6" w:space="0" w:color="auto"/>
              <w:right w:val="nil"/>
            </w:tcBorders>
            <w:shd w:val="clear" w:color="auto" w:fill="auto"/>
            <w:vAlign w:val="bottom"/>
            <w:hideMark/>
          </w:tcPr>
          <w:p w14:paraId="758AE0F9"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0.022 (0.939)</w:t>
            </w:r>
            <w:r w:rsidRPr="00C672CD">
              <w:rPr>
                <w:rFonts w:eastAsia="Times New Roman" w:cs="Arial"/>
                <w:color w:val="000000"/>
                <w:sz w:val="15"/>
                <w:szCs w:val="15"/>
                <w:lang w:eastAsia="en-GB"/>
              </w:rPr>
              <w:t> </w:t>
            </w:r>
          </w:p>
        </w:tc>
        <w:tc>
          <w:tcPr>
            <w:tcW w:w="1095" w:type="dxa"/>
            <w:tcBorders>
              <w:top w:val="nil"/>
              <w:left w:val="nil"/>
              <w:bottom w:val="single" w:sz="6" w:space="0" w:color="auto"/>
              <w:right w:val="nil"/>
            </w:tcBorders>
            <w:shd w:val="clear" w:color="auto" w:fill="auto"/>
            <w:vAlign w:val="bottom"/>
            <w:hideMark/>
          </w:tcPr>
          <w:p w14:paraId="6BE5AF7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0.022 (0.962)</w:t>
            </w:r>
            <w:r w:rsidRPr="00C672CD">
              <w:rPr>
                <w:rFonts w:eastAsia="Times New Roman" w:cs="Arial"/>
                <w:color w:val="000000"/>
                <w:sz w:val="15"/>
                <w:szCs w:val="15"/>
                <w:lang w:eastAsia="en-GB"/>
              </w:rPr>
              <w:t> </w:t>
            </w:r>
          </w:p>
        </w:tc>
        <w:tc>
          <w:tcPr>
            <w:tcW w:w="1095" w:type="dxa"/>
            <w:tcBorders>
              <w:top w:val="nil"/>
              <w:left w:val="nil"/>
              <w:bottom w:val="single" w:sz="6" w:space="0" w:color="auto"/>
              <w:right w:val="nil"/>
            </w:tcBorders>
            <w:shd w:val="clear" w:color="auto" w:fill="auto"/>
            <w:vAlign w:val="bottom"/>
            <w:hideMark/>
          </w:tcPr>
          <w:p w14:paraId="65891735"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0.022 (0.926)</w:t>
            </w:r>
            <w:r w:rsidRPr="00C672CD">
              <w:rPr>
                <w:rFonts w:eastAsia="Times New Roman" w:cs="Arial"/>
                <w:color w:val="000000"/>
                <w:sz w:val="15"/>
                <w:szCs w:val="15"/>
                <w:lang w:eastAsia="en-GB"/>
              </w:rPr>
              <w:t> </w:t>
            </w:r>
          </w:p>
        </w:tc>
        <w:tc>
          <w:tcPr>
            <w:tcW w:w="1095" w:type="dxa"/>
            <w:tcBorders>
              <w:top w:val="nil"/>
              <w:left w:val="nil"/>
              <w:bottom w:val="single" w:sz="6" w:space="0" w:color="auto"/>
              <w:right w:val="nil"/>
            </w:tcBorders>
            <w:shd w:val="clear" w:color="auto" w:fill="auto"/>
            <w:vAlign w:val="bottom"/>
            <w:hideMark/>
          </w:tcPr>
          <w:p w14:paraId="574C4842"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0.022 (0.941)</w:t>
            </w:r>
            <w:r w:rsidRPr="00C672CD">
              <w:rPr>
                <w:rFonts w:eastAsia="Times New Roman" w:cs="Arial"/>
                <w:color w:val="000000"/>
                <w:sz w:val="15"/>
                <w:szCs w:val="15"/>
                <w:lang w:eastAsia="en-GB"/>
              </w:rPr>
              <w:t> </w:t>
            </w:r>
          </w:p>
        </w:tc>
        <w:tc>
          <w:tcPr>
            <w:tcW w:w="1095" w:type="dxa"/>
            <w:tcBorders>
              <w:top w:val="nil"/>
              <w:left w:val="nil"/>
              <w:bottom w:val="single" w:sz="6" w:space="0" w:color="auto"/>
              <w:right w:val="nil"/>
            </w:tcBorders>
            <w:shd w:val="clear" w:color="auto" w:fill="auto"/>
            <w:vAlign w:val="bottom"/>
            <w:hideMark/>
          </w:tcPr>
          <w:p w14:paraId="247CFD6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0.022 (0.882)</w:t>
            </w:r>
            <w:r w:rsidRPr="00C672CD">
              <w:rPr>
                <w:rFonts w:eastAsia="Times New Roman" w:cs="Arial"/>
                <w:color w:val="000000"/>
                <w:sz w:val="15"/>
                <w:szCs w:val="15"/>
                <w:lang w:eastAsia="en-GB"/>
              </w:rPr>
              <w:t> </w:t>
            </w:r>
          </w:p>
        </w:tc>
        <w:tc>
          <w:tcPr>
            <w:tcW w:w="1095" w:type="dxa"/>
            <w:tcBorders>
              <w:top w:val="nil"/>
              <w:left w:val="nil"/>
              <w:bottom w:val="single" w:sz="6" w:space="0" w:color="auto"/>
              <w:right w:val="nil"/>
            </w:tcBorders>
            <w:shd w:val="clear" w:color="auto" w:fill="auto"/>
            <w:vAlign w:val="bottom"/>
            <w:hideMark/>
          </w:tcPr>
          <w:p w14:paraId="6A12CBDC"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0.022 (0.950)</w:t>
            </w:r>
            <w:r w:rsidRPr="00C672CD">
              <w:rPr>
                <w:rFonts w:eastAsia="Times New Roman" w:cs="Arial"/>
                <w:color w:val="000000"/>
                <w:sz w:val="15"/>
                <w:szCs w:val="15"/>
                <w:lang w:eastAsia="en-GB"/>
              </w:rPr>
              <w:t> </w:t>
            </w:r>
          </w:p>
        </w:tc>
        <w:tc>
          <w:tcPr>
            <w:tcW w:w="1095" w:type="dxa"/>
            <w:tcBorders>
              <w:top w:val="nil"/>
              <w:left w:val="nil"/>
              <w:bottom w:val="single" w:sz="6" w:space="0" w:color="auto"/>
              <w:right w:val="nil"/>
            </w:tcBorders>
            <w:shd w:val="clear" w:color="auto" w:fill="auto"/>
            <w:vAlign w:val="bottom"/>
            <w:hideMark/>
          </w:tcPr>
          <w:p w14:paraId="6E239687"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0.022 (0.931)</w:t>
            </w:r>
            <w:r w:rsidRPr="00C672CD">
              <w:rPr>
                <w:rFonts w:eastAsia="Times New Roman" w:cs="Arial"/>
                <w:color w:val="000000"/>
                <w:sz w:val="15"/>
                <w:szCs w:val="15"/>
                <w:lang w:eastAsia="en-GB"/>
              </w:rPr>
              <w:t> </w:t>
            </w:r>
          </w:p>
        </w:tc>
        <w:tc>
          <w:tcPr>
            <w:tcW w:w="1095" w:type="dxa"/>
            <w:tcBorders>
              <w:top w:val="nil"/>
              <w:left w:val="nil"/>
              <w:bottom w:val="single" w:sz="6" w:space="0" w:color="auto"/>
              <w:right w:val="nil"/>
            </w:tcBorders>
            <w:shd w:val="clear" w:color="auto" w:fill="auto"/>
            <w:vAlign w:val="bottom"/>
            <w:hideMark/>
          </w:tcPr>
          <w:p w14:paraId="6652B08D" w14:textId="77777777" w:rsidR="005B56C1" w:rsidRPr="00C672CD" w:rsidRDefault="005B56C1">
            <w:pPr>
              <w:textAlignment w:val="baseline"/>
              <w:rPr>
                <w:rFonts w:ascii="Times New Roman" w:eastAsia="Times New Roman" w:hAnsi="Times New Roman" w:cs="Times New Roman"/>
                <w:szCs w:val="24"/>
                <w:lang w:eastAsia="en-GB"/>
              </w:rPr>
            </w:pPr>
            <w:r w:rsidRPr="00C672CD">
              <w:rPr>
                <w:rFonts w:eastAsia="Times New Roman" w:cs="Arial"/>
                <w:i/>
                <w:iCs/>
                <w:color w:val="000000"/>
                <w:sz w:val="15"/>
                <w:szCs w:val="15"/>
                <w:lang w:eastAsia="en-GB"/>
              </w:rPr>
              <w:t>0.022 (0.952)</w:t>
            </w:r>
            <w:r w:rsidRPr="00C672CD">
              <w:rPr>
                <w:rFonts w:eastAsia="Times New Roman" w:cs="Arial"/>
                <w:color w:val="000000"/>
                <w:sz w:val="15"/>
                <w:szCs w:val="15"/>
                <w:lang w:eastAsia="en-GB"/>
              </w:rPr>
              <w:t> </w:t>
            </w:r>
          </w:p>
        </w:tc>
      </w:tr>
    </w:tbl>
    <w:p w14:paraId="38A766E5" w14:textId="77777777" w:rsidR="005B56C1" w:rsidRPr="00C672CD" w:rsidRDefault="005B56C1" w:rsidP="005B56C1">
      <w:pPr>
        <w:ind w:left="1440" w:hanging="1440"/>
        <w:textAlignment w:val="baseline"/>
        <w:rPr>
          <w:rFonts w:ascii="Segoe UI" w:eastAsia="Times New Roman" w:hAnsi="Segoe UI" w:cs="Segoe UI"/>
          <w:sz w:val="18"/>
          <w:szCs w:val="18"/>
          <w:lang w:eastAsia="en-GB"/>
        </w:rPr>
      </w:pPr>
      <w:r w:rsidRPr="00C672CD">
        <w:rPr>
          <w:rFonts w:eastAsia="Times New Roman" w:cs="Arial"/>
          <w:sz w:val="15"/>
          <w:szCs w:val="15"/>
          <w:lang w:eastAsia="en-GB"/>
        </w:rPr>
        <w:t> </w:t>
      </w:r>
    </w:p>
    <w:p w14:paraId="09232434" w14:textId="77777777" w:rsidR="005B56C1" w:rsidRPr="00C672CD" w:rsidRDefault="005B56C1" w:rsidP="005B56C1">
      <w:pPr>
        <w:textAlignment w:val="baseline"/>
        <w:rPr>
          <w:rFonts w:ascii="Segoe UI" w:eastAsia="Times New Roman" w:hAnsi="Segoe UI" w:cs="Segoe UI"/>
          <w:sz w:val="18"/>
          <w:szCs w:val="18"/>
          <w:lang w:eastAsia="en-GB"/>
        </w:rPr>
      </w:pPr>
      <w:r w:rsidRPr="00C672CD">
        <w:rPr>
          <w:rFonts w:eastAsia="Times New Roman" w:cs="Arial"/>
          <w:i/>
          <w:iCs/>
          <w:sz w:val="18"/>
          <w:szCs w:val="18"/>
          <w:lang w:eastAsia="en-GB"/>
        </w:rPr>
        <w:t>Notes: Multinomial logistic regression. Model statistics: LR X</w:t>
      </w:r>
      <w:r w:rsidRPr="00C672CD">
        <w:rPr>
          <w:rFonts w:eastAsia="Times New Roman" w:cs="Arial"/>
          <w:i/>
          <w:iCs/>
          <w:sz w:val="14"/>
          <w:szCs w:val="14"/>
          <w:vertAlign w:val="superscript"/>
          <w:lang w:eastAsia="en-GB"/>
        </w:rPr>
        <w:t>2</w:t>
      </w:r>
      <w:r w:rsidRPr="00C672CD">
        <w:rPr>
          <w:rFonts w:eastAsia="Times New Roman" w:cs="Arial"/>
          <w:i/>
          <w:iCs/>
          <w:sz w:val="18"/>
          <w:szCs w:val="18"/>
          <w:lang w:eastAsia="en-GB"/>
        </w:rPr>
        <w:t xml:space="preserve"> (d.f.323) = 7.01, p=1.000, Pseudo R</w:t>
      </w:r>
      <w:r w:rsidRPr="00C672CD">
        <w:rPr>
          <w:rFonts w:eastAsia="Times New Roman" w:cs="Arial"/>
          <w:i/>
          <w:iCs/>
          <w:sz w:val="14"/>
          <w:szCs w:val="14"/>
          <w:vertAlign w:val="superscript"/>
          <w:lang w:eastAsia="en-GB"/>
        </w:rPr>
        <w:t>2</w:t>
      </w:r>
      <w:r w:rsidRPr="00C672CD">
        <w:rPr>
          <w:rFonts w:eastAsia="Times New Roman" w:cs="Arial"/>
          <w:i/>
          <w:iCs/>
          <w:sz w:val="18"/>
          <w:szCs w:val="18"/>
          <w:lang w:eastAsia="en-GB"/>
        </w:rPr>
        <w:t>=0.000</w:t>
      </w:r>
      <w:r w:rsidRPr="00C672CD">
        <w:rPr>
          <w:rFonts w:eastAsia="Times New Roman" w:cs="Arial"/>
          <w:sz w:val="18"/>
          <w:szCs w:val="18"/>
          <w:lang w:eastAsia="en-GB"/>
        </w:rPr>
        <w:t> </w:t>
      </w:r>
    </w:p>
    <w:p w14:paraId="2FE8F469" w14:textId="7B6DEF3B" w:rsidR="00832D60" w:rsidRPr="00025E98" w:rsidRDefault="00832D60" w:rsidP="00025E98">
      <w:pPr>
        <w:spacing w:after="200" w:line="276" w:lineRule="auto"/>
        <w:contextualSpacing w:val="0"/>
        <w:rPr>
          <w:rFonts w:cs="Arial"/>
          <w:szCs w:val="24"/>
        </w:rPr>
        <w:sectPr w:rsidR="00832D60" w:rsidRPr="00025E98" w:rsidSect="005B56C1">
          <w:pgSz w:w="16838" w:h="11906" w:orient="landscape"/>
          <w:pgMar w:top="1440" w:right="1440" w:bottom="1440" w:left="1440" w:header="708" w:footer="708" w:gutter="0"/>
          <w:cols w:space="708"/>
          <w:docGrid w:linePitch="360"/>
        </w:sectPr>
      </w:pPr>
    </w:p>
    <w:p w14:paraId="10BBB468" w14:textId="77777777" w:rsidR="00635E37" w:rsidRDefault="00635E37" w:rsidP="0025732F">
      <w:pPr>
        <w:pStyle w:val="NoSpacing"/>
      </w:pPr>
    </w:p>
    <w:p w14:paraId="5E042634" w14:textId="77777777" w:rsidR="0025732F" w:rsidRPr="0025732F" w:rsidRDefault="0025732F" w:rsidP="0025732F">
      <w:pPr>
        <w:pStyle w:val="NoSpacing"/>
      </w:pPr>
    </w:p>
    <w:p w14:paraId="42291ECC" w14:textId="77777777" w:rsidR="0023707F" w:rsidRPr="0023707F" w:rsidRDefault="0023707F" w:rsidP="0023707F">
      <w:pPr>
        <w:pStyle w:val="NoSpacing"/>
      </w:pPr>
    </w:p>
    <w:p w14:paraId="1B34C15E" w14:textId="77777777" w:rsidR="00E015BC" w:rsidRPr="00E015BC" w:rsidRDefault="00E015BC" w:rsidP="00FD5FD0">
      <w:pPr>
        <w:pStyle w:val="NoSpacing"/>
      </w:pPr>
    </w:p>
    <w:sectPr w:rsidR="00E015BC" w:rsidRPr="00E015BC" w:rsidSect="001761F1">
      <w:footerReference w:type="default" r:id="rId3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B0206" w14:textId="77777777" w:rsidR="008F3D0B" w:rsidRDefault="008F3D0B" w:rsidP="008A2D51">
      <w:r>
        <w:separator/>
      </w:r>
    </w:p>
  </w:endnote>
  <w:endnote w:type="continuationSeparator" w:id="0">
    <w:p w14:paraId="102378B3" w14:textId="77777777" w:rsidR="008F3D0B" w:rsidRDefault="008F3D0B" w:rsidP="008A2D51">
      <w:r>
        <w:continuationSeparator/>
      </w:r>
    </w:p>
  </w:endnote>
  <w:endnote w:type="continuationNotice" w:id="1">
    <w:p w14:paraId="3D4C2472" w14:textId="77777777" w:rsidR="008F3D0B" w:rsidRDefault="008F3D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9">
    <w:altName w:val="Calibri"/>
    <w:charset w:val="00"/>
    <w:family w:val="auto"/>
    <w:pitch w:val="default"/>
  </w:font>
  <w:font w:name="ffc">
    <w:altName w:val="Calibri"/>
    <w:charset w:val="00"/>
    <w:family w:val="auto"/>
    <w:pitch w:val="default"/>
  </w:font>
  <w:font w:name="ffd">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TUOS Blake">
    <w:altName w:val="Calibri"/>
    <w:charset w:val="00"/>
    <w:family w:val="swiss"/>
    <w:pitch w:val="variable"/>
    <w:sig w:usb0="8000002F" w:usb1="4000004A" w:usb2="00000000" w:usb3="00000000" w:csb0="00000011"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909750"/>
      <w:docPartObj>
        <w:docPartGallery w:val="Page Numbers (Bottom of Page)"/>
        <w:docPartUnique/>
      </w:docPartObj>
    </w:sdtPr>
    <w:sdtEndPr>
      <w:rPr>
        <w:noProof/>
      </w:rPr>
    </w:sdtEndPr>
    <w:sdtContent>
      <w:p w14:paraId="3E007D69" w14:textId="77777777" w:rsidR="00D15731" w:rsidRDefault="00D157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A2321" w14:textId="77777777" w:rsidR="00D15731" w:rsidRDefault="00D157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288261"/>
      <w:docPartObj>
        <w:docPartGallery w:val="Page Numbers (Bottom of Page)"/>
        <w:docPartUnique/>
      </w:docPartObj>
    </w:sdtPr>
    <w:sdtEndPr>
      <w:rPr>
        <w:noProof/>
      </w:rPr>
    </w:sdtEndPr>
    <w:sdtContent>
      <w:p w14:paraId="49B98D44" w14:textId="77777777" w:rsidR="00610C5B" w:rsidRDefault="00610C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6D42A4" w14:textId="77777777" w:rsidR="00610C5B" w:rsidRDefault="00610C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549016"/>
      <w:docPartObj>
        <w:docPartGallery w:val="Page Numbers (Bottom of Page)"/>
        <w:docPartUnique/>
      </w:docPartObj>
    </w:sdtPr>
    <w:sdtEndPr>
      <w:rPr>
        <w:noProof/>
      </w:rPr>
    </w:sdtEndPr>
    <w:sdtContent>
      <w:p w14:paraId="5187A51A" w14:textId="77777777" w:rsidR="00AA5608" w:rsidRDefault="00AA56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D5AFAF" w14:textId="77777777" w:rsidR="00AA5608" w:rsidRDefault="00AA56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262870"/>
      <w:docPartObj>
        <w:docPartGallery w:val="Page Numbers (Bottom of Page)"/>
        <w:docPartUnique/>
      </w:docPartObj>
    </w:sdtPr>
    <w:sdtEndPr>
      <w:rPr>
        <w:noProof/>
      </w:rPr>
    </w:sdtEndPr>
    <w:sdtContent>
      <w:p w14:paraId="279223F7" w14:textId="77777777" w:rsidR="001A37CE" w:rsidRDefault="001A37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7A9086" w14:textId="77777777" w:rsidR="001A37CE" w:rsidRDefault="001A37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647335"/>
      <w:docPartObj>
        <w:docPartGallery w:val="Page Numbers (Bottom of Page)"/>
        <w:docPartUnique/>
      </w:docPartObj>
    </w:sdtPr>
    <w:sdtEndPr>
      <w:rPr>
        <w:noProof/>
      </w:rPr>
    </w:sdtEndPr>
    <w:sdtContent>
      <w:p w14:paraId="78DD0628" w14:textId="77777777" w:rsidR="0025732F" w:rsidRDefault="002573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421D26" w14:textId="77777777" w:rsidR="0025732F" w:rsidRDefault="002573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932115"/>
      <w:docPartObj>
        <w:docPartGallery w:val="Page Numbers (Bottom of Page)"/>
        <w:docPartUnique/>
      </w:docPartObj>
    </w:sdtPr>
    <w:sdtEndPr>
      <w:rPr>
        <w:noProof/>
      </w:rPr>
    </w:sdtEndPr>
    <w:sdtContent>
      <w:p w14:paraId="39E14F19" w14:textId="77777777" w:rsidR="0025732F" w:rsidRDefault="002573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A43AFE" w14:textId="77777777" w:rsidR="0025732F" w:rsidRDefault="0025732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883483"/>
      <w:docPartObj>
        <w:docPartGallery w:val="Page Numbers (Bottom of Page)"/>
        <w:docPartUnique/>
      </w:docPartObj>
    </w:sdtPr>
    <w:sdtEndPr>
      <w:rPr>
        <w:noProof/>
      </w:rPr>
    </w:sdtEndPr>
    <w:sdtContent>
      <w:p w14:paraId="2E637751" w14:textId="77777777" w:rsidR="002E7D2A" w:rsidRDefault="002E7D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E53B90" w14:textId="77777777" w:rsidR="002E7D2A" w:rsidRDefault="002E7D2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291429"/>
      <w:docPartObj>
        <w:docPartGallery w:val="Page Numbers (Bottom of Page)"/>
        <w:docPartUnique/>
      </w:docPartObj>
    </w:sdtPr>
    <w:sdtEndPr>
      <w:rPr>
        <w:noProof/>
      </w:rPr>
    </w:sdtEndPr>
    <w:sdtContent>
      <w:p w14:paraId="55C59610" w14:textId="77777777" w:rsidR="00635E37" w:rsidRDefault="00635E37">
        <w:pPr>
          <w:pStyle w:val="Footer"/>
          <w:jc w:val="right"/>
        </w:pPr>
        <w:r>
          <w:fldChar w:fldCharType="begin"/>
        </w:r>
        <w:r>
          <w:instrText xml:space="preserve"> PAGE   \* MERGEFORMAT </w:instrText>
        </w:r>
        <w:r>
          <w:fldChar w:fldCharType="separate"/>
        </w:r>
        <w:r>
          <w:rPr>
            <w:noProof/>
          </w:rPr>
          <w:t>80</w:t>
        </w:r>
        <w:r>
          <w:rPr>
            <w:noProof/>
          </w:rPr>
          <w:fldChar w:fldCharType="end"/>
        </w:r>
      </w:p>
    </w:sdtContent>
  </w:sdt>
  <w:p w14:paraId="181AD15C" w14:textId="77777777" w:rsidR="00635E37" w:rsidRDefault="00635E3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321999"/>
      <w:docPartObj>
        <w:docPartGallery w:val="Page Numbers (Bottom of Page)"/>
        <w:docPartUnique/>
      </w:docPartObj>
    </w:sdtPr>
    <w:sdtEndPr>
      <w:rPr>
        <w:noProof/>
      </w:rPr>
    </w:sdtEndPr>
    <w:sdtContent>
      <w:p w14:paraId="4E0CEE91" w14:textId="7FA78E8F" w:rsidR="008A2D51" w:rsidRDefault="008A2D51">
        <w:pPr>
          <w:pStyle w:val="Footer"/>
          <w:jc w:val="right"/>
        </w:pPr>
        <w:r w:rsidRPr="003E5E06">
          <w:rPr>
            <w:rFonts w:cs="Arial"/>
          </w:rPr>
          <w:fldChar w:fldCharType="begin"/>
        </w:r>
        <w:r w:rsidRPr="003E5E06">
          <w:rPr>
            <w:rFonts w:cs="Arial"/>
          </w:rPr>
          <w:instrText xml:space="preserve"> PAGE   \* MERGEFORMAT </w:instrText>
        </w:r>
        <w:r w:rsidRPr="003E5E06">
          <w:rPr>
            <w:rFonts w:cs="Arial"/>
          </w:rPr>
          <w:fldChar w:fldCharType="separate"/>
        </w:r>
        <w:r w:rsidRPr="003E5E06">
          <w:rPr>
            <w:rFonts w:cs="Arial"/>
            <w:noProof/>
          </w:rPr>
          <w:t>2</w:t>
        </w:r>
        <w:r w:rsidRPr="003E5E06">
          <w:rPr>
            <w:rFonts w:cs="Arial"/>
            <w:noProof/>
          </w:rPr>
          <w:fldChar w:fldCharType="end"/>
        </w:r>
      </w:p>
    </w:sdtContent>
  </w:sdt>
  <w:p w14:paraId="7E82D9DC" w14:textId="77777777" w:rsidR="008A2D51" w:rsidRDefault="008A2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FAE94" w14:textId="77777777" w:rsidR="008F3D0B" w:rsidRDefault="008F3D0B" w:rsidP="008A2D51">
      <w:r>
        <w:separator/>
      </w:r>
    </w:p>
  </w:footnote>
  <w:footnote w:type="continuationSeparator" w:id="0">
    <w:p w14:paraId="48744040" w14:textId="77777777" w:rsidR="008F3D0B" w:rsidRDefault="008F3D0B" w:rsidP="008A2D51">
      <w:r>
        <w:continuationSeparator/>
      </w:r>
    </w:p>
  </w:footnote>
  <w:footnote w:type="continuationNotice" w:id="1">
    <w:p w14:paraId="3C686DCE" w14:textId="77777777" w:rsidR="008F3D0B" w:rsidRDefault="008F3D0B"/>
  </w:footnote>
  <w:footnote w:id="2">
    <w:p w14:paraId="49008D51" w14:textId="3825ABBF" w:rsidR="004127D6" w:rsidRPr="00FD3EC5" w:rsidRDefault="004127D6" w:rsidP="004127D6">
      <w:pPr>
        <w:pStyle w:val="NoSpacing"/>
        <w:spacing w:line="240" w:lineRule="auto"/>
        <w:rPr>
          <w:sz w:val="20"/>
          <w:szCs w:val="20"/>
        </w:rPr>
      </w:pPr>
      <w:r w:rsidRPr="001F0072">
        <w:rPr>
          <w:rStyle w:val="FootnoteReference"/>
          <w:sz w:val="20"/>
          <w:szCs w:val="20"/>
        </w:rPr>
        <w:footnoteRef/>
      </w:r>
      <w:r w:rsidRPr="001F0072">
        <w:rPr>
          <w:sz w:val="20"/>
          <w:szCs w:val="20"/>
        </w:rPr>
        <w:t xml:space="preserve"> In 2021, I</w:t>
      </w:r>
      <w:r w:rsidRPr="00B17112">
        <w:rPr>
          <w:sz w:val="20"/>
          <w:szCs w:val="20"/>
        </w:rPr>
        <w:t xml:space="preserve"> began collecting case studies of families affected by parental SUD that were receiving treatment to see whether I could estimate any cost savings to the local authority wh</w:t>
      </w:r>
      <w:r>
        <w:rPr>
          <w:sz w:val="20"/>
          <w:szCs w:val="20"/>
        </w:rPr>
        <w:t>ich</w:t>
      </w:r>
      <w:r w:rsidRPr="00B17112">
        <w:rPr>
          <w:sz w:val="20"/>
          <w:szCs w:val="20"/>
        </w:rPr>
        <w:t xml:space="preserve"> funded the treatment. I then used what I learned to provide local areas with the tools they would need to estimate the benefits of investing in families themselves which included a guide to using case studies, a workbook containing relevant costs, a Why Invest? slide pack to be adapted and shared by our commissioners and a recorded webinar on my methods and examples of how they were adopted. </w:t>
      </w:r>
      <w:r>
        <w:rPr>
          <w:sz w:val="20"/>
          <w:szCs w:val="20"/>
        </w:rPr>
        <w:t xml:space="preserve">This year many of the resources will be updated and available on a new unmet need toolkit for parents and carers on </w:t>
      </w:r>
      <w:hyperlink r:id="rId1" w:history="1">
        <w:r w:rsidRPr="007618C0">
          <w:rPr>
            <w:rStyle w:val="Hyperlink"/>
            <w:sz w:val="20"/>
            <w:szCs w:val="20"/>
          </w:rPr>
          <w:t>www.ndtms.net</w:t>
        </w:r>
      </w:hyperlink>
      <w:r>
        <w:rPr>
          <w:sz w:val="20"/>
          <w:szCs w:val="20"/>
        </w:rPr>
        <w:t xml:space="preserve">. </w:t>
      </w:r>
    </w:p>
  </w:footnote>
  <w:footnote w:id="3">
    <w:p w14:paraId="59AE03C1" w14:textId="77777777" w:rsidR="00607A8A" w:rsidRDefault="00607A8A" w:rsidP="00607A8A">
      <w:pPr>
        <w:pStyle w:val="FootnoteText"/>
      </w:pPr>
      <w:r>
        <w:rPr>
          <w:rStyle w:val="FootnoteReference"/>
        </w:rPr>
        <w:footnoteRef/>
      </w:r>
      <w:r>
        <w:t xml:space="preserve"> </w:t>
      </w:r>
      <w:hyperlink r:id="rId2" w:history="1">
        <w:r>
          <w:rPr>
            <w:rStyle w:val="Hyperlink"/>
          </w:rPr>
          <w:t>https://www.gov.uk/government/collections/family-hubs-and-start-for-life-programme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741B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93E04"/>
    <w:multiLevelType w:val="hybridMultilevel"/>
    <w:tmpl w:val="C0D2F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40F62"/>
    <w:multiLevelType w:val="singleLevel"/>
    <w:tmpl w:val="B6EE7496"/>
    <w:lvl w:ilvl="0">
      <w:start w:val="1"/>
      <w:numFmt w:val="lowerRoman"/>
      <w:pStyle w:val="appendix"/>
      <w:lvlText w:val="(%1)"/>
      <w:lvlJc w:val="left"/>
      <w:pPr>
        <w:tabs>
          <w:tab w:val="num" w:pos="720"/>
        </w:tabs>
        <w:ind w:left="720" w:hanging="720"/>
      </w:pPr>
      <w:rPr>
        <w:rFonts w:hint="default"/>
      </w:rPr>
    </w:lvl>
  </w:abstractNum>
  <w:abstractNum w:abstractNumId="3" w15:restartNumberingAfterBreak="0">
    <w:nsid w:val="080A13E4"/>
    <w:multiLevelType w:val="hybridMultilevel"/>
    <w:tmpl w:val="1898D73A"/>
    <w:lvl w:ilvl="0" w:tplc="6BA63C04">
      <w:start w:val="1"/>
      <w:numFmt w:val="decimal"/>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E158C7"/>
    <w:multiLevelType w:val="hybridMultilevel"/>
    <w:tmpl w:val="3CDAC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276112"/>
    <w:multiLevelType w:val="multilevel"/>
    <w:tmpl w:val="5C18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A6E9D"/>
    <w:multiLevelType w:val="multilevel"/>
    <w:tmpl w:val="CAFA7B58"/>
    <w:lvl w:ilvl="0">
      <w:start w:val="3"/>
      <w:numFmt w:val="decimal"/>
      <w:pStyle w:val="subheading4"/>
      <w:lvlText w:val="%1."/>
      <w:lvlJc w:val="left"/>
      <w:pPr>
        <w:tabs>
          <w:tab w:val="num" w:pos="360"/>
        </w:tabs>
        <w:ind w:left="360" w:hanging="360"/>
      </w:pPr>
    </w:lvl>
    <w:lvl w:ilvl="1">
      <w:start w:val="1"/>
      <w:numFmt w:val="decimal"/>
      <w:pStyle w:val="subheading4"/>
      <w:lvlText w:val="%1.%2"/>
      <w:lvlJc w:val="left"/>
      <w:pPr>
        <w:tabs>
          <w:tab w:val="num" w:pos="720"/>
        </w:tabs>
        <w:ind w:left="357" w:hanging="357"/>
      </w:pPr>
      <w:rPr>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E4348C2"/>
    <w:multiLevelType w:val="hybridMultilevel"/>
    <w:tmpl w:val="F1668B8E"/>
    <w:lvl w:ilvl="0" w:tplc="8D6262AA">
      <w:start w:val="1"/>
      <w:numFmt w:val="bullet"/>
      <w:pStyle w:val="ATlist"/>
      <w:lvlText w:val=""/>
      <w:lvlJc w:val="left"/>
      <w:pPr>
        <w:ind w:left="1287" w:hanging="360"/>
      </w:pPr>
      <w:rPr>
        <w:rFonts w:ascii="Symbol" w:hAnsi="Symbol"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1049655D"/>
    <w:multiLevelType w:val="hybridMultilevel"/>
    <w:tmpl w:val="2A60F8A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765083"/>
    <w:multiLevelType w:val="multilevel"/>
    <w:tmpl w:val="0BE479CE"/>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6345F39"/>
    <w:multiLevelType w:val="hybridMultilevel"/>
    <w:tmpl w:val="73F84F1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AF70549"/>
    <w:multiLevelType w:val="hybridMultilevel"/>
    <w:tmpl w:val="61A09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D24A9"/>
    <w:multiLevelType w:val="multilevel"/>
    <w:tmpl w:val="AAE8FBCE"/>
    <w:lvl w:ilvl="0">
      <w:start w:val="1"/>
      <w:numFmt w:val="decimal"/>
      <w:pStyle w:val="chapterheading"/>
      <w:lvlText w:val="%1."/>
      <w:lvlJc w:val="left"/>
      <w:pPr>
        <w:tabs>
          <w:tab w:val="num" w:pos="360"/>
        </w:tabs>
        <w:ind w:left="360" w:hanging="360"/>
      </w:pPr>
      <w:rPr>
        <w:rFonts w:ascii="Times New Roman" w:hAnsi="Times New Roman" w:hint="default"/>
        <w:b/>
        <w:i w:val="0"/>
        <w:sz w:val="28"/>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328375F7"/>
    <w:multiLevelType w:val="multilevel"/>
    <w:tmpl w:val="3F785D14"/>
    <w:lvl w:ilvl="0">
      <w:start w:val="1"/>
      <w:numFmt w:val="decimal"/>
      <w:pStyle w:val="Headingnonumb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4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9814B14"/>
    <w:multiLevelType w:val="hybridMultilevel"/>
    <w:tmpl w:val="9134EBAA"/>
    <w:lvl w:ilvl="0" w:tplc="DDCA266C">
      <w:start w:val="1"/>
      <w:numFmt w:val="decimal"/>
      <w:pStyle w:val="ATlist0"/>
      <w:lvlText w:val="%1)"/>
      <w:lvlJc w:val="left"/>
      <w:pPr>
        <w:ind w:left="927" w:hanging="360"/>
      </w:pPr>
      <w:rPr>
        <w:rFonts w:hint="default"/>
      </w:rPr>
    </w:lvl>
    <w:lvl w:ilvl="1" w:tplc="5C5ED408">
      <w:start w:val="1"/>
      <w:numFmt w:val="lowerRoman"/>
      <w:lvlText w:val="%2."/>
      <w:lvlJc w:val="left"/>
      <w:pPr>
        <w:ind w:left="2007" w:hanging="720"/>
      </w:pPr>
      <w:rPr>
        <w:rFonts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3E5D3B83"/>
    <w:multiLevelType w:val="multilevel"/>
    <w:tmpl w:val="D958A0AC"/>
    <w:lvl w:ilvl="0">
      <w:start w:val="1"/>
      <w:numFmt w:val="decimal"/>
      <w:lvlText w:val="%1."/>
      <w:lvlJc w:val="left"/>
      <w:pPr>
        <w:ind w:left="420" w:hanging="360"/>
      </w:pPr>
      <w:rPr>
        <w:rFonts w:hint="default"/>
      </w:rPr>
    </w:lvl>
    <w:lvl w:ilvl="1">
      <w:start w:val="3"/>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2"/>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16" w15:restartNumberingAfterBreak="0">
    <w:nsid w:val="3EA87B25"/>
    <w:multiLevelType w:val="multilevel"/>
    <w:tmpl w:val="A43AC0DC"/>
    <w:lvl w:ilvl="0">
      <w:start w:val="6"/>
      <w:numFmt w:val="decimal"/>
      <w:lvlText w:val="%1."/>
      <w:lvlJc w:val="left"/>
      <w:pPr>
        <w:tabs>
          <w:tab w:val="num" w:pos="360"/>
        </w:tabs>
        <w:ind w:left="360" w:hanging="360"/>
      </w:pPr>
      <w:rPr>
        <w:rFonts w:hint="default"/>
      </w:rPr>
    </w:lvl>
    <w:lvl w:ilvl="1">
      <w:start w:val="1"/>
      <w:numFmt w:val="decimal"/>
      <w:pStyle w:val="subheading5"/>
      <w:lvlText w:val="%1.%2"/>
      <w:lvlJc w:val="left"/>
      <w:pPr>
        <w:tabs>
          <w:tab w:val="num" w:pos="720"/>
        </w:tabs>
        <w:ind w:left="357" w:hanging="357"/>
      </w:pPr>
      <w:rPr>
        <w:rFonts w:hint="default"/>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F224560"/>
    <w:multiLevelType w:val="multilevel"/>
    <w:tmpl w:val="B7C2109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7FE2640"/>
    <w:multiLevelType w:val="multilevel"/>
    <w:tmpl w:val="B094A982"/>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DDB0C3B"/>
    <w:multiLevelType w:val="hybridMultilevel"/>
    <w:tmpl w:val="4EF0B64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58335ABA"/>
    <w:multiLevelType w:val="multilevel"/>
    <w:tmpl w:val="1F8C9406"/>
    <w:lvl w:ilvl="0">
      <w:start w:val="1"/>
      <w:numFmt w:val="decimal"/>
      <w:pStyle w:val="Heading1"/>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D6D69C6"/>
    <w:multiLevelType w:val="multilevel"/>
    <w:tmpl w:val="1518891A"/>
    <w:lvl w:ilvl="0">
      <w:start w:val="1"/>
      <w:numFmt w:val="decimal"/>
      <w:pStyle w:val="head1"/>
      <w:lvlText w:val="%1."/>
      <w:lvlJc w:val="left"/>
      <w:pPr>
        <w:tabs>
          <w:tab w:val="num" w:pos="0"/>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lvlText w:val="%1.%2.%3"/>
      <w:lvlJc w:val="left"/>
      <w:pPr>
        <w:tabs>
          <w:tab w:val="num" w:pos="142"/>
        </w:tabs>
        <w:ind w:left="142" w:firstLine="0"/>
      </w:pPr>
      <w:rPr>
        <w:rFonts w:hint="default"/>
      </w:rPr>
    </w:lvl>
    <w:lvl w:ilvl="3">
      <w:start w:val="1"/>
      <w:numFmt w:val="none"/>
      <w:lvlText w:val=""/>
      <w:lvlJc w:val="left"/>
      <w:pPr>
        <w:tabs>
          <w:tab w:val="num" w:pos="2268"/>
        </w:tabs>
        <w:ind w:left="2268" w:hanging="709"/>
      </w:pPr>
      <w:rPr>
        <w:rFonts w:hint="default"/>
      </w:rPr>
    </w:lvl>
    <w:lvl w:ilvl="4">
      <w:start w:val="1"/>
      <w:numFmt w:val="none"/>
      <w:lvlText w:val=""/>
      <w:lvlJc w:val="left"/>
      <w:pPr>
        <w:tabs>
          <w:tab w:val="num" w:pos="2977"/>
        </w:tabs>
        <w:ind w:left="2977" w:hanging="709"/>
      </w:pPr>
      <w:rPr>
        <w:rFonts w:hint="default"/>
      </w:rPr>
    </w:lvl>
    <w:lvl w:ilvl="5">
      <w:start w:val="1"/>
      <w:numFmt w:val="none"/>
      <w:lvlText w:val=""/>
      <w:lvlJc w:val="left"/>
      <w:pPr>
        <w:tabs>
          <w:tab w:val="num" w:pos="3686"/>
        </w:tabs>
        <w:ind w:left="3686" w:hanging="709"/>
      </w:pPr>
      <w:rPr>
        <w:rFonts w:hint="default"/>
      </w:rPr>
    </w:lvl>
    <w:lvl w:ilvl="6">
      <w:start w:val="1"/>
      <w:numFmt w:val="none"/>
      <w:lvlText w:val=""/>
      <w:lvlJc w:val="left"/>
      <w:pPr>
        <w:tabs>
          <w:tab w:val="num" w:pos="4395"/>
        </w:tabs>
        <w:ind w:left="4395" w:hanging="709"/>
      </w:pPr>
      <w:rPr>
        <w:rFonts w:hint="default"/>
      </w:rPr>
    </w:lvl>
    <w:lvl w:ilvl="7">
      <w:start w:val="1"/>
      <w:numFmt w:val="none"/>
      <w:lvlText w:val=""/>
      <w:lvlJc w:val="left"/>
      <w:pPr>
        <w:tabs>
          <w:tab w:val="num" w:pos="5104"/>
        </w:tabs>
        <w:ind w:left="5104" w:hanging="709"/>
      </w:pPr>
      <w:rPr>
        <w:rFonts w:hint="default"/>
      </w:rPr>
    </w:lvl>
    <w:lvl w:ilvl="8">
      <w:start w:val="1"/>
      <w:numFmt w:val="none"/>
      <w:lvlText w:val=""/>
      <w:lvlJc w:val="left"/>
      <w:pPr>
        <w:tabs>
          <w:tab w:val="num" w:pos="5813"/>
        </w:tabs>
        <w:ind w:left="5813" w:hanging="709"/>
      </w:pPr>
      <w:rPr>
        <w:rFonts w:hint="default"/>
      </w:rPr>
    </w:lvl>
  </w:abstractNum>
  <w:abstractNum w:abstractNumId="22" w15:restartNumberingAfterBreak="0">
    <w:nsid w:val="5D915AC2"/>
    <w:multiLevelType w:val="hybridMultilevel"/>
    <w:tmpl w:val="C804B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803205"/>
    <w:multiLevelType w:val="multilevel"/>
    <w:tmpl w:val="159C4446"/>
    <w:lvl w:ilvl="0">
      <w:start w:val="1"/>
      <w:numFmt w:val="decimal"/>
      <w:pStyle w:val="Sectionheading"/>
      <w:lvlText w:val="%1."/>
      <w:lvlJc w:val="left"/>
      <w:pPr>
        <w:tabs>
          <w:tab w:val="num" w:pos="680"/>
        </w:tabs>
        <w:ind w:left="680" w:hanging="680"/>
      </w:pPr>
      <w:rPr>
        <w:rFonts w:hint="default"/>
      </w:rPr>
    </w:lvl>
    <w:lvl w:ilvl="1">
      <w:start w:val="1"/>
      <w:numFmt w:val="decimal"/>
      <w:lvlText w:val="%1.%2"/>
      <w:lvlJc w:val="left"/>
      <w:pPr>
        <w:tabs>
          <w:tab w:val="num" w:pos="860"/>
        </w:tabs>
        <w:ind w:left="860" w:hanging="680"/>
      </w:pPr>
      <w:rPr>
        <w:rFonts w:hint="default"/>
        <w:b w:val="0"/>
        <w:i w:val="0"/>
        <w:color w:val="000000"/>
      </w:rPr>
    </w:lvl>
    <w:lvl w:ilvl="2">
      <w:start w:val="1"/>
      <w:numFmt w:val="lowerLetter"/>
      <w:lvlText w:val="(%3)"/>
      <w:lvlJc w:val="left"/>
      <w:pPr>
        <w:tabs>
          <w:tab w:val="num" w:pos="1467"/>
        </w:tabs>
        <w:ind w:left="1467" w:hanging="567"/>
      </w:pPr>
      <w:rPr>
        <w:rFonts w:hint="default"/>
        <w:color w:val="auto"/>
      </w:rPr>
    </w:lvl>
    <w:lvl w:ilvl="3">
      <w:start w:val="1"/>
      <w:numFmt w:val="lowerRoman"/>
      <w:lvlText w:val="(%4)"/>
      <w:lvlJc w:val="left"/>
      <w:pPr>
        <w:tabs>
          <w:tab w:val="num" w:pos="1814"/>
        </w:tabs>
        <w:ind w:left="1814" w:hanging="567"/>
      </w:pPr>
      <w:rPr>
        <w:rFonts w:hint="default"/>
      </w:rPr>
    </w:lvl>
    <w:lvl w:ilvl="4">
      <w:start w:val="1"/>
      <w:numFmt w:val="bullet"/>
      <w:lvlText w:val=""/>
      <w:lvlJc w:val="left"/>
      <w:pPr>
        <w:tabs>
          <w:tab w:val="num" w:pos="1814"/>
        </w:tabs>
        <w:ind w:left="2098" w:hanging="284"/>
      </w:pPr>
      <w:rPr>
        <w:rFonts w:ascii="Symbol" w:hAnsi="Symbol" w:hint="default"/>
        <w:b/>
        <w:i w:val="0"/>
      </w:rPr>
    </w:lvl>
    <w:lvl w:ilvl="5">
      <w:start w:val="1"/>
      <w:numFmt w:val="none"/>
      <w:lvlText w:val=""/>
      <w:lvlJc w:val="left"/>
      <w:pPr>
        <w:tabs>
          <w:tab w:val="num" w:pos="3400"/>
        </w:tabs>
        <w:ind w:left="3400" w:hanging="397"/>
      </w:pPr>
      <w:rPr>
        <w:rFonts w:hint="default"/>
        <w:b/>
        <w:i w:val="0"/>
      </w:rPr>
    </w:lvl>
    <w:lvl w:ilvl="6">
      <w:start w:val="1"/>
      <w:numFmt w:val="none"/>
      <w:lvlText w:val=""/>
      <w:lvlJc w:val="left"/>
      <w:pPr>
        <w:tabs>
          <w:tab w:val="num" w:pos="3400"/>
        </w:tabs>
        <w:ind w:left="3400" w:hanging="567"/>
      </w:pPr>
      <w:rPr>
        <w:rFonts w:hint="default"/>
      </w:rPr>
    </w:lvl>
    <w:lvl w:ilvl="7">
      <w:start w:val="1"/>
      <w:numFmt w:val="none"/>
      <w:lvlText w:val=""/>
      <w:lvlJc w:val="left"/>
      <w:pPr>
        <w:tabs>
          <w:tab w:val="num" w:pos="3400"/>
        </w:tabs>
        <w:ind w:left="3400" w:hanging="567"/>
      </w:pPr>
      <w:rPr>
        <w:rFonts w:hint="default"/>
      </w:rPr>
    </w:lvl>
    <w:lvl w:ilvl="8">
      <w:start w:val="1"/>
      <w:numFmt w:val="none"/>
      <w:lvlText w:val=""/>
      <w:lvlJc w:val="left"/>
      <w:pPr>
        <w:tabs>
          <w:tab w:val="num" w:pos="3400"/>
        </w:tabs>
        <w:ind w:left="3400" w:hanging="567"/>
      </w:pPr>
      <w:rPr>
        <w:rFonts w:hint="default"/>
      </w:rPr>
    </w:lvl>
  </w:abstractNum>
  <w:abstractNum w:abstractNumId="24" w15:restartNumberingAfterBreak="0">
    <w:nsid w:val="609453E0"/>
    <w:multiLevelType w:val="hybridMultilevel"/>
    <w:tmpl w:val="871E2C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5D73B4C"/>
    <w:multiLevelType w:val="multilevel"/>
    <w:tmpl w:val="0848F7B6"/>
    <w:lvl w:ilvl="0">
      <w:start w:val="6"/>
      <w:numFmt w:val="decimal"/>
      <w:lvlText w:val="%1."/>
      <w:lvlJc w:val="left"/>
      <w:pPr>
        <w:tabs>
          <w:tab w:val="num" w:pos="360"/>
        </w:tabs>
        <w:ind w:left="360" w:hanging="360"/>
      </w:pPr>
    </w:lvl>
    <w:lvl w:ilvl="1">
      <w:start w:val="1"/>
      <w:numFmt w:val="decimal"/>
      <w:pStyle w:val="subheading6"/>
      <w:lvlText w:val="%1.%2"/>
      <w:lvlJc w:val="left"/>
      <w:pPr>
        <w:tabs>
          <w:tab w:val="num" w:pos="720"/>
        </w:tabs>
        <w:ind w:left="357" w:hanging="357"/>
      </w:pPr>
      <w:rPr>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6CAD7B4A"/>
    <w:multiLevelType w:val="multilevel"/>
    <w:tmpl w:val="D5523536"/>
    <w:lvl w:ilvl="0">
      <w:start w:val="2"/>
      <w:numFmt w:val="decimal"/>
      <w:pStyle w:val="subheading2"/>
      <w:lvlText w:val="%1."/>
      <w:lvlJc w:val="left"/>
      <w:pPr>
        <w:tabs>
          <w:tab w:val="num" w:pos="360"/>
        </w:tabs>
        <w:ind w:left="360" w:hanging="360"/>
      </w:pPr>
      <w:rPr>
        <w:rFonts w:hint="default"/>
      </w:rPr>
    </w:lvl>
    <w:lvl w:ilvl="1">
      <w:start w:val="1"/>
      <w:numFmt w:val="decimal"/>
      <w:pStyle w:val="subheading2"/>
      <w:lvlText w:val="3.%2"/>
      <w:lvlJc w:val="left"/>
      <w:pPr>
        <w:tabs>
          <w:tab w:val="num" w:pos="720"/>
        </w:tabs>
        <w:ind w:left="357" w:hanging="357"/>
      </w:pPr>
      <w:rPr>
        <w:rFonts w:hint="default"/>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74842C6B"/>
    <w:multiLevelType w:val="hybridMultilevel"/>
    <w:tmpl w:val="86DABAC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6A61F4E"/>
    <w:multiLevelType w:val="multilevel"/>
    <w:tmpl w:val="0764DD92"/>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C57420"/>
    <w:multiLevelType w:val="multilevel"/>
    <w:tmpl w:val="B094A982"/>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9550630"/>
    <w:multiLevelType w:val="multilevel"/>
    <w:tmpl w:val="077EE0CC"/>
    <w:lvl w:ilvl="0">
      <w:start w:val="1"/>
      <w:numFmt w:val="none"/>
      <w:lvlText w:val="3."/>
      <w:lvlJc w:val="left"/>
      <w:pPr>
        <w:tabs>
          <w:tab w:val="num" w:pos="360"/>
        </w:tabs>
        <w:ind w:left="360" w:hanging="360"/>
      </w:pPr>
    </w:lvl>
    <w:lvl w:ilvl="1">
      <w:start w:val="1"/>
      <w:numFmt w:val="decimal"/>
      <w:pStyle w:val="subheading3"/>
      <w:lvlText w:val="3.%2"/>
      <w:lvlJc w:val="left"/>
      <w:pPr>
        <w:tabs>
          <w:tab w:val="num" w:pos="720"/>
        </w:tabs>
        <w:ind w:left="357" w:hanging="357"/>
      </w:pPr>
      <w:rPr>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2113041131">
    <w:abstractNumId w:val="28"/>
  </w:num>
  <w:num w:numId="2" w16cid:durableId="1450933594">
    <w:abstractNumId w:val="11"/>
  </w:num>
  <w:num w:numId="3" w16cid:durableId="737939908">
    <w:abstractNumId w:val="17"/>
  </w:num>
  <w:num w:numId="4" w16cid:durableId="1405372514">
    <w:abstractNumId w:val="8"/>
  </w:num>
  <w:num w:numId="5" w16cid:durableId="1694574870">
    <w:abstractNumId w:val="30"/>
  </w:num>
  <w:num w:numId="6" w16cid:durableId="1742753598">
    <w:abstractNumId w:val="6"/>
  </w:num>
  <w:num w:numId="7" w16cid:durableId="820923968">
    <w:abstractNumId w:val="12"/>
  </w:num>
  <w:num w:numId="8" w16cid:durableId="730693298">
    <w:abstractNumId w:val="16"/>
  </w:num>
  <w:num w:numId="9" w16cid:durableId="1122922534">
    <w:abstractNumId w:val="26"/>
  </w:num>
  <w:num w:numId="10" w16cid:durableId="1035235420">
    <w:abstractNumId w:val="2"/>
  </w:num>
  <w:num w:numId="11" w16cid:durableId="1437016732">
    <w:abstractNumId w:val="25"/>
  </w:num>
  <w:num w:numId="12" w16cid:durableId="1660690070">
    <w:abstractNumId w:val="14"/>
  </w:num>
  <w:num w:numId="13" w16cid:durableId="423692632">
    <w:abstractNumId w:val="23"/>
  </w:num>
  <w:num w:numId="14" w16cid:durableId="1177887309">
    <w:abstractNumId w:val="21"/>
  </w:num>
  <w:num w:numId="15" w16cid:durableId="356126607">
    <w:abstractNumId w:val="7"/>
  </w:num>
  <w:num w:numId="16" w16cid:durableId="193616524">
    <w:abstractNumId w:val="3"/>
  </w:num>
  <w:num w:numId="17" w16cid:durableId="312639454">
    <w:abstractNumId w:val="13"/>
  </w:num>
  <w:num w:numId="18" w16cid:durableId="761951517">
    <w:abstractNumId w:val="9"/>
  </w:num>
  <w:num w:numId="19" w16cid:durableId="1407266103">
    <w:abstractNumId w:val="20"/>
  </w:num>
  <w:num w:numId="20" w16cid:durableId="232206149">
    <w:abstractNumId w:val="1"/>
  </w:num>
  <w:num w:numId="21" w16cid:durableId="112868198">
    <w:abstractNumId w:val="0"/>
  </w:num>
  <w:num w:numId="22" w16cid:durableId="1186136439">
    <w:abstractNumId w:val="29"/>
  </w:num>
  <w:num w:numId="23" w16cid:durableId="865750534">
    <w:abstractNumId w:val="4"/>
  </w:num>
  <w:num w:numId="24" w16cid:durableId="773981143">
    <w:abstractNumId w:val="18"/>
  </w:num>
  <w:num w:numId="25" w16cid:durableId="1483040188">
    <w:abstractNumId w:val="19"/>
  </w:num>
  <w:num w:numId="26" w16cid:durableId="983969049">
    <w:abstractNumId w:val="27"/>
  </w:num>
  <w:num w:numId="27" w16cid:durableId="1547063135">
    <w:abstractNumId w:val="10"/>
  </w:num>
  <w:num w:numId="28" w16cid:durableId="1828129634">
    <w:abstractNumId w:val="24"/>
  </w:num>
  <w:num w:numId="29" w16cid:durableId="1770814965">
    <w:abstractNumId w:val="15"/>
  </w:num>
  <w:num w:numId="30" w16cid:durableId="1231958744">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4161406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632375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51781221">
    <w:abstractNumId w:val="22"/>
  </w:num>
  <w:num w:numId="34" w16cid:durableId="56631380">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zvr5fstavwxoe9v04xf0wmp5t50as52da0&quot;&gt;sdb.eni&lt;record-ids&gt;&lt;item&gt;1&lt;/item&gt;&lt;item&gt;3&lt;/item&gt;&lt;item&gt;4&lt;/item&gt;&lt;item&gt;5&lt;/item&gt;&lt;item&gt;6&lt;/item&gt;&lt;item&gt;7&lt;/item&gt;&lt;item&gt;8&lt;/item&gt;&lt;item&gt;9&lt;/item&gt;&lt;item&gt;13&lt;/item&gt;&lt;item&gt;15&lt;/item&gt;&lt;item&gt;17&lt;/item&gt;&lt;item&gt;18&lt;/item&gt;&lt;item&gt;21&lt;/item&gt;&lt;item&gt;22&lt;/item&gt;&lt;item&gt;23&lt;/item&gt;&lt;item&gt;25&lt;/item&gt;&lt;item&gt;27&lt;/item&gt;&lt;item&gt;29&lt;/item&gt;&lt;item&gt;30&lt;/item&gt;&lt;item&gt;32&lt;/item&gt;&lt;item&gt;36&lt;/item&gt;&lt;item&gt;37&lt;/item&gt;&lt;item&gt;38&lt;/item&gt;&lt;item&gt;39&lt;/item&gt;&lt;item&gt;40&lt;/item&gt;&lt;item&gt;41&lt;/item&gt;&lt;item&gt;42&lt;/item&gt;&lt;item&gt;43&lt;/item&gt;&lt;item&gt;48&lt;/item&gt;&lt;item&gt;49&lt;/item&gt;&lt;item&gt;50&lt;/item&gt;&lt;item&gt;51&lt;/item&gt;&lt;item&gt;52&lt;/item&gt;&lt;item&gt;53&lt;/item&gt;&lt;item&gt;54&lt;/item&gt;&lt;item&gt;55&lt;/item&gt;&lt;item&gt;59&lt;/item&gt;&lt;item&gt;60&lt;/item&gt;&lt;item&gt;63&lt;/item&gt;&lt;item&gt;64&lt;/item&gt;&lt;item&gt;65&lt;/item&gt;&lt;item&gt;66&lt;/item&gt;&lt;item&gt;67&lt;/item&gt;&lt;item&gt;68&lt;/item&gt;&lt;item&gt;69&lt;/item&gt;&lt;item&gt;75&lt;/item&gt;&lt;item&gt;82&lt;/item&gt;&lt;item&gt;83&lt;/item&gt;&lt;item&gt;84&lt;/item&gt;&lt;item&gt;85&lt;/item&gt;&lt;item&gt;86&lt;/item&gt;&lt;item&gt;88&lt;/item&gt;&lt;item&gt;89&lt;/item&gt;&lt;item&gt;90&lt;/item&gt;&lt;item&gt;91&lt;/item&gt;&lt;item&gt;92&lt;/item&gt;&lt;item&gt;93&lt;/item&gt;&lt;item&gt;94&lt;/item&gt;&lt;item&gt;102&lt;/item&gt;&lt;item&gt;104&lt;/item&gt;&lt;item&gt;107&lt;/item&gt;&lt;item&gt;108&lt;/item&gt;&lt;item&gt;109&lt;/item&gt;&lt;item&gt;110&lt;/item&gt;&lt;item&gt;111&lt;/item&gt;&lt;item&gt;112&lt;/item&gt;&lt;item&gt;113&lt;/item&gt;&lt;item&gt;114&lt;/item&gt;&lt;item&gt;115&lt;/item&gt;&lt;item&gt;117&lt;/item&gt;&lt;item&gt;118&lt;/item&gt;&lt;item&gt;119&lt;/item&gt;&lt;item&gt;120&lt;/item&gt;&lt;item&gt;121&lt;/item&gt;&lt;item&gt;122&lt;/item&gt;&lt;item&gt;123&lt;/item&gt;&lt;item&gt;124&lt;/item&gt;&lt;item&gt;125&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3&lt;/item&gt;&lt;item&gt;144&lt;/item&gt;&lt;item&gt;147&lt;/item&gt;&lt;item&gt;154&lt;/item&gt;&lt;item&gt;157&lt;/item&gt;&lt;item&gt;159&lt;/item&gt;&lt;item&gt;160&lt;/item&gt;&lt;item&gt;164&lt;/item&gt;&lt;item&gt;165&lt;/item&gt;&lt;item&gt;166&lt;/item&gt;&lt;item&gt;168&lt;/item&gt;&lt;item&gt;169&lt;/item&gt;&lt;item&gt;170&lt;/item&gt;&lt;item&gt;174&lt;/item&gt;&lt;item&gt;175&lt;/item&gt;&lt;item&gt;176&lt;/item&gt;&lt;item&gt;177&lt;/item&gt;&lt;item&gt;180&lt;/item&gt;&lt;item&gt;182&lt;/item&gt;&lt;item&gt;183&lt;/item&gt;&lt;item&gt;184&lt;/item&gt;&lt;item&gt;187&lt;/item&gt;&lt;item&gt;188&lt;/item&gt;&lt;item&gt;192&lt;/item&gt;&lt;item&gt;194&lt;/item&gt;&lt;item&gt;197&lt;/item&gt;&lt;item&gt;199&lt;/item&gt;&lt;item&gt;200&lt;/item&gt;&lt;item&gt;207&lt;/item&gt;&lt;item&gt;208&lt;/item&gt;&lt;item&gt;209&lt;/item&gt;&lt;item&gt;213&lt;/item&gt;&lt;item&gt;214&lt;/item&gt;&lt;item&gt;215&lt;/item&gt;&lt;item&gt;216&lt;/item&gt;&lt;item&gt;218&lt;/item&gt;&lt;item&gt;219&lt;/item&gt;&lt;item&gt;220&lt;/item&gt;&lt;item&gt;221&lt;/item&gt;&lt;item&gt;222&lt;/item&gt;&lt;item&gt;223&lt;/item&gt;&lt;item&gt;225&lt;/item&gt;&lt;item&gt;227&lt;/item&gt;&lt;item&gt;228&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8&lt;/item&gt;&lt;item&gt;250&lt;/item&gt;&lt;item&gt;251&lt;/item&gt;&lt;item&gt;252&lt;/item&gt;&lt;item&gt;253&lt;/item&gt;&lt;item&gt;254&lt;/item&gt;&lt;item&gt;255&lt;/item&gt;&lt;item&gt;256&lt;/item&gt;&lt;item&gt;257&lt;/item&gt;&lt;item&gt;258&lt;/item&gt;&lt;item&gt;259&lt;/item&gt;&lt;item&gt;260&lt;/item&gt;&lt;item&gt;261&lt;/item&gt;&lt;item&gt;263&lt;/item&gt;&lt;item&gt;264&lt;/item&gt;&lt;item&gt;265&lt;/item&gt;&lt;item&gt;267&lt;/item&gt;&lt;item&gt;268&lt;/item&gt;&lt;item&gt;269&lt;/item&gt;&lt;item&gt;270&lt;/item&gt;&lt;item&gt;271&lt;/item&gt;&lt;item&gt;272&lt;/item&gt;&lt;item&gt;273&lt;/item&gt;&lt;item&gt;274&lt;/item&gt;&lt;item&gt;278&lt;/item&gt;&lt;item&gt;279&lt;/item&gt;&lt;item&gt;280&lt;/item&gt;&lt;item&gt;281&lt;/item&gt;&lt;item&gt;282&lt;/item&gt;&lt;item&gt;283&lt;/item&gt;&lt;item&gt;284&lt;/item&gt;&lt;item&gt;285&lt;/item&gt;&lt;item&gt;286&lt;/item&gt;&lt;item&gt;287&lt;/item&gt;&lt;item&gt;289&lt;/item&gt;&lt;item&gt;291&lt;/item&gt;&lt;item&gt;292&lt;/item&gt;&lt;item&gt;297&lt;/item&gt;&lt;item&gt;298&lt;/item&gt;&lt;item&gt;300&lt;/item&gt;&lt;item&gt;301&lt;/item&gt;&lt;item&gt;304&lt;/item&gt;&lt;item&gt;305&lt;/item&gt;&lt;item&gt;306&lt;/item&gt;&lt;item&gt;307&lt;/item&gt;&lt;item&gt;308&lt;/item&gt;&lt;item&gt;310&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30&lt;/item&gt;&lt;item&gt;331&lt;/item&gt;&lt;item&gt;332&lt;/item&gt;&lt;item&gt;333&lt;/item&gt;&lt;item&gt;334&lt;/item&gt;&lt;item&gt;335&lt;/item&gt;&lt;item&gt;336&lt;/item&gt;&lt;item&gt;341&lt;/item&gt;&lt;item&gt;342&lt;/item&gt;&lt;item&gt;343&lt;/item&gt;&lt;item&gt;344&lt;/item&gt;&lt;item&gt;345&lt;/item&gt;&lt;item&gt;346&lt;/item&gt;&lt;item&gt;352&lt;/item&gt;&lt;item&gt;353&lt;/item&gt;&lt;item&gt;354&lt;/item&gt;&lt;item&gt;359&lt;/item&gt;&lt;item&gt;360&lt;/item&gt;&lt;item&gt;364&lt;/item&gt;&lt;item&gt;365&lt;/item&gt;&lt;item&gt;366&lt;/item&gt;&lt;item&gt;367&lt;/item&gt;&lt;item&gt;368&lt;/item&gt;&lt;item&gt;372&lt;/item&gt;&lt;item&gt;373&lt;/item&gt;&lt;item&gt;374&lt;/item&gt;&lt;item&gt;375&lt;/item&gt;&lt;item&gt;386&lt;/item&gt;&lt;item&gt;454&lt;/item&gt;&lt;item&gt;464&lt;/item&gt;&lt;item&gt;471&lt;/item&gt;&lt;item&gt;480&lt;/item&gt;&lt;item&gt;548&lt;/item&gt;&lt;item&gt;549&lt;/item&gt;&lt;item&gt;595&lt;/item&gt;&lt;item&gt;617&lt;/item&gt;&lt;item&gt;685&lt;/item&gt;&lt;item&gt;687&lt;/item&gt;&lt;item&gt;688&lt;/item&gt;&lt;item&gt;691&lt;/item&gt;&lt;item&gt;692&lt;/item&gt;&lt;item&gt;693&lt;/item&gt;&lt;item&gt;694&lt;/item&gt;&lt;item&gt;695&lt;/item&gt;&lt;item&gt;696&lt;/item&gt;&lt;item&gt;697&lt;/item&gt;&lt;item&gt;699&lt;/item&gt;&lt;item&gt;700&lt;/item&gt;&lt;item&gt;701&lt;/item&gt;&lt;item&gt;702&lt;/item&gt;&lt;item&gt;703&lt;/item&gt;&lt;item&gt;704&lt;/item&gt;&lt;item&gt;707&lt;/item&gt;&lt;item&gt;708&lt;/item&gt;&lt;item&gt;709&lt;/item&gt;&lt;item&gt;710&lt;/item&gt;&lt;item&gt;711&lt;/item&gt;&lt;item&gt;712&lt;/item&gt;&lt;item&gt;713&lt;/item&gt;&lt;item&gt;714&lt;/item&gt;&lt;item&gt;715&lt;/item&gt;&lt;item&gt;716&lt;/item&gt;&lt;item&gt;717&lt;/item&gt;&lt;item&gt;718&lt;/item&gt;&lt;item&gt;719&lt;/item&gt;&lt;item&gt;720&lt;/item&gt;&lt;/record-ids&gt;&lt;/item&gt;&lt;/Libraries&gt;"/>
  </w:docVars>
  <w:rsids>
    <w:rsidRoot w:val="00D535FE"/>
    <w:rsid w:val="00000080"/>
    <w:rsid w:val="000002F7"/>
    <w:rsid w:val="00000427"/>
    <w:rsid w:val="00000665"/>
    <w:rsid w:val="00000E4F"/>
    <w:rsid w:val="00000E5E"/>
    <w:rsid w:val="0000127B"/>
    <w:rsid w:val="000015D0"/>
    <w:rsid w:val="00002246"/>
    <w:rsid w:val="000024E7"/>
    <w:rsid w:val="000027DC"/>
    <w:rsid w:val="00002A02"/>
    <w:rsid w:val="00002A70"/>
    <w:rsid w:val="00002AC7"/>
    <w:rsid w:val="00002BA4"/>
    <w:rsid w:val="00002CA2"/>
    <w:rsid w:val="00002E93"/>
    <w:rsid w:val="00002EBD"/>
    <w:rsid w:val="00003582"/>
    <w:rsid w:val="00003971"/>
    <w:rsid w:val="00003BB2"/>
    <w:rsid w:val="00003DA5"/>
    <w:rsid w:val="00003ED0"/>
    <w:rsid w:val="00004765"/>
    <w:rsid w:val="00004800"/>
    <w:rsid w:val="00004EDE"/>
    <w:rsid w:val="0000532F"/>
    <w:rsid w:val="0000541B"/>
    <w:rsid w:val="000057C6"/>
    <w:rsid w:val="000062ED"/>
    <w:rsid w:val="00006375"/>
    <w:rsid w:val="000065E9"/>
    <w:rsid w:val="00006848"/>
    <w:rsid w:val="00006C9F"/>
    <w:rsid w:val="00007242"/>
    <w:rsid w:val="00007702"/>
    <w:rsid w:val="00007871"/>
    <w:rsid w:val="0000794A"/>
    <w:rsid w:val="000079F6"/>
    <w:rsid w:val="00007AA2"/>
    <w:rsid w:val="00007B33"/>
    <w:rsid w:val="00007E57"/>
    <w:rsid w:val="00007E96"/>
    <w:rsid w:val="00010086"/>
    <w:rsid w:val="00010289"/>
    <w:rsid w:val="000107AC"/>
    <w:rsid w:val="000108C5"/>
    <w:rsid w:val="0001099A"/>
    <w:rsid w:val="00010F26"/>
    <w:rsid w:val="00011087"/>
    <w:rsid w:val="00011122"/>
    <w:rsid w:val="00011318"/>
    <w:rsid w:val="0001157A"/>
    <w:rsid w:val="00011A4C"/>
    <w:rsid w:val="00011B42"/>
    <w:rsid w:val="00011F91"/>
    <w:rsid w:val="00012315"/>
    <w:rsid w:val="00012366"/>
    <w:rsid w:val="000123BB"/>
    <w:rsid w:val="000127C8"/>
    <w:rsid w:val="000129D7"/>
    <w:rsid w:val="00012ABF"/>
    <w:rsid w:val="00012C08"/>
    <w:rsid w:val="00012FA2"/>
    <w:rsid w:val="00012FE2"/>
    <w:rsid w:val="0001310C"/>
    <w:rsid w:val="00013353"/>
    <w:rsid w:val="0001344C"/>
    <w:rsid w:val="00013808"/>
    <w:rsid w:val="0001386E"/>
    <w:rsid w:val="00013B33"/>
    <w:rsid w:val="00013D26"/>
    <w:rsid w:val="000141E5"/>
    <w:rsid w:val="000144A2"/>
    <w:rsid w:val="000148DB"/>
    <w:rsid w:val="00014976"/>
    <w:rsid w:val="00014A88"/>
    <w:rsid w:val="00014AFB"/>
    <w:rsid w:val="00014E34"/>
    <w:rsid w:val="0001501A"/>
    <w:rsid w:val="0001590F"/>
    <w:rsid w:val="00016744"/>
    <w:rsid w:val="00016837"/>
    <w:rsid w:val="0001688D"/>
    <w:rsid w:val="00016904"/>
    <w:rsid w:val="00016922"/>
    <w:rsid w:val="00016BEC"/>
    <w:rsid w:val="00016C96"/>
    <w:rsid w:val="000171E2"/>
    <w:rsid w:val="000173B3"/>
    <w:rsid w:val="0001750C"/>
    <w:rsid w:val="000176CF"/>
    <w:rsid w:val="00017931"/>
    <w:rsid w:val="00017B1B"/>
    <w:rsid w:val="00017D91"/>
    <w:rsid w:val="00017EDC"/>
    <w:rsid w:val="00020018"/>
    <w:rsid w:val="00020043"/>
    <w:rsid w:val="00020095"/>
    <w:rsid w:val="000202A8"/>
    <w:rsid w:val="00020644"/>
    <w:rsid w:val="0002076E"/>
    <w:rsid w:val="00020834"/>
    <w:rsid w:val="00020B9C"/>
    <w:rsid w:val="00020BCB"/>
    <w:rsid w:val="00021290"/>
    <w:rsid w:val="0002143E"/>
    <w:rsid w:val="00021544"/>
    <w:rsid w:val="00021777"/>
    <w:rsid w:val="00021792"/>
    <w:rsid w:val="00021890"/>
    <w:rsid w:val="000218AF"/>
    <w:rsid w:val="0002194B"/>
    <w:rsid w:val="00021B19"/>
    <w:rsid w:val="00021C5D"/>
    <w:rsid w:val="00021E8A"/>
    <w:rsid w:val="00021F23"/>
    <w:rsid w:val="0002211B"/>
    <w:rsid w:val="000221F8"/>
    <w:rsid w:val="000227CD"/>
    <w:rsid w:val="00022827"/>
    <w:rsid w:val="0002294F"/>
    <w:rsid w:val="000229D6"/>
    <w:rsid w:val="00022D87"/>
    <w:rsid w:val="00022FE9"/>
    <w:rsid w:val="00023300"/>
    <w:rsid w:val="000234A9"/>
    <w:rsid w:val="000235D7"/>
    <w:rsid w:val="000237B9"/>
    <w:rsid w:val="0002419A"/>
    <w:rsid w:val="000244C7"/>
    <w:rsid w:val="0002465D"/>
    <w:rsid w:val="00024755"/>
    <w:rsid w:val="00024826"/>
    <w:rsid w:val="00024918"/>
    <w:rsid w:val="000249DD"/>
    <w:rsid w:val="000249E1"/>
    <w:rsid w:val="00024CC2"/>
    <w:rsid w:val="000250FE"/>
    <w:rsid w:val="000253B7"/>
    <w:rsid w:val="0002540B"/>
    <w:rsid w:val="00025692"/>
    <w:rsid w:val="00025DE0"/>
    <w:rsid w:val="00025E98"/>
    <w:rsid w:val="00025EA3"/>
    <w:rsid w:val="00025FC4"/>
    <w:rsid w:val="000260C5"/>
    <w:rsid w:val="000260DB"/>
    <w:rsid w:val="000263B0"/>
    <w:rsid w:val="00026408"/>
    <w:rsid w:val="00026769"/>
    <w:rsid w:val="00026BCA"/>
    <w:rsid w:val="00026FED"/>
    <w:rsid w:val="000273C2"/>
    <w:rsid w:val="00027A38"/>
    <w:rsid w:val="00027A45"/>
    <w:rsid w:val="00027AB1"/>
    <w:rsid w:val="00027FB5"/>
    <w:rsid w:val="00027FC0"/>
    <w:rsid w:val="00030049"/>
    <w:rsid w:val="00030108"/>
    <w:rsid w:val="0003012C"/>
    <w:rsid w:val="0003033C"/>
    <w:rsid w:val="000303BD"/>
    <w:rsid w:val="00030485"/>
    <w:rsid w:val="000307F8"/>
    <w:rsid w:val="00030A1E"/>
    <w:rsid w:val="00030B51"/>
    <w:rsid w:val="0003106E"/>
    <w:rsid w:val="000310EC"/>
    <w:rsid w:val="000315E0"/>
    <w:rsid w:val="0003163A"/>
    <w:rsid w:val="000316BB"/>
    <w:rsid w:val="00031A7C"/>
    <w:rsid w:val="00032456"/>
    <w:rsid w:val="00032522"/>
    <w:rsid w:val="0003260E"/>
    <w:rsid w:val="00032651"/>
    <w:rsid w:val="00032ADC"/>
    <w:rsid w:val="00032E27"/>
    <w:rsid w:val="00033032"/>
    <w:rsid w:val="00033264"/>
    <w:rsid w:val="000333BB"/>
    <w:rsid w:val="00033A02"/>
    <w:rsid w:val="00033D0D"/>
    <w:rsid w:val="00033D66"/>
    <w:rsid w:val="00033F0C"/>
    <w:rsid w:val="00033F4E"/>
    <w:rsid w:val="00033FBD"/>
    <w:rsid w:val="0003404A"/>
    <w:rsid w:val="0003413D"/>
    <w:rsid w:val="00034351"/>
    <w:rsid w:val="0003479E"/>
    <w:rsid w:val="00035024"/>
    <w:rsid w:val="00035138"/>
    <w:rsid w:val="000353AA"/>
    <w:rsid w:val="000357A6"/>
    <w:rsid w:val="000358E7"/>
    <w:rsid w:val="00035927"/>
    <w:rsid w:val="00035AB6"/>
    <w:rsid w:val="00035C5A"/>
    <w:rsid w:val="00035D3F"/>
    <w:rsid w:val="00036671"/>
    <w:rsid w:val="0003674F"/>
    <w:rsid w:val="00036991"/>
    <w:rsid w:val="00036A45"/>
    <w:rsid w:val="00036AF6"/>
    <w:rsid w:val="000376F6"/>
    <w:rsid w:val="00037A72"/>
    <w:rsid w:val="00037AE7"/>
    <w:rsid w:val="0004073D"/>
    <w:rsid w:val="00040D31"/>
    <w:rsid w:val="000414F3"/>
    <w:rsid w:val="0004151D"/>
    <w:rsid w:val="000415BA"/>
    <w:rsid w:val="000415DC"/>
    <w:rsid w:val="00041B42"/>
    <w:rsid w:val="00041BE0"/>
    <w:rsid w:val="00041EAB"/>
    <w:rsid w:val="00041F18"/>
    <w:rsid w:val="00041FE6"/>
    <w:rsid w:val="00042076"/>
    <w:rsid w:val="00042427"/>
    <w:rsid w:val="000425D8"/>
    <w:rsid w:val="0004268B"/>
    <w:rsid w:val="000428AC"/>
    <w:rsid w:val="000429D7"/>
    <w:rsid w:val="000429DA"/>
    <w:rsid w:val="00042AD4"/>
    <w:rsid w:val="00042BA2"/>
    <w:rsid w:val="00042CC9"/>
    <w:rsid w:val="0004336E"/>
    <w:rsid w:val="000433AB"/>
    <w:rsid w:val="000435A7"/>
    <w:rsid w:val="0004366B"/>
    <w:rsid w:val="00043890"/>
    <w:rsid w:val="00043C8F"/>
    <w:rsid w:val="00043FBB"/>
    <w:rsid w:val="0004409C"/>
    <w:rsid w:val="00044125"/>
    <w:rsid w:val="000441A3"/>
    <w:rsid w:val="000442CE"/>
    <w:rsid w:val="00044326"/>
    <w:rsid w:val="000444B9"/>
    <w:rsid w:val="000444EC"/>
    <w:rsid w:val="0004450D"/>
    <w:rsid w:val="000445EC"/>
    <w:rsid w:val="00044857"/>
    <w:rsid w:val="0004491E"/>
    <w:rsid w:val="00044DDA"/>
    <w:rsid w:val="00045020"/>
    <w:rsid w:val="00045025"/>
    <w:rsid w:val="000451A5"/>
    <w:rsid w:val="000451B4"/>
    <w:rsid w:val="00045227"/>
    <w:rsid w:val="000453A3"/>
    <w:rsid w:val="0004556A"/>
    <w:rsid w:val="000455CA"/>
    <w:rsid w:val="00045661"/>
    <w:rsid w:val="000457F8"/>
    <w:rsid w:val="0004586E"/>
    <w:rsid w:val="00045B47"/>
    <w:rsid w:val="00045BA2"/>
    <w:rsid w:val="00045D40"/>
    <w:rsid w:val="00045ECE"/>
    <w:rsid w:val="00045F1E"/>
    <w:rsid w:val="000460FD"/>
    <w:rsid w:val="0004645E"/>
    <w:rsid w:val="00046499"/>
    <w:rsid w:val="00046DB1"/>
    <w:rsid w:val="0004754C"/>
    <w:rsid w:val="00047654"/>
    <w:rsid w:val="000479FA"/>
    <w:rsid w:val="00047D8D"/>
    <w:rsid w:val="00047F1E"/>
    <w:rsid w:val="00050293"/>
    <w:rsid w:val="00050368"/>
    <w:rsid w:val="0005050A"/>
    <w:rsid w:val="00050510"/>
    <w:rsid w:val="000507B6"/>
    <w:rsid w:val="000507BE"/>
    <w:rsid w:val="00050B80"/>
    <w:rsid w:val="000510AC"/>
    <w:rsid w:val="000513F0"/>
    <w:rsid w:val="000513F9"/>
    <w:rsid w:val="0005153A"/>
    <w:rsid w:val="000519C6"/>
    <w:rsid w:val="00051A25"/>
    <w:rsid w:val="00051AFF"/>
    <w:rsid w:val="00051DF9"/>
    <w:rsid w:val="00051F54"/>
    <w:rsid w:val="000520DA"/>
    <w:rsid w:val="000524EC"/>
    <w:rsid w:val="00052630"/>
    <w:rsid w:val="00052877"/>
    <w:rsid w:val="00053142"/>
    <w:rsid w:val="0005317A"/>
    <w:rsid w:val="000539D2"/>
    <w:rsid w:val="00054259"/>
    <w:rsid w:val="00054292"/>
    <w:rsid w:val="00054362"/>
    <w:rsid w:val="00054A73"/>
    <w:rsid w:val="00054C5B"/>
    <w:rsid w:val="00054F73"/>
    <w:rsid w:val="00054FDD"/>
    <w:rsid w:val="000550AA"/>
    <w:rsid w:val="00055339"/>
    <w:rsid w:val="0005535A"/>
    <w:rsid w:val="00055A2C"/>
    <w:rsid w:val="00055CC2"/>
    <w:rsid w:val="00055D5B"/>
    <w:rsid w:val="00055DEA"/>
    <w:rsid w:val="00055EAA"/>
    <w:rsid w:val="00056079"/>
    <w:rsid w:val="000561E1"/>
    <w:rsid w:val="00056247"/>
    <w:rsid w:val="000573AA"/>
    <w:rsid w:val="00057526"/>
    <w:rsid w:val="0005791A"/>
    <w:rsid w:val="00057998"/>
    <w:rsid w:val="00057B70"/>
    <w:rsid w:val="00057CA7"/>
    <w:rsid w:val="00057F10"/>
    <w:rsid w:val="00057FE6"/>
    <w:rsid w:val="0006015F"/>
    <w:rsid w:val="000601AE"/>
    <w:rsid w:val="00060304"/>
    <w:rsid w:val="00060870"/>
    <w:rsid w:val="00060894"/>
    <w:rsid w:val="00060A9C"/>
    <w:rsid w:val="00060BBB"/>
    <w:rsid w:val="00060BE2"/>
    <w:rsid w:val="00060C07"/>
    <w:rsid w:val="00060C25"/>
    <w:rsid w:val="00060DC8"/>
    <w:rsid w:val="000614E7"/>
    <w:rsid w:val="00061578"/>
    <w:rsid w:val="000619DF"/>
    <w:rsid w:val="000619F8"/>
    <w:rsid w:val="00061AD8"/>
    <w:rsid w:val="00061E42"/>
    <w:rsid w:val="000623D3"/>
    <w:rsid w:val="00062451"/>
    <w:rsid w:val="000626E4"/>
    <w:rsid w:val="00062A21"/>
    <w:rsid w:val="00062AC3"/>
    <w:rsid w:val="00062BB9"/>
    <w:rsid w:val="00062BDD"/>
    <w:rsid w:val="00062C0B"/>
    <w:rsid w:val="00062D5E"/>
    <w:rsid w:val="00063005"/>
    <w:rsid w:val="00063602"/>
    <w:rsid w:val="00063883"/>
    <w:rsid w:val="0006393B"/>
    <w:rsid w:val="00063F18"/>
    <w:rsid w:val="0006435F"/>
    <w:rsid w:val="0006473D"/>
    <w:rsid w:val="000648B5"/>
    <w:rsid w:val="00064AEF"/>
    <w:rsid w:val="00064B8D"/>
    <w:rsid w:val="00064BB2"/>
    <w:rsid w:val="00064C01"/>
    <w:rsid w:val="00064D25"/>
    <w:rsid w:val="00065143"/>
    <w:rsid w:val="0006521F"/>
    <w:rsid w:val="00065514"/>
    <w:rsid w:val="000657B6"/>
    <w:rsid w:val="00065857"/>
    <w:rsid w:val="00065F85"/>
    <w:rsid w:val="000661D7"/>
    <w:rsid w:val="0006620C"/>
    <w:rsid w:val="0006639F"/>
    <w:rsid w:val="0006677B"/>
    <w:rsid w:val="00066F52"/>
    <w:rsid w:val="0006758B"/>
    <w:rsid w:val="00067ABA"/>
    <w:rsid w:val="00067D68"/>
    <w:rsid w:val="00067EF1"/>
    <w:rsid w:val="00067F2F"/>
    <w:rsid w:val="000701AE"/>
    <w:rsid w:val="0007027E"/>
    <w:rsid w:val="0007063D"/>
    <w:rsid w:val="0007091F"/>
    <w:rsid w:val="00070EB4"/>
    <w:rsid w:val="00070FFC"/>
    <w:rsid w:val="00071406"/>
    <w:rsid w:val="000718B2"/>
    <w:rsid w:val="000719B6"/>
    <w:rsid w:val="00071BAF"/>
    <w:rsid w:val="00071BC7"/>
    <w:rsid w:val="000726FF"/>
    <w:rsid w:val="00072898"/>
    <w:rsid w:val="000729DD"/>
    <w:rsid w:val="00072A75"/>
    <w:rsid w:val="00072DB4"/>
    <w:rsid w:val="00072FC7"/>
    <w:rsid w:val="0007351B"/>
    <w:rsid w:val="000736B0"/>
    <w:rsid w:val="000739DB"/>
    <w:rsid w:val="00073A08"/>
    <w:rsid w:val="00074367"/>
    <w:rsid w:val="00074518"/>
    <w:rsid w:val="000746EA"/>
    <w:rsid w:val="0007489E"/>
    <w:rsid w:val="00074A90"/>
    <w:rsid w:val="00074ADD"/>
    <w:rsid w:val="00074BE8"/>
    <w:rsid w:val="000750B6"/>
    <w:rsid w:val="00075204"/>
    <w:rsid w:val="00075720"/>
    <w:rsid w:val="00075B45"/>
    <w:rsid w:val="00075C04"/>
    <w:rsid w:val="00075C47"/>
    <w:rsid w:val="00075D94"/>
    <w:rsid w:val="00075DDA"/>
    <w:rsid w:val="0007619E"/>
    <w:rsid w:val="00076215"/>
    <w:rsid w:val="000762F4"/>
    <w:rsid w:val="000763C4"/>
    <w:rsid w:val="000765A1"/>
    <w:rsid w:val="00076991"/>
    <w:rsid w:val="00076A10"/>
    <w:rsid w:val="00076EA0"/>
    <w:rsid w:val="00076F51"/>
    <w:rsid w:val="000771BA"/>
    <w:rsid w:val="000771FA"/>
    <w:rsid w:val="00077555"/>
    <w:rsid w:val="00077AB0"/>
    <w:rsid w:val="00077EE6"/>
    <w:rsid w:val="00077F01"/>
    <w:rsid w:val="00080347"/>
    <w:rsid w:val="00080590"/>
    <w:rsid w:val="00080660"/>
    <w:rsid w:val="00080664"/>
    <w:rsid w:val="00080909"/>
    <w:rsid w:val="00080A60"/>
    <w:rsid w:val="00080AA6"/>
    <w:rsid w:val="00080C13"/>
    <w:rsid w:val="00080C80"/>
    <w:rsid w:val="00081887"/>
    <w:rsid w:val="00081A49"/>
    <w:rsid w:val="00081A8A"/>
    <w:rsid w:val="00081C82"/>
    <w:rsid w:val="00081D7D"/>
    <w:rsid w:val="00082181"/>
    <w:rsid w:val="00082492"/>
    <w:rsid w:val="00082649"/>
    <w:rsid w:val="00082D56"/>
    <w:rsid w:val="00082EFA"/>
    <w:rsid w:val="000831E4"/>
    <w:rsid w:val="00083D1F"/>
    <w:rsid w:val="00083D49"/>
    <w:rsid w:val="00083EE0"/>
    <w:rsid w:val="000840F9"/>
    <w:rsid w:val="0008418E"/>
    <w:rsid w:val="0008427C"/>
    <w:rsid w:val="000843CF"/>
    <w:rsid w:val="00084A52"/>
    <w:rsid w:val="00084BEC"/>
    <w:rsid w:val="00084C6D"/>
    <w:rsid w:val="00084D29"/>
    <w:rsid w:val="00084E56"/>
    <w:rsid w:val="00085067"/>
    <w:rsid w:val="00085652"/>
    <w:rsid w:val="00085961"/>
    <w:rsid w:val="00085988"/>
    <w:rsid w:val="00085C78"/>
    <w:rsid w:val="0008621A"/>
    <w:rsid w:val="0008672F"/>
    <w:rsid w:val="000869F9"/>
    <w:rsid w:val="00087143"/>
    <w:rsid w:val="000871CF"/>
    <w:rsid w:val="000871ED"/>
    <w:rsid w:val="00087A44"/>
    <w:rsid w:val="00087D12"/>
    <w:rsid w:val="00087D50"/>
    <w:rsid w:val="00087D88"/>
    <w:rsid w:val="00090115"/>
    <w:rsid w:val="0009034F"/>
    <w:rsid w:val="000903DE"/>
    <w:rsid w:val="0009048F"/>
    <w:rsid w:val="00090ADC"/>
    <w:rsid w:val="00090F50"/>
    <w:rsid w:val="00091197"/>
    <w:rsid w:val="00091320"/>
    <w:rsid w:val="0009156D"/>
    <w:rsid w:val="000918E5"/>
    <w:rsid w:val="00091B44"/>
    <w:rsid w:val="00091E34"/>
    <w:rsid w:val="00091F97"/>
    <w:rsid w:val="00091FC0"/>
    <w:rsid w:val="0009214E"/>
    <w:rsid w:val="0009244E"/>
    <w:rsid w:val="00092519"/>
    <w:rsid w:val="0009251E"/>
    <w:rsid w:val="0009299F"/>
    <w:rsid w:val="00092A6E"/>
    <w:rsid w:val="00092BBA"/>
    <w:rsid w:val="000931FD"/>
    <w:rsid w:val="00093AB2"/>
    <w:rsid w:val="00093C1A"/>
    <w:rsid w:val="00093E53"/>
    <w:rsid w:val="00093E5F"/>
    <w:rsid w:val="000941B5"/>
    <w:rsid w:val="00094352"/>
    <w:rsid w:val="00094687"/>
    <w:rsid w:val="00094C4A"/>
    <w:rsid w:val="00094DFC"/>
    <w:rsid w:val="00094E22"/>
    <w:rsid w:val="00095016"/>
    <w:rsid w:val="00095107"/>
    <w:rsid w:val="0009570F"/>
    <w:rsid w:val="00095A92"/>
    <w:rsid w:val="00095B18"/>
    <w:rsid w:val="00095C81"/>
    <w:rsid w:val="00095D1C"/>
    <w:rsid w:val="00096122"/>
    <w:rsid w:val="0009657E"/>
    <w:rsid w:val="00096685"/>
    <w:rsid w:val="000968FC"/>
    <w:rsid w:val="0009692E"/>
    <w:rsid w:val="00096B55"/>
    <w:rsid w:val="000974BD"/>
    <w:rsid w:val="00097568"/>
    <w:rsid w:val="00097D59"/>
    <w:rsid w:val="00097F12"/>
    <w:rsid w:val="00097F55"/>
    <w:rsid w:val="000A02E0"/>
    <w:rsid w:val="000A04D4"/>
    <w:rsid w:val="000A07EA"/>
    <w:rsid w:val="000A084D"/>
    <w:rsid w:val="000A0E79"/>
    <w:rsid w:val="000A1921"/>
    <w:rsid w:val="000A1A0C"/>
    <w:rsid w:val="000A1A5B"/>
    <w:rsid w:val="000A1BFA"/>
    <w:rsid w:val="000A1C90"/>
    <w:rsid w:val="000A1FD0"/>
    <w:rsid w:val="000A20A9"/>
    <w:rsid w:val="000A2203"/>
    <w:rsid w:val="000A23AA"/>
    <w:rsid w:val="000A2899"/>
    <w:rsid w:val="000A2DBE"/>
    <w:rsid w:val="000A304B"/>
    <w:rsid w:val="000A3258"/>
    <w:rsid w:val="000A34D4"/>
    <w:rsid w:val="000A386D"/>
    <w:rsid w:val="000A3CE0"/>
    <w:rsid w:val="000A3E76"/>
    <w:rsid w:val="000A3F40"/>
    <w:rsid w:val="000A42C0"/>
    <w:rsid w:val="000A44CE"/>
    <w:rsid w:val="000A466D"/>
    <w:rsid w:val="000A4AB1"/>
    <w:rsid w:val="000A4C30"/>
    <w:rsid w:val="000A4D7C"/>
    <w:rsid w:val="000A4F0B"/>
    <w:rsid w:val="000A5349"/>
    <w:rsid w:val="000A5479"/>
    <w:rsid w:val="000A5CAB"/>
    <w:rsid w:val="000A5D53"/>
    <w:rsid w:val="000A6229"/>
    <w:rsid w:val="000A6282"/>
    <w:rsid w:val="000A6301"/>
    <w:rsid w:val="000A655E"/>
    <w:rsid w:val="000A6671"/>
    <w:rsid w:val="000A6711"/>
    <w:rsid w:val="000A6880"/>
    <w:rsid w:val="000A69C8"/>
    <w:rsid w:val="000A6D92"/>
    <w:rsid w:val="000A7816"/>
    <w:rsid w:val="000A7AF1"/>
    <w:rsid w:val="000A7C03"/>
    <w:rsid w:val="000A7ECD"/>
    <w:rsid w:val="000B04F6"/>
    <w:rsid w:val="000B08A0"/>
    <w:rsid w:val="000B1203"/>
    <w:rsid w:val="000B191C"/>
    <w:rsid w:val="000B1D86"/>
    <w:rsid w:val="000B2072"/>
    <w:rsid w:val="000B2331"/>
    <w:rsid w:val="000B23A6"/>
    <w:rsid w:val="000B23BD"/>
    <w:rsid w:val="000B25A0"/>
    <w:rsid w:val="000B26AE"/>
    <w:rsid w:val="000B2826"/>
    <w:rsid w:val="000B2895"/>
    <w:rsid w:val="000B2B84"/>
    <w:rsid w:val="000B2C02"/>
    <w:rsid w:val="000B3990"/>
    <w:rsid w:val="000B3E2A"/>
    <w:rsid w:val="000B4124"/>
    <w:rsid w:val="000B425F"/>
    <w:rsid w:val="000B432E"/>
    <w:rsid w:val="000B44A2"/>
    <w:rsid w:val="000B45AB"/>
    <w:rsid w:val="000B461C"/>
    <w:rsid w:val="000B4EC5"/>
    <w:rsid w:val="000B502A"/>
    <w:rsid w:val="000B53CB"/>
    <w:rsid w:val="000B5423"/>
    <w:rsid w:val="000B5672"/>
    <w:rsid w:val="000B5729"/>
    <w:rsid w:val="000B5781"/>
    <w:rsid w:val="000B57EF"/>
    <w:rsid w:val="000B5A81"/>
    <w:rsid w:val="000B5B58"/>
    <w:rsid w:val="000B5E46"/>
    <w:rsid w:val="000B6853"/>
    <w:rsid w:val="000B6FBD"/>
    <w:rsid w:val="000B720D"/>
    <w:rsid w:val="000B722E"/>
    <w:rsid w:val="000B79F8"/>
    <w:rsid w:val="000B7D21"/>
    <w:rsid w:val="000B7EBD"/>
    <w:rsid w:val="000C0322"/>
    <w:rsid w:val="000C0458"/>
    <w:rsid w:val="000C0B7D"/>
    <w:rsid w:val="000C0B87"/>
    <w:rsid w:val="000C0E7F"/>
    <w:rsid w:val="000C1192"/>
    <w:rsid w:val="000C11AF"/>
    <w:rsid w:val="000C12D1"/>
    <w:rsid w:val="000C1761"/>
    <w:rsid w:val="000C1B87"/>
    <w:rsid w:val="000C23E0"/>
    <w:rsid w:val="000C265C"/>
    <w:rsid w:val="000C280A"/>
    <w:rsid w:val="000C2BDC"/>
    <w:rsid w:val="000C2DB9"/>
    <w:rsid w:val="000C30C0"/>
    <w:rsid w:val="000C31C3"/>
    <w:rsid w:val="000C3364"/>
    <w:rsid w:val="000C3477"/>
    <w:rsid w:val="000C34DC"/>
    <w:rsid w:val="000C36A2"/>
    <w:rsid w:val="000C36E8"/>
    <w:rsid w:val="000C3D32"/>
    <w:rsid w:val="000C3EBC"/>
    <w:rsid w:val="000C40D0"/>
    <w:rsid w:val="000C41D9"/>
    <w:rsid w:val="000C422E"/>
    <w:rsid w:val="000C4449"/>
    <w:rsid w:val="000C44DD"/>
    <w:rsid w:val="000C44E2"/>
    <w:rsid w:val="000C4518"/>
    <w:rsid w:val="000C45D2"/>
    <w:rsid w:val="000C47AB"/>
    <w:rsid w:val="000C4B53"/>
    <w:rsid w:val="000C51DB"/>
    <w:rsid w:val="000C5354"/>
    <w:rsid w:val="000C5A2E"/>
    <w:rsid w:val="000C5D2C"/>
    <w:rsid w:val="000C5E01"/>
    <w:rsid w:val="000C6005"/>
    <w:rsid w:val="000C605E"/>
    <w:rsid w:val="000C6A05"/>
    <w:rsid w:val="000C7134"/>
    <w:rsid w:val="000C7272"/>
    <w:rsid w:val="000C7A11"/>
    <w:rsid w:val="000C7A16"/>
    <w:rsid w:val="000C7A3A"/>
    <w:rsid w:val="000C7AC6"/>
    <w:rsid w:val="000C7B3C"/>
    <w:rsid w:val="000C7B46"/>
    <w:rsid w:val="000D0302"/>
    <w:rsid w:val="000D04F7"/>
    <w:rsid w:val="000D08AB"/>
    <w:rsid w:val="000D0B5A"/>
    <w:rsid w:val="000D0BC2"/>
    <w:rsid w:val="000D0D7D"/>
    <w:rsid w:val="000D0E8E"/>
    <w:rsid w:val="000D1102"/>
    <w:rsid w:val="000D1126"/>
    <w:rsid w:val="000D1149"/>
    <w:rsid w:val="000D1254"/>
    <w:rsid w:val="000D1346"/>
    <w:rsid w:val="000D162B"/>
    <w:rsid w:val="000D1703"/>
    <w:rsid w:val="000D1802"/>
    <w:rsid w:val="000D1D7A"/>
    <w:rsid w:val="000D1DCB"/>
    <w:rsid w:val="000D1E30"/>
    <w:rsid w:val="000D2087"/>
    <w:rsid w:val="000D2506"/>
    <w:rsid w:val="000D27D7"/>
    <w:rsid w:val="000D2982"/>
    <w:rsid w:val="000D2AE9"/>
    <w:rsid w:val="000D2D8B"/>
    <w:rsid w:val="000D2EF5"/>
    <w:rsid w:val="000D2F3A"/>
    <w:rsid w:val="000D302E"/>
    <w:rsid w:val="000D339C"/>
    <w:rsid w:val="000D394B"/>
    <w:rsid w:val="000D3A33"/>
    <w:rsid w:val="000D3CCA"/>
    <w:rsid w:val="000D3DDE"/>
    <w:rsid w:val="000D3E4E"/>
    <w:rsid w:val="000D3E6E"/>
    <w:rsid w:val="000D3F3A"/>
    <w:rsid w:val="000D40C8"/>
    <w:rsid w:val="000D416D"/>
    <w:rsid w:val="000D418B"/>
    <w:rsid w:val="000D4443"/>
    <w:rsid w:val="000D44AF"/>
    <w:rsid w:val="000D4589"/>
    <w:rsid w:val="000D466D"/>
    <w:rsid w:val="000D472E"/>
    <w:rsid w:val="000D4C1E"/>
    <w:rsid w:val="000D4DFF"/>
    <w:rsid w:val="000D4F2B"/>
    <w:rsid w:val="000D4FCF"/>
    <w:rsid w:val="000D51CA"/>
    <w:rsid w:val="000D5879"/>
    <w:rsid w:val="000D5991"/>
    <w:rsid w:val="000D5A17"/>
    <w:rsid w:val="000D5C49"/>
    <w:rsid w:val="000D5F6F"/>
    <w:rsid w:val="000D5F71"/>
    <w:rsid w:val="000D626F"/>
    <w:rsid w:val="000D6A4C"/>
    <w:rsid w:val="000D6AE2"/>
    <w:rsid w:val="000D6E5F"/>
    <w:rsid w:val="000D74DF"/>
    <w:rsid w:val="000D78D8"/>
    <w:rsid w:val="000E0763"/>
    <w:rsid w:val="000E0796"/>
    <w:rsid w:val="000E0AA9"/>
    <w:rsid w:val="000E11F0"/>
    <w:rsid w:val="000E1ADE"/>
    <w:rsid w:val="000E1D13"/>
    <w:rsid w:val="000E2067"/>
    <w:rsid w:val="000E2527"/>
    <w:rsid w:val="000E275F"/>
    <w:rsid w:val="000E2B33"/>
    <w:rsid w:val="000E2B73"/>
    <w:rsid w:val="000E3027"/>
    <w:rsid w:val="000E3667"/>
    <w:rsid w:val="000E3674"/>
    <w:rsid w:val="000E3A6E"/>
    <w:rsid w:val="000E3B2F"/>
    <w:rsid w:val="000E3B9D"/>
    <w:rsid w:val="000E3D21"/>
    <w:rsid w:val="000E3FA1"/>
    <w:rsid w:val="000E4080"/>
    <w:rsid w:val="000E41E6"/>
    <w:rsid w:val="000E45AB"/>
    <w:rsid w:val="000E4860"/>
    <w:rsid w:val="000E494A"/>
    <w:rsid w:val="000E4AD8"/>
    <w:rsid w:val="000E4BC6"/>
    <w:rsid w:val="000E4F11"/>
    <w:rsid w:val="000E538D"/>
    <w:rsid w:val="000E53E7"/>
    <w:rsid w:val="000E581D"/>
    <w:rsid w:val="000E5984"/>
    <w:rsid w:val="000E59CB"/>
    <w:rsid w:val="000E5A83"/>
    <w:rsid w:val="000E5D37"/>
    <w:rsid w:val="000E5E34"/>
    <w:rsid w:val="000E5ED0"/>
    <w:rsid w:val="000E5F7C"/>
    <w:rsid w:val="000E6067"/>
    <w:rsid w:val="000E6119"/>
    <w:rsid w:val="000E6245"/>
    <w:rsid w:val="000E63A2"/>
    <w:rsid w:val="000E6A54"/>
    <w:rsid w:val="000E6B69"/>
    <w:rsid w:val="000E7118"/>
    <w:rsid w:val="000E7696"/>
    <w:rsid w:val="000E7A00"/>
    <w:rsid w:val="000E7A10"/>
    <w:rsid w:val="000E7D22"/>
    <w:rsid w:val="000E7EA5"/>
    <w:rsid w:val="000F006A"/>
    <w:rsid w:val="000F01A3"/>
    <w:rsid w:val="000F049B"/>
    <w:rsid w:val="000F0AED"/>
    <w:rsid w:val="000F0B6A"/>
    <w:rsid w:val="000F0BE3"/>
    <w:rsid w:val="000F0FE7"/>
    <w:rsid w:val="000F108C"/>
    <w:rsid w:val="000F1620"/>
    <w:rsid w:val="000F1820"/>
    <w:rsid w:val="000F1ABF"/>
    <w:rsid w:val="000F1C08"/>
    <w:rsid w:val="000F1EA9"/>
    <w:rsid w:val="000F203E"/>
    <w:rsid w:val="000F23F7"/>
    <w:rsid w:val="000F2435"/>
    <w:rsid w:val="000F243F"/>
    <w:rsid w:val="000F25AB"/>
    <w:rsid w:val="000F26C5"/>
    <w:rsid w:val="000F2E59"/>
    <w:rsid w:val="000F319B"/>
    <w:rsid w:val="000F3EF1"/>
    <w:rsid w:val="000F401C"/>
    <w:rsid w:val="000F4847"/>
    <w:rsid w:val="000F4D5F"/>
    <w:rsid w:val="000F4E32"/>
    <w:rsid w:val="000F4E50"/>
    <w:rsid w:val="000F51A6"/>
    <w:rsid w:val="000F5249"/>
    <w:rsid w:val="000F539F"/>
    <w:rsid w:val="000F5445"/>
    <w:rsid w:val="000F55B8"/>
    <w:rsid w:val="000F598D"/>
    <w:rsid w:val="000F5E4D"/>
    <w:rsid w:val="000F5E93"/>
    <w:rsid w:val="000F5EB4"/>
    <w:rsid w:val="000F5EE6"/>
    <w:rsid w:val="000F5FD6"/>
    <w:rsid w:val="000F60E5"/>
    <w:rsid w:val="000F62CD"/>
    <w:rsid w:val="000F6451"/>
    <w:rsid w:val="000F6769"/>
    <w:rsid w:val="000F6B46"/>
    <w:rsid w:val="000F6B4D"/>
    <w:rsid w:val="000F6D32"/>
    <w:rsid w:val="000F7121"/>
    <w:rsid w:val="000F731E"/>
    <w:rsid w:val="000F732A"/>
    <w:rsid w:val="000F74CC"/>
    <w:rsid w:val="000F757F"/>
    <w:rsid w:val="000F7728"/>
    <w:rsid w:val="000F7770"/>
    <w:rsid w:val="000F785B"/>
    <w:rsid w:val="000F7A0B"/>
    <w:rsid w:val="000F7A81"/>
    <w:rsid w:val="001001BD"/>
    <w:rsid w:val="0010048C"/>
    <w:rsid w:val="00100506"/>
    <w:rsid w:val="001005D6"/>
    <w:rsid w:val="00100753"/>
    <w:rsid w:val="00100A38"/>
    <w:rsid w:val="00100C64"/>
    <w:rsid w:val="00100C9A"/>
    <w:rsid w:val="00100CFD"/>
    <w:rsid w:val="00100D1F"/>
    <w:rsid w:val="00101274"/>
    <w:rsid w:val="0010131D"/>
    <w:rsid w:val="00101611"/>
    <w:rsid w:val="0010181C"/>
    <w:rsid w:val="0010185B"/>
    <w:rsid w:val="0010197C"/>
    <w:rsid w:val="0010197E"/>
    <w:rsid w:val="00101F32"/>
    <w:rsid w:val="0010295B"/>
    <w:rsid w:val="00102D20"/>
    <w:rsid w:val="001032C0"/>
    <w:rsid w:val="0010331B"/>
    <w:rsid w:val="001035A9"/>
    <w:rsid w:val="0010373E"/>
    <w:rsid w:val="00103742"/>
    <w:rsid w:val="001037D0"/>
    <w:rsid w:val="00103C6C"/>
    <w:rsid w:val="00103D50"/>
    <w:rsid w:val="00103FCA"/>
    <w:rsid w:val="001043CC"/>
    <w:rsid w:val="001045B7"/>
    <w:rsid w:val="00105129"/>
    <w:rsid w:val="001053D2"/>
    <w:rsid w:val="00105420"/>
    <w:rsid w:val="00105710"/>
    <w:rsid w:val="001058A8"/>
    <w:rsid w:val="00105954"/>
    <w:rsid w:val="00105A2F"/>
    <w:rsid w:val="00105CC5"/>
    <w:rsid w:val="0010615A"/>
    <w:rsid w:val="00106219"/>
    <w:rsid w:val="0010630B"/>
    <w:rsid w:val="00106348"/>
    <w:rsid w:val="00106414"/>
    <w:rsid w:val="00106453"/>
    <w:rsid w:val="00106BDF"/>
    <w:rsid w:val="00106E23"/>
    <w:rsid w:val="001078BC"/>
    <w:rsid w:val="00107C64"/>
    <w:rsid w:val="00107E31"/>
    <w:rsid w:val="00107F17"/>
    <w:rsid w:val="00107FCF"/>
    <w:rsid w:val="0011025A"/>
    <w:rsid w:val="00110AAA"/>
    <w:rsid w:val="00110CFD"/>
    <w:rsid w:val="00110EBB"/>
    <w:rsid w:val="00110F22"/>
    <w:rsid w:val="001114BE"/>
    <w:rsid w:val="00111788"/>
    <w:rsid w:val="001119C8"/>
    <w:rsid w:val="00111BD1"/>
    <w:rsid w:val="00111CC5"/>
    <w:rsid w:val="00111DAA"/>
    <w:rsid w:val="00111F26"/>
    <w:rsid w:val="00112048"/>
    <w:rsid w:val="0011223B"/>
    <w:rsid w:val="00112492"/>
    <w:rsid w:val="00112795"/>
    <w:rsid w:val="00112945"/>
    <w:rsid w:val="00112B75"/>
    <w:rsid w:val="00112EAF"/>
    <w:rsid w:val="0011321F"/>
    <w:rsid w:val="00113734"/>
    <w:rsid w:val="00113B9E"/>
    <w:rsid w:val="00113BDC"/>
    <w:rsid w:val="00114622"/>
    <w:rsid w:val="00114770"/>
    <w:rsid w:val="00114774"/>
    <w:rsid w:val="00114806"/>
    <w:rsid w:val="001148BB"/>
    <w:rsid w:val="001148CE"/>
    <w:rsid w:val="0011495A"/>
    <w:rsid w:val="00114B54"/>
    <w:rsid w:val="00114C26"/>
    <w:rsid w:val="00114DB7"/>
    <w:rsid w:val="00115383"/>
    <w:rsid w:val="001156F7"/>
    <w:rsid w:val="0011582D"/>
    <w:rsid w:val="00115AA4"/>
    <w:rsid w:val="00115C7F"/>
    <w:rsid w:val="0011603E"/>
    <w:rsid w:val="0011632D"/>
    <w:rsid w:val="00116BBC"/>
    <w:rsid w:val="001170FA"/>
    <w:rsid w:val="00117142"/>
    <w:rsid w:val="001172EA"/>
    <w:rsid w:val="001174D5"/>
    <w:rsid w:val="001177BC"/>
    <w:rsid w:val="00117CD4"/>
    <w:rsid w:val="00117FE8"/>
    <w:rsid w:val="0012007D"/>
    <w:rsid w:val="00120101"/>
    <w:rsid w:val="00120218"/>
    <w:rsid w:val="00120B2C"/>
    <w:rsid w:val="00120BB2"/>
    <w:rsid w:val="00120CC1"/>
    <w:rsid w:val="00120F09"/>
    <w:rsid w:val="00121022"/>
    <w:rsid w:val="00121135"/>
    <w:rsid w:val="001216FE"/>
    <w:rsid w:val="00121708"/>
    <w:rsid w:val="0012189C"/>
    <w:rsid w:val="00121A1D"/>
    <w:rsid w:val="00121A68"/>
    <w:rsid w:val="00122270"/>
    <w:rsid w:val="0012236B"/>
    <w:rsid w:val="001226AC"/>
    <w:rsid w:val="0012278F"/>
    <w:rsid w:val="00122F4C"/>
    <w:rsid w:val="00123175"/>
    <w:rsid w:val="001231A9"/>
    <w:rsid w:val="00123B46"/>
    <w:rsid w:val="00123C72"/>
    <w:rsid w:val="00123D20"/>
    <w:rsid w:val="00123E37"/>
    <w:rsid w:val="00124039"/>
    <w:rsid w:val="00124226"/>
    <w:rsid w:val="0012437A"/>
    <w:rsid w:val="001243D8"/>
    <w:rsid w:val="001244D2"/>
    <w:rsid w:val="0012478E"/>
    <w:rsid w:val="00124862"/>
    <w:rsid w:val="00124958"/>
    <w:rsid w:val="00124A7F"/>
    <w:rsid w:val="00124A8F"/>
    <w:rsid w:val="00124B35"/>
    <w:rsid w:val="00124C32"/>
    <w:rsid w:val="00124C92"/>
    <w:rsid w:val="00124D5F"/>
    <w:rsid w:val="0012503B"/>
    <w:rsid w:val="0012542E"/>
    <w:rsid w:val="00125672"/>
    <w:rsid w:val="00126147"/>
    <w:rsid w:val="0012631C"/>
    <w:rsid w:val="0012694A"/>
    <w:rsid w:val="00126DB0"/>
    <w:rsid w:val="00127473"/>
    <w:rsid w:val="0012747D"/>
    <w:rsid w:val="0012750F"/>
    <w:rsid w:val="001278B5"/>
    <w:rsid w:val="00127916"/>
    <w:rsid w:val="0012792F"/>
    <w:rsid w:val="00127E4C"/>
    <w:rsid w:val="00127FFE"/>
    <w:rsid w:val="00130788"/>
    <w:rsid w:val="00130B6A"/>
    <w:rsid w:val="00131039"/>
    <w:rsid w:val="0013103C"/>
    <w:rsid w:val="00131160"/>
    <w:rsid w:val="00131230"/>
    <w:rsid w:val="0013124E"/>
    <w:rsid w:val="0013130B"/>
    <w:rsid w:val="0013130C"/>
    <w:rsid w:val="00131350"/>
    <w:rsid w:val="0013142B"/>
    <w:rsid w:val="001317B4"/>
    <w:rsid w:val="0013196C"/>
    <w:rsid w:val="00131A1A"/>
    <w:rsid w:val="00131C57"/>
    <w:rsid w:val="00132440"/>
    <w:rsid w:val="00132550"/>
    <w:rsid w:val="00132600"/>
    <w:rsid w:val="00132ECE"/>
    <w:rsid w:val="0013355D"/>
    <w:rsid w:val="00133734"/>
    <w:rsid w:val="00133822"/>
    <w:rsid w:val="0013383C"/>
    <w:rsid w:val="00133CFC"/>
    <w:rsid w:val="00133DD2"/>
    <w:rsid w:val="001340D7"/>
    <w:rsid w:val="001341D8"/>
    <w:rsid w:val="00134574"/>
    <w:rsid w:val="00134809"/>
    <w:rsid w:val="0013480B"/>
    <w:rsid w:val="00134F00"/>
    <w:rsid w:val="00135461"/>
    <w:rsid w:val="0013547A"/>
    <w:rsid w:val="00135648"/>
    <w:rsid w:val="00135788"/>
    <w:rsid w:val="00135AE2"/>
    <w:rsid w:val="00135B1C"/>
    <w:rsid w:val="00135E0F"/>
    <w:rsid w:val="001362B1"/>
    <w:rsid w:val="00136454"/>
    <w:rsid w:val="001364C6"/>
    <w:rsid w:val="0013681E"/>
    <w:rsid w:val="00136C1A"/>
    <w:rsid w:val="00137084"/>
    <w:rsid w:val="0013749D"/>
    <w:rsid w:val="00137563"/>
    <w:rsid w:val="0013781C"/>
    <w:rsid w:val="00137C91"/>
    <w:rsid w:val="00137D74"/>
    <w:rsid w:val="00137E02"/>
    <w:rsid w:val="0013ECDA"/>
    <w:rsid w:val="00140764"/>
    <w:rsid w:val="00140917"/>
    <w:rsid w:val="00140968"/>
    <w:rsid w:val="001409AD"/>
    <w:rsid w:val="00140A91"/>
    <w:rsid w:val="00140FCC"/>
    <w:rsid w:val="00141234"/>
    <w:rsid w:val="00141436"/>
    <w:rsid w:val="00141745"/>
    <w:rsid w:val="00141D83"/>
    <w:rsid w:val="00141DD2"/>
    <w:rsid w:val="00141F33"/>
    <w:rsid w:val="001420A6"/>
    <w:rsid w:val="001421D8"/>
    <w:rsid w:val="0014224E"/>
    <w:rsid w:val="001423A4"/>
    <w:rsid w:val="00142419"/>
    <w:rsid w:val="00142604"/>
    <w:rsid w:val="0014268B"/>
    <w:rsid w:val="00142928"/>
    <w:rsid w:val="00142BE4"/>
    <w:rsid w:val="00143603"/>
    <w:rsid w:val="001436B8"/>
    <w:rsid w:val="0014370C"/>
    <w:rsid w:val="00143891"/>
    <w:rsid w:val="00143956"/>
    <w:rsid w:val="00143B9E"/>
    <w:rsid w:val="0014457F"/>
    <w:rsid w:val="00144630"/>
    <w:rsid w:val="00144942"/>
    <w:rsid w:val="00144AD8"/>
    <w:rsid w:val="00144B81"/>
    <w:rsid w:val="00144F1E"/>
    <w:rsid w:val="00145106"/>
    <w:rsid w:val="00145B60"/>
    <w:rsid w:val="00145C60"/>
    <w:rsid w:val="0014616F"/>
    <w:rsid w:val="0014631C"/>
    <w:rsid w:val="0014637E"/>
    <w:rsid w:val="001465FA"/>
    <w:rsid w:val="00146703"/>
    <w:rsid w:val="0014680D"/>
    <w:rsid w:val="001468C1"/>
    <w:rsid w:val="0014690A"/>
    <w:rsid w:val="00146A56"/>
    <w:rsid w:val="00146BE7"/>
    <w:rsid w:val="00146EA0"/>
    <w:rsid w:val="00146F9C"/>
    <w:rsid w:val="00147243"/>
    <w:rsid w:val="00147A61"/>
    <w:rsid w:val="00147BF1"/>
    <w:rsid w:val="00147EF3"/>
    <w:rsid w:val="00147F25"/>
    <w:rsid w:val="00150806"/>
    <w:rsid w:val="001509CD"/>
    <w:rsid w:val="00150A75"/>
    <w:rsid w:val="00150C3B"/>
    <w:rsid w:val="00150DC5"/>
    <w:rsid w:val="00150FE0"/>
    <w:rsid w:val="00151A19"/>
    <w:rsid w:val="00151B51"/>
    <w:rsid w:val="00151E71"/>
    <w:rsid w:val="001522EA"/>
    <w:rsid w:val="0015284C"/>
    <w:rsid w:val="001529BB"/>
    <w:rsid w:val="00152ABF"/>
    <w:rsid w:val="00152CA6"/>
    <w:rsid w:val="00152FEA"/>
    <w:rsid w:val="001531C0"/>
    <w:rsid w:val="001531E4"/>
    <w:rsid w:val="001536CC"/>
    <w:rsid w:val="00153D35"/>
    <w:rsid w:val="00153DA4"/>
    <w:rsid w:val="00154084"/>
    <w:rsid w:val="0015439F"/>
    <w:rsid w:val="0015452A"/>
    <w:rsid w:val="001547C5"/>
    <w:rsid w:val="00154859"/>
    <w:rsid w:val="00154C10"/>
    <w:rsid w:val="00154C31"/>
    <w:rsid w:val="00154E59"/>
    <w:rsid w:val="00155109"/>
    <w:rsid w:val="00155B9A"/>
    <w:rsid w:val="001561E6"/>
    <w:rsid w:val="00156276"/>
    <w:rsid w:val="00156312"/>
    <w:rsid w:val="0015649B"/>
    <w:rsid w:val="0015668A"/>
    <w:rsid w:val="00156766"/>
    <w:rsid w:val="00157044"/>
    <w:rsid w:val="00157221"/>
    <w:rsid w:val="00157A9D"/>
    <w:rsid w:val="00157E03"/>
    <w:rsid w:val="00157F18"/>
    <w:rsid w:val="00160087"/>
    <w:rsid w:val="00160444"/>
    <w:rsid w:val="001606B8"/>
    <w:rsid w:val="00160ACA"/>
    <w:rsid w:val="00160C90"/>
    <w:rsid w:val="00160E9D"/>
    <w:rsid w:val="001610EC"/>
    <w:rsid w:val="0016123B"/>
    <w:rsid w:val="0016133C"/>
    <w:rsid w:val="001613A8"/>
    <w:rsid w:val="0016144A"/>
    <w:rsid w:val="001614D7"/>
    <w:rsid w:val="0016151F"/>
    <w:rsid w:val="001619A8"/>
    <w:rsid w:val="00161BBC"/>
    <w:rsid w:val="00161E00"/>
    <w:rsid w:val="00161F23"/>
    <w:rsid w:val="001620D1"/>
    <w:rsid w:val="001621AD"/>
    <w:rsid w:val="00162719"/>
    <w:rsid w:val="00162A75"/>
    <w:rsid w:val="00162AE8"/>
    <w:rsid w:val="0016328C"/>
    <w:rsid w:val="001632D4"/>
    <w:rsid w:val="00163C23"/>
    <w:rsid w:val="00163FEA"/>
    <w:rsid w:val="00164A90"/>
    <w:rsid w:val="00164BA2"/>
    <w:rsid w:val="00164FE6"/>
    <w:rsid w:val="00165024"/>
    <w:rsid w:val="0016550E"/>
    <w:rsid w:val="00165B01"/>
    <w:rsid w:val="0016610D"/>
    <w:rsid w:val="001661B5"/>
    <w:rsid w:val="00166289"/>
    <w:rsid w:val="00166318"/>
    <w:rsid w:val="00166C73"/>
    <w:rsid w:val="00166D0E"/>
    <w:rsid w:val="00166D8E"/>
    <w:rsid w:val="00166E1A"/>
    <w:rsid w:val="00166E84"/>
    <w:rsid w:val="00167339"/>
    <w:rsid w:val="00167498"/>
    <w:rsid w:val="001674CB"/>
    <w:rsid w:val="001676CF"/>
    <w:rsid w:val="0016793E"/>
    <w:rsid w:val="00167BB5"/>
    <w:rsid w:val="00167D7A"/>
    <w:rsid w:val="00167E02"/>
    <w:rsid w:val="00167FC7"/>
    <w:rsid w:val="00167FCF"/>
    <w:rsid w:val="001701C4"/>
    <w:rsid w:val="001701F5"/>
    <w:rsid w:val="0017026C"/>
    <w:rsid w:val="001703DC"/>
    <w:rsid w:val="0017040D"/>
    <w:rsid w:val="001706D7"/>
    <w:rsid w:val="001706DC"/>
    <w:rsid w:val="00170936"/>
    <w:rsid w:val="00170B39"/>
    <w:rsid w:val="00170E05"/>
    <w:rsid w:val="00171320"/>
    <w:rsid w:val="00171713"/>
    <w:rsid w:val="0017176E"/>
    <w:rsid w:val="00171928"/>
    <w:rsid w:val="00171B67"/>
    <w:rsid w:val="00171D72"/>
    <w:rsid w:val="00171E54"/>
    <w:rsid w:val="00172018"/>
    <w:rsid w:val="001720E5"/>
    <w:rsid w:val="00172899"/>
    <w:rsid w:val="00172B48"/>
    <w:rsid w:val="00172DA5"/>
    <w:rsid w:val="00172DE8"/>
    <w:rsid w:val="00173202"/>
    <w:rsid w:val="00173268"/>
    <w:rsid w:val="00173509"/>
    <w:rsid w:val="00173575"/>
    <w:rsid w:val="0017386A"/>
    <w:rsid w:val="00173B1E"/>
    <w:rsid w:val="00173EAA"/>
    <w:rsid w:val="00174010"/>
    <w:rsid w:val="00175294"/>
    <w:rsid w:val="00175B25"/>
    <w:rsid w:val="00175FCD"/>
    <w:rsid w:val="00176005"/>
    <w:rsid w:val="001761F1"/>
    <w:rsid w:val="0017657B"/>
    <w:rsid w:val="00176792"/>
    <w:rsid w:val="00176A25"/>
    <w:rsid w:val="00176A60"/>
    <w:rsid w:val="00176B6D"/>
    <w:rsid w:val="00176E65"/>
    <w:rsid w:val="001770CC"/>
    <w:rsid w:val="001771EE"/>
    <w:rsid w:val="00177AB6"/>
    <w:rsid w:val="00177D5B"/>
    <w:rsid w:val="00180597"/>
    <w:rsid w:val="00180C3D"/>
    <w:rsid w:val="00180DCE"/>
    <w:rsid w:val="00180F12"/>
    <w:rsid w:val="00180F93"/>
    <w:rsid w:val="00181081"/>
    <w:rsid w:val="00181679"/>
    <w:rsid w:val="0018186F"/>
    <w:rsid w:val="00182051"/>
    <w:rsid w:val="0018209F"/>
    <w:rsid w:val="001824A4"/>
    <w:rsid w:val="00182598"/>
    <w:rsid w:val="001829B1"/>
    <w:rsid w:val="001829BB"/>
    <w:rsid w:val="00182A88"/>
    <w:rsid w:val="00182DDA"/>
    <w:rsid w:val="001831B9"/>
    <w:rsid w:val="001833EE"/>
    <w:rsid w:val="00183703"/>
    <w:rsid w:val="00183956"/>
    <w:rsid w:val="00183ACC"/>
    <w:rsid w:val="00183E6B"/>
    <w:rsid w:val="00184017"/>
    <w:rsid w:val="001842F3"/>
    <w:rsid w:val="001843C4"/>
    <w:rsid w:val="0018449E"/>
    <w:rsid w:val="00184812"/>
    <w:rsid w:val="00184961"/>
    <w:rsid w:val="00184E25"/>
    <w:rsid w:val="00184E32"/>
    <w:rsid w:val="00185002"/>
    <w:rsid w:val="00185014"/>
    <w:rsid w:val="00185400"/>
    <w:rsid w:val="00185412"/>
    <w:rsid w:val="0018548D"/>
    <w:rsid w:val="001855C1"/>
    <w:rsid w:val="001855D0"/>
    <w:rsid w:val="0018564C"/>
    <w:rsid w:val="001857B6"/>
    <w:rsid w:val="00185F67"/>
    <w:rsid w:val="00185FBE"/>
    <w:rsid w:val="001863BC"/>
    <w:rsid w:val="00186408"/>
    <w:rsid w:val="001865D6"/>
    <w:rsid w:val="001867BF"/>
    <w:rsid w:val="001869A5"/>
    <w:rsid w:val="00186A8E"/>
    <w:rsid w:val="00186BB2"/>
    <w:rsid w:val="00186BC2"/>
    <w:rsid w:val="001870B9"/>
    <w:rsid w:val="0018752D"/>
    <w:rsid w:val="00187730"/>
    <w:rsid w:val="0018785E"/>
    <w:rsid w:val="00187BE9"/>
    <w:rsid w:val="00187E8D"/>
    <w:rsid w:val="00187F72"/>
    <w:rsid w:val="00187FD8"/>
    <w:rsid w:val="001900B1"/>
    <w:rsid w:val="0019015B"/>
    <w:rsid w:val="001903D9"/>
    <w:rsid w:val="00190D33"/>
    <w:rsid w:val="00190FEF"/>
    <w:rsid w:val="0019192F"/>
    <w:rsid w:val="00191D42"/>
    <w:rsid w:val="0019206F"/>
    <w:rsid w:val="00192100"/>
    <w:rsid w:val="00192157"/>
    <w:rsid w:val="001921DD"/>
    <w:rsid w:val="0019222B"/>
    <w:rsid w:val="0019231D"/>
    <w:rsid w:val="00192427"/>
    <w:rsid w:val="00192519"/>
    <w:rsid w:val="001926DE"/>
    <w:rsid w:val="0019292B"/>
    <w:rsid w:val="00192A00"/>
    <w:rsid w:val="00192A0E"/>
    <w:rsid w:val="001933AA"/>
    <w:rsid w:val="001936C4"/>
    <w:rsid w:val="00193769"/>
    <w:rsid w:val="00193B24"/>
    <w:rsid w:val="00193DAA"/>
    <w:rsid w:val="00193F34"/>
    <w:rsid w:val="00193FEB"/>
    <w:rsid w:val="00194498"/>
    <w:rsid w:val="001949D7"/>
    <w:rsid w:val="00194A39"/>
    <w:rsid w:val="00194EBD"/>
    <w:rsid w:val="00194F51"/>
    <w:rsid w:val="00195032"/>
    <w:rsid w:val="0019510A"/>
    <w:rsid w:val="00195235"/>
    <w:rsid w:val="00195442"/>
    <w:rsid w:val="00195533"/>
    <w:rsid w:val="001957D8"/>
    <w:rsid w:val="001957F3"/>
    <w:rsid w:val="00195A03"/>
    <w:rsid w:val="00195AA2"/>
    <w:rsid w:val="00195AE0"/>
    <w:rsid w:val="00195B7C"/>
    <w:rsid w:val="0019618E"/>
    <w:rsid w:val="00196537"/>
    <w:rsid w:val="001967CD"/>
    <w:rsid w:val="001967F7"/>
    <w:rsid w:val="0019691D"/>
    <w:rsid w:val="0019695D"/>
    <w:rsid w:val="00196B3C"/>
    <w:rsid w:val="00196F3D"/>
    <w:rsid w:val="0019757C"/>
    <w:rsid w:val="00197801"/>
    <w:rsid w:val="00197EE2"/>
    <w:rsid w:val="001A029B"/>
    <w:rsid w:val="001A054E"/>
    <w:rsid w:val="001A0714"/>
    <w:rsid w:val="001A09CB"/>
    <w:rsid w:val="001A0B04"/>
    <w:rsid w:val="001A0B2E"/>
    <w:rsid w:val="001A0D96"/>
    <w:rsid w:val="001A0FF5"/>
    <w:rsid w:val="001A1335"/>
    <w:rsid w:val="001A14CC"/>
    <w:rsid w:val="001A19E7"/>
    <w:rsid w:val="001A2362"/>
    <w:rsid w:val="001A2701"/>
    <w:rsid w:val="001A2832"/>
    <w:rsid w:val="001A2B44"/>
    <w:rsid w:val="001A2EE4"/>
    <w:rsid w:val="001A30C3"/>
    <w:rsid w:val="001A30CB"/>
    <w:rsid w:val="001A3113"/>
    <w:rsid w:val="001A3248"/>
    <w:rsid w:val="001A3387"/>
    <w:rsid w:val="001A33EF"/>
    <w:rsid w:val="001A37CE"/>
    <w:rsid w:val="001A39D7"/>
    <w:rsid w:val="001A3E04"/>
    <w:rsid w:val="001A3E29"/>
    <w:rsid w:val="001A4047"/>
    <w:rsid w:val="001A432D"/>
    <w:rsid w:val="001A44CE"/>
    <w:rsid w:val="001A455D"/>
    <w:rsid w:val="001A4F07"/>
    <w:rsid w:val="001A532F"/>
    <w:rsid w:val="001A5632"/>
    <w:rsid w:val="001A5770"/>
    <w:rsid w:val="001A58A5"/>
    <w:rsid w:val="001A5CD6"/>
    <w:rsid w:val="001A5E1D"/>
    <w:rsid w:val="001A61AF"/>
    <w:rsid w:val="001A68A2"/>
    <w:rsid w:val="001A6A77"/>
    <w:rsid w:val="001A6AD8"/>
    <w:rsid w:val="001A6DE3"/>
    <w:rsid w:val="001A72C5"/>
    <w:rsid w:val="001A73A0"/>
    <w:rsid w:val="001A7451"/>
    <w:rsid w:val="001A760C"/>
    <w:rsid w:val="001A7BAD"/>
    <w:rsid w:val="001A7C53"/>
    <w:rsid w:val="001A7F03"/>
    <w:rsid w:val="001B0290"/>
    <w:rsid w:val="001B04BE"/>
    <w:rsid w:val="001B05B8"/>
    <w:rsid w:val="001B0711"/>
    <w:rsid w:val="001B0753"/>
    <w:rsid w:val="001B0A47"/>
    <w:rsid w:val="001B0D06"/>
    <w:rsid w:val="001B0E0A"/>
    <w:rsid w:val="001B1092"/>
    <w:rsid w:val="001B12C8"/>
    <w:rsid w:val="001B14D7"/>
    <w:rsid w:val="001B165B"/>
    <w:rsid w:val="001B16E0"/>
    <w:rsid w:val="001B17CD"/>
    <w:rsid w:val="001B1EC7"/>
    <w:rsid w:val="001B1F6F"/>
    <w:rsid w:val="001B21A4"/>
    <w:rsid w:val="001B24DD"/>
    <w:rsid w:val="001B2629"/>
    <w:rsid w:val="001B269B"/>
    <w:rsid w:val="001B28A8"/>
    <w:rsid w:val="001B3414"/>
    <w:rsid w:val="001B3683"/>
    <w:rsid w:val="001B3C85"/>
    <w:rsid w:val="001B3CFE"/>
    <w:rsid w:val="001B3D7F"/>
    <w:rsid w:val="001B4000"/>
    <w:rsid w:val="001B434B"/>
    <w:rsid w:val="001B44C5"/>
    <w:rsid w:val="001B4550"/>
    <w:rsid w:val="001B479B"/>
    <w:rsid w:val="001B49CE"/>
    <w:rsid w:val="001B49DE"/>
    <w:rsid w:val="001B522B"/>
    <w:rsid w:val="001B53C5"/>
    <w:rsid w:val="001B558D"/>
    <w:rsid w:val="001B567C"/>
    <w:rsid w:val="001B594A"/>
    <w:rsid w:val="001B5B42"/>
    <w:rsid w:val="001B5F6A"/>
    <w:rsid w:val="001B5F95"/>
    <w:rsid w:val="001B60D0"/>
    <w:rsid w:val="001B61AF"/>
    <w:rsid w:val="001B6328"/>
    <w:rsid w:val="001B6CAF"/>
    <w:rsid w:val="001B6F88"/>
    <w:rsid w:val="001B71FB"/>
    <w:rsid w:val="001B74CF"/>
    <w:rsid w:val="001B77C3"/>
    <w:rsid w:val="001B78F2"/>
    <w:rsid w:val="001B7BB3"/>
    <w:rsid w:val="001B7C86"/>
    <w:rsid w:val="001B7E4E"/>
    <w:rsid w:val="001C014D"/>
    <w:rsid w:val="001C07A9"/>
    <w:rsid w:val="001C0A46"/>
    <w:rsid w:val="001C0B29"/>
    <w:rsid w:val="001C0E18"/>
    <w:rsid w:val="001C136A"/>
    <w:rsid w:val="001C13D9"/>
    <w:rsid w:val="001C186C"/>
    <w:rsid w:val="001C1E58"/>
    <w:rsid w:val="001C2082"/>
    <w:rsid w:val="001C20FC"/>
    <w:rsid w:val="001C249F"/>
    <w:rsid w:val="001C2C33"/>
    <w:rsid w:val="001C3457"/>
    <w:rsid w:val="001C3586"/>
    <w:rsid w:val="001C393B"/>
    <w:rsid w:val="001C3B03"/>
    <w:rsid w:val="001C4053"/>
    <w:rsid w:val="001C424B"/>
    <w:rsid w:val="001C4338"/>
    <w:rsid w:val="001C4715"/>
    <w:rsid w:val="001C47B3"/>
    <w:rsid w:val="001C4A19"/>
    <w:rsid w:val="001C4E88"/>
    <w:rsid w:val="001C4F7E"/>
    <w:rsid w:val="001C5525"/>
    <w:rsid w:val="001C5576"/>
    <w:rsid w:val="001C578F"/>
    <w:rsid w:val="001C58E2"/>
    <w:rsid w:val="001C5CFB"/>
    <w:rsid w:val="001C6440"/>
    <w:rsid w:val="001C6448"/>
    <w:rsid w:val="001C65B1"/>
    <w:rsid w:val="001C69F2"/>
    <w:rsid w:val="001C6E0F"/>
    <w:rsid w:val="001C6E46"/>
    <w:rsid w:val="001C6F02"/>
    <w:rsid w:val="001C7063"/>
    <w:rsid w:val="001C70B3"/>
    <w:rsid w:val="001C72FB"/>
    <w:rsid w:val="001C7516"/>
    <w:rsid w:val="001C7B0F"/>
    <w:rsid w:val="001C7E0D"/>
    <w:rsid w:val="001D0234"/>
    <w:rsid w:val="001D04A8"/>
    <w:rsid w:val="001D06D7"/>
    <w:rsid w:val="001D070B"/>
    <w:rsid w:val="001D0A39"/>
    <w:rsid w:val="001D0B95"/>
    <w:rsid w:val="001D0BA3"/>
    <w:rsid w:val="001D0BDE"/>
    <w:rsid w:val="001D0ED8"/>
    <w:rsid w:val="001D161C"/>
    <w:rsid w:val="001D1668"/>
    <w:rsid w:val="001D1675"/>
    <w:rsid w:val="001D18E8"/>
    <w:rsid w:val="001D19D2"/>
    <w:rsid w:val="001D1C73"/>
    <w:rsid w:val="001D1D33"/>
    <w:rsid w:val="001D23F7"/>
    <w:rsid w:val="001D245E"/>
    <w:rsid w:val="001D24F7"/>
    <w:rsid w:val="001D279D"/>
    <w:rsid w:val="001D2824"/>
    <w:rsid w:val="001D2B7C"/>
    <w:rsid w:val="001D3066"/>
    <w:rsid w:val="001D31D2"/>
    <w:rsid w:val="001D339B"/>
    <w:rsid w:val="001D36B7"/>
    <w:rsid w:val="001D37A0"/>
    <w:rsid w:val="001D37F4"/>
    <w:rsid w:val="001D37F7"/>
    <w:rsid w:val="001D3A98"/>
    <w:rsid w:val="001D3B11"/>
    <w:rsid w:val="001D3BF3"/>
    <w:rsid w:val="001D3C79"/>
    <w:rsid w:val="001D4800"/>
    <w:rsid w:val="001D4805"/>
    <w:rsid w:val="001D48D6"/>
    <w:rsid w:val="001D4E3E"/>
    <w:rsid w:val="001D508D"/>
    <w:rsid w:val="001D5130"/>
    <w:rsid w:val="001D522C"/>
    <w:rsid w:val="001D575C"/>
    <w:rsid w:val="001D5AF6"/>
    <w:rsid w:val="001D5BCF"/>
    <w:rsid w:val="001D5C90"/>
    <w:rsid w:val="001D5C9E"/>
    <w:rsid w:val="001D5D17"/>
    <w:rsid w:val="001D5E68"/>
    <w:rsid w:val="001D62FA"/>
    <w:rsid w:val="001D6337"/>
    <w:rsid w:val="001D6503"/>
    <w:rsid w:val="001D66D2"/>
    <w:rsid w:val="001D6818"/>
    <w:rsid w:val="001D6A5B"/>
    <w:rsid w:val="001D6E8E"/>
    <w:rsid w:val="001D7ADE"/>
    <w:rsid w:val="001D7B8A"/>
    <w:rsid w:val="001D7C8F"/>
    <w:rsid w:val="001D7C93"/>
    <w:rsid w:val="001D7CE6"/>
    <w:rsid w:val="001D7FA4"/>
    <w:rsid w:val="001E03F6"/>
    <w:rsid w:val="001E0446"/>
    <w:rsid w:val="001E0475"/>
    <w:rsid w:val="001E0541"/>
    <w:rsid w:val="001E0706"/>
    <w:rsid w:val="001E082A"/>
    <w:rsid w:val="001E0F9F"/>
    <w:rsid w:val="001E114C"/>
    <w:rsid w:val="001E1364"/>
    <w:rsid w:val="001E159A"/>
    <w:rsid w:val="001E1781"/>
    <w:rsid w:val="001E1A82"/>
    <w:rsid w:val="001E1AEC"/>
    <w:rsid w:val="001E1C20"/>
    <w:rsid w:val="001E1C2F"/>
    <w:rsid w:val="001E1E02"/>
    <w:rsid w:val="001E1EB6"/>
    <w:rsid w:val="001E25CA"/>
    <w:rsid w:val="001E27A1"/>
    <w:rsid w:val="001E2DD4"/>
    <w:rsid w:val="001E2F33"/>
    <w:rsid w:val="001E3887"/>
    <w:rsid w:val="001E3FC6"/>
    <w:rsid w:val="001E4473"/>
    <w:rsid w:val="001E4857"/>
    <w:rsid w:val="001E4A3A"/>
    <w:rsid w:val="001E4E95"/>
    <w:rsid w:val="001E54D1"/>
    <w:rsid w:val="001E557B"/>
    <w:rsid w:val="001E55CA"/>
    <w:rsid w:val="001E5727"/>
    <w:rsid w:val="001E5966"/>
    <w:rsid w:val="001E5B84"/>
    <w:rsid w:val="001E5BB3"/>
    <w:rsid w:val="001E60DA"/>
    <w:rsid w:val="001E6200"/>
    <w:rsid w:val="001E655E"/>
    <w:rsid w:val="001E6592"/>
    <w:rsid w:val="001E6811"/>
    <w:rsid w:val="001E6964"/>
    <w:rsid w:val="001E6E75"/>
    <w:rsid w:val="001E76B8"/>
    <w:rsid w:val="001E7875"/>
    <w:rsid w:val="001E7A98"/>
    <w:rsid w:val="001E7C75"/>
    <w:rsid w:val="001E7DE8"/>
    <w:rsid w:val="001F0062"/>
    <w:rsid w:val="001F0072"/>
    <w:rsid w:val="001F00D2"/>
    <w:rsid w:val="001F04FD"/>
    <w:rsid w:val="001F0D99"/>
    <w:rsid w:val="001F0EBF"/>
    <w:rsid w:val="001F1AC4"/>
    <w:rsid w:val="001F1E3A"/>
    <w:rsid w:val="001F1E6A"/>
    <w:rsid w:val="001F241B"/>
    <w:rsid w:val="001F26CA"/>
    <w:rsid w:val="001F2980"/>
    <w:rsid w:val="001F29B9"/>
    <w:rsid w:val="001F2BCC"/>
    <w:rsid w:val="001F2C9D"/>
    <w:rsid w:val="001F2D9A"/>
    <w:rsid w:val="001F2E38"/>
    <w:rsid w:val="001F2E6F"/>
    <w:rsid w:val="001F30FF"/>
    <w:rsid w:val="001F36AE"/>
    <w:rsid w:val="001F399D"/>
    <w:rsid w:val="001F3C4A"/>
    <w:rsid w:val="001F3E49"/>
    <w:rsid w:val="001F4228"/>
    <w:rsid w:val="001F481F"/>
    <w:rsid w:val="001F48B5"/>
    <w:rsid w:val="001F4A4B"/>
    <w:rsid w:val="001F4C10"/>
    <w:rsid w:val="001F52B6"/>
    <w:rsid w:val="001F53A8"/>
    <w:rsid w:val="001F5B42"/>
    <w:rsid w:val="001F5F05"/>
    <w:rsid w:val="001F5FB9"/>
    <w:rsid w:val="001F609A"/>
    <w:rsid w:val="001F60C5"/>
    <w:rsid w:val="001F6123"/>
    <w:rsid w:val="001F65A6"/>
    <w:rsid w:val="001F667E"/>
    <w:rsid w:val="001F66B5"/>
    <w:rsid w:val="001F6B78"/>
    <w:rsid w:val="001F7181"/>
    <w:rsid w:val="001F719E"/>
    <w:rsid w:val="001F7239"/>
    <w:rsid w:val="001F7625"/>
    <w:rsid w:val="001F78C5"/>
    <w:rsid w:val="001F7D8B"/>
    <w:rsid w:val="001F7ECE"/>
    <w:rsid w:val="002001BC"/>
    <w:rsid w:val="0020030F"/>
    <w:rsid w:val="002004C6"/>
    <w:rsid w:val="002006BF"/>
    <w:rsid w:val="002006F6"/>
    <w:rsid w:val="00200765"/>
    <w:rsid w:val="00200C22"/>
    <w:rsid w:val="002010A1"/>
    <w:rsid w:val="00201567"/>
    <w:rsid w:val="002018AC"/>
    <w:rsid w:val="002018C4"/>
    <w:rsid w:val="0020195F"/>
    <w:rsid w:val="002019F0"/>
    <w:rsid w:val="00202516"/>
    <w:rsid w:val="0020274B"/>
    <w:rsid w:val="00202750"/>
    <w:rsid w:val="00202AD3"/>
    <w:rsid w:val="00202AF6"/>
    <w:rsid w:val="00202C28"/>
    <w:rsid w:val="00202C72"/>
    <w:rsid w:val="00202F76"/>
    <w:rsid w:val="0020318F"/>
    <w:rsid w:val="0020330C"/>
    <w:rsid w:val="00203330"/>
    <w:rsid w:val="00203A3A"/>
    <w:rsid w:val="00204128"/>
    <w:rsid w:val="002041D7"/>
    <w:rsid w:val="00204440"/>
    <w:rsid w:val="0020450C"/>
    <w:rsid w:val="0020466F"/>
    <w:rsid w:val="002047D3"/>
    <w:rsid w:val="002048FB"/>
    <w:rsid w:val="00204AA0"/>
    <w:rsid w:val="00204DA4"/>
    <w:rsid w:val="00204F9B"/>
    <w:rsid w:val="00205081"/>
    <w:rsid w:val="002050B7"/>
    <w:rsid w:val="002053FC"/>
    <w:rsid w:val="002054A4"/>
    <w:rsid w:val="002054D5"/>
    <w:rsid w:val="002057E7"/>
    <w:rsid w:val="002058E9"/>
    <w:rsid w:val="002059A6"/>
    <w:rsid w:val="00205B15"/>
    <w:rsid w:val="00205B8F"/>
    <w:rsid w:val="00205BE7"/>
    <w:rsid w:val="00205D5E"/>
    <w:rsid w:val="00205FEA"/>
    <w:rsid w:val="00206219"/>
    <w:rsid w:val="002065CA"/>
    <w:rsid w:val="00206746"/>
    <w:rsid w:val="0020675F"/>
    <w:rsid w:val="00206A44"/>
    <w:rsid w:val="00206A76"/>
    <w:rsid w:val="00206AB9"/>
    <w:rsid w:val="00206C18"/>
    <w:rsid w:val="00206DD5"/>
    <w:rsid w:val="0020701B"/>
    <w:rsid w:val="00207127"/>
    <w:rsid w:val="00207577"/>
    <w:rsid w:val="00207BA6"/>
    <w:rsid w:val="00210290"/>
    <w:rsid w:val="002103A0"/>
    <w:rsid w:val="002103C9"/>
    <w:rsid w:val="00210403"/>
    <w:rsid w:val="00210430"/>
    <w:rsid w:val="002104C0"/>
    <w:rsid w:val="002105EA"/>
    <w:rsid w:val="00210B57"/>
    <w:rsid w:val="00210EBC"/>
    <w:rsid w:val="00211979"/>
    <w:rsid w:val="00211E6D"/>
    <w:rsid w:val="00212204"/>
    <w:rsid w:val="002122D8"/>
    <w:rsid w:val="0021259C"/>
    <w:rsid w:val="00212870"/>
    <w:rsid w:val="00212918"/>
    <w:rsid w:val="00212D35"/>
    <w:rsid w:val="00212D65"/>
    <w:rsid w:val="00212E29"/>
    <w:rsid w:val="00212E95"/>
    <w:rsid w:val="00212F11"/>
    <w:rsid w:val="0021313D"/>
    <w:rsid w:val="002133B0"/>
    <w:rsid w:val="00213BB2"/>
    <w:rsid w:val="002141AC"/>
    <w:rsid w:val="00214243"/>
    <w:rsid w:val="00214422"/>
    <w:rsid w:val="00214584"/>
    <w:rsid w:val="00214C7A"/>
    <w:rsid w:val="00215127"/>
    <w:rsid w:val="002153EC"/>
    <w:rsid w:val="0021566A"/>
    <w:rsid w:val="00215937"/>
    <w:rsid w:val="0021595E"/>
    <w:rsid w:val="00215A59"/>
    <w:rsid w:val="00215CDC"/>
    <w:rsid w:val="00216043"/>
    <w:rsid w:val="002161D1"/>
    <w:rsid w:val="00216652"/>
    <w:rsid w:val="00216A12"/>
    <w:rsid w:val="00216BA7"/>
    <w:rsid w:val="00216C80"/>
    <w:rsid w:val="00216E4C"/>
    <w:rsid w:val="00216F78"/>
    <w:rsid w:val="00216F96"/>
    <w:rsid w:val="0021714D"/>
    <w:rsid w:val="0021729A"/>
    <w:rsid w:val="00217456"/>
    <w:rsid w:val="002175EE"/>
    <w:rsid w:val="00217BFC"/>
    <w:rsid w:val="00217D52"/>
    <w:rsid w:val="00220018"/>
    <w:rsid w:val="0022013D"/>
    <w:rsid w:val="0022022A"/>
    <w:rsid w:val="00220ACD"/>
    <w:rsid w:val="00220E6E"/>
    <w:rsid w:val="00221542"/>
    <w:rsid w:val="002215E7"/>
    <w:rsid w:val="002216E2"/>
    <w:rsid w:val="002219F7"/>
    <w:rsid w:val="00221ADE"/>
    <w:rsid w:val="002226A5"/>
    <w:rsid w:val="002228E7"/>
    <w:rsid w:val="00222B16"/>
    <w:rsid w:val="002231E9"/>
    <w:rsid w:val="00223600"/>
    <w:rsid w:val="00223937"/>
    <w:rsid w:val="002239AE"/>
    <w:rsid w:val="00223A9B"/>
    <w:rsid w:val="00223F60"/>
    <w:rsid w:val="00224181"/>
    <w:rsid w:val="002242C9"/>
    <w:rsid w:val="0022432A"/>
    <w:rsid w:val="002243A3"/>
    <w:rsid w:val="002245B0"/>
    <w:rsid w:val="00224842"/>
    <w:rsid w:val="00224CB0"/>
    <w:rsid w:val="00224DB6"/>
    <w:rsid w:val="00225085"/>
    <w:rsid w:val="002251E5"/>
    <w:rsid w:val="00225504"/>
    <w:rsid w:val="002256F2"/>
    <w:rsid w:val="00225788"/>
    <w:rsid w:val="002259A5"/>
    <w:rsid w:val="00225BA3"/>
    <w:rsid w:val="0022613A"/>
    <w:rsid w:val="00226296"/>
    <w:rsid w:val="00226639"/>
    <w:rsid w:val="00226A76"/>
    <w:rsid w:val="0022709B"/>
    <w:rsid w:val="002273F9"/>
    <w:rsid w:val="00227672"/>
    <w:rsid w:val="00227726"/>
    <w:rsid w:val="002277D2"/>
    <w:rsid w:val="0022788D"/>
    <w:rsid w:val="00227BA6"/>
    <w:rsid w:val="00227D99"/>
    <w:rsid w:val="00227E74"/>
    <w:rsid w:val="00227F93"/>
    <w:rsid w:val="00230682"/>
    <w:rsid w:val="00230721"/>
    <w:rsid w:val="002309C1"/>
    <w:rsid w:val="00230D0E"/>
    <w:rsid w:val="00230F21"/>
    <w:rsid w:val="00230F4F"/>
    <w:rsid w:val="00231573"/>
    <w:rsid w:val="0023161D"/>
    <w:rsid w:val="002319CB"/>
    <w:rsid w:val="00231E1D"/>
    <w:rsid w:val="00231F45"/>
    <w:rsid w:val="0023208D"/>
    <w:rsid w:val="00232254"/>
    <w:rsid w:val="0023233A"/>
    <w:rsid w:val="002326BC"/>
    <w:rsid w:val="00232700"/>
    <w:rsid w:val="00232704"/>
    <w:rsid w:val="002328D2"/>
    <w:rsid w:val="002328DF"/>
    <w:rsid w:val="00232987"/>
    <w:rsid w:val="00232CC9"/>
    <w:rsid w:val="002330B3"/>
    <w:rsid w:val="0023355B"/>
    <w:rsid w:val="002335DA"/>
    <w:rsid w:val="0023368C"/>
    <w:rsid w:val="00233FE9"/>
    <w:rsid w:val="0023491E"/>
    <w:rsid w:val="00234C27"/>
    <w:rsid w:val="00235181"/>
    <w:rsid w:val="002354AD"/>
    <w:rsid w:val="00235515"/>
    <w:rsid w:val="00235A8B"/>
    <w:rsid w:val="00235ACB"/>
    <w:rsid w:val="00235B43"/>
    <w:rsid w:val="00235ECF"/>
    <w:rsid w:val="00235FB0"/>
    <w:rsid w:val="002361D1"/>
    <w:rsid w:val="00236282"/>
    <w:rsid w:val="002363BF"/>
    <w:rsid w:val="00236408"/>
    <w:rsid w:val="00236549"/>
    <w:rsid w:val="00236892"/>
    <w:rsid w:val="00236A28"/>
    <w:rsid w:val="00237006"/>
    <w:rsid w:val="00237078"/>
    <w:rsid w:val="0023707F"/>
    <w:rsid w:val="0023745A"/>
    <w:rsid w:val="00237742"/>
    <w:rsid w:val="002378F6"/>
    <w:rsid w:val="0023796F"/>
    <w:rsid w:val="00237A86"/>
    <w:rsid w:val="00237CF8"/>
    <w:rsid w:val="00237E32"/>
    <w:rsid w:val="002403DC"/>
    <w:rsid w:val="00240809"/>
    <w:rsid w:val="00240CA1"/>
    <w:rsid w:val="00240CB3"/>
    <w:rsid w:val="0024162E"/>
    <w:rsid w:val="00241700"/>
    <w:rsid w:val="00241738"/>
    <w:rsid w:val="00241BA6"/>
    <w:rsid w:val="00242065"/>
    <w:rsid w:val="002424A9"/>
    <w:rsid w:val="002426F9"/>
    <w:rsid w:val="00243415"/>
    <w:rsid w:val="00243435"/>
    <w:rsid w:val="00243717"/>
    <w:rsid w:val="002439E3"/>
    <w:rsid w:val="00243AA0"/>
    <w:rsid w:val="00243B96"/>
    <w:rsid w:val="00244EA0"/>
    <w:rsid w:val="00244F31"/>
    <w:rsid w:val="00245260"/>
    <w:rsid w:val="002455A0"/>
    <w:rsid w:val="002457E4"/>
    <w:rsid w:val="00245867"/>
    <w:rsid w:val="00245C21"/>
    <w:rsid w:val="00245F82"/>
    <w:rsid w:val="0024602C"/>
    <w:rsid w:val="0024626F"/>
    <w:rsid w:val="0024634E"/>
    <w:rsid w:val="002464A4"/>
    <w:rsid w:val="00246555"/>
    <w:rsid w:val="00246ABD"/>
    <w:rsid w:val="00246D59"/>
    <w:rsid w:val="00246F74"/>
    <w:rsid w:val="00246FD9"/>
    <w:rsid w:val="002471DB"/>
    <w:rsid w:val="002471FA"/>
    <w:rsid w:val="0024758D"/>
    <w:rsid w:val="00247651"/>
    <w:rsid w:val="0024783C"/>
    <w:rsid w:val="00247AB0"/>
    <w:rsid w:val="00247ABA"/>
    <w:rsid w:val="00247AE8"/>
    <w:rsid w:val="00247D9A"/>
    <w:rsid w:val="00250048"/>
    <w:rsid w:val="00250290"/>
    <w:rsid w:val="0025039F"/>
    <w:rsid w:val="0025046B"/>
    <w:rsid w:val="0025056F"/>
    <w:rsid w:val="00250B90"/>
    <w:rsid w:val="00250F39"/>
    <w:rsid w:val="00251656"/>
    <w:rsid w:val="002516B0"/>
    <w:rsid w:val="0025189C"/>
    <w:rsid w:val="002519B9"/>
    <w:rsid w:val="00251B8D"/>
    <w:rsid w:val="00252171"/>
    <w:rsid w:val="00252285"/>
    <w:rsid w:val="0025273A"/>
    <w:rsid w:val="0025286C"/>
    <w:rsid w:val="002529B0"/>
    <w:rsid w:val="002529E4"/>
    <w:rsid w:val="00252E45"/>
    <w:rsid w:val="002531D5"/>
    <w:rsid w:val="00253532"/>
    <w:rsid w:val="00253658"/>
    <w:rsid w:val="00253662"/>
    <w:rsid w:val="00253BA4"/>
    <w:rsid w:val="00253C8F"/>
    <w:rsid w:val="00253E11"/>
    <w:rsid w:val="00253E42"/>
    <w:rsid w:val="0025410A"/>
    <w:rsid w:val="00254149"/>
    <w:rsid w:val="002543E1"/>
    <w:rsid w:val="002549BF"/>
    <w:rsid w:val="00254C3A"/>
    <w:rsid w:val="00254DA4"/>
    <w:rsid w:val="002553AD"/>
    <w:rsid w:val="00255681"/>
    <w:rsid w:val="00255729"/>
    <w:rsid w:val="002559BF"/>
    <w:rsid w:val="00255BC7"/>
    <w:rsid w:val="00255C8A"/>
    <w:rsid w:val="00255FA0"/>
    <w:rsid w:val="0025606B"/>
    <w:rsid w:val="00256100"/>
    <w:rsid w:val="002562F6"/>
    <w:rsid w:val="002564C7"/>
    <w:rsid w:val="00256871"/>
    <w:rsid w:val="002568E9"/>
    <w:rsid w:val="00256AF7"/>
    <w:rsid w:val="00256CC6"/>
    <w:rsid w:val="00256D20"/>
    <w:rsid w:val="00257170"/>
    <w:rsid w:val="0025732F"/>
    <w:rsid w:val="00257478"/>
    <w:rsid w:val="0025753C"/>
    <w:rsid w:val="0025777D"/>
    <w:rsid w:val="00257C57"/>
    <w:rsid w:val="00260458"/>
    <w:rsid w:val="00260465"/>
    <w:rsid w:val="002609AF"/>
    <w:rsid w:val="00260CA8"/>
    <w:rsid w:val="00260DA0"/>
    <w:rsid w:val="00260FDE"/>
    <w:rsid w:val="0026137F"/>
    <w:rsid w:val="002615C6"/>
    <w:rsid w:val="00261957"/>
    <w:rsid w:val="00261C73"/>
    <w:rsid w:val="00261CD4"/>
    <w:rsid w:val="00261F72"/>
    <w:rsid w:val="002623A1"/>
    <w:rsid w:val="00262616"/>
    <w:rsid w:val="002627A1"/>
    <w:rsid w:val="002627DF"/>
    <w:rsid w:val="002628D7"/>
    <w:rsid w:val="00262B82"/>
    <w:rsid w:val="00262BB6"/>
    <w:rsid w:val="00263446"/>
    <w:rsid w:val="00264749"/>
    <w:rsid w:val="00264BF8"/>
    <w:rsid w:val="00265640"/>
    <w:rsid w:val="0026577B"/>
    <w:rsid w:val="002659D9"/>
    <w:rsid w:val="00265F77"/>
    <w:rsid w:val="00266168"/>
    <w:rsid w:val="002662C7"/>
    <w:rsid w:val="00266559"/>
    <w:rsid w:val="0026686A"/>
    <w:rsid w:val="002668BC"/>
    <w:rsid w:val="0026696B"/>
    <w:rsid w:val="00266990"/>
    <w:rsid w:val="002669E2"/>
    <w:rsid w:val="00266A59"/>
    <w:rsid w:val="0026764F"/>
    <w:rsid w:val="00267E1F"/>
    <w:rsid w:val="0027001C"/>
    <w:rsid w:val="0027018A"/>
    <w:rsid w:val="0027034A"/>
    <w:rsid w:val="00270799"/>
    <w:rsid w:val="00270825"/>
    <w:rsid w:val="00270B16"/>
    <w:rsid w:val="00270CE5"/>
    <w:rsid w:val="00270DCA"/>
    <w:rsid w:val="0027126E"/>
    <w:rsid w:val="00271590"/>
    <w:rsid w:val="002716D6"/>
    <w:rsid w:val="0027187B"/>
    <w:rsid w:val="00271F42"/>
    <w:rsid w:val="002721D7"/>
    <w:rsid w:val="002723F3"/>
    <w:rsid w:val="00272DD4"/>
    <w:rsid w:val="00272E2E"/>
    <w:rsid w:val="00273091"/>
    <w:rsid w:val="002731D1"/>
    <w:rsid w:val="00273981"/>
    <w:rsid w:val="00273CA8"/>
    <w:rsid w:val="002743BD"/>
    <w:rsid w:val="00274415"/>
    <w:rsid w:val="00274842"/>
    <w:rsid w:val="002748E0"/>
    <w:rsid w:val="00274ADB"/>
    <w:rsid w:val="00274CB8"/>
    <w:rsid w:val="00274D15"/>
    <w:rsid w:val="00274FC5"/>
    <w:rsid w:val="00275174"/>
    <w:rsid w:val="00275186"/>
    <w:rsid w:val="0027537D"/>
    <w:rsid w:val="0027538E"/>
    <w:rsid w:val="00275467"/>
    <w:rsid w:val="00275557"/>
    <w:rsid w:val="00275652"/>
    <w:rsid w:val="002756C3"/>
    <w:rsid w:val="00275F6E"/>
    <w:rsid w:val="00276087"/>
    <w:rsid w:val="00276C4A"/>
    <w:rsid w:val="002770F8"/>
    <w:rsid w:val="002775D3"/>
    <w:rsid w:val="00277788"/>
    <w:rsid w:val="00280140"/>
    <w:rsid w:val="00280384"/>
    <w:rsid w:val="0028050F"/>
    <w:rsid w:val="0028057B"/>
    <w:rsid w:val="002808CA"/>
    <w:rsid w:val="0028094D"/>
    <w:rsid w:val="00280D92"/>
    <w:rsid w:val="00281027"/>
    <w:rsid w:val="0028161A"/>
    <w:rsid w:val="002817CB"/>
    <w:rsid w:val="00281B4E"/>
    <w:rsid w:val="00281B97"/>
    <w:rsid w:val="00281D7F"/>
    <w:rsid w:val="002820DF"/>
    <w:rsid w:val="002820E3"/>
    <w:rsid w:val="002822A9"/>
    <w:rsid w:val="00282355"/>
    <w:rsid w:val="002825BA"/>
    <w:rsid w:val="002829CC"/>
    <w:rsid w:val="00282E31"/>
    <w:rsid w:val="002831BA"/>
    <w:rsid w:val="0028329D"/>
    <w:rsid w:val="002832FB"/>
    <w:rsid w:val="002833E5"/>
    <w:rsid w:val="0028350D"/>
    <w:rsid w:val="0028352D"/>
    <w:rsid w:val="0028387D"/>
    <w:rsid w:val="002838FB"/>
    <w:rsid w:val="00283DC4"/>
    <w:rsid w:val="0028431D"/>
    <w:rsid w:val="002846E4"/>
    <w:rsid w:val="002848C9"/>
    <w:rsid w:val="00284CD9"/>
    <w:rsid w:val="00284FE6"/>
    <w:rsid w:val="0028527A"/>
    <w:rsid w:val="00285344"/>
    <w:rsid w:val="00285391"/>
    <w:rsid w:val="002856F3"/>
    <w:rsid w:val="00285823"/>
    <w:rsid w:val="0028590B"/>
    <w:rsid w:val="00285A49"/>
    <w:rsid w:val="00286286"/>
    <w:rsid w:val="0028631F"/>
    <w:rsid w:val="002863D2"/>
    <w:rsid w:val="00286496"/>
    <w:rsid w:val="00286740"/>
    <w:rsid w:val="00286B24"/>
    <w:rsid w:val="00286B61"/>
    <w:rsid w:val="00286CBE"/>
    <w:rsid w:val="0028712F"/>
    <w:rsid w:val="0028745D"/>
    <w:rsid w:val="00287A75"/>
    <w:rsid w:val="00287ABA"/>
    <w:rsid w:val="00287AC4"/>
    <w:rsid w:val="00287DDB"/>
    <w:rsid w:val="002900DB"/>
    <w:rsid w:val="0029020C"/>
    <w:rsid w:val="002904FF"/>
    <w:rsid w:val="00290567"/>
    <w:rsid w:val="002907BA"/>
    <w:rsid w:val="00290A86"/>
    <w:rsid w:val="00290D2C"/>
    <w:rsid w:val="00290E11"/>
    <w:rsid w:val="00290E38"/>
    <w:rsid w:val="00290E3F"/>
    <w:rsid w:val="00290EDF"/>
    <w:rsid w:val="00290F71"/>
    <w:rsid w:val="0029113B"/>
    <w:rsid w:val="002913B3"/>
    <w:rsid w:val="002915AF"/>
    <w:rsid w:val="002918C6"/>
    <w:rsid w:val="00291AE3"/>
    <w:rsid w:val="00291DF6"/>
    <w:rsid w:val="00291FF3"/>
    <w:rsid w:val="00292272"/>
    <w:rsid w:val="00292505"/>
    <w:rsid w:val="00292B1B"/>
    <w:rsid w:val="00292B79"/>
    <w:rsid w:val="00292C13"/>
    <w:rsid w:val="00292E36"/>
    <w:rsid w:val="00292E4F"/>
    <w:rsid w:val="00293149"/>
    <w:rsid w:val="00293E75"/>
    <w:rsid w:val="002941FF"/>
    <w:rsid w:val="00294289"/>
    <w:rsid w:val="00294390"/>
    <w:rsid w:val="002945E2"/>
    <w:rsid w:val="002946F0"/>
    <w:rsid w:val="002949A8"/>
    <w:rsid w:val="00294A20"/>
    <w:rsid w:val="00294AF7"/>
    <w:rsid w:val="00294CA2"/>
    <w:rsid w:val="00294CEA"/>
    <w:rsid w:val="0029525E"/>
    <w:rsid w:val="0029554B"/>
    <w:rsid w:val="002955A9"/>
    <w:rsid w:val="002955C7"/>
    <w:rsid w:val="002956BC"/>
    <w:rsid w:val="002958B0"/>
    <w:rsid w:val="0029598F"/>
    <w:rsid w:val="00295AC4"/>
    <w:rsid w:val="00295E85"/>
    <w:rsid w:val="00295F69"/>
    <w:rsid w:val="002967F6"/>
    <w:rsid w:val="00296D22"/>
    <w:rsid w:val="00296DCA"/>
    <w:rsid w:val="00296E66"/>
    <w:rsid w:val="0029738F"/>
    <w:rsid w:val="0029759F"/>
    <w:rsid w:val="0029778D"/>
    <w:rsid w:val="002977E5"/>
    <w:rsid w:val="00297976"/>
    <w:rsid w:val="00297D7F"/>
    <w:rsid w:val="002A0368"/>
    <w:rsid w:val="002A04A4"/>
    <w:rsid w:val="002A08A3"/>
    <w:rsid w:val="002A13A9"/>
    <w:rsid w:val="002A1B54"/>
    <w:rsid w:val="002A1D54"/>
    <w:rsid w:val="002A2012"/>
    <w:rsid w:val="002A2423"/>
    <w:rsid w:val="002A2519"/>
    <w:rsid w:val="002A25AF"/>
    <w:rsid w:val="002A2A1A"/>
    <w:rsid w:val="002A2CC7"/>
    <w:rsid w:val="002A2E97"/>
    <w:rsid w:val="002A2EA8"/>
    <w:rsid w:val="002A3187"/>
    <w:rsid w:val="002A3340"/>
    <w:rsid w:val="002A3821"/>
    <w:rsid w:val="002A3C00"/>
    <w:rsid w:val="002A3CAD"/>
    <w:rsid w:val="002A404A"/>
    <w:rsid w:val="002A45DF"/>
    <w:rsid w:val="002A4C04"/>
    <w:rsid w:val="002A4C62"/>
    <w:rsid w:val="002A4F37"/>
    <w:rsid w:val="002A5064"/>
    <w:rsid w:val="002A536E"/>
    <w:rsid w:val="002A5373"/>
    <w:rsid w:val="002A58CB"/>
    <w:rsid w:val="002A594F"/>
    <w:rsid w:val="002A5BB8"/>
    <w:rsid w:val="002A5CD2"/>
    <w:rsid w:val="002A5DB9"/>
    <w:rsid w:val="002A61FE"/>
    <w:rsid w:val="002A63E2"/>
    <w:rsid w:val="002A6622"/>
    <w:rsid w:val="002A67D8"/>
    <w:rsid w:val="002A6B63"/>
    <w:rsid w:val="002A6B94"/>
    <w:rsid w:val="002A74D3"/>
    <w:rsid w:val="002A74E2"/>
    <w:rsid w:val="002A7BD9"/>
    <w:rsid w:val="002B00E4"/>
    <w:rsid w:val="002B011C"/>
    <w:rsid w:val="002B0566"/>
    <w:rsid w:val="002B0702"/>
    <w:rsid w:val="002B08D2"/>
    <w:rsid w:val="002B0907"/>
    <w:rsid w:val="002B0F12"/>
    <w:rsid w:val="002B0F1F"/>
    <w:rsid w:val="002B1003"/>
    <w:rsid w:val="002B1237"/>
    <w:rsid w:val="002B1DB9"/>
    <w:rsid w:val="002B1FB9"/>
    <w:rsid w:val="002B2281"/>
    <w:rsid w:val="002B2711"/>
    <w:rsid w:val="002B291C"/>
    <w:rsid w:val="002B2DC1"/>
    <w:rsid w:val="002B3235"/>
    <w:rsid w:val="002B3286"/>
    <w:rsid w:val="002B3536"/>
    <w:rsid w:val="002B388F"/>
    <w:rsid w:val="002B3A2C"/>
    <w:rsid w:val="002B3E67"/>
    <w:rsid w:val="002B3F36"/>
    <w:rsid w:val="002B4780"/>
    <w:rsid w:val="002B4C3B"/>
    <w:rsid w:val="002B4D63"/>
    <w:rsid w:val="002B52A0"/>
    <w:rsid w:val="002B5461"/>
    <w:rsid w:val="002B59ED"/>
    <w:rsid w:val="002B5CEA"/>
    <w:rsid w:val="002B630A"/>
    <w:rsid w:val="002B6AB4"/>
    <w:rsid w:val="002B6BE8"/>
    <w:rsid w:val="002B6E3D"/>
    <w:rsid w:val="002B7A43"/>
    <w:rsid w:val="002B7E0A"/>
    <w:rsid w:val="002B7FEA"/>
    <w:rsid w:val="002B7FFB"/>
    <w:rsid w:val="002C016B"/>
    <w:rsid w:val="002C04B0"/>
    <w:rsid w:val="002C0A0A"/>
    <w:rsid w:val="002C0BF8"/>
    <w:rsid w:val="002C1100"/>
    <w:rsid w:val="002C140D"/>
    <w:rsid w:val="002C1469"/>
    <w:rsid w:val="002C1AD7"/>
    <w:rsid w:val="002C1E72"/>
    <w:rsid w:val="002C1F48"/>
    <w:rsid w:val="002C2028"/>
    <w:rsid w:val="002C21EF"/>
    <w:rsid w:val="002C28D9"/>
    <w:rsid w:val="002C28DF"/>
    <w:rsid w:val="002C2A5B"/>
    <w:rsid w:val="002C2A62"/>
    <w:rsid w:val="002C2A77"/>
    <w:rsid w:val="002C2BDC"/>
    <w:rsid w:val="002C2D25"/>
    <w:rsid w:val="002C2D95"/>
    <w:rsid w:val="002C2DF3"/>
    <w:rsid w:val="002C34F1"/>
    <w:rsid w:val="002C35D1"/>
    <w:rsid w:val="002C360B"/>
    <w:rsid w:val="002C38B3"/>
    <w:rsid w:val="002C3D40"/>
    <w:rsid w:val="002C3D58"/>
    <w:rsid w:val="002C43E2"/>
    <w:rsid w:val="002C4548"/>
    <w:rsid w:val="002C4D11"/>
    <w:rsid w:val="002C4E9A"/>
    <w:rsid w:val="002C53A8"/>
    <w:rsid w:val="002C5CF7"/>
    <w:rsid w:val="002C656A"/>
    <w:rsid w:val="002C6D8B"/>
    <w:rsid w:val="002C6F1B"/>
    <w:rsid w:val="002C7394"/>
    <w:rsid w:val="002C7B1E"/>
    <w:rsid w:val="002C7CCC"/>
    <w:rsid w:val="002D026E"/>
    <w:rsid w:val="002D032F"/>
    <w:rsid w:val="002D03C0"/>
    <w:rsid w:val="002D03FE"/>
    <w:rsid w:val="002D07ED"/>
    <w:rsid w:val="002D1056"/>
    <w:rsid w:val="002D1542"/>
    <w:rsid w:val="002D15DB"/>
    <w:rsid w:val="002D1883"/>
    <w:rsid w:val="002D1996"/>
    <w:rsid w:val="002D1B5C"/>
    <w:rsid w:val="002D1F5E"/>
    <w:rsid w:val="002D2258"/>
    <w:rsid w:val="002D256F"/>
    <w:rsid w:val="002D25A6"/>
    <w:rsid w:val="002D2632"/>
    <w:rsid w:val="002D2640"/>
    <w:rsid w:val="002D2755"/>
    <w:rsid w:val="002D2A86"/>
    <w:rsid w:val="002D2F09"/>
    <w:rsid w:val="002D346D"/>
    <w:rsid w:val="002D3681"/>
    <w:rsid w:val="002D3918"/>
    <w:rsid w:val="002D3A32"/>
    <w:rsid w:val="002D3AA0"/>
    <w:rsid w:val="002D3BCA"/>
    <w:rsid w:val="002D3F3C"/>
    <w:rsid w:val="002D4101"/>
    <w:rsid w:val="002D426B"/>
    <w:rsid w:val="002D46A4"/>
    <w:rsid w:val="002D4704"/>
    <w:rsid w:val="002D48FE"/>
    <w:rsid w:val="002D4C41"/>
    <w:rsid w:val="002D4F86"/>
    <w:rsid w:val="002D5088"/>
    <w:rsid w:val="002D50EA"/>
    <w:rsid w:val="002D5287"/>
    <w:rsid w:val="002D5341"/>
    <w:rsid w:val="002D57D4"/>
    <w:rsid w:val="002D5837"/>
    <w:rsid w:val="002D590D"/>
    <w:rsid w:val="002D5A7B"/>
    <w:rsid w:val="002D5C44"/>
    <w:rsid w:val="002D5F34"/>
    <w:rsid w:val="002D617B"/>
    <w:rsid w:val="002D677A"/>
    <w:rsid w:val="002D6974"/>
    <w:rsid w:val="002D69FD"/>
    <w:rsid w:val="002D6A2C"/>
    <w:rsid w:val="002D711B"/>
    <w:rsid w:val="002D71D8"/>
    <w:rsid w:val="002D7300"/>
    <w:rsid w:val="002D7367"/>
    <w:rsid w:val="002D7A70"/>
    <w:rsid w:val="002D7C69"/>
    <w:rsid w:val="002E017A"/>
    <w:rsid w:val="002E0289"/>
    <w:rsid w:val="002E06BB"/>
    <w:rsid w:val="002E098C"/>
    <w:rsid w:val="002E09CD"/>
    <w:rsid w:val="002E1187"/>
    <w:rsid w:val="002E1B62"/>
    <w:rsid w:val="002E1D75"/>
    <w:rsid w:val="002E2150"/>
    <w:rsid w:val="002E2809"/>
    <w:rsid w:val="002E2A99"/>
    <w:rsid w:val="002E3055"/>
    <w:rsid w:val="002E30D1"/>
    <w:rsid w:val="002E31B0"/>
    <w:rsid w:val="002E39A6"/>
    <w:rsid w:val="002E3A7D"/>
    <w:rsid w:val="002E3AC9"/>
    <w:rsid w:val="002E3C86"/>
    <w:rsid w:val="002E4077"/>
    <w:rsid w:val="002E4260"/>
    <w:rsid w:val="002E444A"/>
    <w:rsid w:val="002E4662"/>
    <w:rsid w:val="002E5449"/>
    <w:rsid w:val="002E579B"/>
    <w:rsid w:val="002E5938"/>
    <w:rsid w:val="002E5C2D"/>
    <w:rsid w:val="002E5EBD"/>
    <w:rsid w:val="002E5EE2"/>
    <w:rsid w:val="002E602D"/>
    <w:rsid w:val="002E6073"/>
    <w:rsid w:val="002E6238"/>
    <w:rsid w:val="002E6444"/>
    <w:rsid w:val="002E6655"/>
    <w:rsid w:val="002E6678"/>
    <w:rsid w:val="002E6D29"/>
    <w:rsid w:val="002E6D91"/>
    <w:rsid w:val="002E6FDA"/>
    <w:rsid w:val="002E705C"/>
    <w:rsid w:val="002E7210"/>
    <w:rsid w:val="002E73B3"/>
    <w:rsid w:val="002E782E"/>
    <w:rsid w:val="002E7888"/>
    <w:rsid w:val="002E7D2A"/>
    <w:rsid w:val="002E7D3F"/>
    <w:rsid w:val="002F013C"/>
    <w:rsid w:val="002F013D"/>
    <w:rsid w:val="002F05F3"/>
    <w:rsid w:val="002F069E"/>
    <w:rsid w:val="002F06A4"/>
    <w:rsid w:val="002F09EB"/>
    <w:rsid w:val="002F12F0"/>
    <w:rsid w:val="002F1442"/>
    <w:rsid w:val="002F168C"/>
    <w:rsid w:val="002F1875"/>
    <w:rsid w:val="002F18CF"/>
    <w:rsid w:val="002F1E23"/>
    <w:rsid w:val="002F26E5"/>
    <w:rsid w:val="002F30B6"/>
    <w:rsid w:val="002F314C"/>
    <w:rsid w:val="002F34DA"/>
    <w:rsid w:val="002F3818"/>
    <w:rsid w:val="002F3A3B"/>
    <w:rsid w:val="002F3A7E"/>
    <w:rsid w:val="002F3D34"/>
    <w:rsid w:val="002F3E26"/>
    <w:rsid w:val="002F3FBB"/>
    <w:rsid w:val="002F4034"/>
    <w:rsid w:val="002F41BE"/>
    <w:rsid w:val="002F433B"/>
    <w:rsid w:val="002F43AB"/>
    <w:rsid w:val="002F4537"/>
    <w:rsid w:val="002F4845"/>
    <w:rsid w:val="002F491B"/>
    <w:rsid w:val="002F49BD"/>
    <w:rsid w:val="002F49D0"/>
    <w:rsid w:val="002F4A78"/>
    <w:rsid w:val="002F4CD2"/>
    <w:rsid w:val="002F53D8"/>
    <w:rsid w:val="002F53E7"/>
    <w:rsid w:val="002F55A1"/>
    <w:rsid w:val="002F5772"/>
    <w:rsid w:val="002F5965"/>
    <w:rsid w:val="002F5B7A"/>
    <w:rsid w:val="002F5BEA"/>
    <w:rsid w:val="002F5C45"/>
    <w:rsid w:val="002F5D2B"/>
    <w:rsid w:val="002F5DCB"/>
    <w:rsid w:val="002F5F41"/>
    <w:rsid w:val="002F5F46"/>
    <w:rsid w:val="002F5FC5"/>
    <w:rsid w:val="002F630D"/>
    <w:rsid w:val="002F6859"/>
    <w:rsid w:val="002F690B"/>
    <w:rsid w:val="002F6B00"/>
    <w:rsid w:val="002F6DBA"/>
    <w:rsid w:val="002F6E37"/>
    <w:rsid w:val="002F6E42"/>
    <w:rsid w:val="002F7611"/>
    <w:rsid w:val="002F7C57"/>
    <w:rsid w:val="002F7D05"/>
    <w:rsid w:val="0030012C"/>
    <w:rsid w:val="003006DE"/>
    <w:rsid w:val="00300758"/>
    <w:rsid w:val="00300936"/>
    <w:rsid w:val="00300AF8"/>
    <w:rsid w:val="00300C2A"/>
    <w:rsid w:val="00300EB5"/>
    <w:rsid w:val="00301185"/>
    <w:rsid w:val="00301507"/>
    <w:rsid w:val="003015D0"/>
    <w:rsid w:val="003019D5"/>
    <w:rsid w:val="003019F8"/>
    <w:rsid w:val="00301A74"/>
    <w:rsid w:val="00301E93"/>
    <w:rsid w:val="00301F14"/>
    <w:rsid w:val="003020DA"/>
    <w:rsid w:val="003024FE"/>
    <w:rsid w:val="0030264B"/>
    <w:rsid w:val="0030274A"/>
    <w:rsid w:val="00302761"/>
    <w:rsid w:val="00302A3F"/>
    <w:rsid w:val="00302CF1"/>
    <w:rsid w:val="00302D2A"/>
    <w:rsid w:val="00302D5A"/>
    <w:rsid w:val="00302DD8"/>
    <w:rsid w:val="00303033"/>
    <w:rsid w:val="003030F6"/>
    <w:rsid w:val="0030329C"/>
    <w:rsid w:val="0030331D"/>
    <w:rsid w:val="00303646"/>
    <w:rsid w:val="00303A39"/>
    <w:rsid w:val="003046E1"/>
    <w:rsid w:val="00304934"/>
    <w:rsid w:val="00304B2B"/>
    <w:rsid w:val="00304BCC"/>
    <w:rsid w:val="00304E07"/>
    <w:rsid w:val="00304F9E"/>
    <w:rsid w:val="003052CB"/>
    <w:rsid w:val="003052E8"/>
    <w:rsid w:val="003055C2"/>
    <w:rsid w:val="00305F3F"/>
    <w:rsid w:val="00306067"/>
    <w:rsid w:val="003060E0"/>
    <w:rsid w:val="0030628A"/>
    <w:rsid w:val="003064EE"/>
    <w:rsid w:val="003064EF"/>
    <w:rsid w:val="00306863"/>
    <w:rsid w:val="0030686F"/>
    <w:rsid w:val="003076A9"/>
    <w:rsid w:val="00307F57"/>
    <w:rsid w:val="00307F98"/>
    <w:rsid w:val="003101F8"/>
    <w:rsid w:val="00310285"/>
    <w:rsid w:val="0031054E"/>
    <w:rsid w:val="003106A0"/>
    <w:rsid w:val="00310D36"/>
    <w:rsid w:val="00310F6B"/>
    <w:rsid w:val="003113B5"/>
    <w:rsid w:val="0031143B"/>
    <w:rsid w:val="003114F1"/>
    <w:rsid w:val="003117C9"/>
    <w:rsid w:val="003119D3"/>
    <w:rsid w:val="00311C88"/>
    <w:rsid w:val="00311F8F"/>
    <w:rsid w:val="00312136"/>
    <w:rsid w:val="003123E8"/>
    <w:rsid w:val="00312560"/>
    <w:rsid w:val="003126D6"/>
    <w:rsid w:val="00312731"/>
    <w:rsid w:val="00312874"/>
    <w:rsid w:val="00312D77"/>
    <w:rsid w:val="00312F48"/>
    <w:rsid w:val="00313748"/>
    <w:rsid w:val="00313816"/>
    <w:rsid w:val="00313A54"/>
    <w:rsid w:val="00313BCC"/>
    <w:rsid w:val="00313CC2"/>
    <w:rsid w:val="003140CB"/>
    <w:rsid w:val="00314A4A"/>
    <w:rsid w:val="00314D01"/>
    <w:rsid w:val="00315007"/>
    <w:rsid w:val="0031519B"/>
    <w:rsid w:val="003156B0"/>
    <w:rsid w:val="00315722"/>
    <w:rsid w:val="003157AD"/>
    <w:rsid w:val="00315965"/>
    <w:rsid w:val="00315A55"/>
    <w:rsid w:val="00315C4B"/>
    <w:rsid w:val="003164EE"/>
    <w:rsid w:val="0031678F"/>
    <w:rsid w:val="00316C88"/>
    <w:rsid w:val="00316D07"/>
    <w:rsid w:val="00316D64"/>
    <w:rsid w:val="00316DC4"/>
    <w:rsid w:val="0031713D"/>
    <w:rsid w:val="00317187"/>
    <w:rsid w:val="0031767C"/>
    <w:rsid w:val="00317950"/>
    <w:rsid w:val="00317DCE"/>
    <w:rsid w:val="003201B9"/>
    <w:rsid w:val="003201D5"/>
    <w:rsid w:val="00320309"/>
    <w:rsid w:val="0032056A"/>
    <w:rsid w:val="00320F55"/>
    <w:rsid w:val="003210A1"/>
    <w:rsid w:val="003211B3"/>
    <w:rsid w:val="00321275"/>
    <w:rsid w:val="003218DC"/>
    <w:rsid w:val="003219FF"/>
    <w:rsid w:val="00321F5F"/>
    <w:rsid w:val="003220F2"/>
    <w:rsid w:val="0032250E"/>
    <w:rsid w:val="0032261E"/>
    <w:rsid w:val="00322910"/>
    <w:rsid w:val="00322BB2"/>
    <w:rsid w:val="00322C55"/>
    <w:rsid w:val="00322DD0"/>
    <w:rsid w:val="00322EC0"/>
    <w:rsid w:val="00322FE6"/>
    <w:rsid w:val="0032349D"/>
    <w:rsid w:val="00323869"/>
    <w:rsid w:val="0032399F"/>
    <w:rsid w:val="003239A9"/>
    <w:rsid w:val="003239CC"/>
    <w:rsid w:val="00323EA0"/>
    <w:rsid w:val="00323F99"/>
    <w:rsid w:val="003240ED"/>
    <w:rsid w:val="003243D9"/>
    <w:rsid w:val="0032477B"/>
    <w:rsid w:val="003247F9"/>
    <w:rsid w:val="0032494D"/>
    <w:rsid w:val="00324DB4"/>
    <w:rsid w:val="00324F6B"/>
    <w:rsid w:val="003250A5"/>
    <w:rsid w:val="0032513B"/>
    <w:rsid w:val="003255DB"/>
    <w:rsid w:val="00325ACC"/>
    <w:rsid w:val="00325CBD"/>
    <w:rsid w:val="00325D8A"/>
    <w:rsid w:val="00326850"/>
    <w:rsid w:val="00326C6D"/>
    <w:rsid w:val="0032741D"/>
    <w:rsid w:val="00327A29"/>
    <w:rsid w:val="00327CB7"/>
    <w:rsid w:val="0033014F"/>
    <w:rsid w:val="003304A6"/>
    <w:rsid w:val="003309E8"/>
    <w:rsid w:val="00330B05"/>
    <w:rsid w:val="00330C97"/>
    <w:rsid w:val="00330E4B"/>
    <w:rsid w:val="00331995"/>
    <w:rsid w:val="00331C67"/>
    <w:rsid w:val="00331CB6"/>
    <w:rsid w:val="00331D47"/>
    <w:rsid w:val="003320DD"/>
    <w:rsid w:val="003326E3"/>
    <w:rsid w:val="00332E40"/>
    <w:rsid w:val="00332F29"/>
    <w:rsid w:val="0033321E"/>
    <w:rsid w:val="00333779"/>
    <w:rsid w:val="00333960"/>
    <w:rsid w:val="00333A3A"/>
    <w:rsid w:val="00333A79"/>
    <w:rsid w:val="00333BB6"/>
    <w:rsid w:val="00333C66"/>
    <w:rsid w:val="00333E92"/>
    <w:rsid w:val="00333F9F"/>
    <w:rsid w:val="003340DC"/>
    <w:rsid w:val="0033411A"/>
    <w:rsid w:val="00334518"/>
    <w:rsid w:val="00334644"/>
    <w:rsid w:val="003346AF"/>
    <w:rsid w:val="00334D03"/>
    <w:rsid w:val="00334DEF"/>
    <w:rsid w:val="00335220"/>
    <w:rsid w:val="003357DF"/>
    <w:rsid w:val="00335838"/>
    <w:rsid w:val="00335852"/>
    <w:rsid w:val="00335856"/>
    <w:rsid w:val="00335BC8"/>
    <w:rsid w:val="00336895"/>
    <w:rsid w:val="00336ED0"/>
    <w:rsid w:val="00336F01"/>
    <w:rsid w:val="003370C5"/>
    <w:rsid w:val="00337226"/>
    <w:rsid w:val="00337367"/>
    <w:rsid w:val="0033753D"/>
    <w:rsid w:val="00337D5A"/>
    <w:rsid w:val="00337DD1"/>
    <w:rsid w:val="00337EAA"/>
    <w:rsid w:val="0034047F"/>
    <w:rsid w:val="00340D97"/>
    <w:rsid w:val="00340E1B"/>
    <w:rsid w:val="00340EDF"/>
    <w:rsid w:val="0034113F"/>
    <w:rsid w:val="003413F1"/>
    <w:rsid w:val="0034140A"/>
    <w:rsid w:val="003414D2"/>
    <w:rsid w:val="003414FF"/>
    <w:rsid w:val="003416D3"/>
    <w:rsid w:val="00341A1B"/>
    <w:rsid w:val="00341AC3"/>
    <w:rsid w:val="00341E04"/>
    <w:rsid w:val="00341F06"/>
    <w:rsid w:val="00342178"/>
    <w:rsid w:val="003421E7"/>
    <w:rsid w:val="003426F2"/>
    <w:rsid w:val="003428DA"/>
    <w:rsid w:val="00343161"/>
    <w:rsid w:val="00343238"/>
    <w:rsid w:val="0034361F"/>
    <w:rsid w:val="00344A6F"/>
    <w:rsid w:val="00344ABD"/>
    <w:rsid w:val="00344C0E"/>
    <w:rsid w:val="00344F7B"/>
    <w:rsid w:val="00345295"/>
    <w:rsid w:val="00345722"/>
    <w:rsid w:val="0034586C"/>
    <w:rsid w:val="00345A80"/>
    <w:rsid w:val="0034663E"/>
    <w:rsid w:val="003467CE"/>
    <w:rsid w:val="00346A4C"/>
    <w:rsid w:val="00346B0C"/>
    <w:rsid w:val="00346B72"/>
    <w:rsid w:val="00346B92"/>
    <w:rsid w:val="00346BCE"/>
    <w:rsid w:val="0034727F"/>
    <w:rsid w:val="003478D7"/>
    <w:rsid w:val="00347915"/>
    <w:rsid w:val="00347AC6"/>
    <w:rsid w:val="00347D5C"/>
    <w:rsid w:val="00347D83"/>
    <w:rsid w:val="003500DB"/>
    <w:rsid w:val="00350218"/>
    <w:rsid w:val="00350389"/>
    <w:rsid w:val="003513CD"/>
    <w:rsid w:val="003519CF"/>
    <w:rsid w:val="00351A9A"/>
    <w:rsid w:val="00351CE8"/>
    <w:rsid w:val="00352225"/>
    <w:rsid w:val="00352485"/>
    <w:rsid w:val="003526B5"/>
    <w:rsid w:val="003532A5"/>
    <w:rsid w:val="00353330"/>
    <w:rsid w:val="00353340"/>
    <w:rsid w:val="00353652"/>
    <w:rsid w:val="00353662"/>
    <w:rsid w:val="003536E4"/>
    <w:rsid w:val="003539D1"/>
    <w:rsid w:val="00353B6C"/>
    <w:rsid w:val="00353EE4"/>
    <w:rsid w:val="003544A3"/>
    <w:rsid w:val="00354752"/>
    <w:rsid w:val="00354D01"/>
    <w:rsid w:val="003552C0"/>
    <w:rsid w:val="00355407"/>
    <w:rsid w:val="00355660"/>
    <w:rsid w:val="003556A7"/>
    <w:rsid w:val="00355A27"/>
    <w:rsid w:val="00355C32"/>
    <w:rsid w:val="00355D51"/>
    <w:rsid w:val="003565D4"/>
    <w:rsid w:val="00356600"/>
    <w:rsid w:val="003569BB"/>
    <w:rsid w:val="00356C62"/>
    <w:rsid w:val="00357728"/>
    <w:rsid w:val="0035773B"/>
    <w:rsid w:val="0035792D"/>
    <w:rsid w:val="003579C4"/>
    <w:rsid w:val="00357A85"/>
    <w:rsid w:val="00357DA4"/>
    <w:rsid w:val="00357DE4"/>
    <w:rsid w:val="0036001A"/>
    <w:rsid w:val="003600BF"/>
    <w:rsid w:val="003600DE"/>
    <w:rsid w:val="00360161"/>
    <w:rsid w:val="00360706"/>
    <w:rsid w:val="00360EB2"/>
    <w:rsid w:val="003610F1"/>
    <w:rsid w:val="00361467"/>
    <w:rsid w:val="003614AE"/>
    <w:rsid w:val="003614B9"/>
    <w:rsid w:val="00361B20"/>
    <w:rsid w:val="00361EF0"/>
    <w:rsid w:val="00361F03"/>
    <w:rsid w:val="00362085"/>
    <w:rsid w:val="00362253"/>
    <w:rsid w:val="00362571"/>
    <w:rsid w:val="003625A3"/>
    <w:rsid w:val="00362B85"/>
    <w:rsid w:val="00362F91"/>
    <w:rsid w:val="00363395"/>
    <w:rsid w:val="00363563"/>
    <w:rsid w:val="003635E0"/>
    <w:rsid w:val="00363611"/>
    <w:rsid w:val="003637C0"/>
    <w:rsid w:val="0036396D"/>
    <w:rsid w:val="003639E6"/>
    <w:rsid w:val="00363EE1"/>
    <w:rsid w:val="00364091"/>
    <w:rsid w:val="0036426B"/>
    <w:rsid w:val="0036435A"/>
    <w:rsid w:val="003643BD"/>
    <w:rsid w:val="0036443E"/>
    <w:rsid w:val="00364706"/>
    <w:rsid w:val="00364AA3"/>
    <w:rsid w:val="00364D01"/>
    <w:rsid w:val="00364F04"/>
    <w:rsid w:val="00364F49"/>
    <w:rsid w:val="00364F9C"/>
    <w:rsid w:val="003650BF"/>
    <w:rsid w:val="003652E3"/>
    <w:rsid w:val="0036546A"/>
    <w:rsid w:val="00365587"/>
    <w:rsid w:val="00365834"/>
    <w:rsid w:val="00365889"/>
    <w:rsid w:val="00365A45"/>
    <w:rsid w:val="00365AFF"/>
    <w:rsid w:val="00365BB7"/>
    <w:rsid w:val="00365D11"/>
    <w:rsid w:val="00365D36"/>
    <w:rsid w:val="00366053"/>
    <w:rsid w:val="00366159"/>
    <w:rsid w:val="00366701"/>
    <w:rsid w:val="003668F6"/>
    <w:rsid w:val="00366B7C"/>
    <w:rsid w:val="00366E57"/>
    <w:rsid w:val="0036714A"/>
    <w:rsid w:val="00367367"/>
    <w:rsid w:val="003674B7"/>
    <w:rsid w:val="00367513"/>
    <w:rsid w:val="00367719"/>
    <w:rsid w:val="00367870"/>
    <w:rsid w:val="00367DC1"/>
    <w:rsid w:val="00367F9F"/>
    <w:rsid w:val="003705F6"/>
    <w:rsid w:val="003707A0"/>
    <w:rsid w:val="003708EA"/>
    <w:rsid w:val="00371390"/>
    <w:rsid w:val="003713C8"/>
    <w:rsid w:val="003717B4"/>
    <w:rsid w:val="0037186A"/>
    <w:rsid w:val="003718F4"/>
    <w:rsid w:val="00371943"/>
    <w:rsid w:val="00371A51"/>
    <w:rsid w:val="00371D1D"/>
    <w:rsid w:val="00371F8A"/>
    <w:rsid w:val="00371FCA"/>
    <w:rsid w:val="003722CA"/>
    <w:rsid w:val="0037253E"/>
    <w:rsid w:val="00372650"/>
    <w:rsid w:val="0037286B"/>
    <w:rsid w:val="00372A89"/>
    <w:rsid w:val="00372B2C"/>
    <w:rsid w:val="00372B6C"/>
    <w:rsid w:val="00373046"/>
    <w:rsid w:val="0037332F"/>
    <w:rsid w:val="003737B1"/>
    <w:rsid w:val="003737D6"/>
    <w:rsid w:val="003738C9"/>
    <w:rsid w:val="003747AF"/>
    <w:rsid w:val="0037495E"/>
    <w:rsid w:val="00374C6D"/>
    <w:rsid w:val="00374E18"/>
    <w:rsid w:val="00374F93"/>
    <w:rsid w:val="0037566B"/>
    <w:rsid w:val="003757AE"/>
    <w:rsid w:val="00375ABD"/>
    <w:rsid w:val="00375BE8"/>
    <w:rsid w:val="00375F99"/>
    <w:rsid w:val="00376427"/>
    <w:rsid w:val="003766BE"/>
    <w:rsid w:val="003766E6"/>
    <w:rsid w:val="00376C3C"/>
    <w:rsid w:val="00376C43"/>
    <w:rsid w:val="00376F1D"/>
    <w:rsid w:val="00376F7C"/>
    <w:rsid w:val="0037708F"/>
    <w:rsid w:val="00377285"/>
    <w:rsid w:val="0037794A"/>
    <w:rsid w:val="0037799A"/>
    <w:rsid w:val="00377DBE"/>
    <w:rsid w:val="0038027A"/>
    <w:rsid w:val="00380304"/>
    <w:rsid w:val="0038033C"/>
    <w:rsid w:val="00381012"/>
    <w:rsid w:val="003814D0"/>
    <w:rsid w:val="00381543"/>
    <w:rsid w:val="0038158F"/>
    <w:rsid w:val="003816B4"/>
    <w:rsid w:val="003818D2"/>
    <w:rsid w:val="00381E8D"/>
    <w:rsid w:val="003820BD"/>
    <w:rsid w:val="00382474"/>
    <w:rsid w:val="0038289D"/>
    <w:rsid w:val="00382B23"/>
    <w:rsid w:val="00382F59"/>
    <w:rsid w:val="003839F5"/>
    <w:rsid w:val="00383BFC"/>
    <w:rsid w:val="00383D84"/>
    <w:rsid w:val="00383E58"/>
    <w:rsid w:val="003840E2"/>
    <w:rsid w:val="00384558"/>
    <w:rsid w:val="0038469E"/>
    <w:rsid w:val="003846A1"/>
    <w:rsid w:val="00384793"/>
    <w:rsid w:val="003848ED"/>
    <w:rsid w:val="00384EDF"/>
    <w:rsid w:val="003850DB"/>
    <w:rsid w:val="003852B2"/>
    <w:rsid w:val="003857A0"/>
    <w:rsid w:val="00385B38"/>
    <w:rsid w:val="003862C9"/>
    <w:rsid w:val="003864DA"/>
    <w:rsid w:val="00386820"/>
    <w:rsid w:val="003869F2"/>
    <w:rsid w:val="00386A7C"/>
    <w:rsid w:val="00386B1C"/>
    <w:rsid w:val="00386DEA"/>
    <w:rsid w:val="00386E7A"/>
    <w:rsid w:val="00386FAB"/>
    <w:rsid w:val="0038769F"/>
    <w:rsid w:val="0038788C"/>
    <w:rsid w:val="00387E42"/>
    <w:rsid w:val="00387E4A"/>
    <w:rsid w:val="00387EA7"/>
    <w:rsid w:val="00387F98"/>
    <w:rsid w:val="00390101"/>
    <w:rsid w:val="003902BB"/>
    <w:rsid w:val="003907D3"/>
    <w:rsid w:val="003907F9"/>
    <w:rsid w:val="00390C60"/>
    <w:rsid w:val="00390D4F"/>
    <w:rsid w:val="0039114B"/>
    <w:rsid w:val="003911ED"/>
    <w:rsid w:val="003914B6"/>
    <w:rsid w:val="0039173D"/>
    <w:rsid w:val="003917FF"/>
    <w:rsid w:val="00391856"/>
    <w:rsid w:val="00391AA0"/>
    <w:rsid w:val="00391ABF"/>
    <w:rsid w:val="00391DB9"/>
    <w:rsid w:val="003920F4"/>
    <w:rsid w:val="00392C16"/>
    <w:rsid w:val="00392C66"/>
    <w:rsid w:val="00392FA8"/>
    <w:rsid w:val="003930B1"/>
    <w:rsid w:val="00393930"/>
    <w:rsid w:val="00393C16"/>
    <w:rsid w:val="00393CFA"/>
    <w:rsid w:val="00393EDC"/>
    <w:rsid w:val="003941B3"/>
    <w:rsid w:val="0039422D"/>
    <w:rsid w:val="00394247"/>
    <w:rsid w:val="003945B7"/>
    <w:rsid w:val="00394775"/>
    <w:rsid w:val="003949AC"/>
    <w:rsid w:val="00394BD0"/>
    <w:rsid w:val="00394D9C"/>
    <w:rsid w:val="00395229"/>
    <w:rsid w:val="003953F0"/>
    <w:rsid w:val="0039545D"/>
    <w:rsid w:val="0039556E"/>
    <w:rsid w:val="00395750"/>
    <w:rsid w:val="003957A9"/>
    <w:rsid w:val="003959C7"/>
    <w:rsid w:val="00395A87"/>
    <w:rsid w:val="00395C75"/>
    <w:rsid w:val="00395D12"/>
    <w:rsid w:val="00395E85"/>
    <w:rsid w:val="003960AA"/>
    <w:rsid w:val="003962E4"/>
    <w:rsid w:val="00396BD0"/>
    <w:rsid w:val="00396EA5"/>
    <w:rsid w:val="00396EAE"/>
    <w:rsid w:val="00396F10"/>
    <w:rsid w:val="00397096"/>
    <w:rsid w:val="00397419"/>
    <w:rsid w:val="0039778A"/>
    <w:rsid w:val="00397C17"/>
    <w:rsid w:val="00397FFE"/>
    <w:rsid w:val="003A0001"/>
    <w:rsid w:val="003A0618"/>
    <w:rsid w:val="003A0A2C"/>
    <w:rsid w:val="003A0AC1"/>
    <w:rsid w:val="003A0D21"/>
    <w:rsid w:val="003A14B0"/>
    <w:rsid w:val="003A1700"/>
    <w:rsid w:val="003A197E"/>
    <w:rsid w:val="003A201F"/>
    <w:rsid w:val="003A203F"/>
    <w:rsid w:val="003A217C"/>
    <w:rsid w:val="003A262A"/>
    <w:rsid w:val="003A27BF"/>
    <w:rsid w:val="003A28A9"/>
    <w:rsid w:val="003A2AE7"/>
    <w:rsid w:val="003A2B71"/>
    <w:rsid w:val="003A2BC2"/>
    <w:rsid w:val="003A2C00"/>
    <w:rsid w:val="003A2C77"/>
    <w:rsid w:val="003A339B"/>
    <w:rsid w:val="003A34EA"/>
    <w:rsid w:val="003A3639"/>
    <w:rsid w:val="003A3ED0"/>
    <w:rsid w:val="003A4728"/>
    <w:rsid w:val="003A4A6D"/>
    <w:rsid w:val="003A4E31"/>
    <w:rsid w:val="003A4E8D"/>
    <w:rsid w:val="003A5298"/>
    <w:rsid w:val="003A55C3"/>
    <w:rsid w:val="003A5A3C"/>
    <w:rsid w:val="003A5B13"/>
    <w:rsid w:val="003A5B26"/>
    <w:rsid w:val="003A5C66"/>
    <w:rsid w:val="003A5CB2"/>
    <w:rsid w:val="003A61C4"/>
    <w:rsid w:val="003A62D0"/>
    <w:rsid w:val="003A63E2"/>
    <w:rsid w:val="003A668D"/>
    <w:rsid w:val="003A67DD"/>
    <w:rsid w:val="003A6A57"/>
    <w:rsid w:val="003A6B4E"/>
    <w:rsid w:val="003A6B7D"/>
    <w:rsid w:val="003A6E76"/>
    <w:rsid w:val="003A6EBC"/>
    <w:rsid w:val="003A6FB8"/>
    <w:rsid w:val="003A74B0"/>
    <w:rsid w:val="003A7532"/>
    <w:rsid w:val="003A7913"/>
    <w:rsid w:val="003A7C38"/>
    <w:rsid w:val="003A7DBE"/>
    <w:rsid w:val="003B094A"/>
    <w:rsid w:val="003B0EA3"/>
    <w:rsid w:val="003B0ECA"/>
    <w:rsid w:val="003B0FFB"/>
    <w:rsid w:val="003B117B"/>
    <w:rsid w:val="003B1306"/>
    <w:rsid w:val="003B1684"/>
    <w:rsid w:val="003B19FA"/>
    <w:rsid w:val="003B1B20"/>
    <w:rsid w:val="003B1BD3"/>
    <w:rsid w:val="003B2036"/>
    <w:rsid w:val="003B2352"/>
    <w:rsid w:val="003B2542"/>
    <w:rsid w:val="003B268B"/>
    <w:rsid w:val="003B2A69"/>
    <w:rsid w:val="003B301D"/>
    <w:rsid w:val="003B3089"/>
    <w:rsid w:val="003B3104"/>
    <w:rsid w:val="003B3177"/>
    <w:rsid w:val="003B342E"/>
    <w:rsid w:val="003B3711"/>
    <w:rsid w:val="003B3FF2"/>
    <w:rsid w:val="003B463B"/>
    <w:rsid w:val="003B46A2"/>
    <w:rsid w:val="003B46E3"/>
    <w:rsid w:val="003B4819"/>
    <w:rsid w:val="003B49F6"/>
    <w:rsid w:val="003B4B9C"/>
    <w:rsid w:val="003B4C95"/>
    <w:rsid w:val="003B4D14"/>
    <w:rsid w:val="003B4FFE"/>
    <w:rsid w:val="003B549B"/>
    <w:rsid w:val="003B54F8"/>
    <w:rsid w:val="003B5A25"/>
    <w:rsid w:val="003B5C7E"/>
    <w:rsid w:val="003B5DF9"/>
    <w:rsid w:val="003B600A"/>
    <w:rsid w:val="003B646C"/>
    <w:rsid w:val="003B6577"/>
    <w:rsid w:val="003B6EDA"/>
    <w:rsid w:val="003B720B"/>
    <w:rsid w:val="003B7272"/>
    <w:rsid w:val="003B77EB"/>
    <w:rsid w:val="003B7B32"/>
    <w:rsid w:val="003B7CEA"/>
    <w:rsid w:val="003C0068"/>
    <w:rsid w:val="003C024A"/>
    <w:rsid w:val="003C0493"/>
    <w:rsid w:val="003C060B"/>
    <w:rsid w:val="003C08BF"/>
    <w:rsid w:val="003C0EFA"/>
    <w:rsid w:val="003C114A"/>
    <w:rsid w:val="003C14ED"/>
    <w:rsid w:val="003C1AA3"/>
    <w:rsid w:val="003C1C34"/>
    <w:rsid w:val="003C1DCC"/>
    <w:rsid w:val="003C1E74"/>
    <w:rsid w:val="003C2240"/>
    <w:rsid w:val="003C224A"/>
    <w:rsid w:val="003C23B3"/>
    <w:rsid w:val="003C24AA"/>
    <w:rsid w:val="003C26F6"/>
    <w:rsid w:val="003C274C"/>
    <w:rsid w:val="003C2B42"/>
    <w:rsid w:val="003C2DE6"/>
    <w:rsid w:val="003C2EE4"/>
    <w:rsid w:val="003C301E"/>
    <w:rsid w:val="003C3381"/>
    <w:rsid w:val="003C36AE"/>
    <w:rsid w:val="003C36FC"/>
    <w:rsid w:val="003C3932"/>
    <w:rsid w:val="003C3AF8"/>
    <w:rsid w:val="003C3B34"/>
    <w:rsid w:val="003C3B76"/>
    <w:rsid w:val="003C3BB3"/>
    <w:rsid w:val="003C3DD7"/>
    <w:rsid w:val="003C4051"/>
    <w:rsid w:val="003C4181"/>
    <w:rsid w:val="003C42E1"/>
    <w:rsid w:val="003C44DE"/>
    <w:rsid w:val="003C4656"/>
    <w:rsid w:val="003C489A"/>
    <w:rsid w:val="003C4CF6"/>
    <w:rsid w:val="003C4F13"/>
    <w:rsid w:val="003C535F"/>
    <w:rsid w:val="003C54F5"/>
    <w:rsid w:val="003C5BBC"/>
    <w:rsid w:val="003C5C71"/>
    <w:rsid w:val="003C5CA6"/>
    <w:rsid w:val="003C5D57"/>
    <w:rsid w:val="003C5F10"/>
    <w:rsid w:val="003C5F8F"/>
    <w:rsid w:val="003C5FB5"/>
    <w:rsid w:val="003C67F7"/>
    <w:rsid w:val="003C6CE1"/>
    <w:rsid w:val="003C6D79"/>
    <w:rsid w:val="003C6F70"/>
    <w:rsid w:val="003C7677"/>
    <w:rsid w:val="003C7724"/>
    <w:rsid w:val="003C7A79"/>
    <w:rsid w:val="003C7B41"/>
    <w:rsid w:val="003C7D9D"/>
    <w:rsid w:val="003C7DA6"/>
    <w:rsid w:val="003D0147"/>
    <w:rsid w:val="003D03FE"/>
    <w:rsid w:val="003D044E"/>
    <w:rsid w:val="003D0B6B"/>
    <w:rsid w:val="003D0CE6"/>
    <w:rsid w:val="003D0D01"/>
    <w:rsid w:val="003D0E03"/>
    <w:rsid w:val="003D0F42"/>
    <w:rsid w:val="003D0F9A"/>
    <w:rsid w:val="003D1044"/>
    <w:rsid w:val="003D15B9"/>
    <w:rsid w:val="003D1E81"/>
    <w:rsid w:val="003D2296"/>
    <w:rsid w:val="003D2CC2"/>
    <w:rsid w:val="003D2DD7"/>
    <w:rsid w:val="003D30A1"/>
    <w:rsid w:val="003D34A7"/>
    <w:rsid w:val="003D3754"/>
    <w:rsid w:val="003D3C2D"/>
    <w:rsid w:val="003D3F6C"/>
    <w:rsid w:val="003D3F76"/>
    <w:rsid w:val="003D4226"/>
    <w:rsid w:val="003D464A"/>
    <w:rsid w:val="003D48DA"/>
    <w:rsid w:val="003D49C0"/>
    <w:rsid w:val="003D49DE"/>
    <w:rsid w:val="003D4A57"/>
    <w:rsid w:val="003D4B7E"/>
    <w:rsid w:val="003D50CC"/>
    <w:rsid w:val="003D5521"/>
    <w:rsid w:val="003D56E7"/>
    <w:rsid w:val="003D5820"/>
    <w:rsid w:val="003D5A25"/>
    <w:rsid w:val="003D5B21"/>
    <w:rsid w:val="003D5B2C"/>
    <w:rsid w:val="003D5CA3"/>
    <w:rsid w:val="003D64C5"/>
    <w:rsid w:val="003D65B3"/>
    <w:rsid w:val="003D68E0"/>
    <w:rsid w:val="003D6AC9"/>
    <w:rsid w:val="003D6B6B"/>
    <w:rsid w:val="003D6BC9"/>
    <w:rsid w:val="003D6CE4"/>
    <w:rsid w:val="003D6E92"/>
    <w:rsid w:val="003D6FA0"/>
    <w:rsid w:val="003D7552"/>
    <w:rsid w:val="003D782D"/>
    <w:rsid w:val="003D7EDC"/>
    <w:rsid w:val="003E03F4"/>
    <w:rsid w:val="003E061C"/>
    <w:rsid w:val="003E075F"/>
    <w:rsid w:val="003E09CF"/>
    <w:rsid w:val="003E0DF9"/>
    <w:rsid w:val="003E0F31"/>
    <w:rsid w:val="003E1071"/>
    <w:rsid w:val="003E1191"/>
    <w:rsid w:val="003E17E9"/>
    <w:rsid w:val="003E19EF"/>
    <w:rsid w:val="003E1A8D"/>
    <w:rsid w:val="003E1CA4"/>
    <w:rsid w:val="003E1DB3"/>
    <w:rsid w:val="003E1EBE"/>
    <w:rsid w:val="003E1F7F"/>
    <w:rsid w:val="003E227A"/>
    <w:rsid w:val="003E2BCC"/>
    <w:rsid w:val="003E2F67"/>
    <w:rsid w:val="003E2FFD"/>
    <w:rsid w:val="003E369B"/>
    <w:rsid w:val="003E3CA2"/>
    <w:rsid w:val="003E3ED0"/>
    <w:rsid w:val="003E4222"/>
    <w:rsid w:val="003E4382"/>
    <w:rsid w:val="003E4403"/>
    <w:rsid w:val="003E4646"/>
    <w:rsid w:val="003E475C"/>
    <w:rsid w:val="003E5102"/>
    <w:rsid w:val="003E531E"/>
    <w:rsid w:val="003E54B2"/>
    <w:rsid w:val="003E5789"/>
    <w:rsid w:val="003E59F7"/>
    <w:rsid w:val="003E5A4E"/>
    <w:rsid w:val="003E5A6C"/>
    <w:rsid w:val="003E5E06"/>
    <w:rsid w:val="003E6447"/>
    <w:rsid w:val="003E64B1"/>
    <w:rsid w:val="003E739C"/>
    <w:rsid w:val="003E73FE"/>
    <w:rsid w:val="003E758B"/>
    <w:rsid w:val="003E75F8"/>
    <w:rsid w:val="003E7742"/>
    <w:rsid w:val="003E786D"/>
    <w:rsid w:val="003E7937"/>
    <w:rsid w:val="003E79DE"/>
    <w:rsid w:val="003E7D4C"/>
    <w:rsid w:val="003E7E79"/>
    <w:rsid w:val="003E7FCA"/>
    <w:rsid w:val="003F032B"/>
    <w:rsid w:val="003F0348"/>
    <w:rsid w:val="003F045E"/>
    <w:rsid w:val="003F04FB"/>
    <w:rsid w:val="003F08EB"/>
    <w:rsid w:val="003F0D7E"/>
    <w:rsid w:val="003F1320"/>
    <w:rsid w:val="003F1345"/>
    <w:rsid w:val="003F143F"/>
    <w:rsid w:val="003F1440"/>
    <w:rsid w:val="003F1790"/>
    <w:rsid w:val="003F1EB3"/>
    <w:rsid w:val="003F213B"/>
    <w:rsid w:val="003F233F"/>
    <w:rsid w:val="003F27D1"/>
    <w:rsid w:val="003F2B5C"/>
    <w:rsid w:val="003F2E5F"/>
    <w:rsid w:val="003F2F18"/>
    <w:rsid w:val="003F2FE7"/>
    <w:rsid w:val="003F3044"/>
    <w:rsid w:val="003F33B8"/>
    <w:rsid w:val="003F34EB"/>
    <w:rsid w:val="003F34F8"/>
    <w:rsid w:val="003F35BB"/>
    <w:rsid w:val="003F397C"/>
    <w:rsid w:val="003F3EB7"/>
    <w:rsid w:val="003F3F59"/>
    <w:rsid w:val="003F3FCD"/>
    <w:rsid w:val="003F41D7"/>
    <w:rsid w:val="003F4357"/>
    <w:rsid w:val="003F43A2"/>
    <w:rsid w:val="003F46D8"/>
    <w:rsid w:val="003F4B6C"/>
    <w:rsid w:val="003F4C58"/>
    <w:rsid w:val="003F529A"/>
    <w:rsid w:val="003F52FB"/>
    <w:rsid w:val="003F5417"/>
    <w:rsid w:val="003F5586"/>
    <w:rsid w:val="003F5FDF"/>
    <w:rsid w:val="003F6485"/>
    <w:rsid w:val="003F658B"/>
    <w:rsid w:val="003F662E"/>
    <w:rsid w:val="003F664C"/>
    <w:rsid w:val="003F6889"/>
    <w:rsid w:val="003F690C"/>
    <w:rsid w:val="003F6C3A"/>
    <w:rsid w:val="003F6EFC"/>
    <w:rsid w:val="003F7262"/>
    <w:rsid w:val="003F7285"/>
    <w:rsid w:val="003F73F4"/>
    <w:rsid w:val="004007BD"/>
    <w:rsid w:val="00400CAF"/>
    <w:rsid w:val="00400D80"/>
    <w:rsid w:val="00400EA8"/>
    <w:rsid w:val="00400F60"/>
    <w:rsid w:val="00400FA0"/>
    <w:rsid w:val="004010CE"/>
    <w:rsid w:val="0040120E"/>
    <w:rsid w:val="004012A8"/>
    <w:rsid w:val="004014B9"/>
    <w:rsid w:val="00401954"/>
    <w:rsid w:val="0040195E"/>
    <w:rsid w:val="00401A10"/>
    <w:rsid w:val="00401D75"/>
    <w:rsid w:val="00401F6A"/>
    <w:rsid w:val="0040216E"/>
    <w:rsid w:val="004022CC"/>
    <w:rsid w:val="00402A77"/>
    <w:rsid w:val="00402C42"/>
    <w:rsid w:val="00402C4B"/>
    <w:rsid w:val="004030AD"/>
    <w:rsid w:val="004031CA"/>
    <w:rsid w:val="00403318"/>
    <w:rsid w:val="004034EC"/>
    <w:rsid w:val="004036A0"/>
    <w:rsid w:val="00404009"/>
    <w:rsid w:val="004045A2"/>
    <w:rsid w:val="00404715"/>
    <w:rsid w:val="004048BB"/>
    <w:rsid w:val="004050E2"/>
    <w:rsid w:val="00405470"/>
    <w:rsid w:val="00405550"/>
    <w:rsid w:val="0040578F"/>
    <w:rsid w:val="004057F8"/>
    <w:rsid w:val="004057FD"/>
    <w:rsid w:val="00405821"/>
    <w:rsid w:val="00405B03"/>
    <w:rsid w:val="00405D77"/>
    <w:rsid w:val="00406057"/>
    <w:rsid w:val="0040626F"/>
    <w:rsid w:val="00406484"/>
    <w:rsid w:val="00406735"/>
    <w:rsid w:val="00406910"/>
    <w:rsid w:val="0040693A"/>
    <w:rsid w:val="00406F23"/>
    <w:rsid w:val="0040703B"/>
    <w:rsid w:val="00407160"/>
    <w:rsid w:val="004072C2"/>
    <w:rsid w:val="0040732B"/>
    <w:rsid w:val="00407336"/>
    <w:rsid w:val="00407797"/>
    <w:rsid w:val="00407996"/>
    <w:rsid w:val="00407E93"/>
    <w:rsid w:val="00407F33"/>
    <w:rsid w:val="00407FEB"/>
    <w:rsid w:val="00410606"/>
    <w:rsid w:val="00410702"/>
    <w:rsid w:val="004107E8"/>
    <w:rsid w:val="00410A4F"/>
    <w:rsid w:val="00410C40"/>
    <w:rsid w:val="00410E07"/>
    <w:rsid w:val="004110CD"/>
    <w:rsid w:val="00411136"/>
    <w:rsid w:val="004114AF"/>
    <w:rsid w:val="00411617"/>
    <w:rsid w:val="00411B6A"/>
    <w:rsid w:val="00411C93"/>
    <w:rsid w:val="00411E9B"/>
    <w:rsid w:val="00412104"/>
    <w:rsid w:val="0041241C"/>
    <w:rsid w:val="004127D6"/>
    <w:rsid w:val="00412B05"/>
    <w:rsid w:val="0041328B"/>
    <w:rsid w:val="00413B5E"/>
    <w:rsid w:val="00413D67"/>
    <w:rsid w:val="00413F96"/>
    <w:rsid w:val="0041406F"/>
    <w:rsid w:val="0041411A"/>
    <w:rsid w:val="00414166"/>
    <w:rsid w:val="004141E4"/>
    <w:rsid w:val="0041432C"/>
    <w:rsid w:val="0041491D"/>
    <w:rsid w:val="004149EE"/>
    <w:rsid w:val="00414D8E"/>
    <w:rsid w:val="00415942"/>
    <w:rsid w:val="00415B0B"/>
    <w:rsid w:val="00415BCB"/>
    <w:rsid w:val="00415ECE"/>
    <w:rsid w:val="00415F07"/>
    <w:rsid w:val="00416082"/>
    <w:rsid w:val="00416111"/>
    <w:rsid w:val="004167C0"/>
    <w:rsid w:val="00416B55"/>
    <w:rsid w:val="00417213"/>
    <w:rsid w:val="0041738A"/>
    <w:rsid w:val="004173B4"/>
    <w:rsid w:val="00417489"/>
    <w:rsid w:val="0041766F"/>
    <w:rsid w:val="00417781"/>
    <w:rsid w:val="00417C4A"/>
    <w:rsid w:val="00417F9C"/>
    <w:rsid w:val="00420751"/>
    <w:rsid w:val="004208B0"/>
    <w:rsid w:val="00420929"/>
    <w:rsid w:val="00420C71"/>
    <w:rsid w:val="00421157"/>
    <w:rsid w:val="0042128F"/>
    <w:rsid w:val="004212CA"/>
    <w:rsid w:val="0042147D"/>
    <w:rsid w:val="00421536"/>
    <w:rsid w:val="0042153E"/>
    <w:rsid w:val="00421741"/>
    <w:rsid w:val="00421827"/>
    <w:rsid w:val="00421861"/>
    <w:rsid w:val="00421BCF"/>
    <w:rsid w:val="004221AD"/>
    <w:rsid w:val="00422557"/>
    <w:rsid w:val="00422800"/>
    <w:rsid w:val="004228AC"/>
    <w:rsid w:val="00422AFD"/>
    <w:rsid w:val="00422B3B"/>
    <w:rsid w:val="00422EC7"/>
    <w:rsid w:val="00422F17"/>
    <w:rsid w:val="00423007"/>
    <w:rsid w:val="00423269"/>
    <w:rsid w:val="0042328C"/>
    <w:rsid w:val="00423527"/>
    <w:rsid w:val="00423A20"/>
    <w:rsid w:val="00423EE0"/>
    <w:rsid w:val="0042428F"/>
    <w:rsid w:val="0042446D"/>
    <w:rsid w:val="004244C3"/>
    <w:rsid w:val="004245C3"/>
    <w:rsid w:val="00424A6F"/>
    <w:rsid w:val="00424E3E"/>
    <w:rsid w:val="00425079"/>
    <w:rsid w:val="004250D9"/>
    <w:rsid w:val="004252CA"/>
    <w:rsid w:val="00425556"/>
    <w:rsid w:val="00425B7D"/>
    <w:rsid w:val="00425CA2"/>
    <w:rsid w:val="00425CAB"/>
    <w:rsid w:val="00425DCF"/>
    <w:rsid w:val="00425FB5"/>
    <w:rsid w:val="00426138"/>
    <w:rsid w:val="00426D40"/>
    <w:rsid w:val="00426FE6"/>
    <w:rsid w:val="00427493"/>
    <w:rsid w:val="00427645"/>
    <w:rsid w:val="004276E2"/>
    <w:rsid w:val="00427991"/>
    <w:rsid w:val="00427CE8"/>
    <w:rsid w:val="00427DB0"/>
    <w:rsid w:val="0043013C"/>
    <w:rsid w:val="0043021D"/>
    <w:rsid w:val="00430577"/>
    <w:rsid w:val="0043073C"/>
    <w:rsid w:val="00430763"/>
    <w:rsid w:val="0043093D"/>
    <w:rsid w:val="00430987"/>
    <w:rsid w:val="00430C37"/>
    <w:rsid w:val="00430CDF"/>
    <w:rsid w:val="00431219"/>
    <w:rsid w:val="0043122F"/>
    <w:rsid w:val="0043128B"/>
    <w:rsid w:val="00431589"/>
    <w:rsid w:val="004316C0"/>
    <w:rsid w:val="00431731"/>
    <w:rsid w:val="00431770"/>
    <w:rsid w:val="004317CF"/>
    <w:rsid w:val="00432267"/>
    <w:rsid w:val="00432392"/>
    <w:rsid w:val="004329B2"/>
    <w:rsid w:val="00432D39"/>
    <w:rsid w:val="00432F85"/>
    <w:rsid w:val="00432FD9"/>
    <w:rsid w:val="0043327C"/>
    <w:rsid w:val="00433308"/>
    <w:rsid w:val="0043365D"/>
    <w:rsid w:val="00433C96"/>
    <w:rsid w:val="00433E6A"/>
    <w:rsid w:val="00433F38"/>
    <w:rsid w:val="004340B7"/>
    <w:rsid w:val="0043439B"/>
    <w:rsid w:val="004345F9"/>
    <w:rsid w:val="00435045"/>
    <w:rsid w:val="0043505B"/>
    <w:rsid w:val="004352E6"/>
    <w:rsid w:val="00435640"/>
    <w:rsid w:val="00435781"/>
    <w:rsid w:val="004357B5"/>
    <w:rsid w:val="00435864"/>
    <w:rsid w:val="00435CCE"/>
    <w:rsid w:val="00435FF0"/>
    <w:rsid w:val="004361DE"/>
    <w:rsid w:val="00436735"/>
    <w:rsid w:val="004367EA"/>
    <w:rsid w:val="00436924"/>
    <w:rsid w:val="004369B0"/>
    <w:rsid w:val="00436AB0"/>
    <w:rsid w:val="00436CCD"/>
    <w:rsid w:val="00437058"/>
    <w:rsid w:val="00437435"/>
    <w:rsid w:val="00437720"/>
    <w:rsid w:val="00437729"/>
    <w:rsid w:val="00437B1F"/>
    <w:rsid w:val="00437B48"/>
    <w:rsid w:val="00437CF3"/>
    <w:rsid w:val="00437DC1"/>
    <w:rsid w:val="00437E6A"/>
    <w:rsid w:val="0044017D"/>
    <w:rsid w:val="00440441"/>
    <w:rsid w:val="00440465"/>
    <w:rsid w:val="004404F4"/>
    <w:rsid w:val="00440BC0"/>
    <w:rsid w:val="00440FF4"/>
    <w:rsid w:val="004416D2"/>
    <w:rsid w:val="004421F8"/>
    <w:rsid w:val="00442235"/>
    <w:rsid w:val="00442432"/>
    <w:rsid w:val="004430C5"/>
    <w:rsid w:val="004431AA"/>
    <w:rsid w:val="00443AE8"/>
    <w:rsid w:val="00443DCC"/>
    <w:rsid w:val="00443FBD"/>
    <w:rsid w:val="00444447"/>
    <w:rsid w:val="00444477"/>
    <w:rsid w:val="00444746"/>
    <w:rsid w:val="004449D4"/>
    <w:rsid w:val="00444BD2"/>
    <w:rsid w:val="00444F25"/>
    <w:rsid w:val="004450B6"/>
    <w:rsid w:val="004450F5"/>
    <w:rsid w:val="00445152"/>
    <w:rsid w:val="00445338"/>
    <w:rsid w:val="004453C9"/>
    <w:rsid w:val="00445604"/>
    <w:rsid w:val="0044565D"/>
    <w:rsid w:val="004458A2"/>
    <w:rsid w:val="00446068"/>
    <w:rsid w:val="00446088"/>
    <w:rsid w:val="004460B1"/>
    <w:rsid w:val="0044626E"/>
    <w:rsid w:val="00446427"/>
    <w:rsid w:val="00446532"/>
    <w:rsid w:val="00446B8E"/>
    <w:rsid w:val="00446CA1"/>
    <w:rsid w:val="00446CED"/>
    <w:rsid w:val="00446ED0"/>
    <w:rsid w:val="00446F35"/>
    <w:rsid w:val="0044700B"/>
    <w:rsid w:val="004470A1"/>
    <w:rsid w:val="0044760F"/>
    <w:rsid w:val="00447884"/>
    <w:rsid w:val="00447AEF"/>
    <w:rsid w:val="00447BEA"/>
    <w:rsid w:val="00447E30"/>
    <w:rsid w:val="00447EFA"/>
    <w:rsid w:val="00450071"/>
    <w:rsid w:val="004500BC"/>
    <w:rsid w:val="00450195"/>
    <w:rsid w:val="00450293"/>
    <w:rsid w:val="0045032E"/>
    <w:rsid w:val="00450D84"/>
    <w:rsid w:val="004513ED"/>
    <w:rsid w:val="004516A5"/>
    <w:rsid w:val="004516EE"/>
    <w:rsid w:val="00451CEA"/>
    <w:rsid w:val="00451E11"/>
    <w:rsid w:val="00451EE7"/>
    <w:rsid w:val="00452175"/>
    <w:rsid w:val="00452DDF"/>
    <w:rsid w:val="004531BC"/>
    <w:rsid w:val="004531FE"/>
    <w:rsid w:val="0045360D"/>
    <w:rsid w:val="00453679"/>
    <w:rsid w:val="00453A79"/>
    <w:rsid w:val="00453EAC"/>
    <w:rsid w:val="00453FFC"/>
    <w:rsid w:val="00454237"/>
    <w:rsid w:val="00454529"/>
    <w:rsid w:val="00454802"/>
    <w:rsid w:val="00454F02"/>
    <w:rsid w:val="004551BB"/>
    <w:rsid w:val="004551ED"/>
    <w:rsid w:val="00455859"/>
    <w:rsid w:val="00455B0B"/>
    <w:rsid w:val="00455C46"/>
    <w:rsid w:val="00455E54"/>
    <w:rsid w:val="00456370"/>
    <w:rsid w:val="0045678D"/>
    <w:rsid w:val="00456861"/>
    <w:rsid w:val="00456907"/>
    <w:rsid w:val="0045705F"/>
    <w:rsid w:val="00457165"/>
    <w:rsid w:val="00457347"/>
    <w:rsid w:val="00457B8F"/>
    <w:rsid w:val="00457C12"/>
    <w:rsid w:val="00457C13"/>
    <w:rsid w:val="00457E30"/>
    <w:rsid w:val="0046023F"/>
    <w:rsid w:val="0046029B"/>
    <w:rsid w:val="00460691"/>
    <w:rsid w:val="00460ABE"/>
    <w:rsid w:val="00460B0D"/>
    <w:rsid w:val="00460B30"/>
    <w:rsid w:val="00460E7A"/>
    <w:rsid w:val="00460EA0"/>
    <w:rsid w:val="00460FA3"/>
    <w:rsid w:val="00461150"/>
    <w:rsid w:val="00461872"/>
    <w:rsid w:val="004618AD"/>
    <w:rsid w:val="00461A22"/>
    <w:rsid w:val="00461A6D"/>
    <w:rsid w:val="00461BFD"/>
    <w:rsid w:val="00461F6E"/>
    <w:rsid w:val="00462526"/>
    <w:rsid w:val="004629A0"/>
    <w:rsid w:val="00462A56"/>
    <w:rsid w:val="00463242"/>
    <w:rsid w:val="0046358A"/>
    <w:rsid w:val="004641CA"/>
    <w:rsid w:val="0046449B"/>
    <w:rsid w:val="00465029"/>
    <w:rsid w:val="0046509D"/>
    <w:rsid w:val="00465446"/>
    <w:rsid w:val="00465634"/>
    <w:rsid w:val="00465790"/>
    <w:rsid w:val="0046597C"/>
    <w:rsid w:val="00465A7B"/>
    <w:rsid w:val="00465C75"/>
    <w:rsid w:val="00465F23"/>
    <w:rsid w:val="00466105"/>
    <w:rsid w:val="004661AA"/>
    <w:rsid w:val="0046626B"/>
    <w:rsid w:val="0046659B"/>
    <w:rsid w:val="00466784"/>
    <w:rsid w:val="00466B3B"/>
    <w:rsid w:val="0046730D"/>
    <w:rsid w:val="0046747B"/>
    <w:rsid w:val="00467610"/>
    <w:rsid w:val="00467ADF"/>
    <w:rsid w:val="00467EA6"/>
    <w:rsid w:val="00467F7D"/>
    <w:rsid w:val="00470048"/>
    <w:rsid w:val="0047021C"/>
    <w:rsid w:val="004704B6"/>
    <w:rsid w:val="0047072C"/>
    <w:rsid w:val="00470801"/>
    <w:rsid w:val="00470920"/>
    <w:rsid w:val="0047099D"/>
    <w:rsid w:val="00470E10"/>
    <w:rsid w:val="00470EC1"/>
    <w:rsid w:val="0047107E"/>
    <w:rsid w:val="00471D8A"/>
    <w:rsid w:val="00471F47"/>
    <w:rsid w:val="00472014"/>
    <w:rsid w:val="0047217B"/>
    <w:rsid w:val="004726F6"/>
    <w:rsid w:val="004727E1"/>
    <w:rsid w:val="00472852"/>
    <w:rsid w:val="004728A5"/>
    <w:rsid w:val="00472AB5"/>
    <w:rsid w:val="00472B08"/>
    <w:rsid w:val="00472FD3"/>
    <w:rsid w:val="00472FF2"/>
    <w:rsid w:val="00473366"/>
    <w:rsid w:val="004734BC"/>
    <w:rsid w:val="00473539"/>
    <w:rsid w:val="0047359B"/>
    <w:rsid w:val="004738DB"/>
    <w:rsid w:val="00473AED"/>
    <w:rsid w:val="00473E9F"/>
    <w:rsid w:val="0047404C"/>
    <w:rsid w:val="004740EA"/>
    <w:rsid w:val="0047410C"/>
    <w:rsid w:val="004741FD"/>
    <w:rsid w:val="004744A2"/>
    <w:rsid w:val="004746A4"/>
    <w:rsid w:val="0047472E"/>
    <w:rsid w:val="00474B35"/>
    <w:rsid w:val="00474F74"/>
    <w:rsid w:val="00475011"/>
    <w:rsid w:val="00475230"/>
    <w:rsid w:val="0047593A"/>
    <w:rsid w:val="004759E4"/>
    <w:rsid w:val="00475A57"/>
    <w:rsid w:val="00475D8B"/>
    <w:rsid w:val="00475D9C"/>
    <w:rsid w:val="00476000"/>
    <w:rsid w:val="00476598"/>
    <w:rsid w:val="0047688E"/>
    <w:rsid w:val="0047692E"/>
    <w:rsid w:val="00476CC8"/>
    <w:rsid w:val="0047705A"/>
    <w:rsid w:val="004770E2"/>
    <w:rsid w:val="004773B5"/>
    <w:rsid w:val="0047749E"/>
    <w:rsid w:val="004777D6"/>
    <w:rsid w:val="004778D9"/>
    <w:rsid w:val="00477AF3"/>
    <w:rsid w:val="00477CCC"/>
    <w:rsid w:val="00477E82"/>
    <w:rsid w:val="0048097C"/>
    <w:rsid w:val="00480AA1"/>
    <w:rsid w:val="00480AA4"/>
    <w:rsid w:val="00480C20"/>
    <w:rsid w:val="00480C5F"/>
    <w:rsid w:val="00480D63"/>
    <w:rsid w:val="00480DB5"/>
    <w:rsid w:val="00480E58"/>
    <w:rsid w:val="00480E5A"/>
    <w:rsid w:val="00480F0C"/>
    <w:rsid w:val="00480F7D"/>
    <w:rsid w:val="004816DE"/>
    <w:rsid w:val="00481AE2"/>
    <w:rsid w:val="00481EC0"/>
    <w:rsid w:val="00481FF7"/>
    <w:rsid w:val="00482211"/>
    <w:rsid w:val="004824CA"/>
    <w:rsid w:val="0048255E"/>
    <w:rsid w:val="00482894"/>
    <w:rsid w:val="0048298D"/>
    <w:rsid w:val="00482C16"/>
    <w:rsid w:val="00482D8A"/>
    <w:rsid w:val="00482F6F"/>
    <w:rsid w:val="0048317F"/>
    <w:rsid w:val="00483257"/>
    <w:rsid w:val="00483392"/>
    <w:rsid w:val="004834EB"/>
    <w:rsid w:val="0048357C"/>
    <w:rsid w:val="00483BE6"/>
    <w:rsid w:val="00483C6D"/>
    <w:rsid w:val="00483CF0"/>
    <w:rsid w:val="0048440E"/>
    <w:rsid w:val="0048480F"/>
    <w:rsid w:val="00484C14"/>
    <w:rsid w:val="00484C8A"/>
    <w:rsid w:val="00485204"/>
    <w:rsid w:val="0048520F"/>
    <w:rsid w:val="004852BB"/>
    <w:rsid w:val="00485657"/>
    <w:rsid w:val="004856B9"/>
    <w:rsid w:val="004857D4"/>
    <w:rsid w:val="00485B1D"/>
    <w:rsid w:val="00485BE8"/>
    <w:rsid w:val="00485ED4"/>
    <w:rsid w:val="00486781"/>
    <w:rsid w:val="00486882"/>
    <w:rsid w:val="00486BED"/>
    <w:rsid w:val="00486C67"/>
    <w:rsid w:val="00486D34"/>
    <w:rsid w:val="00486DFF"/>
    <w:rsid w:val="00486E94"/>
    <w:rsid w:val="004873F9"/>
    <w:rsid w:val="00487526"/>
    <w:rsid w:val="00487561"/>
    <w:rsid w:val="004875A9"/>
    <w:rsid w:val="004878AA"/>
    <w:rsid w:val="004879B0"/>
    <w:rsid w:val="00487C6A"/>
    <w:rsid w:val="00490062"/>
    <w:rsid w:val="00490219"/>
    <w:rsid w:val="004904BA"/>
    <w:rsid w:val="00490A54"/>
    <w:rsid w:val="004910A0"/>
    <w:rsid w:val="004912C9"/>
    <w:rsid w:val="00492001"/>
    <w:rsid w:val="0049205A"/>
    <w:rsid w:val="00492261"/>
    <w:rsid w:val="004925C7"/>
    <w:rsid w:val="00492888"/>
    <w:rsid w:val="004928FB"/>
    <w:rsid w:val="00492DF3"/>
    <w:rsid w:val="00492EE0"/>
    <w:rsid w:val="00492F82"/>
    <w:rsid w:val="00493226"/>
    <w:rsid w:val="004934C2"/>
    <w:rsid w:val="0049367A"/>
    <w:rsid w:val="00493ECC"/>
    <w:rsid w:val="00493F4D"/>
    <w:rsid w:val="0049406F"/>
    <w:rsid w:val="00494255"/>
    <w:rsid w:val="004951F0"/>
    <w:rsid w:val="004954BB"/>
    <w:rsid w:val="004958EC"/>
    <w:rsid w:val="00495AE6"/>
    <w:rsid w:val="00495CEA"/>
    <w:rsid w:val="00495E5A"/>
    <w:rsid w:val="004963B0"/>
    <w:rsid w:val="0049648B"/>
    <w:rsid w:val="004964B4"/>
    <w:rsid w:val="00496624"/>
    <w:rsid w:val="00496A70"/>
    <w:rsid w:val="004973FA"/>
    <w:rsid w:val="00497436"/>
    <w:rsid w:val="00497517"/>
    <w:rsid w:val="00497971"/>
    <w:rsid w:val="00497E4F"/>
    <w:rsid w:val="00497FDD"/>
    <w:rsid w:val="004A03B3"/>
    <w:rsid w:val="004A03E5"/>
    <w:rsid w:val="004A0441"/>
    <w:rsid w:val="004A08E3"/>
    <w:rsid w:val="004A0D1E"/>
    <w:rsid w:val="004A0DE6"/>
    <w:rsid w:val="004A0EC2"/>
    <w:rsid w:val="004A102D"/>
    <w:rsid w:val="004A154C"/>
    <w:rsid w:val="004A1BAC"/>
    <w:rsid w:val="004A1BBE"/>
    <w:rsid w:val="004A2F02"/>
    <w:rsid w:val="004A2F44"/>
    <w:rsid w:val="004A2F53"/>
    <w:rsid w:val="004A3472"/>
    <w:rsid w:val="004A34B6"/>
    <w:rsid w:val="004A34E6"/>
    <w:rsid w:val="004A3599"/>
    <w:rsid w:val="004A3B77"/>
    <w:rsid w:val="004A3DDA"/>
    <w:rsid w:val="004A469B"/>
    <w:rsid w:val="004A46BD"/>
    <w:rsid w:val="004A47D9"/>
    <w:rsid w:val="004A48F9"/>
    <w:rsid w:val="004A4A8C"/>
    <w:rsid w:val="004A4D03"/>
    <w:rsid w:val="004A4DDD"/>
    <w:rsid w:val="004A4F53"/>
    <w:rsid w:val="004A511B"/>
    <w:rsid w:val="004A5268"/>
    <w:rsid w:val="004A5399"/>
    <w:rsid w:val="004A57CC"/>
    <w:rsid w:val="004A589D"/>
    <w:rsid w:val="004A59B2"/>
    <w:rsid w:val="004A6073"/>
    <w:rsid w:val="004A607D"/>
    <w:rsid w:val="004A6446"/>
    <w:rsid w:val="004A6D69"/>
    <w:rsid w:val="004A6E06"/>
    <w:rsid w:val="004A7449"/>
    <w:rsid w:val="004A755E"/>
    <w:rsid w:val="004A76E2"/>
    <w:rsid w:val="004A778B"/>
    <w:rsid w:val="004A7B9A"/>
    <w:rsid w:val="004B0462"/>
    <w:rsid w:val="004B053B"/>
    <w:rsid w:val="004B0A3B"/>
    <w:rsid w:val="004B0E89"/>
    <w:rsid w:val="004B0EA5"/>
    <w:rsid w:val="004B104E"/>
    <w:rsid w:val="004B1070"/>
    <w:rsid w:val="004B14AC"/>
    <w:rsid w:val="004B14B3"/>
    <w:rsid w:val="004B19A1"/>
    <w:rsid w:val="004B1D7A"/>
    <w:rsid w:val="004B1E83"/>
    <w:rsid w:val="004B1FE3"/>
    <w:rsid w:val="004B202F"/>
    <w:rsid w:val="004B2188"/>
    <w:rsid w:val="004B2421"/>
    <w:rsid w:val="004B24E5"/>
    <w:rsid w:val="004B24F0"/>
    <w:rsid w:val="004B28DE"/>
    <w:rsid w:val="004B2AEC"/>
    <w:rsid w:val="004B2CE5"/>
    <w:rsid w:val="004B2EA5"/>
    <w:rsid w:val="004B30E9"/>
    <w:rsid w:val="004B377D"/>
    <w:rsid w:val="004B38C3"/>
    <w:rsid w:val="004B39CD"/>
    <w:rsid w:val="004B3AA5"/>
    <w:rsid w:val="004B3B0F"/>
    <w:rsid w:val="004B43A1"/>
    <w:rsid w:val="004B4441"/>
    <w:rsid w:val="004B4898"/>
    <w:rsid w:val="004B4947"/>
    <w:rsid w:val="004B51E6"/>
    <w:rsid w:val="004B5687"/>
    <w:rsid w:val="004B582F"/>
    <w:rsid w:val="004B5986"/>
    <w:rsid w:val="004B5C85"/>
    <w:rsid w:val="004B5D01"/>
    <w:rsid w:val="004B6665"/>
    <w:rsid w:val="004B672C"/>
    <w:rsid w:val="004B68C6"/>
    <w:rsid w:val="004B68DE"/>
    <w:rsid w:val="004B69A3"/>
    <w:rsid w:val="004B6B02"/>
    <w:rsid w:val="004B6B0D"/>
    <w:rsid w:val="004B6B12"/>
    <w:rsid w:val="004B6B33"/>
    <w:rsid w:val="004B7076"/>
    <w:rsid w:val="004B707E"/>
    <w:rsid w:val="004B7235"/>
    <w:rsid w:val="004B7549"/>
    <w:rsid w:val="004B7952"/>
    <w:rsid w:val="004B7D8D"/>
    <w:rsid w:val="004C0165"/>
    <w:rsid w:val="004C0194"/>
    <w:rsid w:val="004C02B0"/>
    <w:rsid w:val="004C0405"/>
    <w:rsid w:val="004C0806"/>
    <w:rsid w:val="004C0B9E"/>
    <w:rsid w:val="004C0BB9"/>
    <w:rsid w:val="004C0DA9"/>
    <w:rsid w:val="004C0F96"/>
    <w:rsid w:val="004C1278"/>
    <w:rsid w:val="004C12B5"/>
    <w:rsid w:val="004C13E2"/>
    <w:rsid w:val="004C14B4"/>
    <w:rsid w:val="004C1D6A"/>
    <w:rsid w:val="004C2126"/>
    <w:rsid w:val="004C216A"/>
    <w:rsid w:val="004C2235"/>
    <w:rsid w:val="004C225A"/>
    <w:rsid w:val="004C2328"/>
    <w:rsid w:val="004C244A"/>
    <w:rsid w:val="004C24B0"/>
    <w:rsid w:val="004C253E"/>
    <w:rsid w:val="004C2548"/>
    <w:rsid w:val="004C290A"/>
    <w:rsid w:val="004C29BA"/>
    <w:rsid w:val="004C2C35"/>
    <w:rsid w:val="004C2FB5"/>
    <w:rsid w:val="004C3061"/>
    <w:rsid w:val="004C39B4"/>
    <w:rsid w:val="004C3C49"/>
    <w:rsid w:val="004C3F9F"/>
    <w:rsid w:val="004C453D"/>
    <w:rsid w:val="004C45B9"/>
    <w:rsid w:val="004C47B5"/>
    <w:rsid w:val="004C4AFE"/>
    <w:rsid w:val="004C4C4F"/>
    <w:rsid w:val="004C4D12"/>
    <w:rsid w:val="004C5021"/>
    <w:rsid w:val="004C5408"/>
    <w:rsid w:val="004C5616"/>
    <w:rsid w:val="004C57CA"/>
    <w:rsid w:val="004C5AE9"/>
    <w:rsid w:val="004C5BE4"/>
    <w:rsid w:val="004C5DCB"/>
    <w:rsid w:val="004C5F48"/>
    <w:rsid w:val="004C60C8"/>
    <w:rsid w:val="004C616B"/>
    <w:rsid w:val="004C6A25"/>
    <w:rsid w:val="004C6B9A"/>
    <w:rsid w:val="004C6E77"/>
    <w:rsid w:val="004C6EC7"/>
    <w:rsid w:val="004C7315"/>
    <w:rsid w:val="004C73ED"/>
    <w:rsid w:val="004C763E"/>
    <w:rsid w:val="004C78DB"/>
    <w:rsid w:val="004C7CF4"/>
    <w:rsid w:val="004C7D5D"/>
    <w:rsid w:val="004C7E0A"/>
    <w:rsid w:val="004D0079"/>
    <w:rsid w:val="004D018F"/>
    <w:rsid w:val="004D0364"/>
    <w:rsid w:val="004D0693"/>
    <w:rsid w:val="004D0894"/>
    <w:rsid w:val="004D0A79"/>
    <w:rsid w:val="004D0B75"/>
    <w:rsid w:val="004D0CA0"/>
    <w:rsid w:val="004D132C"/>
    <w:rsid w:val="004D137C"/>
    <w:rsid w:val="004D174D"/>
    <w:rsid w:val="004D17BA"/>
    <w:rsid w:val="004D17E3"/>
    <w:rsid w:val="004D1A47"/>
    <w:rsid w:val="004D1BE9"/>
    <w:rsid w:val="004D1C32"/>
    <w:rsid w:val="004D1D4D"/>
    <w:rsid w:val="004D1FAD"/>
    <w:rsid w:val="004D2194"/>
    <w:rsid w:val="004D21E0"/>
    <w:rsid w:val="004D23BD"/>
    <w:rsid w:val="004D242D"/>
    <w:rsid w:val="004D271E"/>
    <w:rsid w:val="004D28A6"/>
    <w:rsid w:val="004D295D"/>
    <w:rsid w:val="004D2D03"/>
    <w:rsid w:val="004D2D77"/>
    <w:rsid w:val="004D31A8"/>
    <w:rsid w:val="004D3213"/>
    <w:rsid w:val="004D3290"/>
    <w:rsid w:val="004D3386"/>
    <w:rsid w:val="004D36BA"/>
    <w:rsid w:val="004D3A3D"/>
    <w:rsid w:val="004D3C57"/>
    <w:rsid w:val="004D3DA4"/>
    <w:rsid w:val="004D429F"/>
    <w:rsid w:val="004D4691"/>
    <w:rsid w:val="004D48D9"/>
    <w:rsid w:val="004D5708"/>
    <w:rsid w:val="004D582B"/>
    <w:rsid w:val="004D5D6F"/>
    <w:rsid w:val="004D6273"/>
    <w:rsid w:val="004D65F5"/>
    <w:rsid w:val="004D683C"/>
    <w:rsid w:val="004D6A3C"/>
    <w:rsid w:val="004D7917"/>
    <w:rsid w:val="004D7CD0"/>
    <w:rsid w:val="004D7FDC"/>
    <w:rsid w:val="004D7FFD"/>
    <w:rsid w:val="004E03B9"/>
    <w:rsid w:val="004E080C"/>
    <w:rsid w:val="004E0941"/>
    <w:rsid w:val="004E0B9A"/>
    <w:rsid w:val="004E0C3C"/>
    <w:rsid w:val="004E0D19"/>
    <w:rsid w:val="004E0E24"/>
    <w:rsid w:val="004E1210"/>
    <w:rsid w:val="004E12F5"/>
    <w:rsid w:val="004E19B2"/>
    <w:rsid w:val="004E1BA0"/>
    <w:rsid w:val="004E1C4E"/>
    <w:rsid w:val="004E1CDE"/>
    <w:rsid w:val="004E1D0A"/>
    <w:rsid w:val="004E2139"/>
    <w:rsid w:val="004E2250"/>
    <w:rsid w:val="004E2583"/>
    <w:rsid w:val="004E2CC0"/>
    <w:rsid w:val="004E2CCF"/>
    <w:rsid w:val="004E2ED2"/>
    <w:rsid w:val="004E353A"/>
    <w:rsid w:val="004E358A"/>
    <w:rsid w:val="004E3AE8"/>
    <w:rsid w:val="004E3DAC"/>
    <w:rsid w:val="004E3DAD"/>
    <w:rsid w:val="004E4426"/>
    <w:rsid w:val="004E49A8"/>
    <w:rsid w:val="004E4D13"/>
    <w:rsid w:val="004E4F51"/>
    <w:rsid w:val="004E5287"/>
    <w:rsid w:val="004E5289"/>
    <w:rsid w:val="004E52C7"/>
    <w:rsid w:val="004E562B"/>
    <w:rsid w:val="004E5A3E"/>
    <w:rsid w:val="004E5A52"/>
    <w:rsid w:val="004E5C4D"/>
    <w:rsid w:val="004E5E0A"/>
    <w:rsid w:val="004E5FF4"/>
    <w:rsid w:val="004E6047"/>
    <w:rsid w:val="004E635D"/>
    <w:rsid w:val="004E65B3"/>
    <w:rsid w:val="004E65BE"/>
    <w:rsid w:val="004E6635"/>
    <w:rsid w:val="004E6C76"/>
    <w:rsid w:val="004E7076"/>
    <w:rsid w:val="004E716C"/>
    <w:rsid w:val="004E74C8"/>
    <w:rsid w:val="004E7669"/>
    <w:rsid w:val="004E774F"/>
    <w:rsid w:val="004E7A0E"/>
    <w:rsid w:val="004E7CB7"/>
    <w:rsid w:val="004F058C"/>
    <w:rsid w:val="004F07D9"/>
    <w:rsid w:val="004F0948"/>
    <w:rsid w:val="004F10E6"/>
    <w:rsid w:val="004F1227"/>
    <w:rsid w:val="004F1292"/>
    <w:rsid w:val="004F135E"/>
    <w:rsid w:val="004F1785"/>
    <w:rsid w:val="004F193E"/>
    <w:rsid w:val="004F1999"/>
    <w:rsid w:val="004F1CE9"/>
    <w:rsid w:val="004F1E79"/>
    <w:rsid w:val="004F24CE"/>
    <w:rsid w:val="004F27A2"/>
    <w:rsid w:val="004F2AAE"/>
    <w:rsid w:val="004F2B05"/>
    <w:rsid w:val="004F2B06"/>
    <w:rsid w:val="004F2CB0"/>
    <w:rsid w:val="004F34B1"/>
    <w:rsid w:val="004F3A08"/>
    <w:rsid w:val="004F3EAE"/>
    <w:rsid w:val="004F3EE0"/>
    <w:rsid w:val="004F3F45"/>
    <w:rsid w:val="004F42F3"/>
    <w:rsid w:val="004F48B6"/>
    <w:rsid w:val="004F48F0"/>
    <w:rsid w:val="004F4995"/>
    <w:rsid w:val="004F4A82"/>
    <w:rsid w:val="004F4DE6"/>
    <w:rsid w:val="004F5480"/>
    <w:rsid w:val="004F566E"/>
    <w:rsid w:val="004F5C01"/>
    <w:rsid w:val="004F5F84"/>
    <w:rsid w:val="004F6247"/>
    <w:rsid w:val="004F64DD"/>
    <w:rsid w:val="004F69C4"/>
    <w:rsid w:val="004F6A7D"/>
    <w:rsid w:val="004F6AA5"/>
    <w:rsid w:val="004F6B4A"/>
    <w:rsid w:val="004F6BA4"/>
    <w:rsid w:val="004F6ED4"/>
    <w:rsid w:val="004F6FEE"/>
    <w:rsid w:val="004F72E9"/>
    <w:rsid w:val="004F77FD"/>
    <w:rsid w:val="005001C0"/>
    <w:rsid w:val="00500476"/>
    <w:rsid w:val="005006C8"/>
    <w:rsid w:val="00500743"/>
    <w:rsid w:val="005007AD"/>
    <w:rsid w:val="00500D2D"/>
    <w:rsid w:val="00500D83"/>
    <w:rsid w:val="005015A8"/>
    <w:rsid w:val="00501867"/>
    <w:rsid w:val="00501AE4"/>
    <w:rsid w:val="00501CFA"/>
    <w:rsid w:val="00501E1F"/>
    <w:rsid w:val="00502293"/>
    <w:rsid w:val="00502299"/>
    <w:rsid w:val="00502EA8"/>
    <w:rsid w:val="00503A8D"/>
    <w:rsid w:val="00503C47"/>
    <w:rsid w:val="00503F28"/>
    <w:rsid w:val="005041BA"/>
    <w:rsid w:val="00504492"/>
    <w:rsid w:val="0050479F"/>
    <w:rsid w:val="005047AE"/>
    <w:rsid w:val="00504C1C"/>
    <w:rsid w:val="00504DAB"/>
    <w:rsid w:val="00505566"/>
    <w:rsid w:val="00505638"/>
    <w:rsid w:val="005056AB"/>
    <w:rsid w:val="00505EC7"/>
    <w:rsid w:val="0050691F"/>
    <w:rsid w:val="00506A16"/>
    <w:rsid w:val="00506BD1"/>
    <w:rsid w:val="00506DA2"/>
    <w:rsid w:val="00506DA5"/>
    <w:rsid w:val="00507273"/>
    <w:rsid w:val="00507303"/>
    <w:rsid w:val="00507346"/>
    <w:rsid w:val="00507D89"/>
    <w:rsid w:val="00510412"/>
    <w:rsid w:val="00510901"/>
    <w:rsid w:val="00510A41"/>
    <w:rsid w:val="00510BBC"/>
    <w:rsid w:val="005110FA"/>
    <w:rsid w:val="005113B3"/>
    <w:rsid w:val="005114C9"/>
    <w:rsid w:val="005114CD"/>
    <w:rsid w:val="0051179D"/>
    <w:rsid w:val="00511901"/>
    <w:rsid w:val="005119EC"/>
    <w:rsid w:val="00511C2A"/>
    <w:rsid w:val="00511E7D"/>
    <w:rsid w:val="0051282C"/>
    <w:rsid w:val="005129BE"/>
    <w:rsid w:val="00512A05"/>
    <w:rsid w:val="00512B2A"/>
    <w:rsid w:val="00512C0E"/>
    <w:rsid w:val="0051301D"/>
    <w:rsid w:val="00513390"/>
    <w:rsid w:val="0051339F"/>
    <w:rsid w:val="00513805"/>
    <w:rsid w:val="00513847"/>
    <w:rsid w:val="00513AB5"/>
    <w:rsid w:val="00513F4F"/>
    <w:rsid w:val="005144B7"/>
    <w:rsid w:val="005146E0"/>
    <w:rsid w:val="005148A2"/>
    <w:rsid w:val="00514C51"/>
    <w:rsid w:val="00514D31"/>
    <w:rsid w:val="00514D50"/>
    <w:rsid w:val="00514EB4"/>
    <w:rsid w:val="00514FDF"/>
    <w:rsid w:val="00515209"/>
    <w:rsid w:val="00515300"/>
    <w:rsid w:val="00515476"/>
    <w:rsid w:val="0051588F"/>
    <w:rsid w:val="00515900"/>
    <w:rsid w:val="00515EB8"/>
    <w:rsid w:val="00515EF6"/>
    <w:rsid w:val="00515F14"/>
    <w:rsid w:val="005160FC"/>
    <w:rsid w:val="00516137"/>
    <w:rsid w:val="005163E3"/>
    <w:rsid w:val="005164CF"/>
    <w:rsid w:val="005169CC"/>
    <w:rsid w:val="00516BC6"/>
    <w:rsid w:val="00516E1B"/>
    <w:rsid w:val="005172D2"/>
    <w:rsid w:val="0051757A"/>
    <w:rsid w:val="005176E1"/>
    <w:rsid w:val="00517D39"/>
    <w:rsid w:val="00517F53"/>
    <w:rsid w:val="0052003C"/>
    <w:rsid w:val="00520172"/>
    <w:rsid w:val="00520184"/>
    <w:rsid w:val="005201FF"/>
    <w:rsid w:val="005202E3"/>
    <w:rsid w:val="0052065F"/>
    <w:rsid w:val="0052072F"/>
    <w:rsid w:val="005208FA"/>
    <w:rsid w:val="00520C0D"/>
    <w:rsid w:val="00520E1A"/>
    <w:rsid w:val="00521540"/>
    <w:rsid w:val="005215CE"/>
    <w:rsid w:val="00521659"/>
    <w:rsid w:val="00521960"/>
    <w:rsid w:val="00521A55"/>
    <w:rsid w:val="00521C4A"/>
    <w:rsid w:val="005220A8"/>
    <w:rsid w:val="00522168"/>
    <w:rsid w:val="00522171"/>
    <w:rsid w:val="00522216"/>
    <w:rsid w:val="00522487"/>
    <w:rsid w:val="00522CEE"/>
    <w:rsid w:val="005231BF"/>
    <w:rsid w:val="005232C9"/>
    <w:rsid w:val="00523434"/>
    <w:rsid w:val="0052354F"/>
    <w:rsid w:val="00523AA3"/>
    <w:rsid w:val="00523D20"/>
    <w:rsid w:val="00523EE6"/>
    <w:rsid w:val="00524281"/>
    <w:rsid w:val="00524435"/>
    <w:rsid w:val="00524BAE"/>
    <w:rsid w:val="00524D00"/>
    <w:rsid w:val="00524D13"/>
    <w:rsid w:val="00525162"/>
    <w:rsid w:val="00525301"/>
    <w:rsid w:val="00525711"/>
    <w:rsid w:val="005262BB"/>
    <w:rsid w:val="00526390"/>
    <w:rsid w:val="005267CA"/>
    <w:rsid w:val="00526AB7"/>
    <w:rsid w:val="00527191"/>
    <w:rsid w:val="0052719C"/>
    <w:rsid w:val="005271BC"/>
    <w:rsid w:val="005273F7"/>
    <w:rsid w:val="005275D9"/>
    <w:rsid w:val="0052765A"/>
    <w:rsid w:val="0052790F"/>
    <w:rsid w:val="0052796F"/>
    <w:rsid w:val="005279AC"/>
    <w:rsid w:val="00527E37"/>
    <w:rsid w:val="00527E88"/>
    <w:rsid w:val="00527EAD"/>
    <w:rsid w:val="00530162"/>
    <w:rsid w:val="0053019B"/>
    <w:rsid w:val="005301E6"/>
    <w:rsid w:val="00530474"/>
    <w:rsid w:val="00530EA8"/>
    <w:rsid w:val="005311E3"/>
    <w:rsid w:val="00531683"/>
    <w:rsid w:val="005317FD"/>
    <w:rsid w:val="00531B0C"/>
    <w:rsid w:val="00531F3D"/>
    <w:rsid w:val="005328A7"/>
    <w:rsid w:val="005328D7"/>
    <w:rsid w:val="00532909"/>
    <w:rsid w:val="00532929"/>
    <w:rsid w:val="0053294E"/>
    <w:rsid w:val="00532B40"/>
    <w:rsid w:val="00532F34"/>
    <w:rsid w:val="00533352"/>
    <w:rsid w:val="005333DA"/>
    <w:rsid w:val="005334FF"/>
    <w:rsid w:val="005336CB"/>
    <w:rsid w:val="00533926"/>
    <w:rsid w:val="00533B66"/>
    <w:rsid w:val="00533C3D"/>
    <w:rsid w:val="00533FB6"/>
    <w:rsid w:val="0053434D"/>
    <w:rsid w:val="005344BD"/>
    <w:rsid w:val="00534686"/>
    <w:rsid w:val="005347C8"/>
    <w:rsid w:val="0053486C"/>
    <w:rsid w:val="005352AA"/>
    <w:rsid w:val="005354F8"/>
    <w:rsid w:val="0053551B"/>
    <w:rsid w:val="0053555A"/>
    <w:rsid w:val="005355EA"/>
    <w:rsid w:val="00535739"/>
    <w:rsid w:val="0053579A"/>
    <w:rsid w:val="00535A36"/>
    <w:rsid w:val="00535A40"/>
    <w:rsid w:val="00535CCC"/>
    <w:rsid w:val="00535F96"/>
    <w:rsid w:val="00536161"/>
    <w:rsid w:val="005361E9"/>
    <w:rsid w:val="0053638C"/>
    <w:rsid w:val="005364D5"/>
    <w:rsid w:val="005365BB"/>
    <w:rsid w:val="00536B9B"/>
    <w:rsid w:val="00536F49"/>
    <w:rsid w:val="00536F69"/>
    <w:rsid w:val="00537012"/>
    <w:rsid w:val="005374C9"/>
    <w:rsid w:val="005374CC"/>
    <w:rsid w:val="0053750A"/>
    <w:rsid w:val="00537539"/>
    <w:rsid w:val="005375D9"/>
    <w:rsid w:val="005378B4"/>
    <w:rsid w:val="00537E72"/>
    <w:rsid w:val="00540369"/>
    <w:rsid w:val="0054057A"/>
    <w:rsid w:val="00540589"/>
    <w:rsid w:val="0054080E"/>
    <w:rsid w:val="0054087F"/>
    <w:rsid w:val="00540A8E"/>
    <w:rsid w:val="00540B48"/>
    <w:rsid w:val="00540CE0"/>
    <w:rsid w:val="00540E5B"/>
    <w:rsid w:val="00541002"/>
    <w:rsid w:val="00541187"/>
    <w:rsid w:val="00541556"/>
    <w:rsid w:val="005415E6"/>
    <w:rsid w:val="005416BA"/>
    <w:rsid w:val="005416DC"/>
    <w:rsid w:val="00541919"/>
    <w:rsid w:val="00542852"/>
    <w:rsid w:val="00542903"/>
    <w:rsid w:val="00542F33"/>
    <w:rsid w:val="00543076"/>
    <w:rsid w:val="00543131"/>
    <w:rsid w:val="005432CC"/>
    <w:rsid w:val="005437B6"/>
    <w:rsid w:val="00543F0C"/>
    <w:rsid w:val="005443AD"/>
    <w:rsid w:val="00544624"/>
    <w:rsid w:val="005446D0"/>
    <w:rsid w:val="00544756"/>
    <w:rsid w:val="00544871"/>
    <w:rsid w:val="005448D3"/>
    <w:rsid w:val="005448E2"/>
    <w:rsid w:val="00544C3A"/>
    <w:rsid w:val="00544E9D"/>
    <w:rsid w:val="0054548B"/>
    <w:rsid w:val="005454E4"/>
    <w:rsid w:val="005455FF"/>
    <w:rsid w:val="005456ED"/>
    <w:rsid w:val="00545797"/>
    <w:rsid w:val="00545814"/>
    <w:rsid w:val="005458B3"/>
    <w:rsid w:val="0054596B"/>
    <w:rsid w:val="00545A95"/>
    <w:rsid w:val="00545AD6"/>
    <w:rsid w:val="00545C0F"/>
    <w:rsid w:val="00545D7B"/>
    <w:rsid w:val="00545E6E"/>
    <w:rsid w:val="005462E0"/>
    <w:rsid w:val="005464DF"/>
    <w:rsid w:val="00546683"/>
    <w:rsid w:val="005466B8"/>
    <w:rsid w:val="0054672F"/>
    <w:rsid w:val="005468C4"/>
    <w:rsid w:val="00546943"/>
    <w:rsid w:val="00546A09"/>
    <w:rsid w:val="00546EA8"/>
    <w:rsid w:val="005472B6"/>
    <w:rsid w:val="00547A7E"/>
    <w:rsid w:val="00547D08"/>
    <w:rsid w:val="00547F51"/>
    <w:rsid w:val="005500A1"/>
    <w:rsid w:val="0055012F"/>
    <w:rsid w:val="00550591"/>
    <w:rsid w:val="0055098F"/>
    <w:rsid w:val="00550AF8"/>
    <w:rsid w:val="00550B56"/>
    <w:rsid w:val="00551510"/>
    <w:rsid w:val="0055170C"/>
    <w:rsid w:val="00551727"/>
    <w:rsid w:val="005518BD"/>
    <w:rsid w:val="00551DC4"/>
    <w:rsid w:val="00551FB8"/>
    <w:rsid w:val="005520CE"/>
    <w:rsid w:val="00552163"/>
    <w:rsid w:val="005523C6"/>
    <w:rsid w:val="00552733"/>
    <w:rsid w:val="0055275C"/>
    <w:rsid w:val="00552858"/>
    <w:rsid w:val="00552ACB"/>
    <w:rsid w:val="00552B25"/>
    <w:rsid w:val="00552C97"/>
    <w:rsid w:val="00552CF4"/>
    <w:rsid w:val="005532BC"/>
    <w:rsid w:val="005533EC"/>
    <w:rsid w:val="005534C9"/>
    <w:rsid w:val="005538DA"/>
    <w:rsid w:val="0055398A"/>
    <w:rsid w:val="00553A7C"/>
    <w:rsid w:val="00553BD2"/>
    <w:rsid w:val="00554110"/>
    <w:rsid w:val="005544C5"/>
    <w:rsid w:val="00554A0A"/>
    <w:rsid w:val="00554A17"/>
    <w:rsid w:val="00554AAA"/>
    <w:rsid w:val="00554FF2"/>
    <w:rsid w:val="0055515C"/>
    <w:rsid w:val="00555405"/>
    <w:rsid w:val="00555706"/>
    <w:rsid w:val="00555C85"/>
    <w:rsid w:val="00555FB3"/>
    <w:rsid w:val="005566A3"/>
    <w:rsid w:val="005566DB"/>
    <w:rsid w:val="005568F2"/>
    <w:rsid w:val="0055692C"/>
    <w:rsid w:val="00556AEA"/>
    <w:rsid w:val="00556CA1"/>
    <w:rsid w:val="00556D35"/>
    <w:rsid w:val="00556FD1"/>
    <w:rsid w:val="00556FF9"/>
    <w:rsid w:val="005576C7"/>
    <w:rsid w:val="0055797F"/>
    <w:rsid w:val="00557CDF"/>
    <w:rsid w:val="00557E96"/>
    <w:rsid w:val="005603BE"/>
    <w:rsid w:val="00560744"/>
    <w:rsid w:val="00560F41"/>
    <w:rsid w:val="00561420"/>
    <w:rsid w:val="0056189D"/>
    <w:rsid w:val="00561B46"/>
    <w:rsid w:val="00561D70"/>
    <w:rsid w:val="00561F1C"/>
    <w:rsid w:val="005620DB"/>
    <w:rsid w:val="00562675"/>
    <w:rsid w:val="00562783"/>
    <w:rsid w:val="00562871"/>
    <w:rsid w:val="00562B4D"/>
    <w:rsid w:val="00562C55"/>
    <w:rsid w:val="00562FB9"/>
    <w:rsid w:val="00563963"/>
    <w:rsid w:val="00563A76"/>
    <w:rsid w:val="005642B6"/>
    <w:rsid w:val="005642E5"/>
    <w:rsid w:val="00564960"/>
    <w:rsid w:val="00564D23"/>
    <w:rsid w:val="00564DB6"/>
    <w:rsid w:val="00565207"/>
    <w:rsid w:val="005656DD"/>
    <w:rsid w:val="00565F56"/>
    <w:rsid w:val="00565FD7"/>
    <w:rsid w:val="00566130"/>
    <w:rsid w:val="0056640A"/>
    <w:rsid w:val="0056656A"/>
    <w:rsid w:val="00566A84"/>
    <w:rsid w:val="00566B75"/>
    <w:rsid w:val="00566BE2"/>
    <w:rsid w:val="00566C03"/>
    <w:rsid w:val="00566C6C"/>
    <w:rsid w:val="00566CFF"/>
    <w:rsid w:val="00567906"/>
    <w:rsid w:val="00567977"/>
    <w:rsid w:val="00567F61"/>
    <w:rsid w:val="005709F7"/>
    <w:rsid w:val="0057122A"/>
    <w:rsid w:val="005714F3"/>
    <w:rsid w:val="00571626"/>
    <w:rsid w:val="00571886"/>
    <w:rsid w:val="005718B3"/>
    <w:rsid w:val="00571B4B"/>
    <w:rsid w:val="005723E1"/>
    <w:rsid w:val="00572661"/>
    <w:rsid w:val="005728CE"/>
    <w:rsid w:val="00572B84"/>
    <w:rsid w:val="00572D56"/>
    <w:rsid w:val="00572E63"/>
    <w:rsid w:val="005730D2"/>
    <w:rsid w:val="00573C0C"/>
    <w:rsid w:val="00573DD7"/>
    <w:rsid w:val="00573E64"/>
    <w:rsid w:val="005741E7"/>
    <w:rsid w:val="005749CC"/>
    <w:rsid w:val="00574EE4"/>
    <w:rsid w:val="00574F16"/>
    <w:rsid w:val="00574F42"/>
    <w:rsid w:val="00575240"/>
    <w:rsid w:val="00575250"/>
    <w:rsid w:val="00575398"/>
    <w:rsid w:val="005757D3"/>
    <w:rsid w:val="005757DC"/>
    <w:rsid w:val="00575A48"/>
    <w:rsid w:val="00575C05"/>
    <w:rsid w:val="00575FD9"/>
    <w:rsid w:val="0057626F"/>
    <w:rsid w:val="00576CED"/>
    <w:rsid w:val="0057753D"/>
    <w:rsid w:val="0057779B"/>
    <w:rsid w:val="00577DCB"/>
    <w:rsid w:val="00580154"/>
    <w:rsid w:val="00580181"/>
    <w:rsid w:val="00580594"/>
    <w:rsid w:val="00580628"/>
    <w:rsid w:val="0058065D"/>
    <w:rsid w:val="005808E4"/>
    <w:rsid w:val="00580AA2"/>
    <w:rsid w:val="00580B9D"/>
    <w:rsid w:val="00580D2B"/>
    <w:rsid w:val="00580E7E"/>
    <w:rsid w:val="00581178"/>
    <w:rsid w:val="00581205"/>
    <w:rsid w:val="005815B9"/>
    <w:rsid w:val="005819AB"/>
    <w:rsid w:val="00581C27"/>
    <w:rsid w:val="00581F69"/>
    <w:rsid w:val="00581FDB"/>
    <w:rsid w:val="0058209E"/>
    <w:rsid w:val="005824F4"/>
    <w:rsid w:val="00582578"/>
    <w:rsid w:val="005829AE"/>
    <w:rsid w:val="00582CD3"/>
    <w:rsid w:val="00582EA7"/>
    <w:rsid w:val="005830F0"/>
    <w:rsid w:val="0058347A"/>
    <w:rsid w:val="00583485"/>
    <w:rsid w:val="00583728"/>
    <w:rsid w:val="005839BB"/>
    <w:rsid w:val="00583D00"/>
    <w:rsid w:val="00584286"/>
    <w:rsid w:val="00584436"/>
    <w:rsid w:val="0058459E"/>
    <w:rsid w:val="00584808"/>
    <w:rsid w:val="00584999"/>
    <w:rsid w:val="005849CA"/>
    <w:rsid w:val="00584C48"/>
    <w:rsid w:val="005854D7"/>
    <w:rsid w:val="0058598B"/>
    <w:rsid w:val="005859EE"/>
    <w:rsid w:val="00585A18"/>
    <w:rsid w:val="00585CD7"/>
    <w:rsid w:val="00585D61"/>
    <w:rsid w:val="0058616B"/>
    <w:rsid w:val="00586194"/>
    <w:rsid w:val="005867A6"/>
    <w:rsid w:val="005868DE"/>
    <w:rsid w:val="00586A51"/>
    <w:rsid w:val="00586EBF"/>
    <w:rsid w:val="0058706D"/>
    <w:rsid w:val="00587226"/>
    <w:rsid w:val="005876C9"/>
    <w:rsid w:val="00587B9D"/>
    <w:rsid w:val="00587BB1"/>
    <w:rsid w:val="0059010F"/>
    <w:rsid w:val="0059048C"/>
    <w:rsid w:val="0059056D"/>
    <w:rsid w:val="005906B4"/>
    <w:rsid w:val="005908C1"/>
    <w:rsid w:val="005908D0"/>
    <w:rsid w:val="00590CFB"/>
    <w:rsid w:val="00590F12"/>
    <w:rsid w:val="00591186"/>
    <w:rsid w:val="00591974"/>
    <w:rsid w:val="00591A2A"/>
    <w:rsid w:val="00591B19"/>
    <w:rsid w:val="00591B81"/>
    <w:rsid w:val="00592047"/>
    <w:rsid w:val="00592E14"/>
    <w:rsid w:val="00592E29"/>
    <w:rsid w:val="00592F8A"/>
    <w:rsid w:val="005934BA"/>
    <w:rsid w:val="00593948"/>
    <w:rsid w:val="00593B90"/>
    <w:rsid w:val="00593CDA"/>
    <w:rsid w:val="00593D7A"/>
    <w:rsid w:val="00594005"/>
    <w:rsid w:val="0059412D"/>
    <w:rsid w:val="00594314"/>
    <w:rsid w:val="005946C7"/>
    <w:rsid w:val="00594A6E"/>
    <w:rsid w:val="00594BB9"/>
    <w:rsid w:val="00594E46"/>
    <w:rsid w:val="005954A9"/>
    <w:rsid w:val="005957B9"/>
    <w:rsid w:val="0059599A"/>
    <w:rsid w:val="005959E8"/>
    <w:rsid w:val="00595A64"/>
    <w:rsid w:val="00595A73"/>
    <w:rsid w:val="00595EAE"/>
    <w:rsid w:val="00595FE0"/>
    <w:rsid w:val="00596339"/>
    <w:rsid w:val="005966C4"/>
    <w:rsid w:val="00596989"/>
    <w:rsid w:val="005969A4"/>
    <w:rsid w:val="005969CD"/>
    <w:rsid w:val="00596C35"/>
    <w:rsid w:val="00596E5E"/>
    <w:rsid w:val="00597068"/>
    <w:rsid w:val="00597301"/>
    <w:rsid w:val="005973DC"/>
    <w:rsid w:val="00597416"/>
    <w:rsid w:val="005975CA"/>
    <w:rsid w:val="00597646"/>
    <w:rsid w:val="0059766A"/>
    <w:rsid w:val="005979CC"/>
    <w:rsid w:val="00597AE4"/>
    <w:rsid w:val="00597DD2"/>
    <w:rsid w:val="00597E25"/>
    <w:rsid w:val="005A00D8"/>
    <w:rsid w:val="005A0240"/>
    <w:rsid w:val="005A07BF"/>
    <w:rsid w:val="005A07ED"/>
    <w:rsid w:val="005A0E1F"/>
    <w:rsid w:val="005A10DC"/>
    <w:rsid w:val="005A10F2"/>
    <w:rsid w:val="005A121D"/>
    <w:rsid w:val="005A1440"/>
    <w:rsid w:val="005A1877"/>
    <w:rsid w:val="005A1F29"/>
    <w:rsid w:val="005A240B"/>
    <w:rsid w:val="005A2694"/>
    <w:rsid w:val="005A269F"/>
    <w:rsid w:val="005A280A"/>
    <w:rsid w:val="005A2AAA"/>
    <w:rsid w:val="005A3130"/>
    <w:rsid w:val="005A32B0"/>
    <w:rsid w:val="005A33F3"/>
    <w:rsid w:val="005A3564"/>
    <w:rsid w:val="005A36E7"/>
    <w:rsid w:val="005A3C79"/>
    <w:rsid w:val="005A3CF9"/>
    <w:rsid w:val="005A3D42"/>
    <w:rsid w:val="005A438A"/>
    <w:rsid w:val="005A4392"/>
    <w:rsid w:val="005A46BA"/>
    <w:rsid w:val="005A470C"/>
    <w:rsid w:val="005A491D"/>
    <w:rsid w:val="005A4B2F"/>
    <w:rsid w:val="005A4C9E"/>
    <w:rsid w:val="005A4D9F"/>
    <w:rsid w:val="005A4DF1"/>
    <w:rsid w:val="005A5386"/>
    <w:rsid w:val="005A57F5"/>
    <w:rsid w:val="005A58DE"/>
    <w:rsid w:val="005A5B2A"/>
    <w:rsid w:val="005A5D82"/>
    <w:rsid w:val="005A5F4E"/>
    <w:rsid w:val="005A5F71"/>
    <w:rsid w:val="005A62F2"/>
    <w:rsid w:val="005A65B5"/>
    <w:rsid w:val="005A6931"/>
    <w:rsid w:val="005A6A5D"/>
    <w:rsid w:val="005A6AF7"/>
    <w:rsid w:val="005A6BDE"/>
    <w:rsid w:val="005A6D16"/>
    <w:rsid w:val="005A6ED0"/>
    <w:rsid w:val="005A6F60"/>
    <w:rsid w:val="005A7111"/>
    <w:rsid w:val="005A7125"/>
    <w:rsid w:val="005A7234"/>
    <w:rsid w:val="005A7252"/>
    <w:rsid w:val="005A7537"/>
    <w:rsid w:val="005A78F8"/>
    <w:rsid w:val="005A7D53"/>
    <w:rsid w:val="005B0106"/>
    <w:rsid w:val="005B086E"/>
    <w:rsid w:val="005B08F8"/>
    <w:rsid w:val="005B0D0D"/>
    <w:rsid w:val="005B10CA"/>
    <w:rsid w:val="005B10DA"/>
    <w:rsid w:val="005B127A"/>
    <w:rsid w:val="005B13D5"/>
    <w:rsid w:val="005B1547"/>
    <w:rsid w:val="005B178D"/>
    <w:rsid w:val="005B209B"/>
    <w:rsid w:val="005B2149"/>
    <w:rsid w:val="005B22EA"/>
    <w:rsid w:val="005B2494"/>
    <w:rsid w:val="005B2D31"/>
    <w:rsid w:val="005B2F89"/>
    <w:rsid w:val="005B33D9"/>
    <w:rsid w:val="005B377A"/>
    <w:rsid w:val="005B3A6F"/>
    <w:rsid w:val="005B3F6C"/>
    <w:rsid w:val="005B44B0"/>
    <w:rsid w:val="005B4555"/>
    <w:rsid w:val="005B46D7"/>
    <w:rsid w:val="005B4938"/>
    <w:rsid w:val="005B4B67"/>
    <w:rsid w:val="005B4D78"/>
    <w:rsid w:val="005B5006"/>
    <w:rsid w:val="005B5582"/>
    <w:rsid w:val="005B56C1"/>
    <w:rsid w:val="005B57EA"/>
    <w:rsid w:val="005B5A3B"/>
    <w:rsid w:val="005B5B3B"/>
    <w:rsid w:val="005B5C1B"/>
    <w:rsid w:val="005B62B9"/>
    <w:rsid w:val="005B65E1"/>
    <w:rsid w:val="005B6602"/>
    <w:rsid w:val="005B668D"/>
    <w:rsid w:val="005B6900"/>
    <w:rsid w:val="005B69CB"/>
    <w:rsid w:val="005B6A3A"/>
    <w:rsid w:val="005B6B0A"/>
    <w:rsid w:val="005B6C73"/>
    <w:rsid w:val="005B7086"/>
    <w:rsid w:val="005B74CC"/>
    <w:rsid w:val="005B7A54"/>
    <w:rsid w:val="005B7A9A"/>
    <w:rsid w:val="005B7AB5"/>
    <w:rsid w:val="005B7C63"/>
    <w:rsid w:val="005B7CB1"/>
    <w:rsid w:val="005B7D02"/>
    <w:rsid w:val="005C036C"/>
    <w:rsid w:val="005C05B9"/>
    <w:rsid w:val="005C08BF"/>
    <w:rsid w:val="005C0C63"/>
    <w:rsid w:val="005C0EAD"/>
    <w:rsid w:val="005C1189"/>
    <w:rsid w:val="005C180A"/>
    <w:rsid w:val="005C18D0"/>
    <w:rsid w:val="005C1A3D"/>
    <w:rsid w:val="005C1B12"/>
    <w:rsid w:val="005C1D23"/>
    <w:rsid w:val="005C1D6D"/>
    <w:rsid w:val="005C2322"/>
    <w:rsid w:val="005C23C4"/>
    <w:rsid w:val="005C261F"/>
    <w:rsid w:val="005C342D"/>
    <w:rsid w:val="005C35CC"/>
    <w:rsid w:val="005C36C9"/>
    <w:rsid w:val="005C37D0"/>
    <w:rsid w:val="005C37E9"/>
    <w:rsid w:val="005C38E3"/>
    <w:rsid w:val="005C3A45"/>
    <w:rsid w:val="005C3CD7"/>
    <w:rsid w:val="005C3DD6"/>
    <w:rsid w:val="005C4239"/>
    <w:rsid w:val="005C43E7"/>
    <w:rsid w:val="005C47FF"/>
    <w:rsid w:val="005C4A4C"/>
    <w:rsid w:val="005C4B90"/>
    <w:rsid w:val="005C519D"/>
    <w:rsid w:val="005C58BD"/>
    <w:rsid w:val="005C5A87"/>
    <w:rsid w:val="005C5F68"/>
    <w:rsid w:val="005C647C"/>
    <w:rsid w:val="005C65D1"/>
    <w:rsid w:val="005C682B"/>
    <w:rsid w:val="005C689C"/>
    <w:rsid w:val="005C69B5"/>
    <w:rsid w:val="005C6B55"/>
    <w:rsid w:val="005C6E18"/>
    <w:rsid w:val="005C6F5A"/>
    <w:rsid w:val="005C7002"/>
    <w:rsid w:val="005C70D0"/>
    <w:rsid w:val="005C71B9"/>
    <w:rsid w:val="005C73DE"/>
    <w:rsid w:val="005C752C"/>
    <w:rsid w:val="005C7815"/>
    <w:rsid w:val="005C7D84"/>
    <w:rsid w:val="005C7DED"/>
    <w:rsid w:val="005C7DFF"/>
    <w:rsid w:val="005D0020"/>
    <w:rsid w:val="005D00BD"/>
    <w:rsid w:val="005D02C1"/>
    <w:rsid w:val="005D038B"/>
    <w:rsid w:val="005D0675"/>
    <w:rsid w:val="005D0D12"/>
    <w:rsid w:val="005D1135"/>
    <w:rsid w:val="005D13EC"/>
    <w:rsid w:val="005D1498"/>
    <w:rsid w:val="005D1EDC"/>
    <w:rsid w:val="005D2041"/>
    <w:rsid w:val="005D214F"/>
    <w:rsid w:val="005D227E"/>
    <w:rsid w:val="005D2685"/>
    <w:rsid w:val="005D27BC"/>
    <w:rsid w:val="005D2988"/>
    <w:rsid w:val="005D2EAE"/>
    <w:rsid w:val="005D3B32"/>
    <w:rsid w:val="005D3DD4"/>
    <w:rsid w:val="005D3E24"/>
    <w:rsid w:val="005D458F"/>
    <w:rsid w:val="005D479E"/>
    <w:rsid w:val="005D4BA2"/>
    <w:rsid w:val="005D4CDC"/>
    <w:rsid w:val="005D4E40"/>
    <w:rsid w:val="005D52EB"/>
    <w:rsid w:val="005D53B0"/>
    <w:rsid w:val="005D54E4"/>
    <w:rsid w:val="005D55A9"/>
    <w:rsid w:val="005D55AC"/>
    <w:rsid w:val="005D5A54"/>
    <w:rsid w:val="005D5BEC"/>
    <w:rsid w:val="005D5ED5"/>
    <w:rsid w:val="005D5FCB"/>
    <w:rsid w:val="005D62B7"/>
    <w:rsid w:val="005D62DD"/>
    <w:rsid w:val="005D6711"/>
    <w:rsid w:val="005D6871"/>
    <w:rsid w:val="005D69DB"/>
    <w:rsid w:val="005D6A2B"/>
    <w:rsid w:val="005D6CB2"/>
    <w:rsid w:val="005D7299"/>
    <w:rsid w:val="005D73BE"/>
    <w:rsid w:val="005D74EE"/>
    <w:rsid w:val="005D76EC"/>
    <w:rsid w:val="005D77E5"/>
    <w:rsid w:val="005D7A88"/>
    <w:rsid w:val="005D7B53"/>
    <w:rsid w:val="005D7E97"/>
    <w:rsid w:val="005D7F44"/>
    <w:rsid w:val="005E000A"/>
    <w:rsid w:val="005E017A"/>
    <w:rsid w:val="005E025A"/>
    <w:rsid w:val="005E0CE1"/>
    <w:rsid w:val="005E1016"/>
    <w:rsid w:val="005E101E"/>
    <w:rsid w:val="005E13BD"/>
    <w:rsid w:val="005E16EB"/>
    <w:rsid w:val="005E1738"/>
    <w:rsid w:val="005E1995"/>
    <w:rsid w:val="005E19F5"/>
    <w:rsid w:val="005E1C1D"/>
    <w:rsid w:val="005E1D7F"/>
    <w:rsid w:val="005E1EFC"/>
    <w:rsid w:val="005E1F71"/>
    <w:rsid w:val="005E1F9D"/>
    <w:rsid w:val="005E2025"/>
    <w:rsid w:val="005E214B"/>
    <w:rsid w:val="005E2476"/>
    <w:rsid w:val="005E2927"/>
    <w:rsid w:val="005E2AE4"/>
    <w:rsid w:val="005E2CDE"/>
    <w:rsid w:val="005E2DD2"/>
    <w:rsid w:val="005E2F57"/>
    <w:rsid w:val="005E2FB1"/>
    <w:rsid w:val="005E3246"/>
    <w:rsid w:val="005E4040"/>
    <w:rsid w:val="005E4087"/>
    <w:rsid w:val="005E412E"/>
    <w:rsid w:val="005E4180"/>
    <w:rsid w:val="005E4244"/>
    <w:rsid w:val="005E4529"/>
    <w:rsid w:val="005E45A2"/>
    <w:rsid w:val="005E4632"/>
    <w:rsid w:val="005E4682"/>
    <w:rsid w:val="005E4A0B"/>
    <w:rsid w:val="005E4A0F"/>
    <w:rsid w:val="005E4B57"/>
    <w:rsid w:val="005E4D8C"/>
    <w:rsid w:val="005E4F81"/>
    <w:rsid w:val="005E52DB"/>
    <w:rsid w:val="005E55A2"/>
    <w:rsid w:val="005E56B3"/>
    <w:rsid w:val="005E5715"/>
    <w:rsid w:val="005E5831"/>
    <w:rsid w:val="005E5A3F"/>
    <w:rsid w:val="005E5A55"/>
    <w:rsid w:val="005E5E5F"/>
    <w:rsid w:val="005E632A"/>
    <w:rsid w:val="005E675C"/>
    <w:rsid w:val="005E6EA6"/>
    <w:rsid w:val="005E6F9D"/>
    <w:rsid w:val="005E707C"/>
    <w:rsid w:val="005E711A"/>
    <w:rsid w:val="005E75FC"/>
    <w:rsid w:val="005E76D2"/>
    <w:rsid w:val="005F021F"/>
    <w:rsid w:val="005F041E"/>
    <w:rsid w:val="005F05EE"/>
    <w:rsid w:val="005F06BF"/>
    <w:rsid w:val="005F15D5"/>
    <w:rsid w:val="005F1705"/>
    <w:rsid w:val="005F1882"/>
    <w:rsid w:val="005F1946"/>
    <w:rsid w:val="005F1DC1"/>
    <w:rsid w:val="005F251A"/>
    <w:rsid w:val="005F25EB"/>
    <w:rsid w:val="005F2737"/>
    <w:rsid w:val="005F29DE"/>
    <w:rsid w:val="005F2B57"/>
    <w:rsid w:val="005F2C0D"/>
    <w:rsid w:val="005F31A8"/>
    <w:rsid w:val="005F32C7"/>
    <w:rsid w:val="005F383C"/>
    <w:rsid w:val="005F3841"/>
    <w:rsid w:val="005F384A"/>
    <w:rsid w:val="005F3BB5"/>
    <w:rsid w:val="005F42BE"/>
    <w:rsid w:val="005F4308"/>
    <w:rsid w:val="005F431B"/>
    <w:rsid w:val="005F4527"/>
    <w:rsid w:val="005F48A5"/>
    <w:rsid w:val="005F5111"/>
    <w:rsid w:val="005F51C6"/>
    <w:rsid w:val="005F566D"/>
    <w:rsid w:val="005F5B25"/>
    <w:rsid w:val="005F5C68"/>
    <w:rsid w:val="005F5C83"/>
    <w:rsid w:val="005F5F53"/>
    <w:rsid w:val="005F64E2"/>
    <w:rsid w:val="005F6565"/>
    <w:rsid w:val="005F66F4"/>
    <w:rsid w:val="005F68D3"/>
    <w:rsid w:val="005F693D"/>
    <w:rsid w:val="005F6B33"/>
    <w:rsid w:val="005F6C5C"/>
    <w:rsid w:val="005F743A"/>
    <w:rsid w:val="005F74D6"/>
    <w:rsid w:val="005F757A"/>
    <w:rsid w:val="005F79D6"/>
    <w:rsid w:val="005F7A5B"/>
    <w:rsid w:val="0060002B"/>
    <w:rsid w:val="0060025F"/>
    <w:rsid w:val="006002B8"/>
    <w:rsid w:val="00600681"/>
    <w:rsid w:val="006006EB"/>
    <w:rsid w:val="00600E74"/>
    <w:rsid w:val="00600EC0"/>
    <w:rsid w:val="00600EF2"/>
    <w:rsid w:val="0060118A"/>
    <w:rsid w:val="006011CA"/>
    <w:rsid w:val="0060168B"/>
    <w:rsid w:val="006016A6"/>
    <w:rsid w:val="00601B62"/>
    <w:rsid w:val="00602037"/>
    <w:rsid w:val="00602381"/>
    <w:rsid w:val="00602CCB"/>
    <w:rsid w:val="00602D7A"/>
    <w:rsid w:val="00602E97"/>
    <w:rsid w:val="00603018"/>
    <w:rsid w:val="006030B1"/>
    <w:rsid w:val="00603396"/>
    <w:rsid w:val="006037F5"/>
    <w:rsid w:val="00603869"/>
    <w:rsid w:val="00603906"/>
    <w:rsid w:val="00603A96"/>
    <w:rsid w:val="00604176"/>
    <w:rsid w:val="00604218"/>
    <w:rsid w:val="0060433F"/>
    <w:rsid w:val="00604389"/>
    <w:rsid w:val="00604452"/>
    <w:rsid w:val="00604A2D"/>
    <w:rsid w:val="00604B8D"/>
    <w:rsid w:val="0060504C"/>
    <w:rsid w:val="00605131"/>
    <w:rsid w:val="00605604"/>
    <w:rsid w:val="00605A36"/>
    <w:rsid w:val="00605EE9"/>
    <w:rsid w:val="0060635B"/>
    <w:rsid w:val="006064C4"/>
    <w:rsid w:val="00606D15"/>
    <w:rsid w:val="00606E1B"/>
    <w:rsid w:val="00606E5B"/>
    <w:rsid w:val="00607030"/>
    <w:rsid w:val="006072BC"/>
    <w:rsid w:val="00607578"/>
    <w:rsid w:val="00607A8A"/>
    <w:rsid w:val="00610314"/>
    <w:rsid w:val="00610543"/>
    <w:rsid w:val="0061055F"/>
    <w:rsid w:val="006107D4"/>
    <w:rsid w:val="00610C5B"/>
    <w:rsid w:val="00610D8A"/>
    <w:rsid w:val="00610F4B"/>
    <w:rsid w:val="00610FC4"/>
    <w:rsid w:val="00611587"/>
    <w:rsid w:val="006118EF"/>
    <w:rsid w:val="00611E65"/>
    <w:rsid w:val="006124B1"/>
    <w:rsid w:val="00612592"/>
    <w:rsid w:val="00612A27"/>
    <w:rsid w:val="00612BDE"/>
    <w:rsid w:val="00612DC4"/>
    <w:rsid w:val="0061316C"/>
    <w:rsid w:val="0061327B"/>
    <w:rsid w:val="00613757"/>
    <w:rsid w:val="00613AE0"/>
    <w:rsid w:val="0061416E"/>
    <w:rsid w:val="0061435F"/>
    <w:rsid w:val="006146A7"/>
    <w:rsid w:val="00614740"/>
    <w:rsid w:val="00614BAE"/>
    <w:rsid w:val="00614E08"/>
    <w:rsid w:val="00614F17"/>
    <w:rsid w:val="006150CD"/>
    <w:rsid w:val="00615255"/>
    <w:rsid w:val="00615432"/>
    <w:rsid w:val="006154CA"/>
    <w:rsid w:val="006155C5"/>
    <w:rsid w:val="006158B5"/>
    <w:rsid w:val="00615985"/>
    <w:rsid w:val="0061618B"/>
    <w:rsid w:val="0061632F"/>
    <w:rsid w:val="006164E2"/>
    <w:rsid w:val="00616550"/>
    <w:rsid w:val="006168B6"/>
    <w:rsid w:val="00616A70"/>
    <w:rsid w:val="00616D16"/>
    <w:rsid w:val="00617359"/>
    <w:rsid w:val="00617888"/>
    <w:rsid w:val="006179D2"/>
    <w:rsid w:val="00617A0D"/>
    <w:rsid w:val="00620354"/>
    <w:rsid w:val="006203F2"/>
    <w:rsid w:val="00620402"/>
    <w:rsid w:val="00620427"/>
    <w:rsid w:val="00620473"/>
    <w:rsid w:val="00620826"/>
    <w:rsid w:val="00620CE3"/>
    <w:rsid w:val="00620DE5"/>
    <w:rsid w:val="00620E80"/>
    <w:rsid w:val="006210F6"/>
    <w:rsid w:val="0062115F"/>
    <w:rsid w:val="0062171A"/>
    <w:rsid w:val="006218E4"/>
    <w:rsid w:val="00621B7C"/>
    <w:rsid w:val="00621BEE"/>
    <w:rsid w:val="00621E0D"/>
    <w:rsid w:val="006222DA"/>
    <w:rsid w:val="0062265D"/>
    <w:rsid w:val="006226C2"/>
    <w:rsid w:val="00622772"/>
    <w:rsid w:val="006227A1"/>
    <w:rsid w:val="00622A66"/>
    <w:rsid w:val="00622DE0"/>
    <w:rsid w:val="00622E9B"/>
    <w:rsid w:val="00622F6F"/>
    <w:rsid w:val="00622F85"/>
    <w:rsid w:val="00623455"/>
    <w:rsid w:val="0062349E"/>
    <w:rsid w:val="006236F0"/>
    <w:rsid w:val="00623867"/>
    <w:rsid w:val="006239BF"/>
    <w:rsid w:val="00623B10"/>
    <w:rsid w:val="00623B62"/>
    <w:rsid w:val="00623D1E"/>
    <w:rsid w:val="00624374"/>
    <w:rsid w:val="0062457D"/>
    <w:rsid w:val="0062473D"/>
    <w:rsid w:val="00625296"/>
    <w:rsid w:val="00625384"/>
    <w:rsid w:val="00625713"/>
    <w:rsid w:val="0062590A"/>
    <w:rsid w:val="00625985"/>
    <w:rsid w:val="00625A4F"/>
    <w:rsid w:val="00625AC2"/>
    <w:rsid w:val="00625C67"/>
    <w:rsid w:val="00625D45"/>
    <w:rsid w:val="00625DCF"/>
    <w:rsid w:val="00626168"/>
    <w:rsid w:val="006264B5"/>
    <w:rsid w:val="006266EF"/>
    <w:rsid w:val="006266F8"/>
    <w:rsid w:val="0062672A"/>
    <w:rsid w:val="00626A8A"/>
    <w:rsid w:val="00626C24"/>
    <w:rsid w:val="00626D37"/>
    <w:rsid w:val="00626D91"/>
    <w:rsid w:val="00626D9F"/>
    <w:rsid w:val="00626F0F"/>
    <w:rsid w:val="00626F80"/>
    <w:rsid w:val="0062773F"/>
    <w:rsid w:val="006277AA"/>
    <w:rsid w:val="00627AE4"/>
    <w:rsid w:val="00627C91"/>
    <w:rsid w:val="00627D66"/>
    <w:rsid w:val="00627DB0"/>
    <w:rsid w:val="00627FD1"/>
    <w:rsid w:val="006308C7"/>
    <w:rsid w:val="00630B3D"/>
    <w:rsid w:val="00630BD6"/>
    <w:rsid w:val="00630D83"/>
    <w:rsid w:val="006310D5"/>
    <w:rsid w:val="006312FD"/>
    <w:rsid w:val="006318E9"/>
    <w:rsid w:val="00631988"/>
    <w:rsid w:val="006319B8"/>
    <w:rsid w:val="00631B94"/>
    <w:rsid w:val="00631D2D"/>
    <w:rsid w:val="00631FB3"/>
    <w:rsid w:val="006321F4"/>
    <w:rsid w:val="006322A4"/>
    <w:rsid w:val="0063240E"/>
    <w:rsid w:val="00632540"/>
    <w:rsid w:val="006325AA"/>
    <w:rsid w:val="00632700"/>
    <w:rsid w:val="006328F5"/>
    <w:rsid w:val="00632DCB"/>
    <w:rsid w:val="00632FFB"/>
    <w:rsid w:val="006331CF"/>
    <w:rsid w:val="00633459"/>
    <w:rsid w:val="00633553"/>
    <w:rsid w:val="00633583"/>
    <w:rsid w:val="00633B51"/>
    <w:rsid w:val="00633E18"/>
    <w:rsid w:val="00634072"/>
    <w:rsid w:val="0063427A"/>
    <w:rsid w:val="0063444F"/>
    <w:rsid w:val="006344EC"/>
    <w:rsid w:val="00634669"/>
    <w:rsid w:val="006347F2"/>
    <w:rsid w:val="00634892"/>
    <w:rsid w:val="006348A2"/>
    <w:rsid w:val="006348DD"/>
    <w:rsid w:val="00634937"/>
    <w:rsid w:val="00635371"/>
    <w:rsid w:val="0063544A"/>
    <w:rsid w:val="006354D5"/>
    <w:rsid w:val="0063573D"/>
    <w:rsid w:val="00635B70"/>
    <w:rsid w:val="00635E34"/>
    <w:rsid w:val="00635E37"/>
    <w:rsid w:val="00635FF9"/>
    <w:rsid w:val="006362BA"/>
    <w:rsid w:val="0063645E"/>
    <w:rsid w:val="006366EE"/>
    <w:rsid w:val="0063672A"/>
    <w:rsid w:val="006367EA"/>
    <w:rsid w:val="006369DA"/>
    <w:rsid w:val="006369FC"/>
    <w:rsid w:val="00636C01"/>
    <w:rsid w:val="00636FD4"/>
    <w:rsid w:val="0063723C"/>
    <w:rsid w:val="006374E3"/>
    <w:rsid w:val="0063773C"/>
    <w:rsid w:val="00637822"/>
    <w:rsid w:val="00637A6C"/>
    <w:rsid w:val="00637E29"/>
    <w:rsid w:val="00637FB0"/>
    <w:rsid w:val="0064042E"/>
    <w:rsid w:val="0064047D"/>
    <w:rsid w:val="00640497"/>
    <w:rsid w:val="00640510"/>
    <w:rsid w:val="006406A9"/>
    <w:rsid w:val="00640702"/>
    <w:rsid w:val="00640BE6"/>
    <w:rsid w:val="00640BFC"/>
    <w:rsid w:val="00640DB6"/>
    <w:rsid w:val="0064144E"/>
    <w:rsid w:val="00641551"/>
    <w:rsid w:val="0064175C"/>
    <w:rsid w:val="006419C6"/>
    <w:rsid w:val="00641A50"/>
    <w:rsid w:val="00641D5C"/>
    <w:rsid w:val="00642040"/>
    <w:rsid w:val="006421B6"/>
    <w:rsid w:val="006425D3"/>
    <w:rsid w:val="006426DC"/>
    <w:rsid w:val="00642760"/>
    <w:rsid w:val="00642B9D"/>
    <w:rsid w:val="00642EAE"/>
    <w:rsid w:val="00643049"/>
    <w:rsid w:val="0064321D"/>
    <w:rsid w:val="006440E1"/>
    <w:rsid w:val="006446F3"/>
    <w:rsid w:val="00644A79"/>
    <w:rsid w:val="00644CC4"/>
    <w:rsid w:val="00644EB0"/>
    <w:rsid w:val="00644F9D"/>
    <w:rsid w:val="00644FE8"/>
    <w:rsid w:val="00645429"/>
    <w:rsid w:val="006459BF"/>
    <w:rsid w:val="00645DF8"/>
    <w:rsid w:val="00645EC8"/>
    <w:rsid w:val="006461DD"/>
    <w:rsid w:val="00646283"/>
    <w:rsid w:val="006462E6"/>
    <w:rsid w:val="006468ED"/>
    <w:rsid w:val="00646BF8"/>
    <w:rsid w:val="00646C5B"/>
    <w:rsid w:val="0064714B"/>
    <w:rsid w:val="006471DC"/>
    <w:rsid w:val="0064725E"/>
    <w:rsid w:val="00647391"/>
    <w:rsid w:val="00647938"/>
    <w:rsid w:val="00647BE5"/>
    <w:rsid w:val="00647C6E"/>
    <w:rsid w:val="00647C92"/>
    <w:rsid w:val="00647DC2"/>
    <w:rsid w:val="00647F35"/>
    <w:rsid w:val="00647F8C"/>
    <w:rsid w:val="0065004D"/>
    <w:rsid w:val="00650185"/>
    <w:rsid w:val="00650434"/>
    <w:rsid w:val="006504BD"/>
    <w:rsid w:val="00650507"/>
    <w:rsid w:val="00650766"/>
    <w:rsid w:val="00650A05"/>
    <w:rsid w:val="00650FCF"/>
    <w:rsid w:val="00650FF9"/>
    <w:rsid w:val="00651066"/>
    <w:rsid w:val="0065139F"/>
    <w:rsid w:val="0065158B"/>
    <w:rsid w:val="00651703"/>
    <w:rsid w:val="00651879"/>
    <w:rsid w:val="006518E8"/>
    <w:rsid w:val="006519B5"/>
    <w:rsid w:val="00651B91"/>
    <w:rsid w:val="0065245B"/>
    <w:rsid w:val="00652DCC"/>
    <w:rsid w:val="00653334"/>
    <w:rsid w:val="00653410"/>
    <w:rsid w:val="00653546"/>
    <w:rsid w:val="00653795"/>
    <w:rsid w:val="00653F1A"/>
    <w:rsid w:val="00653FCC"/>
    <w:rsid w:val="006541B8"/>
    <w:rsid w:val="00654229"/>
    <w:rsid w:val="00654437"/>
    <w:rsid w:val="00654474"/>
    <w:rsid w:val="006544AD"/>
    <w:rsid w:val="006544BD"/>
    <w:rsid w:val="006548F2"/>
    <w:rsid w:val="00654B66"/>
    <w:rsid w:val="006551DC"/>
    <w:rsid w:val="006556C8"/>
    <w:rsid w:val="0065591C"/>
    <w:rsid w:val="00655BF2"/>
    <w:rsid w:val="00655D4A"/>
    <w:rsid w:val="006564E1"/>
    <w:rsid w:val="0065664A"/>
    <w:rsid w:val="00656B54"/>
    <w:rsid w:val="006571F0"/>
    <w:rsid w:val="006579E3"/>
    <w:rsid w:val="006579F8"/>
    <w:rsid w:val="006602C8"/>
    <w:rsid w:val="0066034F"/>
    <w:rsid w:val="0066060C"/>
    <w:rsid w:val="00660973"/>
    <w:rsid w:val="00660C32"/>
    <w:rsid w:val="00660D0E"/>
    <w:rsid w:val="00661383"/>
    <w:rsid w:val="00661E14"/>
    <w:rsid w:val="00661F43"/>
    <w:rsid w:val="0066202E"/>
    <w:rsid w:val="0066260B"/>
    <w:rsid w:val="00662793"/>
    <w:rsid w:val="00662B9F"/>
    <w:rsid w:val="00663161"/>
    <w:rsid w:val="00663B93"/>
    <w:rsid w:val="00663CC3"/>
    <w:rsid w:val="00663E85"/>
    <w:rsid w:val="006640EA"/>
    <w:rsid w:val="006641B2"/>
    <w:rsid w:val="006642E4"/>
    <w:rsid w:val="00664799"/>
    <w:rsid w:val="00664814"/>
    <w:rsid w:val="00664ACA"/>
    <w:rsid w:val="00664D08"/>
    <w:rsid w:val="00664F03"/>
    <w:rsid w:val="006654E7"/>
    <w:rsid w:val="006655CD"/>
    <w:rsid w:val="00665B6A"/>
    <w:rsid w:val="00665B95"/>
    <w:rsid w:val="00665C01"/>
    <w:rsid w:val="00665C74"/>
    <w:rsid w:val="00665E56"/>
    <w:rsid w:val="00665E6F"/>
    <w:rsid w:val="00666089"/>
    <w:rsid w:val="00666380"/>
    <w:rsid w:val="00666498"/>
    <w:rsid w:val="0066680D"/>
    <w:rsid w:val="00666D27"/>
    <w:rsid w:val="00666D74"/>
    <w:rsid w:val="00666DD5"/>
    <w:rsid w:val="00667022"/>
    <w:rsid w:val="00667508"/>
    <w:rsid w:val="00667A23"/>
    <w:rsid w:val="00667F23"/>
    <w:rsid w:val="00670C22"/>
    <w:rsid w:val="00670C82"/>
    <w:rsid w:val="00670CD8"/>
    <w:rsid w:val="00670E5E"/>
    <w:rsid w:val="0067105E"/>
    <w:rsid w:val="006714A8"/>
    <w:rsid w:val="0067155A"/>
    <w:rsid w:val="00671ADC"/>
    <w:rsid w:val="00671DC1"/>
    <w:rsid w:val="006720A9"/>
    <w:rsid w:val="006722B9"/>
    <w:rsid w:val="006722C6"/>
    <w:rsid w:val="00672B7E"/>
    <w:rsid w:val="00672FF0"/>
    <w:rsid w:val="0067320F"/>
    <w:rsid w:val="00673617"/>
    <w:rsid w:val="00673785"/>
    <w:rsid w:val="006737AD"/>
    <w:rsid w:val="006738B0"/>
    <w:rsid w:val="00673987"/>
    <w:rsid w:val="00673D68"/>
    <w:rsid w:val="00673E2C"/>
    <w:rsid w:val="0067424C"/>
    <w:rsid w:val="0067453F"/>
    <w:rsid w:val="006745B2"/>
    <w:rsid w:val="006747A2"/>
    <w:rsid w:val="00674940"/>
    <w:rsid w:val="00674B6E"/>
    <w:rsid w:val="00674CEA"/>
    <w:rsid w:val="00674CF5"/>
    <w:rsid w:val="00675001"/>
    <w:rsid w:val="00675122"/>
    <w:rsid w:val="006754D6"/>
    <w:rsid w:val="00675C9F"/>
    <w:rsid w:val="00676595"/>
    <w:rsid w:val="00676678"/>
    <w:rsid w:val="006769D4"/>
    <w:rsid w:val="00676C0C"/>
    <w:rsid w:val="00676D6D"/>
    <w:rsid w:val="0067726B"/>
    <w:rsid w:val="006778B1"/>
    <w:rsid w:val="00677AEC"/>
    <w:rsid w:val="00677FFA"/>
    <w:rsid w:val="00680536"/>
    <w:rsid w:val="0068068C"/>
    <w:rsid w:val="00680768"/>
    <w:rsid w:val="0068089E"/>
    <w:rsid w:val="00680A16"/>
    <w:rsid w:val="00680BBB"/>
    <w:rsid w:val="00680EA8"/>
    <w:rsid w:val="00680F8F"/>
    <w:rsid w:val="00681335"/>
    <w:rsid w:val="00681343"/>
    <w:rsid w:val="006816DC"/>
    <w:rsid w:val="00681864"/>
    <w:rsid w:val="006818C6"/>
    <w:rsid w:val="00681A69"/>
    <w:rsid w:val="00681AC3"/>
    <w:rsid w:val="00681FE0"/>
    <w:rsid w:val="006820B0"/>
    <w:rsid w:val="006820BF"/>
    <w:rsid w:val="0068213F"/>
    <w:rsid w:val="00682173"/>
    <w:rsid w:val="006822C2"/>
    <w:rsid w:val="00682716"/>
    <w:rsid w:val="00682818"/>
    <w:rsid w:val="00682838"/>
    <w:rsid w:val="00682A19"/>
    <w:rsid w:val="00682BED"/>
    <w:rsid w:val="00682C61"/>
    <w:rsid w:val="00682EBF"/>
    <w:rsid w:val="006831A2"/>
    <w:rsid w:val="00683378"/>
    <w:rsid w:val="006838D8"/>
    <w:rsid w:val="00683B42"/>
    <w:rsid w:val="00683CB4"/>
    <w:rsid w:val="00684005"/>
    <w:rsid w:val="0068400E"/>
    <w:rsid w:val="00684859"/>
    <w:rsid w:val="0068492D"/>
    <w:rsid w:val="00684A13"/>
    <w:rsid w:val="006853E2"/>
    <w:rsid w:val="00685603"/>
    <w:rsid w:val="00685F5A"/>
    <w:rsid w:val="006868B7"/>
    <w:rsid w:val="00686C7D"/>
    <w:rsid w:val="00686C86"/>
    <w:rsid w:val="00687495"/>
    <w:rsid w:val="00687A03"/>
    <w:rsid w:val="00687B11"/>
    <w:rsid w:val="00687CFC"/>
    <w:rsid w:val="00687D55"/>
    <w:rsid w:val="00687F61"/>
    <w:rsid w:val="0069046C"/>
    <w:rsid w:val="006907B3"/>
    <w:rsid w:val="00690946"/>
    <w:rsid w:val="00690AEE"/>
    <w:rsid w:val="00690B1B"/>
    <w:rsid w:val="00690CC8"/>
    <w:rsid w:val="00690FF7"/>
    <w:rsid w:val="00691326"/>
    <w:rsid w:val="00691479"/>
    <w:rsid w:val="006917A2"/>
    <w:rsid w:val="00691C50"/>
    <w:rsid w:val="00691C60"/>
    <w:rsid w:val="00691C90"/>
    <w:rsid w:val="00692059"/>
    <w:rsid w:val="00692090"/>
    <w:rsid w:val="00692290"/>
    <w:rsid w:val="006922F1"/>
    <w:rsid w:val="006928DA"/>
    <w:rsid w:val="00692EBD"/>
    <w:rsid w:val="00692FE9"/>
    <w:rsid w:val="00693157"/>
    <w:rsid w:val="006931BE"/>
    <w:rsid w:val="006932F6"/>
    <w:rsid w:val="006935A9"/>
    <w:rsid w:val="00693648"/>
    <w:rsid w:val="006936EB"/>
    <w:rsid w:val="00694095"/>
    <w:rsid w:val="0069410D"/>
    <w:rsid w:val="00694465"/>
    <w:rsid w:val="006944C5"/>
    <w:rsid w:val="006945C3"/>
    <w:rsid w:val="00694906"/>
    <w:rsid w:val="00694C03"/>
    <w:rsid w:val="00694DA1"/>
    <w:rsid w:val="006951DA"/>
    <w:rsid w:val="0069561B"/>
    <w:rsid w:val="00695643"/>
    <w:rsid w:val="00695715"/>
    <w:rsid w:val="00695827"/>
    <w:rsid w:val="00695B41"/>
    <w:rsid w:val="00696267"/>
    <w:rsid w:val="0069637E"/>
    <w:rsid w:val="006963DB"/>
    <w:rsid w:val="0069677E"/>
    <w:rsid w:val="006967AF"/>
    <w:rsid w:val="00696A6F"/>
    <w:rsid w:val="00696D76"/>
    <w:rsid w:val="00696E79"/>
    <w:rsid w:val="00697383"/>
    <w:rsid w:val="00697407"/>
    <w:rsid w:val="006976A4"/>
    <w:rsid w:val="006A0419"/>
    <w:rsid w:val="006A043C"/>
    <w:rsid w:val="006A065B"/>
    <w:rsid w:val="006A06D4"/>
    <w:rsid w:val="006A06F8"/>
    <w:rsid w:val="006A0858"/>
    <w:rsid w:val="006A08BC"/>
    <w:rsid w:val="006A1291"/>
    <w:rsid w:val="006A130D"/>
    <w:rsid w:val="006A13C6"/>
    <w:rsid w:val="006A1494"/>
    <w:rsid w:val="006A1495"/>
    <w:rsid w:val="006A1537"/>
    <w:rsid w:val="006A1673"/>
    <w:rsid w:val="006A194B"/>
    <w:rsid w:val="006A1ABD"/>
    <w:rsid w:val="006A1CE0"/>
    <w:rsid w:val="006A1EB8"/>
    <w:rsid w:val="006A1FB7"/>
    <w:rsid w:val="006A2092"/>
    <w:rsid w:val="006A213A"/>
    <w:rsid w:val="006A28B0"/>
    <w:rsid w:val="006A2B09"/>
    <w:rsid w:val="006A2C10"/>
    <w:rsid w:val="006A3258"/>
    <w:rsid w:val="006A34A2"/>
    <w:rsid w:val="006A3513"/>
    <w:rsid w:val="006A35A5"/>
    <w:rsid w:val="006A3764"/>
    <w:rsid w:val="006A3BEE"/>
    <w:rsid w:val="006A3DF2"/>
    <w:rsid w:val="006A426C"/>
    <w:rsid w:val="006A43AD"/>
    <w:rsid w:val="006A4420"/>
    <w:rsid w:val="006A4575"/>
    <w:rsid w:val="006A4810"/>
    <w:rsid w:val="006A4C5A"/>
    <w:rsid w:val="006A4D9C"/>
    <w:rsid w:val="006A4F68"/>
    <w:rsid w:val="006A5291"/>
    <w:rsid w:val="006A5629"/>
    <w:rsid w:val="006A581A"/>
    <w:rsid w:val="006A5899"/>
    <w:rsid w:val="006A5AFA"/>
    <w:rsid w:val="006A5B0E"/>
    <w:rsid w:val="006A5FB6"/>
    <w:rsid w:val="006A6297"/>
    <w:rsid w:val="006A695C"/>
    <w:rsid w:val="006A6E81"/>
    <w:rsid w:val="006A6FE8"/>
    <w:rsid w:val="006A7150"/>
    <w:rsid w:val="006A715C"/>
    <w:rsid w:val="006A721A"/>
    <w:rsid w:val="006A766C"/>
    <w:rsid w:val="006A7E33"/>
    <w:rsid w:val="006A7F16"/>
    <w:rsid w:val="006B03D1"/>
    <w:rsid w:val="006B073E"/>
    <w:rsid w:val="006B07A3"/>
    <w:rsid w:val="006B0863"/>
    <w:rsid w:val="006B0D45"/>
    <w:rsid w:val="006B0E79"/>
    <w:rsid w:val="006B0FC6"/>
    <w:rsid w:val="006B10BE"/>
    <w:rsid w:val="006B1333"/>
    <w:rsid w:val="006B14A9"/>
    <w:rsid w:val="006B14C3"/>
    <w:rsid w:val="006B1B74"/>
    <w:rsid w:val="006B1C36"/>
    <w:rsid w:val="006B2159"/>
    <w:rsid w:val="006B23A2"/>
    <w:rsid w:val="006B25F3"/>
    <w:rsid w:val="006B2A3C"/>
    <w:rsid w:val="006B2BB7"/>
    <w:rsid w:val="006B2D1D"/>
    <w:rsid w:val="006B2D3A"/>
    <w:rsid w:val="006B35FF"/>
    <w:rsid w:val="006B36F5"/>
    <w:rsid w:val="006B3ABC"/>
    <w:rsid w:val="006B3ABE"/>
    <w:rsid w:val="006B3FB1"/>
    <w:rsid w:val="006B4051"/>
    <w:rsid w:val="006B40E6"/>
    <w:rsid w:val="006B4321"/>
    <w:rsid w:val="006B44C9"/>
    <w:rsid w:val="006B4652"/>
    <w:rsid w:val="006B466A"/>
    <w:rsid w:val="006B4725"/>
    <w:rsid w:val="006B4788"/>
    <w:rsid w:val="006B48A1"/>
    <w:rsid w:val="006B4971"/>
    <w:rsid w:val="006B4F94"/>
    <w:rsid w:val="006B51CC"/>
    <w:rsid w:val="006B53A8"/>
    <w:rsid w:val="006B54A3"/>
    <w:rsid w:val="006B573F"/>
    <w:rsid w:val="006B576B"/>
    <w:rsid w:val="006B5882"/>
    <w:rsid w:val="006B5C01"/>
    <w:rsid w:val="006B5D0B"/>
    <w:rsid w:val="006B5FEE"/>
    <w:rsid w:val="006B647C"/>
    <w:rsid w:val="006B699C"/>
    <w:rsid w:val="006B6CC3"/>
    <w:rsid w:val="006B6D8D"/>
    <w:rsid w:val="006B6EA0"/>
    <w:rsid w:val="006B6F58"/>
    <w:rsid w:val="006B6FE7"/>
    <w:rsid w:val="006B6FF9"/>
    <w:rsid w:val="006B7240"/>
    <w:rsid w:val="006B7282"/>
    <w:rsid w:val="006B72D2"/>
    <w:rsid w:val="006C042B"/>
    <w:rsid w:val="006C05C3"/>
    <w:rsid w:val="006C10C1"/>
    <w:rsid w:val="006C1178"/>
    <w:rsid w:val="006C13B7"/>
    <w:rsid w:val="006C1D11"/>
    <w:rsid w:val="006C2099"/>
    <w:rsid w:val="006C2224"/>
    <w:rsid w:val="006C2462"/>
    <w:rsid w:val="006C2F75"/>
    <w:rsid w:val="006C3020"/>
    <w:rsid w:val="006C3353"/>
    <w:rsid w:val="006C39EB"/>
    <w:rsid w:val="006C3C19"/>
    <w:rsid w:val="006C449F"/>
    <w:rsid w:val="006C477B"/>
    <w:rsid w:val="006C4802"/>
    <w:rsid w:val="006C49AE"/>
    <w:rsid w:val="006C4AE8"/>
    <w:rsid w:val="006C4AFF"/>
    <w:rsid w:val="006C4C15"/>
    <w:rsid w:val="006C4CD2"/>
    <w:rsid w:val="006C4DAC"/>
    <w:rsid w:val="006C4E46"/>
    <w:rsid w:val="006C50D0"/>
    <w:rsid w:val="006C523E"/>
    <w:rsid w:val="006C5247"/>
    <w:rsid w:val="006C5AC4"/>
    <w:rsid w:val="006C5C44"/>
    <w:rsid w:val="006C5F00"/>
    <w:rsid w:val="006C6179"/>
    <w:rsid w:val="006C6993"/>
    <w:rsid w:val="006C7353"/>
    <w:rsid w:val="006C74E5"/>
    <w:rsid w:val="006C750D"/>
    <w:rsid w:val="006C76D8"/>
    <w:rsid w:val="006C7816"/>
    <w:rsid w:val="006C7A1D"/>
    <w:rsid w:val="006C7BBF"/>
    <w:rsid w:val="006C7ED4"/>
    <w:rsid w:val="006D0000"/>
    <w:rsid w:val="006D0282"/>
    <w:rsid w:val="006D0311"/>
    <w:rsid w:val="006D040D"/>
    <w:rsid w:val="006D0B1A"/>
    <w:rsid w:val="006D0C6A"/>
    <w:rsid w:val="006D1359"/>
    <w:rsid w:val="006D1813"/>
    <w:rsid w:val="006D18AB"/>
    <w:rsid w:val="006D1A54"/>
    <w:rsid w:val="006D1B23"/>
    <w:rsid w:val="006D1C25"/>
    <w:rsid w:val="006D1C89"/>
    <w:rsid w:val="006D1F20"/>
    <w:rsid w:val="006D1FD1"/>
    <w:rsid w:val="006D20B5"/>
    <w:rsid w:val="006D2187"/>
    <w:rsid w:val="006D24BD"/>
    <w:rsid w:val="006D297F"/>
    <w:rsid w:val="006D2A15"/>
    <w:rsid w:val="006D2C23"/>
    <w:rsid w:val="006D2DC0"/>
    <w:rsid w:val="006D2F69"/>
    <w:rsid w:val="006D3098"/>
    <w:rsid w:val="006D3105"/>
    <w:rsid w:val="006D312B"/>
    <w:rsid w:val="006D32E9"/>
    <w:rsid w:val="006D3638"/>
    <w:rsid w:val="006D3BBF"/>
    <w:rsid w:val="006D3CC8"/>
    <w:rsid w:val="006D3D03"/>
    <w:rsid w:val="006D3E4A"/>
    <w:rsid w:val="006D4384"/>
    <w:rsid w:val="006D4973"/>
    <w:rsid w:val="006D4B84"/>
    <w:rsid w:val="006D505E"/>
    <w:rsid w:val="006D54E1"/>
    <w:rsid w:val="006D554E"/>
    <w:rsid w:val="006D5A72"/>
    <w:rsid w:val="006D5AF4"/>
    <w:rsid w:val="006D5C2A"/>
    <w:rsid w:val="006D5E50"/>
    <w:rsid w:val="006D5FB6"/>
    <w:rsid w:val="006D626B"/>
    <w:rsid w:val="006D66F9"/>
    <w:rsid w:val="006D6B8A"/>
    <w:rsid w:val="006D6BC6"/>
    <w:rsid w:val="006D73E2"/>
    <w:rsid w:val="006D777E"/>
    <w:rsid w:val="006D77B0"/>
    <w:rsid w:val="006D793F"/>
    <w:rsid w:val="006E012C"/>
    <w:rsid w:val="006E021C"/>
    <w:rsid w:val="006E0585"/>
    <w:rsid w:val="006E07D5"/>
    <w:rsid w:val="006E0AF4"/>
    <w:rsid w:val="006E0D6A"/>
    <w:rsid w:val="006E17CF"/>
    <w:rsid w:val="006E192A"/>
    <w:rsid w:val="006E19A5"/>
    <w:rsid w:val="006E1B5C"/>
    <w:rsid w:val="006E1DE1"/>
    <w:rsid w:val="006E2174"/>
    <w:rsid w:val="006E22F5"/>
    <w:rsid w:val="006E2876"/>
    <w:rsid w:val="006E28D0"/>
    <w:rsid w:val="006E2C3D"/>
    <w:rsid w:val="006E3053"/>
    <w:rsid w:val="006E30D1"/>
    <w:rsid w:val="006E3296"/>
    <w:rsid w:val="006E3DD7"/>
    <w:rsid w:val="006E412C"/>
    <w:rsid w:val="006E423B"/>
    <w:rsid w:val="006E450B"/>
    <w:rsid w:val="006E48EB"/>
    <w:rsid w:val="006E4A16"/>
    <w:rsid w:val="006E4B3C"/>
    <w:rsid w:val="006E4C94"/>
    <w:rsid w:val="006E4F75"/>
    <w:rsid w:val="006E53EF"/>
    <w:rsid w:val="006E5617"/>
    <w:rsid w:val="006E57E2"/>
    <w:rsid w:val="006E5DD9"/>
    <w:rsid w:val="006E623B"/>
    <w:rsid w:val="006E64E1"/>
    <w:rsid w:val="006E64E6"/>
    <w:rsid w:val="006E6F84"/>
    <w:rsid w:val="006E750F"/>
    <w:rsid w:val="006E79B9"/>
    <w:rsid w:val="006E7A39"/>
    <w:rsid w:val="006E7BC6"/>
    <w:rsid w:val="006E7D25"/>
    <w:rsid w:val="006E7DEC"/>
    <w:rsid w:val="006E7DF1"/>
    <w:rsid w:val="006E7E69"/>
    <w:rsid w:val="006F055C"/>
    <w:rsid w:val="006F0A4F"/>
    <w:rsid w:val="006F0E29"/>
    <w:rsid w:val="006F1373"/>
    <w:rsid w:val="006F13EF"/>
    <w:rsid w:val="006F1437"/>
    <w:rsid w:val="006F1E4A"/>
    <w:rsid w:val="006F217C"/>
    <w:rsid w:val="006F22F9"/>
    <w:rsid w:val="006F2304"/>
    <w:rsid w:val="006F2363"/>
    <w:rsid w:val="006F23B2"/>
    <w:rsid w:val="006F2582"/>
    <w:rsid w:val="006F2898"/>
    <w:rsid w:val="006F2B3C"/>
    <w:rsid w:val="006F2D13"/>
    <w:rsid w:val="006F2F12"/>
    <w:rsid w:val="006F2F62"/>
    <w:rsid w:val="006F3123"/>
    <w:rsid w:val="006F31D9"/>
    <w:rsid w:val="006F33A7"/>
    <w:rsid w:val="006F33BB"/>
    <w:rsid w:val="006F3A5F"/>
    <w:rsid w:val="006F3BD7"/>
    <w:rsid w:val="006F3D9C"/>
    <w:rsid w:val="006F3F5A"/>
    <w:rsid w:val="006F3FE4"/>
    <w:rsid w:val="006F3FF9"/>
    <w:rsid w:val="006F40A4"/>
    <w:rsid w:val="006F4568"/>
    <w:rsid w:val="006F4574"/>
    <w:rsid w:val="006F4938"/>
    <w:rsid w:val="006F4A9F"/>
    <w:rsid w:val="006F4AB3"/>
    <w:rsid w:val="006F4B96"/>
    <w:rsid w:val="006F4BDF"/>
    <w:rsid w:val="006F4F19"/>
    <w:rsid w:val="006F5267"/>
    <w:rsid w:val="006F5939"/>
    <w:rsid w:val="006F59A0"/>
    <w:rsid w:val="006F5B2D"/>
    <w:rsid w:val="006F5C73"/>
    <w:rsid w:val="006F5EB1"/>
    <w:rsid w:val="006F62AD"/>
    <w:rsid w:val="006F6A47"/>
    <w:rsid w:val="006F6BA4"/>
    <w:rsid w:val="006F6D44"/>
    <w:rsid w:val="006F6DD2"/>
    <w:rsid w:val="006F6ED3"/>
    <w:rsid w:val="006F7046"/>
    <w:rsid w:val="006F71DD"/>
    <w:rsid w:val="006F761D"/>
    <w:rsid w:val="006F7929"/>
    <w:rsid w:val="007000E7"/>
    <w:rsid w:val="0070028B"/>
    <w:rsid w:val="007002BE"/>
    <w:rsid w:val="007003B2"/>
    <w:rsid w:val="0070062C"/>
    <w:rsid w:val="00700C89"/>
    <w:rsid w:val="00700FAC"/>
    <w:rsid w:val="0070100C"/>
    <w:rsid w:val="00701049"/>
    <w:rsid w:val="00701232"/>
    <w:rsid w:val="007012FD"/>
    <w:rsid w:val="007015A9"/>
    <w:rsid w:val="007015E1"/>
    <w:rsid w:val="007016DF"/>
    <w:rsid w:val="00701AC3"/>
    <w:rsid w:val="00701C27"/>
    <w:rsid w:val="00701F5C"/>
    <w:rsid w:val="00702638"/>
    <w:rsid w:val="007026B7"/>
    <w:rsid w:val="007027DE"/>
    <w:rsid w:val="00702A8B"/>
    <w:rsid w:val="00702C1D"/>
    <w:rsid w:val="00703333"/>
    <w:rsid w:val="007033C3"/>
    <w:rsid w:val="00703823"/>
    <w:rsid w:val="00703922"/>
    <w:rsid w:val="00703A1C"/>
    <w:rsid w:val="00703AFE"/>
    <w:rsid w:val="00703C21"/>
    <w:rsid w:val="00703D78"/>
    <w:rsid w:val="00704130"/>
    <w:rsid w:val="00704822"/>
    <w:rsid w:val="007048B9"/>
    <w:rsid w:val="00704A7C"/>
    <w:rsid w:val="00704BAC"/>
    <w:rsid w:val="00704D80"/>
    <w:rsid w:val="00705394"/>
    <w:rsid w:val="007056F9"/>
    <w:rsid w:val="0070589D"/>
    <w:rsid w:val="00705C4C"/>
    <w:rsid w:val="00705CA6"/>
    <w:rsid w:val="00705D07"/>
    <w:rsid w:val="00705DDE"/>
    <w:rsid w:val="00705E05"/>
    <w:rsid w:val="00705E2B"/>
    <w:rsid w:val="007060AA"/>
    <w:rsid w:val="00706119"/>
    <w:rsid w:val="0070651F"/>
    <w:rsid w:val="00706897"/>
    <w:rsid w:val="00706A5A"/>
    <w:rsid w:val="00706ABF"/>
    <w:rsid w:val="00706B73"/>
    <w:rsid w:val="00706F23"/>
    <w:rsid w:val="007072AB"/>
    <w:rsid w:val="0070746C"/>
    <w:rsid w:val="00707C06"/>
    <w:rsid w:val="00707D9F"/>
    <w:rsid w:val="00707E34"/>
    <w:rsid w:val="00710054"/>
    <w:rsid w:val="007101C3"/>
    <w:rsid w:val="007103BB"/>
    <w:rsid w:val="007104F4"/>
    <w:rsid w:val="007104FB"/>
    <w:rsid w:val="007105BB"/>
    <w:rsid w:val="00710F56"/>
    <w:rsid w:val="00711378"/>
    <w:rsid w:val="0071157F"/>
    <w:rsid w:val="007115EB"/>
    <w:rsid w:val="007116FC"/>
    <w:rsid w:val="007117EC"/>
    <w:rsid w:val="00711D39"/>
    <w:rsid w:val="00711EF2"/>
    <w:rsid w:val="007125F5"/>
    <w:rsid w:val="00712760"/>
    <w:rsid w:val="00713200"/>
    <w:rsid w:val="00713476"/>
    <w:rsid w:val="00713698"/>
    <w:rsid w:val="007137E4"/>
    <w:rsid w:val="007137F4"/>
    <w:rsid w:val="00713C1C"/>
    <w:rsid w:val="00713D7D"/>
    <w:rsid w:val="00713DDC"/>
    <w:rsid w:val="00714262"/>
    <w:rsid w:val="0071427A"/>
    <w:rsid w:val="00714504"/>
    <w:rsid w:val="0071489D"/>
    <w:rsid w:val="00714F26"/>
    <w:rsid w:val="007152DF"/>
    <w:rsid w:val="0071598F"/>
    <w:rsid w:val="007159C1"/>
    <w:rsid w:val="00715D69"/>
    <w:rsid w:val="00715E50"/>
    <w:rsid w:val="007162B7"/>
    <w:rsid w:val="0071660F"/>
    <w:rsid w:val="0071687D"/>
    <w:rsid w:val="00716F08"/>
    <w:rsid w:val="00717670"/>
    <w:rsid w:val="00717798"/>
    <w:rsid w:val="00717B78"/>
    <w:rsid w:val="00717BF0"/>
    <w:rsid w:val="00717F76"/>
    <w:rsid w:val="00720038"/>
    <w:rsid w:val="0072046E"/>
    <w:rsid w:val="0072067B"/>
    <w:rsid w:val="007206D4"/>
    <w:rsid w:val="00720913"/>
    <w:rsid w:val="00720CF7"/>
    <w:rsid w:val="00720FB4"/>
    <w:rsid w:val="0072115B"/>
    <w:rsid w:val="00721387"/>
    <w:rsid w:val="00721C34"/>
    <w:rsid w:val="007221A6"/>
    <w:rsid w:val="0072229C"/>
    <w:rsid w:val="007222C6"/>
    <w:rsid w:val="007229FA"/>
    <w:rsid w:val="00722C3E"/>
    <w:rsid w:val="00722EC1"/>
    <w:rsid w:val="007232B6"/>
    <w:rsid w:val="00723304"/>
    <w:rsid w:val="0072335F"/>
    <w:rsid w:val="007233E4"/>
    <w:rsid w:val="00723435"/>
    <w:rsid w:val="007235DB"/>
    <w:rsid w:val="0072363E"/>
    <w:rsid w:val="0072371C"/>
    <w:rsid w:val="00723A80"/>
    <w:rsid w:val="00723AE7"/>
    <w:rsid w:val="00723B6D"/>
    <w:rsid w:val="0072413D"/>
    <w:rsid w:val="00724258"/>
    <w:rsid w:val="0072454E"/>
    <w:rsid w:val="007246D3"/>
    <w:rsid w:val="00724C59"/>
    <w:rsid w:val="00725153"/>
    <w:rsid w:val="007258EF"/>
    <w:rsid w:val="00725957"/>
    <w:rsid w:val="007259B0"/>
    <w:rsid w:val="007259DF"/>
    <w:rsid w:val="00725F8C"/>
    <w:rsid w:val="00726045"/>
    <w:rsid w:val="007261F5"/>
    <w:rsid w:val="0072627C"/>
    <w:rsid w:val="007265E0"/>
    <w:rsid w:val="007268B6"/>
    <w:rsid w:val="007268EA"/>
    <w:rsid w:val="00726A82"/>
    <w:rsid w:val="00726F50"/>
    <w:rsid w:val="007270BE"/>
    <w:rsid w:val="007272FE"/>
    <w:rsid w:val="007274F8"/>
    <w:rsid w:val="0072754A"/>
    <w:rsid w:val="00727699"/>
    <w:rsid w:val="007277F3"/>
    <w:rsid w:val="00727949"/>
    <w:rsid w:val="0072798A"/>
    <w:rsid w:val="00727D8F"/>
    <w:rsid w:val="00730286"/>
    <w:rsid w:val="0073031F"/>
    <w:rsid w:val="0073101D"/>
    <w:rsid w:val="00731835"/>
    <w:rsid w:val="00731B69"/>
    <w:rsid w:val="00731C75"/>
    <w:rsid w:val="00731C7C"/>
    <w:rsid w:val="00731D18"/>
    <w:rsid w:val="00731E28"/>
    <w:rsid w:val="00731E57"/>
    <w:rsid w:val="00732636"/>
    <w:rsid w:val="007326BD"/>
    <w:rsid w:val="007326FE"/>
    <w:rsid w:val="00732ED9"/>
    <w:rsid w:val="00732F7D"/>
    <w:rsid w:val="007331E8"/>
    <w:rsid w:val="00733529"/>
    <w:rsid w:val="0073388C"/>
    <w:rsid w:val="007338BE"/>
    <w:rsid w:val="00733C21"/>
    <w:rsid w:val="00733C52"/>
    <w:rsid w:val="00733DCF"/>
    <w:rsid w:val="0073402E"/>
    <w:rsid w:val="00734122"/>
    <w:rsid w:val="0073436A"/>
    <w:rsid w:val="00734740"/>
    <w:rsid w:val="00734F18"/>
    <w:rsid w:val="00734FCF"/>
    <w:rsid w:val="0073541D"/>
    <w:rsid w:val="007356A4"/>
    <w:rsid w:val="0073583A"/>
    <w:rsid w:val="0073585D"/>
    <w:rsid w:val="007359F3"/>
    <w:rsid w:val="00735B59"/>
    <w:rsid w:val="00735BEA"/>
    <w:rsid w:val="00736439"/>
    <w:rsid w:val="0073675A"/>
    <w:rsid w:val="00736A5E"/>
    <w:rsid w:val="00736DF0"/>
    <w:rsid w:val="00736E87"/>
    <w:rsid w:val="00737297"/>
    <w:rsid w:val="00737577"/>
    <w:rsid w:val="007375D0"/>
    <w:rsid w:val="00737649"/>
    <w:rsid w:val="00737688"/>
    <w:rsid w:val="00737A9D"/>
    <w:rsid w:val="00740082"/>
    <w:rsid w:val="00740095"/>
    <w:rsid w:val="007403CA"/>
    <w:rsid w:val="00740479"/>
    <w:rsid w:val="00740518"/>
    <w:rsid w:val="00740B82"/>
    <w:rsid w:val="00740C32"/>
    <w:rsid w:val="00740DB0"/>
    <w:rsid w:val="00740F4D"/>
    <w:rsid w:val="007410B3"/>
    <w:rsid w:val="007410EA"/>
    <w:rsid w:val="0074144F"/>
    <w:rsid w:val="00741599"/>
    <w:rsid w:val="00741719"/>
    <w:rsid w:val="00741726"/>
    <w:rsid w:val="007418FF"/>
    <w:rsid w:val="00741B81"/>
    <w:rsid w:val="00742B73"/>
    <w:rsid w:val="00742E49"/>
    <w:rsid w:val="0074350D"/>
    <w:rsid w:val="00743639"/>
    <w:rsid w:val="007438C8"/>
    <w:rsid w:val="00743944"/>
    <w:rsid w:val="00743E89"/>
    <w:rsid w:val="007440CB"/>
    <w:rsid w:val="0074425B"/>
    <w:rsid w:val="00744448"/>
    <w:rsid w:val="00744771"/>
    <w:rsid w:val="0074484B"/>
    <w:rsid w:val="007449E9"/>
    <w:rsid w:val="00744AAF"/>
    <w:rsid w:val="00744B3B"/>
    <w:rsid w:val="00744E08"/>
    <w:rsid w:val="00744EAF"/>
    <w:rsid w:val="00744F6D"/>
    <w:rsid w:val="00745489"/>
    <w:rsid w:val="00745704"/>
    <w:rsid w:val="00745A80"/>
    <w:rsid w:val="00745B94"/>
    <w:rsid w:val="00745C15"/>
    <w:rsid w:val="00745D46"/>
    <w:rsid w:val="00745D8A"/>
    <w:rsid w:val="00745E05"/>
    <w:rsid w:val="007464C5"/>
    <w:rsid w:val="007465AD"/>
    <w:rsid w:val="00746755"/>
    <w:rsid w:val="0074676B"/>
    <w:rsid w:val="007468E2"/>
    <w:rsid w:val="00746CC8"/>
    <w:rsid w:val="00746D4E"/>
    <w:rsid w:val="00746E29"/>
    <w:rsid w:val="00746EDE"/>
    <w:rsid w:val="00746F42"/>
    <w:rsid w:val="007472B5"/>
    <w:rsid w:val="0074771B"/>
    <w:rsid w:val="00747727"/>
    <w:rsid w:val="00747B75"/>
    <w:rsid w:val="00747BF2"/>
    <w:rsid w:val="00747D7D"/>
    <w:rsid w:val="00747DD5"/>
    <w:rsid w:val="00747F9F"/>
    <w:rsid w:val="00750028"/>
    <w:rsid w:val="007500F1"/>
    <w:rsid w:val="0075010F"/>
    <w:rsid w:val="00750167"/>
    <w:rsid w:val="00750170"/>
    <w:rsid w:val="00750880"/>
    <w:rsid w:val="00750885"/>
    <w:rsid w:val="00750B8B"/>
    <w:rsid w:val="0075139C"/>
    <w:rsid w:val="007514D1"/>
    <w:rsid w:val="0075159F"/>
    <w:rsid w:val="00751D4B"/>
    <w:rsid w:val="00751DB9"/>
    <w:rsid w:val="00752903"/>
    <w:rsid w:val="00752DE3"/>
    <w:rsid w:val="00752EEA"/>
    <w:rsid w:val="0075321F"/>
    <w:rsid w:val="007532C8"/>
    <w:rsid w:val="00753313"/>
    <w:rsid w:val="00753372"/>
    <w:rsid w:val="0075344F"/>
    <w:rsid w:val="00753470"/>
    <w:rsid w:val="00753ABD"/>
    <w:rsid w:val="00753D4C"/>
    <w:rsid w:val="00753E09"/>
    <w:rsid w:val="00753E71"/>
    <w:rsid w:val="00753E88"/>
    <w:rsid w:val="00754083"/>
    <w:rsid w:val="00754764"/>
    <w:rsid w:val="007549C1"/>
    <w:rsid w:val="00754A1B"/>
    <w:rsid w:val="00754DF7"/>
    <w:rsid w:val="00755254"/>
    <w:rsid w:val="0075528B"/>
    <w:rsid w:val="0075550A"/>
    <w:rsid w:val="007556AD"/>
    <w:rsid w:val="00755ED3"/>
    <w:rsid w:val="0075600D"/>
    <w:rsid w:val="00756050"/>
    <w:rsid w:val="00756774"/>
    <w:rsid w:val="00756802"/>
    <w:rsid w:val="00756A63"/>
    <w:rsid w:val="00756CE1"/>
    <w:rsid w:val="00756F37"/>
    <w:rsid w:val="00757436"/>
    <w:rsid w:val="00757542"/>
    <w:rsid w:val="00757829"/>
    <w:rsid w:val="0075788F"/>
    <w:rsid w:val="007578E8"/>
    <w:rsid w:val="00757E16"/>
    <w:rsid w:val="00757E49"/>
    <w:rsid w:val="0076083B"/>
    <w:rsid w:val="007609D2"/>
    <w:rsid w:val="00760A0C"/>
    <w:rsid w:val="00760AAD"/>
    <w:rsid w:val="00760C8E"/>
    <w:rsid w:val="00760D4F"/>
    <w:rsid w:val="00760DEF"/>
    <w:rsid w:val="007613B5"/>
    <w:rsid w:val="0076167A"/>
    <w:rsid w:val="00761799"/>
    <w:rsid w:val="00761804"/>
    <w:rsid w:val="00762048"/>
    <w:rsid w:val="00762217"/>
    <w:rsid w:val="00762B71"/>
    <w:rsid w:val="00762DF0"/>
    <w:rsid w:val="00763141"/>
    <w:rsid w:val="00763184"/>
    <w:rsid w:val="007631A6"/>
    <w:rsid w:val="007631EC"/>
    <w:rsid w:val="00763B69"/>
    <w:rsid w:val="00763CED"/>
    <w:rsid w:val="00763E09"/>
    <w:rsid w:val="007642F2"/>
    <w:rsid w:val="00764546"/>
    <w:rsid w:val="007647ED"/>
    <w:rsid w:val="007648B9"/>
    <w:rsid w:val="00764B32"/>
    <w:rsid w:val="00764D35"/>
    <w:rsid w:val="00764EA4"/>
    <w:rsid w:val="00764FDC"/>
    <w:rsid w:val="00765A0B"/>
    <w:rsid w:val="00765D28"/>
    <w:rsid w:val="00765DC8"/>
    <w:rsid w:val="007664EC"/>
    <w:rsid w:val="00766A20"/>
    <w:rsid w:val="00766B52"/>
    <w:rsid w:val="00766DB0"/>
    <w:rsid w:val="007671A2"/>
    <w:rsid w:val="007672D2"/>
    <w:rsid w:val="007675C6"/>
    <w:rsid w:val="007679A5"/>
    <w:rsid w:val="00767BB4"/>
    <w:rsid w:val="00767C32"/>
    <w:rsid w:val="00767CF3"/>
    <w:rsid w:val="00767D3B"/>
    <w:rsid w:val="00767E18"/>
    <w:rsid w:val="00770398"/>
    <w:rsid w:val="0077055B"/>
    <w:rsid w:val="00770E1F"/>
    <w:rsid w:val="00771343"/>
    <w:rsid w:val="007717A4"/>
    <w:rsid w:val="00771B3D"/>
    <w:rsid w:val="007722F8"/>
    <w:rsid w:val="00772437"/>
    <w:rsid w:val="00772D5A"/>
    <w:rsid w:val="00772DB1"/>
    <w:rsid w:val="00772FEB"/>
    <w:rsid w:val="0077304C"/>
    <w:rsid w:val="00773474"/>
    <w:rsid w:val="00773813"/>
    <w:rsid w:val="0077391A"/>
    <w:rsid w:val="00773FE7"/>
    <w:rsid w:val="007740BE"/>
    <w:rsid w:val="007741D1"/>
    <w:rsid w:val="0077426A"/>
    <w:rsid w:val="007743C7"/>
    <w:rsid w:val="00774517"/>
    <w:rsid w:val="007748EE"/>
    <w:rsid w:val="00774D9C"/>
    <w:rsid w:val="00774EA3"/>
    <w:rsid w:val="0077502F"/>
    <w:rsid w:val="00775078"/>
    <w:rsid w:val="00775416"/>
    <w:rsid w:val="00775AA6"/>
    <w:rsid w:val="00775E0D"/>
    <w:rsid w:val="00775F25"/>
    <w:rsid w:val="007760E9"/>
    <w:rsid w:val="00776288"/>
    <w:rsid w:val="00776A03"/>
    <w:rsid w:val="00776AA8"/>
    <w:rsid w:val="0077719C"/>
    <w:rsid w:val="007775EB"/>
    <w:rsid w:val="007776BC"/>
    <w:rsid w:val="0077777D"/>
    <w:rsid w:val="007779D3"/>
    <w:rsid w:val="00777D74"/>
    <w:rsid w:val="00780264"/>
    <w:rsid w:val="007802EF"/>
    <w:rsid w:val="0078033D"/>
    <w:rsid w:val="00780637"/>
    <w:rsid w:val="007806F0"/>
    <w:rsid w:val="00780874"/>
    <w:rsid w:val="00780886"/>
    <w:rsid w:val="007810A5"/>
    <w:rsid w:val="007811A7"/>
    <w:rsid w:val="00781211"/>
    <w:rsid w:val="007815E6"/>
    <w:rsid w:val="007819AF"/>
    <w:rsid w:val="00781F78"/>
    <w:rsid w:val="0078201A"/>
    <w:rsid w:val="0078206F"/>
    <w:rsid w:val="0078252E"/>
    <w:rsid w:val="007825E4"/>
    <w:rsid w:val="0078271E"/>
    <w:rsid w:val="00782896"/>
    <w:rsid w:val="0078369D"/>
    <w:rsid w:val="0078397C"/>
    <w:rsid w:val="00784262"/>
    <w:rsid w:val="007849EC"/>
    <w:rsid w:val="00784A35"/>
    <w:rsid w:val="00784FC8"/>
    <w:rsid w:val="0078537D"/>
    <w:rsid w:val="00785391"/>
    <w:rsid w:val="00785524"/>
    <w:rsid w:val="007858AF"/>
    <w:rsid w:val="00785DEC"/>
    <w:rsid w:val="0078606B"/>
    <w:rsid w:val="00786119"/>
    <w:rsid w:val="0078614E"/>
    <w:rsid w:val="0078646C"/>
    <w:rsid w:val="007864E9"/>
    <w:rsid w:val="007865BF"/>
    <w:rsid w:val="007867CA"/>
    <w:rsid w:val="00786995"/>
    <w:rsid w:val="00786B00"/>
    <w:rsid w:val="00786B51"/>
    <w:rsid w:val="00786E67"/>
    <w:rsid w:val="00786EBE"/>
    <w:rsid w:val="00786EF8"/>
    <w:rsid w:val="00786F8B"/>
    <w:rsid w:val="00787134"/>
    <w:rsid w:val="0078719D"/>
    <w:rsid w:val="0078743E"/>
    <w:rsid w:val="0078770A"/>
    <w:rsid w:val="007878B2"/>
    <w:rsid w:val="00787910"/>
    <w:rsid w:val="00787B62"/>
    <w:rsid w:val="0079046F"/>
    <w:rsid w:val="00790A0F"/>
    <w:rsid w:val="00790CA2"/>
    <w:rsid w:val="00790D11"/>
    <w:rsid w:val="00790E91"/>
    <w:rsid w:val="0079145F"/>
    <w:rsid w:val="0079169D"/>
    <w:rsid w:val="00791AB4"/>
    <w:rsid w:val="00791E63"/>
    <w:rsid w:val="00792067"/>
    <w:rsid w:val="007920AB"/>
    <w:rsid w:val="007921C3"/>
    <w:rsid w:val="00792225"/>
    <w:rsid w:val="007925CD"/>
    <w:rsid w:val="007927A9"/>
    <w:rsid w:val="0079283B"/>
    <w:rsid w:val="00792E74"/>
    <w:rsid w:val="00793679"/>
    <w:rsid w:val="0079380D"/>
    <w:rsid w:val="007939AF"/>
    <w:rsid w:val="007939CB"/>
    <w:rsid w:val="00793D24"/>
    <w:rsid w:val="0079413D"/>
    <w:rsid w:val="007942A1"/>
    <w:rsid w:val="0079440D"/>
    <w:rsid w:val="0079447A"/>
    <w:rsid w:val="0079455C"/>
    <w:rsid w:val="007945AA"/>
    <w:rsid w:val="007947D2"/>
    <w:rsid w:val="00794AE5"/>
    <w:rsid w:val="00794C08"/>
    <w:rsid w:val="00794D7D"/>
    <w:rsid w:val="00794F10"/>
    <w:rsid w:val="00795115"/>
    <w:rsid w:val="00795133"/>
    <w:rsid w:val="0079536F"/>
    <w:rsid w:val="00795752"/>
    <w:rsid w:val="007959CC"/>
    <w:rsid w:val="00795A12"/>
    <w:rsid w:val="00795AA3"/>
    <w:rsid w:val="00795CCC"/>
    <w:rsid w:val="00795D07"/>
    <w:rsid w:val="0079628A"/>
    <w:rsid w:val="00796714"/>
    <w:rsid w:val="0079681A"/>
    <w:rsid w:val="0079697D"/>
    <w:rsid w:val="00796C86"/>
    <w:rsid w:val="00796FC9"/>
    <w:rsid w:val="0079760E"/>
    <w:rsid w:val="00797617"/>
    <w:rsid w:val="007978A0"/>
    <w:rsid w:val="00797A4E"/>
    <w:rsid w:val="00797A50"/>
    <w:rsid w:val="00797C95"/>
    <w:rsid w:val="007A0204"/>
    <w:rsid w:val="007A031E"/>
    <w:rsid w:val="007A041D"/>
    <w:rsid w:val="007A0B34"/>
    <w:rsid w:val="007A0C39"/>
    <w:rsid w:val="007A0C97"/>
    <w:rsid w:val="007A0D1C"/>
    <w:rsid w:val="007A0D8C"/>
    <w:rsid w:val="007A1441"/>
    <w:rsid w:val="007A1585"/>
    <w:rsid w:val="007A1B9D"/>
    <w:rsid w:val="007A1DB1"/>
    <w:rsid w:val="007A2501"/>
    <w:rsid w:val="007A2989"/>
    <w:rsid w:val="007A2A40"/>
    <w:rsid w:val="007A2B2C"/>
    <w:rsid w:val="007A2B87"/>
    <w:rsid w:val="007A2F45"/>
    <w:rsid w:val="007A2F54"/>
    <w:rsid w:val="007A314B"/>
    <w:rsid w:val="007A328B"/>
    <w:rsid w:val="007A36BD"/>
    <w:rsid w:val="007A3E17"/>
    <w:rsid w:val="007A3F27"/>
    <w:rsid w:val="007A3F4B"/>
    <w:rsid w:val="007A4271"/>
    <w:rsid w:val="007A4584"/>
    <w:rsid w:val="007A4F12"/>
    <w:rsid w:val="007A51B6"/>
    <w:rsid w:val="007A53B3"/>
    <w:rsid w:val="007A54C0"/>
    <w:rsid w:val="007A54C9"/>
    <w:rsid w:val="007A561D"/>
    <w:rsid w:val="007A5743"/>
    <w:rsid w:val="007A5A58"/>
    <w:rsid w:val="007A5AB2"/>
    <w:rsid w:val="007A5BB4"/>
    <w:rsid w:val="007A6030"/>
    <w:rsid w:val="007A607C"/>
    <w:rsid w:val="007A622B"/>
    <w:rsid w:val="007A63F5"/>
    <w:rsid w:val="007A6529"/>
    <w:rsid w:val="007A69C8"/>
    <w:rsid w:val="007A708F"/>
    <w:rsid w:val="007A73AD"/>
    <w:rsid w:val="007A73BD"/>
    <w:rsid w:val="007A74E9"/>
    <w:rsid w:val="007A76EF"/>
    <w:rsid w:val="007A7D7A"/>
    <w:rsid w:val="007A7DE4"/>
    <w:rsid w:val="007A7F89"/>
    <w:rsid w:val="007B04DF"/>
    <w:rsid w:val="007B0856"/>
    <w:rsid w:val="007B0893"/>
    <w:rsid w:val="007B122A"/>
    <w:rsid w:val="007B1555"/>
    <w:rsid w:val="007B1843"/>
    <w:rsid w:val="007B184F"/>
    <w:rsid w:val="007B1928"/>
    <w:rsid w:val="007B19F8"/>
    <w:rsid w:val="007B1D72"/>
    <w:rsid w:val="007B1F3C"/>
    <w:rsid w:val="007B2026"/>
    <w:rsid w:val="007B20B8"/>
    <w:rsid w:val="007B2955"/>
    <w:rsid w:val="007B296F"/>
    <w:rsid w:val="007B2B55"/>
    <w:rsid w:val="007B2BAE"/>
    <w:rsid w:val="007B2C6A"/>
    <w:rsid w:val="007B2E28"/>
    <w:rsid w:val="007B2F62"/>
    <w:rsid w:val="007B2FBA"/>
    <w:rsid w:val="007B308B"/>
    <w:rsid w:val="007B309A"/>
    <w:rsid w:val="007B3845"/>
    <w:rsid w:val="007B3C29"/>
    <w:rsid w:val="007B3F57"/>
    <w:rsid w:val="007B40B1"/>
    <w:rsid w:val="007B4151"/>
    <w:rsid w:val="007B47B7"/>
    <w:rsid w:val="007B48A7"/>
    <w:rsid w:val="007B4E2F"/>
    <w:rsid w:val="007B5259"/>
    <w:rsid w:val="007B52D9"/>
    <w:rsid w:val="007B5311"/>
    <w:rsid w:val="007B5537"/>
    <w:rsid w:val="007B55B9"/>
    <w:rsid w:val="007B57D3"/>
    <w:rsid w:val="007B588E"/>
    <w:rsid w:val="007B59EB"/>
    <w:rsid w:val="007B5D6E"/>
    <w:rsid w:val="007B5E88"/>
    <w:rsid w:val="007B5F20"/>
    <w:rsid w:val="007B6036"/>
    <w:rsid w:val="007B604E"/>
    <w:rsid w:val="007B6301"/>
    <w:rsid w:val="007B633F"/>
    <w:rsid w:val="007B6787"/>
    <w:rsid w:val="007B6B47"/>
    <w:rsid w:val="007B72AC"/>
    <w:rsid w:val="007B7C2E"/>
    <w:rsid w:val="007B7DB8"/>
    <w:rsid w:val="007C0067"/>
    <w:rsid w:val="007C034F"/>
    <w:rsid w:val="007C03E4"/>
    <w:rsid w:val="007C0682"/>
    <w:rsid w:val="007C08B8"/>
    <w:rsid w:val="007C0A25"/>
    <w:rsid w:val="007C0FCB"/>
    <w:rsid w:val="007C10E7"/>
    <w:rsid w:val="007C123D"/>
    <w:rsid w:val="007C1259"/>
    <w:rsid w:val="007C13DF"/>
    <w:rsid w:val="007C1885"/>
    <w:rsid w:val="007C1A0D"/>
    <w:rsid w:val="007C1ADD"/>
    <w:rsid w:val="007C1C0C"/>
    <w:rsid w:val="007C20F7"/>
    <w:rsid w:val="007C24B1"/>
    <w:rsid w:val="007C2D37"/>
    <w:rsid w:val="007C3414"/>
    <w:rsid w:val="007C352B"/>
    <w:rsid w:val="007C3A01"/>
    <w:rsid w:val="007C3C08"/>
    <w:rsid w:val="007C42B3"/>
    <w:rsid w:val="007C42C4"/>
    <w:rsid w:val="007C4563"/>
    <w:rsid w:val="007C4C38"/>
    <w:rsid w:val="007C5041"/>
    <w:rsid w:val="007C5193"/>
    <w:rsid w:val="007C53DC"/>
    <w:rsid w:val="007C541C"/>
    <w:rsid w:val="007C541F"/>
    <w:rsid w:val="007C54D2"/>
    <w:rsid w:val="007C55EC"/>
    <w:rsid w:val="007C5615"/>
    <w:rsid w:val="007C57D1"/>
    <w:rsid w:val="007C5C2D"/>
    <w:rsid w:val="007C62EF"/>
    <w:rsid w:val="007C6C0A"/>
    <w:rsid w:val="007C6E0E"/>
    <w:rsid w:val="007C730B"/>
    <w:rsid w:val="007C743D"/>
    <w:rsid w:val="007C7528"/>
    <w:rsid w:val="007C7678"/>
    <w:rsid w:val="007C77B5"/>
    <w:rsid w:val="007C7A9B"/>
    <w:rsid w:val="007C7AA5"/>
    <w:rsid w:val="007D0A67"/>
    <w:rsid w:val="007D0B8B"/>
    <w:rsid w:val="007D1438"/>
    <w:rsid w:val="007D15B1"/>
    <w:rsid w:val="007D1712"/>
    <w:rsid w:val="007D1905"/>
    <w:rsid w:val="007D1C1F"/>
    <w:rsid w:val="007D1CBC"/>
    <w:rsid w:val="007D1DA9"/>
    <w:rsid w:val="007D1DE8"/>
    <w:rsid w:val="007D2672"/>
    <w:rsid w:val="007D271D"/>
    <w:rsid w:val="007D279A"/>
    <w:rsid w:val="007D2904"/>
    <w:rsid w:val="007D293A"/>
    <w:rsid w:val="007D2DEA"/>
    <w:rsid w:val="007D2FFA"/>
    <w:rsid w:val="007D31E7"/>
    <w:rsid w:val="007D3265"/>
    <w:rsid w:val="007D329F"/>
    <w:rsid w:val="007D3437"/>
    <w:rsid w:val="007D34E8"/>
    <w:rsid w:val="007D3526"/>
    <w:rsid w:val="007D38B7"/>
    <w:rsid w:val="007D3E08"/>
    <w:rsid w:val="007D42B1"/>
    <w:rsid w:val="007D4CE5"/>
    <w:rsid w:val="007D4E07"/>
    <w:rsid w:val="007D4FD0"/>
    <w:rsid w:val="007D5045"/>
    <w:rsid w:val="007D5160"/>
    <w:rsid w:val="007D544E"/>
    <w:rsid w:val="007D597A"/>
    <w:rsid w:val="007D5C40"/>
    <w:rsid w:val="007D5F83"/>
    <w:rsid w:val="007D649D"/>
    <w:rsid w:val="007D6665"/>
    <w:rsid w:val="007D675B"/>
    <w:rsid w:val="007D6DEC"/>
    <w:rsid w:val="007D71B4"/>
    <w:rsid w:val="007D7765"/>
    <w:rsid w:val="007D7AC0"/>
    <w:rsid w:val="007D7B41"/>
    <w:rsid w:val="007D7F28"/>
    <w:rsid w:val="007E044C"/>
    <w:rsid w:val="007E05DD"/>
    <w:rsid w:val="007E06BE"/>
    <w:rsid w:val="007E0AB8"/>
    <w:rsid w:val="007E0D54"/>
    <w:rsid w:val="007E0DEF"/>
    <w:rsid w:val="007E0EA8"/>
    <w:rsid w:val="007E1654"/>
    <w:rsid w:val="007E1B3B"/>
    <w:rsid w:val="007E1BFC"/>
    <w:rsid w:val="007E1C68"/>
    <w:rsid w:val="007E1DD2"/>
    <w:rsid w:val="007E1F30"/>
    <w:rsid w:val="007E21A3"/>
    <w:rsid w:val="007E220E"/>
    <w:rsid w:val="007E277C"/>
    <w:rsid w:val="007E27F0"/>
    <w:rsid w:val="007E28B5"/>
    <w:rsid w:val="007E28D6"/>
    <w:rsid w:val="007E2A43"/>
    <w:rsid w:val="007E314F"/>
    <w:rsid w:val="007E32BB"/>
    <w:rsid w:val="007E35B4"/>
    <w:rsid w:val="007E3844"/>
    <w:rsid w:val="007E39BB"/>
    <w:rsid w:val="007E3DE0"/>
    <w:rsid w:val="007E4633"/>
    <w:rsid w:val="007E463B"/>
    <w:rsid w:val="007E4D51"/>
    <w:rsid w:val="007E4E85"/>
    <w:rsid w:val="007E50B6"/>
    <w:rsid w:val="007E524C"/>
    <w:rsid w:val="007E5489"/>
    <w:rsid w:val="007E57A8"/>
    <w:rsid w:val="007E5B12"/>
    <w:rsid w:val="007E5BDA"/>
    <w:rsid w:val="007E5C8E"/>
    <w:rsid w:val="007E5CE5"/>
    <w:rsid w:val="007E5D1A"/>
    <w:rsid w:val="007E648F"/>
    <w:rsid w:val="007E67F1"/>
    <w:rsid w:val="007E6B77"/>
    <w:rsid w:val="007E6F36"/>
    <w:rsid w:val="007E725C"/>
    <w:rsid w:val="007E72C0"/>
    <w:rsid w:val="007E77FB"/>
    <w:rsid w:val="007F013C"/>
    <w:rsid w:val="007F065B"/>
    <w:rsid w:val="007F0853"/>
    <w:rsid w:val="007F08D8"/>
    <w:rsid w:val="007F0AE8"/>
    <w:rsid w:val="007F0BC4"/>
    <w:rsid w:val="007F10D7"/>
    <w:rsid w:val="007F1341"/>
    <w:rsid w:val="007F1408"/>
    <w:rsid w:val="007F1562"/>
    <w:rsid w:val="007F1653"/>
    <w:rsid w:val="007F1743"/>
    <w:rsid w:val="007F1820"/>
    <w:rsid w:val="007F1828"/>
    <w:rsid w:val="007F19BF"/>
    <w:rsid w:val="007F1B1A"/>
    <w:rsid w:val="007F1BA4"/>
    <w:rsid w:val="007F1BBD"/>
    <w:rsid w:val="007F1BD1"/>
    <w:rsid w:val="007F1DEC"/>
    <w:rsid w:val="007F2101"/>
    <w:rsid w:val="007F2307"/>
    <w:rsid w:val="007F2701"/>
    <w:rsid w:val="007F2BE4"/>
    <w:rsid w:val="007F2D00"/>
    <w:rsid w:val="007F315D"/>
    <w:rsid w:val="007F3206"/>
    <w:rsid w:val="007F33FA"/>
    <w:rsid w:val="007F34D0"/>
    <w:rsid w:val="007F34FA"/>
    <w:rsid w:val="007F3546"/>
    <w:rsid w:val="007F35C4"/>
    <w:rsid w:val="007F40C9"/>
    <w:rsid w:val="007F417B"/>
    <w:rsid w:val="007F42CD"/>
    <w:rsid w:val="007F46F3"/>
    <w:rsid w:val="007F493D"/>
    <w:rsid w:val="007F4C07"/>
    <w:rsid w:val="007F55BB"/>
    <w:rsid w:val="007F5732"/>
    <w:rsid w:val="007F5DEB"/>
    <w:rsid w:val="007F5F18"/>
    <w:rsid w:val="007F5F87"/>
    <w:rsid w:val="007F615C"/>
    <w:rsid w:val="007F61F5"/>
    <w:rsid w:val="007F6920"/>
    <w:rsid w:val="007F6ABD"/>
    <w:rsid w:val="007F70B1"/>
    <w:rsid w:val="007F757A"/>
    <w:rsid w:val="007F75B9"/>
    <w:rsid w:val="007F7630"/>
    <w:rsid w:val="007F7B98"/>
    <w:rsid w:val="007F7E03"/>
    <w:rsid w:val="0080011C"/>
    <w:rsid w:val="00800285"/>
    <w:rsid w:val="0080054F"/>
    <w:rsid w:val="008005B2"/>
    <w:rsid w:val="008005EF"/>
    <w:rsid w:val="00800AA0"/>
    <w:rsid w:val="00800AE5"/>
    <w:rsid w:val="00800DE3"/>
    <w:rsid w:val="008010F6"/>
    <w:rsid w:val="00801B74"/>
    <w:rsid w:val="00801C12"/>
    <w:rsid w:val="00802052"/>
    <w:rsid w:val="0080232C"/>
    <w:rsid w:val="00802446"/>
    <w:rsid w:val="00802713"/>
    <w:rsid w:val="0080288A"/>
    <w:rsid w:val="0080298B"/>
    <w:rsid w:val="00802DFE"/>
    <w:rsid w:val="00802E38"/>
    <w:rsid w:val="00802EB2"/>
    <w:rsid w:val="0080337A"/>
    <w:rsid w:val="008034AB"/>
    <w:rsid w:val="008034DD"/>
    <w:rsid w:val="00803539"/>
    <w:rsid w:val="00803717"/>
    <w:rsid w:val="00803AA5"/>
    <w:rsid w:val="00803BBB"/>
    <w:rsid w:val="00803D7B"/>
    <w:rsid w:val="00803FEE"/>
    <w:rsid w:val="008040C7"/>
    <w:rsid w:val="00804152"/>
    <w:rsid w:val="008041AE"/>
    <w:rsid w:val="00804283"/>
    <w:rsid w:val="008045FD"/>
    <w:rsid w:val="008046D4"/>
    <w:rsid w:val="0080476F"/>
    <w:rsid w:val="008047A5"/>
    <w:rsid w:val="00804A46"/>
    <w:rsid w:val="00804CFD"/>
    <w:rsid w:val="00805118"/>
    <w:rsid w:val="0080535B"/>
    <w:rsid w:val="008054A9"/>
    <w:rsid w:val="00805527"/>
    <w:rsid w:val="0080563D"/>
    <w:rsid w:val="008058A8"/>
    <w:rsid w:val="00805B54"/>
    <w:rsid w:val="00805C64"/>
    <w:rsid w:val="00805F55"/>
    <w:rsid w:val="00805FDD"/>
    <w:rsid w:val="008060A2"/>
    <w:rsid w:val="00806158"/>
    <w:rsid w:val="00806674"/>
    <w:rsid w:val="008066E4"/>
    <w:rsid w:val="00806792"/>
    <w:rsid w:val="008069B8"/>
    <w:rsid w:val="00806BC0"/>
    <w:rsid w:val="00806DFE"/>
    <w:rsid w:val="00806F2E"/>
    <w:rsid w:val="008070A1"/>
    <w:rsid w:val="00807151"/>
    <w:rsid w:val="008072FC"/>
    <w:rsid w:val="00807360"/>
    <w:rsid w:val="008073B3"/>
    <w:rsid w:val="008075E7"/>
    <w:rsid w:val="008075ED"/>
    <w:rsid w:val="008077A0"/>
    <w:rsid w:val="0080783A"/>
    <w:rsid w:val="008079E6"/>
    <w:rsid w:val="00807B6D"/>
    <w:rsid w:val="00807D43"/>
    <w:rsid w:val="00807F44"/>
    <w:rsid w:val="008102B5"/>
    <w:rsid w:val="00810409"/>
    <w:rsid w:val="00810490"/>
    <w:rsid w:val="008106A3"/>
    <w:rsid w:val="008107CB"/>
    <w:rsid w:val="0081087B"/>
    <w:rsid w:val="0081137C"/>
    <w:rsid w:val="008116A2"/>
    <w:rsid w:val="008117D2"/>
    <w:rsid w:val="00811CAC"/>
    <w:rsid w:val="00811D53"/>
    <w:rsid w:val="00811F9F"/>
    <w:rsid w:val="008120E4"/>
    <w:rsid w:val="0081216A"/>
    <w:rsid w:val="008122E6"/>
    <w:rsid w:val="00812305"/>
    <w:rsid w:val="00813276"/>
    <w:rsid w:val="008137BF"/>
    <w:rsid w:val="00813FCF"/>
    <w:rsid w:val="00813FF7"/>
    <w:rsid w:val="0081439B"/>
    <w:rsid w:val="008143A9"/>
    <w:rsid w:val="008143B6"/>
    <w:rsid w:val="0081476D"/>
    <w:rsid w:val="00814919"/>
    <w:rsid w:val="00814A89"/>
    <w:rsid w:val="00814BB2"/>
    <w:rsid w:val="00814CC5"/>
    <w:rsid w:val="00814DB7"/>
    <w:rsid w:val="008150FE"/>
    <w:rsid w:val="00815419"/>
    <w:rsid w:val="00815637"/>
    <w:rsid w:val="00815754"/>
    <w:rsid w:val="00815847"/>
    <w:rsid w:val="00815913"/>
    <w:rsid w:val="00815CDF"/>
    <w:rsid w:val="00816423"/>
    <w:rsid w:val="00816B64"/>
    <w:rsid w:val="00816D8A"/>
    <w:rsid w:val="00816DCB"/>
    <w:rsid w:val="00816E74"/>
    <w:rsid w:val="00817014"/>
    <w:rsid w:val="0081726E"/>
    <w:rsid w:val="0081739B"/>
    <w:rsid w:val="00817D78"/>
    <w:rsid w:val="00817FF6"/>
    <w:rsid w:val="008200A6"/>
    <w:rsid w:val="008200D5"/>
    <w:rsid w:val="008203BC"/>
    <w:rsid w:val="00820815"/>
    <w:rsid w:val="0082127D"/>
    <w:rsid w:val="00821693"/>
    <w:rsid w:val="00821739"/>
    <w:rsid w:val="008217BB"/>
    <w:rsid w:val="00821FCE"/>
    <w:rsid w:val="00822531"/>
    <w:rsid w:val="0082299B"/>
    <w:rsid w:val="00822C27"/>
    <w:rsid w:val="0082318D"/>
    <w:rsid w:val="008232A7"/>
    <w:rsid w:val="008239BA"/>
    <w:rsid w:val="00823C86"/>
    <w:rsid w:val="00823E07"/>
    <w:rsid w:val="00824423"/>
    <w:rsid w:val="008244D2"/>
    <w:rsid w:val="008249A5"/>
    <w:rsid w:val="00824A73"/>
    <w:rsid w:val="00824B8D"/>
    <w:rsid w:val="00824D29"/>
    <w:rsid w:val="0082501B"/>
    <w:rsid w:val="0082545C"/>
    <w:rsid w:val="0082559D"/>
    <w:rsid w:val="008255AB"/>
    <w:rsid w:val="008259BE"/>
    <w:rsid w:val="00825F2D"/>
    <w:rsid w:val="00826183"/>
    <w:rsid w:val="008263AC"/>
    <w:rsid w:val="008264C9"/>
    <w:rsid w:val="00826504"/>
    <w:rsid w:val="00826A98"/>
    <w:rsid w:val="00826BFA"/>
    <w:rsid w:val="00826DC0"/>
    <w:rsid w:val="00826E6F"/>
    <w:rsid w:val="0082707B"/>
    <w:rsid w:val="00827314"/>
    <w:rsid w:val="00827759"/>
    <w:rsid w:val="00827EA7"/>
    <w:rsid w:val="0083028E"/>
    <w:rsid w:val="008303E8"/>
    <w:rsid w:val="008304E3"/>
    <w:rsid w:val="008304FE"/>
    <w:rsid w:val="00830531"/>
    <w:rsid w:val="0083062E"/>
    <w:rsid w:val="00830BEE"/>
    <w:rsid w:val="00830CDF"/>
    <w:rsid w:val="0083101B"/>
    <w:rsid w:val="008315CE"/>
    <w:rsid w:val="0083184B"/>
    <w:rsid w:val="008322F5"/>
    <w:rsid w:val="0083281B"/>
    <w:rsid w:val="00832968"/>
    <w:rsid w:val="00832D60"/>
    <w:rsid w:val="00833C20"/>
    <w:rsid w:val="00833D87"/>
    <w:rsid w:val="0083453F"/>
    <w:rsid w:val="00834712"/>
    <w:rsid w:val="0083473C"/>
    <w:rsid w:val="00834881"/>
    <w:rsid w:val="00834BF7"/>
    <w:rsid w:val="0083509D"/>
    <w:rsid w:val="00835138"/>
    <w:rsid w:val="00835571"/>
    <w:rsid w:val="00835C8D"/>
    <w:rsid w:val="00835CF7"/>
    <w:rsid w:val="00835FAA"/>
    <w:rsid w:val="0083611F"/>
    <w:rsid w:val="0083621A"/>
    <w:rsid w:val="008364E8"/>
    <w:rsid w:val="00836CCA"/>
    <w:rsid w:val="00836D7C"/>
    <w:rsid w:val="00836E3A"/>
    <w:rsid w:val="00836E70"/>
    <w:rsid w:val="0083764A"/>
    <w:rsid w:val="008377A8"/>
    <w:rsid w:val="00837831"/>
    <w:rsid w:val="008379AF"/>
    <w:rsid w:val="00837A2D"/>
    <w:rsid w:val="00837A92"/>
    <w:rsid w:val="00837D61"/>
    <w:rsid w:val="00837F85"/>
    <w:rsid w:val="00837FF8"/>
    <w:rsid w:val="00840147"/>
    <w:rsid w:val="00840227"/>
    <w:rsid w:val="008402F0"/>
    <w:rsid w:val="00840325"/>
    <w:rsid w:val="00840416"/>
    <w:rsid w:val="0084074D"/>
    <w:rsid w:val="00840B11"/>
    <w:rsid w:val="00840B57"/>
    <w:rsid w:val="00841147"/>
    <w:rsid w:val="0084128D"/>
    <w:rsid w:val="008414E3"/>
    <w:rsid w:val="008416E1"/>
    <w:rsid w:val="00841CDF"/>
    <w:rsid w:val="00841F37"/>
    <w:rsid w:val="008421A1"/>
    <w:rsid w:val="00842980"/>
    <w:rsid w:val="00842B3E"/>
    <w:rsid w:val="00842C2E"/>
    <w:rsid w:val="00842D5B"/>
    <w:rsid w:val="00842D87"/>
    <w:rsid w:val="00842E02"/>
    <w:rsid w:val="00842F78"/>
    <w:rsid w:val="008434CC"/>
    <w:rsid w:val="00843698"/>
    <w:rsid w:val="00843767"/>
    <w:rsid w:val="008437DD"/>
    <w:rsid w:val="00843936"/>
    <w:rsid w:val="00843B9C"/>
    <w:rsid w:val="00844052"/>
    <w:rsid w:val="0084423E"/>
    <w:rsid w:val="008444FD"/>
    <w:rsid w:val="0084452E"/>
    <w:rsid w:val="008446FB"/>
    <w:rsid w:val="008447C5"/>
    <w:rsid w:val="008449EE"/>
    <w:rsid w:val="00844DE4"/>
    <w:rsid w:val="008450AB"/>
    <w:rsid w:val="008450C5"/>
    <w:rsid w:val="00845237"/>
    <w:rsid w:val="00845492"/>
    <w:rsid w:val="00845720"/>
    <w:rsid w:val="00845D68"/>
    <w:rsid w:val="00845F51"/>
    <w:rsid w:val="0084605A"/>
    <w:rsid w:val="0084608E"/>
    <w:rsid w:val="0084657C"/>
    <w:rsid w:val="008465B7"/>
    <w:rsid w:val="00846B2B"/>
    <w:rsid w:val="00846B56"/>
    <w:rsid w:val="00846C35"/>
    <w:rsid w:val="00846C87"/>
    <w:rsid w:val="00847022"/>
    <w:rsid w:val="0084704B"/>
    <w:rsid w:val="008477D9"/>
    <w:rsid w:val="0084786D"/>
    <w:rsid w:val="008478D3"/>
    <w:rsid w:val="0084798C"/>
    <w:rsid w:val="00847D19"/>
    <w:rsid w:val="0085001A"/>
    <w:rsid w:val="0085030E"/>
    <w:rsid w:val="008504D9"/>
    <w:rsid w:val="008506E7"/>
    <w:rsid w:val="00850AD5"/>
    <w:rsid w:val="008510E3"/>
    <w:rsid w:val="0085124B"/>
    <w:rsid w:val="00851664"/>
    <w:rsid w:val="00851950"/>
    <w:rsid w:val="00851CB8"/>
    <w:rsid w:val="00851ECE"/>
    <w:rsid w:val="00852059"/>
    <w:rsid w:val="00852089"/>
    <w:rsid w:val="0085247B"/>
    <w:rsid w:val="0085268B"/>
    <w:rsid w:val="0085268E"/>
    <w:rsid w:val="00852896"/>
    <w:rsid w:val="00852ADB"/>
    <w:rsid w:val="00852AE7"/>
    <w:rsid w:val="00852C17"/>
    <w:rsid w:val="00852E3B"/>
    <w:rsid w:val="008532BF"/>
    <w:rsid w:val="008534F1"/>
    <w:rsid w:val="0085354B"/>
    <w:rsid w:val="00853731"/>
    <w:rsid w:val="008539BD"/>
    <w:rsid w:val="00853B29"/>
    <w:rsid w:val="00853DBF"/>
    <w:rsid w:val="00854428"/>
    <w:rsid w:val="008545B7"/>
    <w:rsid w:val="00854B0D"/>
    <w:rsid w:val="008550FC"/>
    <w:rsid w:val="008551CF"/>
    <w:rsid w:val="00855269"/>
    <w:rsid w:val="008552F5"/>
    <w:rsid w:val="00855334"/>
    <w:rsid w:val="008558A9"/>
    <w:rsid w:val="00855B4E"/>
    <w:rsid w:val="00855E63"/>
    <w:rsid w:val="00855E7D"/>
    <w:rsid w:val="0085627D"/>
    <w:rsid w:val="00856645"/>
    <w:rsid w:val="00856973"/>
    <w:rsid w:val="00856C3A"/>
    <w:rsid w:val="008570B7"/>
    <w:rsid w:val="008572C8"/>
    <w:rsid w:val="0085750E"/>
    <w:rsid w:val="00857791"/>
    <w:rsid w:val="00857918"/>
    <w:rsid w:val="00857941"/>
    <w:rsid w:val="0085794C"/>
    <w:rsid w:val="00857989"/>
    <w:rsid w:val="00857BCB"/>
    <w:rsid w:val="00857F86"/>
    <w:rsid w:val="00860018"/>
    <w:rsid w:val="00860057"/>
    <w:rsid w:val="00860110"/>
    <w:rsid w:val="00860169"/>
    <w:rsid w:val="00860C72"/>
    <w:rsid w:val="00860EDB"/>
    <w:rsid w:val="00860F47"/>
    <w:rsid w:val="008612A5"/>
    <w:rsid w:val="0086166E"/>
    <w:rsid w:val="00861C3E"/>
    <w:rsid w:val="00861EA0"/>
    <w:rsid w:val="00862627"/>
    <w:rsid w:val="008628FC"/>
    <w:rsid w:val="00862A21"/>
    <w:rsid w:val="00862A61"/>
    <w:rsid w:val="00862A72"/>
    <w:rsid w:val="00862D80"/>
    <w:rsid w:val="00862EA2"/>
    <w:rsid w:val="00862EEC"/>
    <w:rsid w:val="008630FB"/>
    <w:rsid w:val="0086310D"/>
    <w:rsid w:val="0086327E"/>
    <w:rsid w:val="00863612"/>
    <w:rsid w:val="00863655"/>
    <w:rsid w:val="00863BC3"/>
    <w:rsid w:val="00863D02"/>
    <w:rsid w:val="00863D4A"/>
    <w:rsid w:val="00863FEE"/>
    <w:rsid w:val="008640BC"/>
    <w:rsid w:val="0086418E"/>
    <w:rsid w:val="008646DA"/>
    <w:rsid w:val="00864730"/>
    <w:rsid w:val="0086495F"/>
    <w:rsid w:val="00864AE2"/>
    <w:rsid w:val="00864B42"/>
    <w:rsid w:val="00864C25"/>
    <w:rsid w:val="00864D55"/>
    <w:rsid w:val="00864D6B"/>
    <w:rsid w:val="00864EC5"/>
    <w:rsid w:val="00864F7B"/>
    <w:rsid w:val="0086503E"/>
    <w:rsid w:val="008653D3"/>
    <w:rsid w:val="008653ED"/>
    <w:rsid w:val="008656C5"/>
    <w:rsid w:val="008656E1"/>
    <w:rsid w:val="0086577E"/>
    <w:rsid w:val="00865ADA"/>
    <w:rsid w:val="00865B09"/>
    <w:rsid w:val="00865CF4"/>
    <w:rsid w:val="00865D35"/>
    <w:rsid w:val="0086617F"/>
    <w:rsid w:val="008664E2"/>
    <w:rsid w:val="00866E0A"/>
    <w:rsid w:val="008671F8"/>
    <w:rsid w:val="008674F1"/>
    <w:rsid w:val="0086769F"/>
    <w:rsid w:val="00867A1E"/>
    <w:rsid w:val="00867ACB"/>
    <w:rsid w:val="00867EDC"/>
    <w:rsid w:val="008700B1"/>
    <w:rsid w:val="008700B3"/>
    <w:rsid w:val="0087032F"/>
    <w:rsid w:val="008705D0"/>
    <w:rsid w:val="0087097A"/>
    <w:rsid w:val="00870A26"/>
    <w:rsid w:val="00870F3C"/>
    <w:rsid w:val="00871370"/>
    <w:rsid w:val="00871756"/>
    <w:rsid w:val="00871876"/>
    <w:rsid w:val="0087193B"/>
    <w:rsid w:val="00871FB1"/>
    <w:rsid w:val="00872027"/>
    <w:rsid w:val="00872059"/>
    <w:rsid w:val="00872147"/>
    <w:rsid w:val="008722E2"/>
    <w:rsid w:val="008722F9"/>
    <w:rsid w:val="00872667"/>
    <w:rsid w:val="008727F1"/>
    <w:rsid w:val="008728D3"/>
    <w:rsid w:val="00872C3B"/>
    <w:rsid w:val="00872D84"/>
    <w:rsid w:val="00872EAB"/>
    <w:rsid w:val="008731E7"/>
    <w:rsid w:val="00873465"/>
    <w:rsid w:val="008736E5"/>
    <w:rsid w:val="008738EA"/>
    <w:rsid w:val="00873B1A"/>
    <w:rsid w:val="00873C3F"/>
    <w:rsid w:val="00873F39"/>
    <w:rsid w:val="0087425E"/>
    <w:rsid w:val="008742C1"/>
    <w:rsid w:val="008747C3"/>
    <w:rsid w:val="00874BAC"/>
    <w:rsid w:val="00874C12"/>
    <w:rsid w:val="00874F5C"/>
    <w:rsid w:val="008755AA"/>
    <w:rsid w:val="00875753"/>
    <w:rsid w:val="00875D4C"/>
    <w:rsid w:val="008760B1"/>
    <w:rsid w:val="008762F7"/>
    <w:rsid w:val="00876441"/>
    <w:rsid w:val="008766B4"/>
    <w:rsid w:val="00876C09"/>
    <w:rsid w:val="00876F05"/>
    <w:rsid w:val="00877111"/>
    <w:rsid w:val="00877351"/>
    <w:rsid w:val="0087744C"/>
    <w:rsid w:val="008775B6"/>
    <w:rsid w:val="00877925"/>
    <w:rsid w:val="00877D37"/>
    <w:rsid w:val="00880A19"/>
    <w:rsid w:val="00880A8A"/>
    <w:rsid w:val="00880D2A"/>
    <w:rsid w:val="0088108F"/>
    <w:rsid w:val="008810D7"/>
    <w:rsid w:val="00881915"/>
    <w:rsid w:val="00881A58"/>
    <w:rsid w:val="00881C85"/>
    <w:rsid w:val="00881DF6"/>
    <w:rsid w:val="00881F68"/>
    <w:rsid w:val="00881FE4"/>
    <w:rsid w:val="00882038"/>
    <w:rsid w:val="0088204A"/>
    <w:rsid w:val="0088273F"/>
    <w:rsid w:val="00882B88"/>
    <w:rsid w:val="00883057"/>
    <w:rsid w:val="00883646"/>
    <w:rsid w:val="0088398C"/>
    <w:rsid w:val="00883A80"/>
    <w:rsid w:val="00883D4E"/>
    <w:rsid w:val="0088489B"/>
    <w:rsid w:val="0088499C"/>
    <w:rsid w:val="00884AF9"/>
    <w:rsid w:val="00884DD0"/>
    <w:rsid w:val="00884DF5"/>
    <w:rsid w:val="00884F99"/>
    <w:rsid w:val="00884FF3"/>
    <w:rsid w:val="00885145"/>
    <w:rsid w:val="0088527D"/>
    <w:rsid w:val="00885E70"/>
    <w:rsid w:val="00886122"/>
    <w:rsid w:val="008864A5"/>
    <w:rsid w:val="008865F2"/>
    <w:rsid w:val="00886776"/>
    <w:rsid w:val="00886814"/>
    <w:rsid w:val="00886841"/>
    <w:rsid w:val="00886ADE"/>
    <w:rsid w:val="00886BB9"/>
    <w:rsid w:val="00886BEB"/>
    <w:rsid w:val="00886C75"/>
    <w:rsid w:val="00886CD7"/>
    <w:rsid w:val="00886D18"/>
    <w:rsid w:val="00886D68"/>
    <w:rsid w:val="00886DED"/>
    <w:rsid w:val="00886E4F"/>
    <w:rsid w:val="00886FD2"/>
    <w:rsid w:val="008871B0"/>
    <w:rsid w:val="008877A8"/>
    <w:rsid w:val="00887834"/>
    <w:rsid w:val="00887984"/>
    <w:rsid w:val="00887CFD"/>
    <w:rsid w:val="00887D3E"/>
    <w:rsid w:val="00887E21"/>
    <w:rsid w:val="008906B3"/>
    <w:rsid w:val="0089085A"/>
    <w:rsid w:val="008910F8"/>
    <w:rsid w:val="00891176"/>
    <w:rsid w:val="008917C2"/>
    <w:rsid w:val="0089195F"/>
    <w:rsid w:val="00891ADB"/>
    <w:rsid w:val="00891DE0"/>
    <w:rsid w:val="00891EDB"/>
    <w:rsid w:val="00891F80"/>
    <w:rsid w:val="00892D1B"/>
    <w:rsid w:val="00892D2F"/>
    <w:rsid w:val="00892EAC"/>
    <w:rsid w:val="00892EBF"/>
    <w:rsid w:val="00893617"/>
    <w:rsid w:val="00893661"/>
    <w:rsid w:val="00893A25"/>
    <w:rsid w:val="008942E6"/>
    <w:rsid w:val="008943DB"/>
    <w:rsid w:val="0089446F"/>
    <w:rsid w:val="00894CAA"/>
    <w:rsid w:val="00895002"/>
    <w:rsid w:val="00895313"/>
    <w:rsid w:val="008957CD"/>
    <w:rsid w:val="00895A5B"/>
    <w:rsid w:val="00896085"/>
    <w:rsid w:val="008966F2"/>
    <w:rsid w:val="00896753"/>
    <w:rsid w:val="00896934"/>
    <w:rsid w:val="00896A35"/>
    <w:rsid w:val="00896B69"/>
    <w:rsid w:val="00896BEA"/>
    <w:rsid w:val="00896E4B"/>
    <w:rsid w:val="0089709C"/>
    <w:rsid w:val="0089737E"/>
    <w:rsid w:val="008973AE"/>
    <w:rsid w:val="00897421"/>
    <w:rsid w:val="0089796F"/>
    <w:rsid w:val="00897C6A"/>
    <w:rsid w:val="00897C81"/>
    <w:rsid w:val="008A0059"/>
    <w:rsid w:val="008A0597"/>
    <w:rsid w:val="008A077A"/>
    <w:rsid w:val="008A09C1"/>
    <w:rsid w:val="008A0C61"/>
    <w:rsid w:val="008A0D32"/>
    <w:rsid w:val="008A10EC"/>
    <w:rsid w:val="008A122E"/>
    <w:rsid w:val="008A1237"/>
    <w:rsid w:val="008A1485"/>
    <w:rsid w:val="008A171C"/>
    <w:rsid w:val="008A1D5E"/>
    <w:rsid w:val="008A27C6"/>
    <w:rsid w:val="008A285F"/>
    <w:rsid w:val="008A28C4"/>
    <w:rsid w:val="008A2ACA"/>
    <w:rsid w:val="008A2AD4"/>
    <w:rsid w:val="008A2CA1"/>
    <w:rsid w:val="008A2D51"/>
    <w:rsid w:val="008A2FF6"/>
    <w:rsid w:val="008A3068"/>
    <w:rsid w:val="008A330E"/>
    <w:rsid w:val="008A3363"/>
    <w:rsid w:val="008A3487"/>
    <w:rsid w:val="008A3715"/>
    <w:rsid w:val="008A397B"/>
    <w:rsid w:val="008A3A10"/>
    <w:rsid w:val="008A3B62"/>
    <w:rsid w:val="008A3E4B"/>
    <w:rsid w:val="008A3FEE"/>
    <w:rsid w:val="008A4137"/>
    <w:rsid w:val="008A42AD"/>
    <w:rsid w:val="008A4699"/>
    <w:rsid w:val="008A4A16"/>
    <w:rsid w:val="008A4DAD"/>
    <w:rsid w:val="008A4E47"/>
    <w:rsid w:val="008A4FB6"/>
    <w:rsid w:val="008A561D"/>
    <w:rsid w:val="008A58CF"/>
    <w:rsid w:val="008A5A98"/>
    <w:rsid w:val="008A5DD2"/>
    <w:rsid w:val="008A5F05"/>
    <w:rsid w:val="008A609C"/>
    <w:rsid w:val="008A60DB"/>
    <w:rsid w:val="008A67CF"/>
    <w:rsid w:val="008A684F"/>
    <w:rsid w:val="008A6AB1"/>
    <w:rsid w:val="008A6F1C"/>
    <w:rsid w:val="008A6FCC"/>
    <w:rsid w:val="008A6FF3"/>
    <w:rsid w:val="008A7143"/>
    <w:rsid w:val="008A75A3"/>
    <w:rsid w:val="008A767C"/>
    <w:rsid w:val="008A7880"/>
    <w:rsid w:val="008A7F8A"/>
    <w:rsid w:val="008B000B"/>
    <w:rsid w:val="008B0043"/>
    <w:rsid w:val="008B00E0"/>
    <w:rsid w:val="008B01E1"/>
    <w:rsid w:val="008B0328"/>
    <w:rsid w:val="008B039F"/>
    <w:rsid w:val="008B0442"/>
    <w:rsid w:val="008B09D9"/>
    <w:rsid w:val="008B0ADF"/>
    <w:rsid w:val="008B0EBC"/>
    <w:rsid w:val="008B1410"/>
    <w:rsid w:val="008B19FE"/>
    <w:rsid w:val="008B2103"/>
    <w:rsid w:val="008B216A"/>
    <w:rsid w:val="008B21BD"/>
    <w:rsid w:val="008B22A7"/>
    <w:rsid w:val="008B262F"/>
    <w:rsid w:val="008B28E2"/>
    <w:rsid w:val="008B2D22"/>
    <w:rsid w:val="008B2E8B"/>
    <w:rsid w:val="008B2FEB"/>
    <w:rsid w:val="008B356E"/>
    <w:rsid w:val="008B35E6"/>
    <w:rsid w:val="008B378F"/>
    <w:rsid w:val="008B390F"/>
    <w:rsid w:val="008B3B56"/>
    <w:rsid w:val="008B3B60"/>
    <w:rsid w:val="008B4005"/>
    <w:rsid w:val="008B4052"/>
    <w:rsid w:val="008B4339"/>
    <w:rsid w:val="008B4344"/>
    <w:rsid w:val="008B4613"/>
    <w:rsid w:val="008B4985"/>
    <w:rsid w:val="008B5223"/>
    <w:rsid w:val="008B54B5"/>
    <w:rsid w:val="008B5819"/>
    <w:rsid w:val="008B5D35"/>
    <w:rsid w:val="008B63B2"/>
    <w:rsid w:val="008B65D7"/>
    <w:rsid w:val="008B66AF"/>
    <w:rsid w:val="008B690C"/>
    <w:rsid w:val="008B6ACE"/>
    <w:rsid w:val="008B6F24"/>
    <w:rsid w:val="008B6FAF"/>
    <w:rsid w:val="008B7094"/>
    <w:rsid w:val="008B7188"/>
    <w:rsid w:val="008B7330"/>
    <w:rsid w:val="008B75D3"/>
    <w:rsid w:val="008B7DD3"/>
    <w:rsid w:val="008B7E22"/>
    <w:rsid w:val="008B7E70"/>
    <w:rsid w:val="008C0535"/>
    <w:rsid w:val="008C077E"/>
    <w:rsid w:val="008C0CA1"/>
    <w:rsid w:val="008C0DCA"/>
    <w:rsid w:val="008C0EB8"/>
    <w:rsid w:val="008C10A9"/>
    <w:rsid w:val="008C1833"/>
    <w:rsid w:val="008C1AB0"/>
    <w:rsid w:val="008C1F16"/>
    <w:rsid w:val="008C2E4A"/>
    <w:rsid w:val="008C2FE1"/>
    <w:rsid w:val="008C30E3"/>
    <w:rsid w:val="008C34A6"/>
    <w:rsid w:val="008C38C6"/>
    <w:rsid w:val="008C3945"/>
    <w:rsid w:val="008C3AEC"/>
    <w:rsid w:val="008C3B43"/>
    <w:rsid w:val="008C4ACC"/>
    <w:rsid w:val="008C4D32"/>
    <w:rsid w:val="008C4D7F"/>
    <w:rsid w:val="008C4E91"/>
    <w:rsid w:val="008C53EB"/>
    <w:rsid w:val="008C569B"/>
    <w:rsid w:val="008C58DC"/>
    <w:rsid w:val="008C5B26"/>
    <w:rsid w:val="008C5EA5"/>
    <w:rsid w:val="008C5FF2"/>
    <w:rsid w:val="008C685F"/>
    <w:rsid w:val="008C6CE5"/>
    <w:rsid w:val="008C7203"/>
    <w:rsid w:val="008C727B"/>
    <w:rsid w:val="008C73E7"/>
    <w:rsid w:val="008C7609"/>
    <w:rsid w:val="008C7D4B"/>
    <w:rsid w:val="008C7DD6"/>
    <w:rsid w:val="008D042B"/>
    <w:rsid w:val="008D05EF"/>
    <w:rsid w:val="008D096B"/>
    <w:rsid w:val="008D0AF0"/>
    <w:rsid w:val="008D0E37"/>
    <w:rsid w:val="008D0E79"/>
    <w:rsid w:val="008D1306"/>
    <w:rsid w:val="008D146D"/>
    <w:rsid w:val="008D14DC"/>
    <w:rsid w:val="008D14F5"/>
    <w:rsid w:val="008D1E6B"/>
    <w:rsid w:val="008D206C"/>
    <w:rsid w:val="008D256E"/>
    <w:rsid w:val="008D297B"/>
    <w:rsid w:val="008D2A1E"/>
    <w:rsid w:val="008D2AD6"/>
    <w:rsid w:val="008D2C16"/>
    <w:rsid w:val="008D2CF3"/>
    <w:rsid w:val="008D2DC9"/>
    <w:rsid w:val="008D2EFE"/>
    <w:rsid w:val="008D2F06"/>
    <w:rsid w:val="008D3520"/>
    <w:rsid w:val="008D3E6E"/>
    <w:rsid w:val="008D3F18"/>
    <w:rsid w:val="008D4081"/>
    <w:rsid w:val="008D423E"/>
    <w:rsid w:val="008D4355"/>
    <w:rsid w:val="008D48DA"/>
    <w:rsid w:val="008D4EA2"/>
    <w:rsid w:val="008D5249"/>
    <w:rsid w:val="008D5561"/>
    <w:rsid w:val="008D568F"/>
    <w:rsid w:val="008D596F"/>
    <w:rsid w:val="008D5B6C"/>
    <w:rsid w:val="008D5F29"/>
    <w:rsid w:val="008D60C9"/>
    <w:rsid w:val="008D6145"/>
    <w:rsid w:val="008D63BE"/>
    <w:rsid w:val="008D63CB"/>
    <w:rsid w:val="008D63F2"/>
    <w:rsid w:val="008D65CD"/>
    <w:rsid w:val="008D67BE"/>
    <w:rsid w:val="008D6A44"/>
    <w:rsid w:val="008D6E1F"/>
    <w:rsid w:val="008D6E66"/>
    <w:rsid w:val="008D71AF"/>
    <w:rsid w:val="008D74B7"/>
    <w:rsid w:val="008D7610"/>
    <w:rsid w:val="008D7698"/>
    <w:rsid w:val="008D772C"/>
    <w:rsid w:val="008D77CA"/>
    <w:rsid w:val="008D7936"/>
    <w:rsid w:val="008D7DC5"/>
    <w:rsid w:val="008E002E"/>
    <w:rsid w:val="008E0052"/>
    <w:rsid w:val="008E03F4"/>
    <w:rsid w:val="008E0667"/>
    <w:rsid w:val="008E06EE"/>
    <w:rsid w:val="008E0740"/>
    <w:rsid w:val="008E08C2"/>
    <w:rsid w:val="008E08EF"/>
    <w:rsid w:val="008E0954"/>
    <w:rsid w:val="008E0F5B"/>
    <w:rsid w:val="008E0FF7"/>
    <w:rsid w:val="008E10AA"/>
    <w:rsid w:val="008E1B3F"/>
    <w:rsid w:val="008E200A"/>
    <w:rsid w:val="008E2050"/>
    <w:rsid w:val="008E2247"/>
    <w:rsid w:val="008E248A"/>
    <w:rsid w:val="008E24A2"/>
    <w:rsid w:val="008E27FE"/>
    <w:rsid w:val="008E2943"/>
    <w:rsid w:val="008E2F2B"/>
    <w:rsid w:val="008E3544"/>
    <w:rsid w:val="008E367A"/>
    <w:rsid w:val="008E36CB"/>
    <w:rsid w:val="008E4101"/>
    <w:rsid w:val="008E488F"/>
    <w:rsid w:val="008E4C9F"/>
    <w:rsid w:val="008E4F0A"/>
    <w:rsid w:val="008E5064"/>
    <w:rsid w:val="008E547B"/>
    <w:rsid w:val="008E57FA"/>
    <w:rsid w:val="008E5801"/>
    <w:rsid w:val="008E5836"/>
    <w:rsid w:val="008E5B41"/>
    <w:rsid w:val="008E5B69"/>
    <w:rsid w:val="008E60E8"/>
    <w:rsid w:val="008E6118"/>
    <w:rsid w:val="008E6380"/>
    <w:rsid w:val="008E6726"/>
    <w:rsid w:val="008E6B45"/>
    <w:rsid w:val="008E700E"/>
    <w:rsid w:val="008E70D7"/>
    <w:rsid w:val="008E71C4"/>
    <w:rsid w:val="008E71CD"/>
    <w:rsid w:val="008E763C"/>
    <w:rsid w:val="008E7794"/>
    <w:rsid w:val="008E779D"/>
    <w:rsid w:val="008E7A53"/>
    <w:rsid w:val="008E7E75"/>
    <w:rsid w:val="008F0047"/>
    <w:rsid w:val="008F0608"/>
    <w:rsid w:val="008F065B"/>
    <w:rsid w:val="008F083F"/>
    <w:rsid w:val="008F0EB8"/>
    <w:rsid w:val="008F11F7"/>
    <w:rsid w:val="008F13F9"/>
    <w:rsid w:val="008F15E8"/>
    <w:rsid w:val="008F169D"/>
    <w:rsid w:val="008F1A18"/>
    <w:rsid w:val="008F1B93"/>
    <w:rsid w:val="008F1BCA"/>
    <w:rsid w:val="008F1C66"/>
    <w:rsid w:val="008F1EB1"/>
    <w:rsid w:val="008F1EB2"/>
    <w:rsid w:val="008F21C8"/>
    <w:rsid w:val="008F2325"/>
    <w:rsid w:val="008F2476"/>
    <w:rsid w:val="008F25F3"/>
    <w:rsid w:val="008F26D8"/>
    <w:rsid w:val="008F270A"/>
    <w:rsid w:val="008F29FC"/>
    <w:rsid w:val="008F2EA4"/>
    <w:rsid w:val="008F2F87"/>
    <w:rsid w:val="008F2FB2"/>
    <w:rsid w:val="008F3187"/>
    <w:rsid w:val="008F32A2"/>
    <w:rsid w:val="008F32A3"/>
    <w:rsid w:val="008F334E"/>
    <w:rsid w:val="008F3D0B"/>
    <w:rsid w:val="008F3F5E"/>
    <w:rsid w:val="008F412E"/>
    <w:rsid w:val="008F4353"/>
    <w:rsid w:val="008F44E4"/>
    <w:rsid w:val="008F47AE"/>
    <w:rsid w:val="008F4817"/>
    <w:rsid w:val="008F4D53"/>
    <w:rsid w:val="008F4D59"/>
    <w:rsid w:val="008F4DE7"/>
    <w:rsid w:val="008F529A"/>
    <w:rsid w:val="008F52B4"/>
    <w:rsid w:val="008F5445"/>
    <w:rsid w:val="008F5FB5"/>
    <w:rsid w:val="008F6039"/>
    <w:rsid w:val="008F61A3"/>
    <w:rsid w:val="008F64B2"/>
    <w:rsid w:val="008F690C"/>
    <w:rsid w:val="008F6BC5"/>
    <w:rsid w:val="008F6C18"/>
    <w:rsid w:val="008F6FF5"/>
    <w:rsid w:val="008F7BB1"/>
    <w:rsid w:val="008F7D83"/>
    <w:rsid w:val="008F7F77"/>
    <w:rsid w:val="0090040D"/>
    <w:rsid w:val="00900578"/>
    <w:rsid w:val="009007D4"/>
    <w:rsid w:val="0090095A"/>
    <w:rsid w:val="00900A66"/>
    <w:rsid w:val="009019D1"/>
    <w:rsid w:val="00901B2C"/>
    <w:rsid w:val="00901C9D"/>
    <w:rsid w:val="00901F22"/>
    <w:rsid w:val="0090201A"/>
    <w:rsid w:val="00902078"/>
    <w:rsid w:val="00902472"/>
    <w:rsid w:val="009025FD"/>
    <w:rsid w:val="009026AA"/>
    <w:rsid w:val="009027A9"/>
    <w:rsid w:val="00902A18"/>
    <w:rsid w:val="00902BB6"/>
    <w:rsid w:val="00903085"/>
    <w:rsid w:val="0090345B"/>
    <w:rsid w:val="009034CD"/>
    <w:rsid w:val="00903588"/>
    <w:rsid w:val="009044A2"/>
    <w:rsid w:val="009044EB"/>
    <w:rsid w:val="009046B8"/>
    <w:rsid w:val="009046DA"/>
    <w:rsid w:val="009048AF"/>
    <w:rsid w:val="0090497B"/>
    <w:rsid w:val="00904AA2"/>
    <w:rsid w:val="00904D92"/>
    <w:rsid w:val="00905076"/>
    <w:rsid w:val="00905D93"/>
    <w:rsid w:val="00905DF7"/>
    <w:rsid w:val="009061F1"/>
    <w:rsid w:val="00906340"/>
    <w:rsid w:val="0090642B"/>
    <w:rsid w:val="0090652C"/>
    <w:rsid w:val="009066E5"/>
    <w:rsid w:val="00906C59"/>
    <w:rsid w:val="00906CD0"/>
    <w:rsid w:val="00906E30"/>
    <w:rsid w:val="00906EB6"/>
    <w:rsid w:val="00906EF9"/>
    <w:rsid w:val="009071DB"/>
    <w:rsid w:val="0090750F"/>
    <w:rsid w:val="00907AF5"/>
    <w:rsid w:val="00907B43"/>
    <w:rsid w:val="00907C0E"/>
    <w:rsid w:val="00907C58"/>
    <w:rsid w:val="00907CD9"/>
    <w:rsid w:val="009101A0"/>
    <w:rsid w:val="009101E3"/>
    <w:rsid w:val="0091090C"/>
    <w:rsid w:val="00910A79"/>
    <w:rsid w:val="00910B9B"/>
    <w:rsid w:val="00910BA6"/>
    <w:rsid w:val="00910BF8"/>
    <w:rsid w:val="00910C26"/>
    <w:rsid w:val="009115F1"/>
    <w:rsid w:val="0091172F"/>
    <w:rsid w:val="00911BFE"/>
    <w:rsid w:val="00911C88"/>
    <w:rsid w:val="00911E44"/>
    <w:rsid w:val="0091206A"/>
    <w:rsid w:val="009125B7"/>
    <w:rsid w:val="0091270D"/>
    <w:rsid w:val="00912A0C"/>
    <w:rsid w:val="00912A75"/>
    <w:rsid w:val="00912C50"/>
    <w:rsid w:val="00913116"/>
    <w:rsid w:val="00913AEA"/>
    <w:rsid w:val="00914007"/>
    <w:rsid w:val="00914161"/>
    <w:rsid w:val="0091432E"/>
    <w:rsid w:val="00914604"/>
    <w:rsid w:val="00914C22"/>
    <w:rsid w:val="00914C57"/>
    <w:rsid w:val="00914CB3"/>
    <w:rsid w:val="00914D20"/>
    <w:rsid w:val="00915164"/>
    <w:rsid w:val="0091526C"/>
    <w:rsid w:val="0091549D"/>
    <w:rsid w:val="009155D9"/>
    <w:rsid w:val="00915729"/>
    <w:rsid w:val="00915937"/>
    <w:rsid w:val="00915955"/>
    <w:rsid w:val="00915AE4"/>
    <w:rsid w:val="00915E43"/>
    <w:rsid w:val="009163CB"/>
    <w:rsid w:val="0091642F"/>
    <w:rsid w:val="0091673B"/>
    <w:rsid w:val="00916A91"/>
    <w:rsid w:val="00916E17"/>
    <w:rsid w:val="009170BE"/>
    <w:rsid w:val="0091731D"/>
    <w:rsid w:val="00917337"/>
    <w:rsid w:val="009173E5"/>
    <w:rsid w:val="009174B2"/>
    <w:rsid w:val="00917759"/>
    <w:rsid w:val="009179B1"/>
    <w:rsid w:val="009179BE"/>
    <w:rsid w:val="00920156"/>
    <w:rsid w:val="009201F6"/>
    <w:rsid w:val="009205EB"/>
    <w:rsid w:val="00920911"/>
    <w:rsid w:val="009209CC"/>
    <w:rsid w:val="00920E16"/>
    <w:rsid w:val="00920EE8"/>
    <w:rsid w:val="00921292"/>
    <w:rsid w:val="009212D9"/>
    <w:rsid w:val="009212FA"/>
    <w:rsid w:val="009214C9"/>
    <w:rsid w:val="00921790"/>
    <w:rsid w:val="00921A00"/>
    <w:rsid w:val="00921E86"/>
    <w:rsid w:val="00922438"/>
    <w:rsid w:val="00922502"/>
    <w:rsid w:val="00922542"/>
    <w:rsid w:val="00922635"/>
    <w:rsid w:val="009226EE"/>
    <w:rsid w:val="009227F1"/>
    <w:rsid w:val="00922EB4"/>
    <w:rsid w:val="009234BF"/>
    <w:rsid w:val="0092358A"/>
    <w:rsid w:val="0092381B"/>
    <w:rsid w:val="00923875"/>
    <w:rsid w:val="00923A17"/>
    <w:rsid w:val="00923F28"/>
    <w:rsid w:val="009241B4"/>
    <w:rsid w:val="0092464C"/>
    <w:rsid w:val="009248AD"/>
    <w:rsid w:val="00924C51"/>
    <w:rsid w:val="00924CA1"/>
    <w:rsid w:val="00924CB0"/>
    <w:rsid w:val="00924CDF"/>
    <w:rsid w:val="00924E2A"/>
    <w:rsid w:val="009252D6"/>
    <w:rsid w:val="00925614"/>
    <w:rsid w:val="00925D8C"/>
    <w:rsid w:val="0092627C"/>
    <w:rsid w:val="00926441"/>
    <w:rsid w:val="0092663C"/>
    <w:rsid w:val="009267CB"/>
    <w:rsid w:val="009267F5"/>
    <w:rsid w:val="00926879"/>
    <w:rsid w:val="0092697E"/>
    <w:rsid w:val="00926A0E"/>
    <w:rsid w:val="00926A97"/>
    <w:rsid w:val="00926D9B"/>
    <w:rsid w:val="00926EC5"/>
    <w:rsid w:val="009270B8"/>
    <w:rsid w:val="00927279"/>
    <w:rsid w:val="009272CC"/>
    <w:rsid w:val="009276A7"/>
    <w:rsid w:val="00927AB1"/>
    <w:rsid w:val="00927D07"/>
    <w:rsid w:val="00927DAB"/>
    <w:rsid w:val="00927EA7"/>
    <w:rsid w:val="00927EAF"/>
    <w:rsid w:val="00930112"/>
    <w:rsid w:val="009302B4"/>
    <w:rsid w:val="009304C8"/>
    <w:rsid w:val="009305A0"/>
    <w:rsid w:val="009305FF"/>
    <w:rsid w:val="00930649"/>
    <w:rsid w:val="00930712"/>
    <w:rsid w:val="00930783"/>
    <w:rsid w:val="0093093D"/>
    <w:rsid w:val="00930B5D"/>
    <w:rsid w:val="00930D8A"/>
    <w:rsid w:val="00930D96"/>
    <w:rsid w:val="0093109D"/>
    <w:rsid w:val="00931548"/>
    <w:rsid w:val="00931C32"/>
    <w:rsid w:val="00931FDA"/>
    <w:rsid w:val="00932438"/>
    <w:rsid w:val="00932447"/>
    <w:rsid w:val="00932692"/>
    <w:rsid w:val="00932861"/>
    <w:rsid w:val="009328D1"/>
    <w:rsid w:val="00933101"/>
    <w:rsid w:val="0093330F"/>
    <w:rsid w:val="00933748"/>
    <w:rsid w:val="00933961"/>
    <w:rsid w:val="00933AB8"/>
    <w:rsid w:val="00933ACC"/>
    <w:rsid w:val="00933CEB"/>
    <w:rsid w:val="00933DDD"/>
    <w:rsid w:val="009340E3"/>
    <w:rsid w:val="0093431D"/>
    <w:rsid w:val="0093434A"/>
    <w:rsid w:val="00934463"/>
    <w:rsid w:val="0093446A"/>
    <w:rsid w:val="009344FC"/>
    <w:rsid w:val="009345A3"/>
    <w:rsid w:val="00934606"/>
    <w:rsid w:val="00934827"/>
    <w:rsid w:val="0093505B"/>
    <w:rsid w:val="00935141"/>
    <w:rsid w:val="009358A7"/>
    <w:rsid w:val="00935BCF"/>
    <w:rsid w:val="00935E9A"/>
    <w:rsid w:val="00935F04"/>
    <w:rsid w:val="00935F9F"/>
    <w:rsid w:val="00936385"/>
    <w:rsid w:val="00936596"/>
    <w:rsid w:val="00936722"/>
    <w:rsid w:val="0093691F"/>
    <w:rsid w:val="00936939"/>
    <w:rsid w:val="0093698E"/>
    <w:rsid w:val="00936A46"/>
    <w:rsid w:val="009374E1"/>
    <w:rsid w:val="00937781"/>
    <w:rsid w:val="009377EF"/>
    <w:rsid w:val="00937F51"/>
    <w:rsid w:val="00940067"/>
    <w:rsid w:val="00940688"/>
    <w:rsid w:val="00940732"/>
    <w:rsid w:val="00940751"/>
    <w:rsid w:val="0094077B"/>
    <w:rsid w:val="00940998"/>
    <w:rsid w:val="00940A77"/>
    <w:rsid w:val="00940AB5"/>
    <w:rsid w:val="00940AE5"/>
    <w:rsid w:val="00940AE9"/>
    <w:rsid w:val="00940DD7"/>
    <w:rsid w:val="0094121C"/>
    <w:rsid w:val="00941388"/>
    <w:rsid w:val="009413E3"/>
    <w:rsid w:val="009413E7"/>
    <w:rsid w:val="0094170E"/>
    <w:rsid w:val="009417D8"/>
    <w:rsid w:val="00941873"/>
    <w:rsid w:val="0094196B"/>
    <w:rsid w:val="00941A5E"/>
    <w:rsid w:val="00941AA3"/>
    <w:rsid w:val="00941B66"/>
    <w:rsid w:val="00941CE7"/>
    <w:rsid w:val="00941D34"/>
    <w:rsid w:val="00941DC0"/>
    <w:rsid w:val="00942754"/>
    <w:rsid w:val="00942DDD"/>
    <w:rsid w:val="00942F30"/>
    <w:rsid w:val="009432EF"/>
    <w:rsid w:val="00943F0C"/>
    <w:rsid w:val="009444BE"/>
    <w:rsid w:val="009446EB"/>
    <w:rsid w:val="00944721"/>
    <w:rsid w:val="00944789"/>
    <w:rsid w:val="009447DE"/>
    <w:rsid w:val="00944C3D"/>
    <w:rsid w:val="00944C77"/>
    <w:rsid w:val="00944F9B"/>
    <w:rsid w:val="00944FFE"/>
    <w:rsid w:val="0094534A"/>
    <w:rsid w:val="0094593A"/>
    <w:rsid w:val="00945B9B"/>
    <w:rsid w:val="00945C70"/>
    <w:rsid w:val="00945EDC"/>
    <w:rsid w:val="00946292"/>
    <w:rsid w:val="00946D65"/>
    <w:rsid w:val="00946E24"/>
    <w:rsid w:val="00947033"/>
    <w:rsid w:val="009471EA"/>
    <w:rsid w:val="0094748D"/>
    <w:rsid w:val="00947A0E"/>
    <w:rsid w:val="00947C2B"/>
    <w:rsid w:val="00947C89"/>
    <w:rsid w:val="00947E59"/>
    <w:rsid w:val="00947EE4"/>
    <w:rsid w:val="00950290"/>
    <w:rsid w:val="0095064D"/>
    <w:rsid w:val="0095074F"/>
    <w:rsid w:val="009509C6"/>
    <w:rsid w:val="009509FF"/>
    <w:rsid w:val="00950E7E"/>
    <w:rsid w:val="00950EA2"/>
    <w:rsid w:val="00950FCF"/>
    <w:rsid w:val="009510BB"/>
    <w:rsid w:val="00951302"/>
    <w:rsid w:val="0095146B"/>
    <w:rsid w:val="00951E56"/>
    <w:rsid w:val="00951EEA"/>
    <w:rsid w:val="00951F60"/>
    <w:rsid w:val="0095242F"/>
    <w:rsid w:val="00952614"/>
    <w:rsid w:val="009531D7"/>
    <w:rsid w:val="0095323C"/>
    <w:rsid w:val="009536D0"/>
    <w:rsid w:val="00953847"/>
    <w:rsid w:val="009539D4"/>
    <w:rsid w:val="00953B53"/>
    <w:rsid w:val="00953ED6"/>
    <w:rsid w:val="00954012"/>
    <w:rsid w:val="00954046"/>
    <w:rsid w:val="009545CB"/>
    <w:rsid w:val="009546DB"/>
    <w:rsid w:val="009547A0"/>
    <w:rsid w:val="009549B6"/>
    <w:rsid w:val="00954D14"/>
    <w:rsid w:val="0095558C"/>
    <w:rsid w:val="00955754"/>
    <w:rsid w:val="009564A9"/>
    <w:rsid w:val="00956D9E"/>
    <w:rsid w:val="00956E96"/>
    <w:rsid w:val="009570FD"/>
    <w:rsid w:val="00957257"/>
    <w:rsid w:val="009574AE"/>
    <w:rsid w:val="0095759B"/>
    <w:rsid w:val="0095767F"/>
    <w:rsid w:val="00957A9A"/>
    <w:rsid w:val="00957C93"/>
    <w:rsid w:val="00957D5C"/>
    <w:rsid w:val="00957E9E"/>
    <w:rsid w:val="0096021F"/>
    <w:rsid w:val="00960A9E"/>
    <w:rsid w:val="0096120E"/>
    <w:rsid w:val="009613B3"/>
    <w:rsid w:val="00961694"/>
    <w:rsid w:val="009616A1"/>
    <w:rsid w:val="009617B3"/>
    <w:rsid w:val="00961C15"/>
    <w:rsid w:val="009623A4"/>
    <w:rsid w:val="009623DE"/>
    <w:rsid w:val="00962522"/>
    <w:rsid w:val="009628C6"/>
    <w:rsid w:val="009629F5"/>
    <w:rsid w:val="00962A1E"/>
    <w:rsid w:val="00962B98"/>
    <w:rsid w:val="00962C0F"/>
    <w:rsid w:val="00962C6F"/>
    <w:rsid w:val="00962CE6"/>
    <w:rsid w:val="009632CC"/>
    <w:rsid w:val="009633C3"/>
    <w:rsid w:val="009635D5"/>
    <w:rsid w:val="009635EF"/>
    <w:rsid w:val="009635F4"/>
    <w:rsid w:val="00963EE4"/>
    <w:rsid w:val="00964094"/>
    <w:rsid w:val="0096421A"/>
    <w:rsid w:val="00964293"/>
    <w:rsid w:val="009642EB"/>
    <w:rsid w:val="009647D3"/>
    <w:rsid w:val="00964DD4"/>
    <w:rsid w:val="009652C2"/>
    <w:rsid w:val="00965AD9"/>
    <w:rsid w:val="00965CB2"/>
    <w:rsid w:val="00965CEE"/>
    <w:rsid w:val="00965E54"/>
    <w:rsid w:val="0096612E"/>
    <w:rsid w:val="0096619C"/>
    <w:rsid w:val="009662C0"/>
    <w:rsid w:val="009663CE"/>
    <w:rsid w:val="009664A5"/>
    <w:rsid w:val="0096696D"/>
    <w:rsid w:val="0096697A"/>
    <w:rsid w:val="00966A15"/>
    <w:rsid w:val="00966DF5"/>
    <w:rsid w:val="00966E5C"/>
    <w:rsid w:val="00967321"/>
    <w:rsid w:val="009673E6"/>
    <w:rsid w:val="009675C0"/>
    <w:rsid w:val="00967A2C"/>
    <w:rsid w:val="00967C5F"/>
    <w:rsid w:val="009700F1"/>
    <w:rsid w:val="00970237"/>
    <w:rsid w:val="009707DE"/>
    <w:rsid w:val="0097088F"/>
    <w:rsid w:val="0097126C"/>
    <w:rsid w:val="00971299"/>
    <w:rsid w:val="009712B8"/>
    <w:rsid w:val="009713C7"/>
    <w:rsid w:val="009714F0"/>
    <w:rsid w:val="0097269A"/>
    <w:rsid w:val="00972768"/>
    <w:rsid w:val="0097340D"/>
    <w:rsid w:val="009737C5"/>
    <w:rsid w:val="009739A2"/>
    <w:rsid w:val="00973F62"/>
    <w:rsid w:val="00973F68"/>
    <w:rsid w:val="0097400C"/>
    <w:rsid w:val="0097413D"/>
    <w:rsid w:val="00974B84"/>
    <w:rsid w:val="00974C04"/>
    <w:rsid w:val="009752C6"/>
    <w:rsid w:val="00975387"/>
    <w:rsid w:val="009755CA"/>
    <w:rsid w:val="009758ED"/>
    <w:rsid w:val="00975970"/>
    <w:rsid w:val="00975D27"/>
    <w:rsid w:val="00975DC4"/>
    <w:rsid w:val="00975DE1"/>
    <w:rsid w:val="00975EE9"/>
    <w:rsid w:val="0097661A"/>
    <w:rsid w:val="00976C5B"/>
    <w:rsid w:val="00976E3D"/>
    <w:rsid w:val="009771CE"/>
    <w:rsid w:val="00977625"/>
    <w:rsid w:val="009777CB"/>
    <w:rsid w:val="00977FE9"/>
    <w:rsid w:val="00980104"/>
    <w:rsid w:val="00980172"/>
    <w:rsid w:val="009802CF"/>
    <w:rsid w:val="0098053C"/>
    <w:rsid w:val="00980ABE"/>
    <w:rsid w:val="00980F77"/>
    <w:rsid w:val="0098140C"/>
    <w:rsid w:val="0098170B"/>
    <w:rsid w:val="009818F5"/>
    <w:rsid w:val="009822F9"/>
    <w:rsid w:val="0098245B"/>
    <w:rsid w:val="009826F1"/>
    <w:rsid w:val="0098290F"/>
    <w:rsid w:val="00982936"/>
    <w:rsid w:val="009829AB"/>
    <w:rsid w:val="00982ABC"/>
    <w:rsid w:val="00982B10"/>
    <w:rsid w:val="00982C66"/>
    <w:rsid w:val="00982CFB"/>
    <w:rsid w:val="00982F70"/>
    <w:rsid w:val="009835B0"/>
    <w:rsid w:val="0098388E"/>
    <w:rsid w:val="009839D6"/>
    <w:rsid w:val="00983C10"/>
    <w:rsid w:val="00983C1C"/>
    <w:rsid w:val="00983D82"/>
    <w:rsid w:val="00983DB5"/>
    <w:rsid w:val="00984266"/>
    <w:rsid w:val="009844CE"/>
    <w:rsid w:val="0098450A"/>
    <w:rsid w:val="00984952"/>
    <w:rsid w:val="00984AD6"/>
    <w:rsid w:val="00984AE4"/>
    <w:rsid w:val="00984B26"/>
    <w:rsid w:val="00984CF5"/>
    <w:rsid w:val="00984E42"/>
    <w:rsid w:val="009851E5"/>
    <w:rsid w:val="009852AA"/>
    <w:rsid w:val="009852E4"/>
    <w:rsid w:val="00985303"/>
    <w:rsid w:val="00985423"/>
    <w:rsid w:val="0098557B"/>
    <w:rsid w:val="00985657"/>
    <w:rsid w:val="0098589E"/>
    <w:rsid w:val="00985A6C"/>
    <w:rsid w:val="00985BB3"/>
    <w:rsid w:val="00985BE5"/>
    <w:rsid w:val="00985C27"/>
    <w:rsid w:val="00985D1E"/>
    <w:rsid w:val="00985EDB"/>
    <w:rsid w:val="00986161"/>
    <w:rsid w:val="00986279"/>
    <w:rsid w:val="0098647A"/>
    <w:rsid w:val="00986585"/>
    <w:rsid w:val="00986616"/>
    <w:rsid w:val="0098679F"/>
    <w:rsid w:val="009869BA"/>
    <w:rsid w:val="009869E3"/>
    <w:rsid w:val="00986D53"/>
    <w:rsid w:val="00986DB2"/>
    <w:rsid w:val="00986F6B"/>
    <w:rsid w:val="0098723A"/>
    <w:rsid w:val="00987C62"/>
    <w:rsid w:val="0099017A"/>
    <w:rsid w:val="00990585"/>
    <w:rsid w:val="009907FE"/>
    <w:rsid w:val="00990AA2"/>
    <w:rsid w:val="009917AA"/>
    <w:rsid w:val="00991908"/>
    <w:rsid w:val="00992292"/>
    <w:rsid w:val="00992572"/>
    <w:rsid w:val="009925A8"/>
    <w:rsid w:val="00992B54"/>
    <w:rsid w:val="00992F25"/>
    <w:rsid w:val="0099307B"/>
    <w:rsid w:val="00993261"/>
    <w:rsid w:val="00993422"/>
    <w:rsid w:val="00993552"/>
    <w:rsid w:val="00993626"/>
    <w:rsid w:val="0099367C"/>
    <w:rsid w:val="00993A1C"/>
    <w:rsid w:val="00993B9F"/>
    <w:rsid w:val="00993E95"/>
    <w:rsid w:val="00994197"/>
    <w:rsid w:val="0099444B"/>
    <w:rsid w:val="0099487A"/>
    <w:rsid w:val="00994DD9"/>
    <w:rsid w:val="00994E2D"/>
    <w:rsid w:val="00994FC1"/>
    <w:rsid w:val="009950B7"/>
    <w:rsid w:val="009951D0"/>
    <w:rsid w:val="009951F2"/>
    <w:rsid w:val="009952BB"/>
    <w:rsid w:val="009952C4"/>
    <w:rsid w:val="009956BC"/>
    <w:rsid w:val="00995907"/>
    <w:rsid w:val="00995909"/>
    <w:rsid w:val="00996002"/>
    <w:rsid w:val="009961C7"/>
    <w:rsid w:val="009963AE"/>
    <w:rsid w:val="00996592"/>
    <w:rsid w:val="00996704"/>
    <w:rsid w:val="00996800"/>
    <w:rsid w:val="009969FF"/>
    <w:rsid w:val="00996C31"/>
    <w:rsid w:val="00996CC0"/>
    <w:rsid w:val="0099708E"/>
    <w:rsid w:val="009973A2"/>
    <w:rsid w:val="009978C0"/>
    <w:rsid w:val="00997AF2"/>
    <w:rsid w:val="00997B69"/>
    <w:rsid w:val="00997F88"/>
    <w:rsid w:val="009A08C9"/>
    <w:rsid w:val="009A0A9E"/>
    <w:rsid w:val="009A0DFF"/>
    <w:rsid w:val="009A1010"/>
    <w:rsid w:val="009A1219"/>
    <w:rsid w:val="009A123C"/>
    <w:rsid w:val="009A12A5"/>
    <w:rsid w:val="009A1474"/>
    <w:rsid w:val="009A1628"/>
    <w:rsid w:val="009A1677"/>
    <w:rsid w:val="009A1C35"/>
    <w:rsid w:val="009A1E34"/>
    <w:rsid w:val="009A1E53"/>
    <w:rsid w:val="009A1E85"/>
    <w:rsid w:val="009A1FA2"/>
    <w:rsid w:val="009A1FA8"/>
    <w:rsid w:val="009A2B28"/>
    <w:rsid w:val="009A2BED"/>
    <w:rsid w:val="009A2ECF"/>
    <w:rsid w:val="009A3006"/>
    <w:rsid w:val="009A31AF"/>
    <w:rsid w:val="009A3339"/>
    <w:rsid w:val="009A3454"/>
    <w:rsid w:val="009A3506"/>
    <w:rsid w:val="009A35A6"/>
    <w:rsid w:val="009A3A11"/>
    <w:rsid w:val="009A3AA5"/>
    <w:rsid w:val="009A3ACE"/>
    <w:rsid w:val="009A3CBB"/>
    <w:rsid w:val="009A405C"/>
    <w:rsid w:val="009A431B"/>
    <w:rsid w:val="009A4654"/>
    <w:rsid w:val="009A483D"/>
    <w:rsid w:val="009A48DB"/>
    <w:rsid w:val="009A4E53"/>
    <w:rsid w:val="009A4F91"/>
    <w:rsid w:val="009A5358"/>
    <w:rsid w:val="009A5814"/>
    <w:rsid w:val="009A5872"/>
    <w:rsid w:val="009A58CD"/>
    <w:rsid w:val="009A5916"/>
    <w:rsid w:val="009A5A97"/>
    <w:rsid w:val="009A5F61"/>
    <w:rsid w:val="009A60FA"/>
    <w:rsid w:val="009A678B"/>
    <w:rsid w:val="009A67D9"/>
    <w:rsid w:val="009A6D8C"/>
    <w:rsid w:val="009A70B5"/>
    <w:rsid w:val="009A77F7"/>
    <w:rsid w:val="009A7C3A"/>
    <w:rsid w:val="009A7F69"/>
    <w:rsid w:val="009B018E"/>
    <w:rsid w:val="009B06ED"/>
    <w:rsid w:val="009B0792"/>
    <w:rsid w:val="009B08E3"/>
    <w:rsid w:val="009B092E"/>
    <w:rsid w:val="009B0BBF"/>
    <w:rsid w:val="009B1136"/>
    <w:rsid w:val="009B1328"/>
    <w:rsid w:val="009B1593"/>
    <w:rsid w:val="009B1720"/>
    <w:rsid w:val="009B1780"/>
    <w:rsid w:val="009B18D8"/>
    <w:rsid w:val="009B1D91"/>
    <w:rsid w:val="009B1E19"/>
    <w:rsid w:val="009B2064"/>
    <w:rsid w:val="009B2119"/>
    <w:rsid w:val="009B23BC"/>
    <w:rsid w:val="009B250F"/>
    <w:rsid w:val="009B25A5"/>
    <w:rsid w:val="009B25C0"/>
    <w:rsid w:val="009B2624"/>
    <w:rsid w:val="009B2698"/>
    <w:rsid w:val="009B275C"/>
    <w:rsid w:val="009B2A9F"/>
    <w:rsid w:val="009B2B0B"/>
    <w:rsid w:val="009B2D65"/>
    <w:rsid w:val="009B2DD4"/>
    <w:rsid w:val="009B2F86"/>
    <w:rsid w:val="009B3163"/>
    <w:rsid w:val="009B35B4"/>
    <w:rsid w:val="009B37BD"/>
    <w:rsid w:val="009B3962"/>
    <w:rsid w:val="009B3E84"/>
    <w:rsid w:val="009B4093"/>
    <w:rsid w:val="009B4555"/>
    <w:rsid w:val="009B465E"/>
    <w:rsid w:val="009B4904"/>
    <w:rsid w:val="009B4A69"/>
    <w:rsid w:val="009B4ACE"/>
    <w:rsid w:val="009B4B20"/>
    <w:rsid w:val="009B4BD2"/>
    <w:rsid w:val="009B4C52"/>
    <w:rsid w:val="009B4F93"/>
    <w:rsid w:val="009B57E9"/>
    <w:rsid w:val="009B5830"/>
    <w:rsid w:val="009B5A8E"/>
    <w:rsid w:val="009B5DE7"/>
    <w:rsid w:val="009B5FD0"/>
    <w:rsid w:val="009B6098"/>
    <w:rsid w:val="009B613A"/>
    <w:rsid w:val="009B6387"/>
    <w:rsid w:val="009B6426"/>
    <w:rsid w:val="009B64E7"/>
    <w:rsid w:val="009B664D"/>
    <w:rsid w:val="009B6C36"/>
    <w:rsid w:val="009B73CB"/>
    <w:rsid w:val="009B7ED3"/>
    <w:rsid w:val="009C0927"/>
    <w:rsid w:val="009C09D7"/>
    <w:rsid w:val="009C0CA6"/>
    <w:rsid w:val="009C0D92"/>
    <w:rsid w:val="009C0DC3"/>
    <w:rsid w:val="009C11F5"/>
    <w:rsid w:val="009C1379"/>
    <w:rsid w:val="009C1714"/>
    <w:rsid w:val="009C17F7"/>
    <w:rsid w:val="009C1B39"/>
    <w:rsid w:val="009C2185"/>
    <w:rsid w:val="009C24A8"/>
    <w:rsid w:val="009C28C2"/>
    <w:rsid w:val="009C29ED"/>
    <w:rsid w:val="009C2BA0"/>
    <w:rsid w:val="009C2BE4"/>
    <w:rsid w:val="009C2E41"/>
    <w:rsid w:val="009C2F88"/>
    <w:rsid w:val="009C3017"/>
    <w:rsid w:val="009C35B9"/>
    <w:rsid w:val="009C368C"/>
    <w:rsid w:val="009C3BBC"/>
    <w:rsid w:val="009C3FE9"/>
    <w:rsid w:val="009C43A2"/>
    <w:rsid w:val="009C489B"/>
    <w:rsid w:val="009C4A98"/>
    <w:rsid w:val="009C4C89"/>
    <w:rsid w:val="009C4F2A"/>
    <w:rsid w:val="009C52A5"/>
    <w:rsid w:val="009C52C7"/>
    <w:rsid w:val="009C567D"/>
    <w:rsid w:val="009C5A16"/>
    <w:rsid w:val="009C5AE1"/>
    <w:rsid w:val="009C5B05"/>
    <w:rsid w:val="009C5B41"/>
    <w:rsid w:val="009C5CB5"/>
    <w:rsid w:val="009C601E"/>
    <w:rsid w:val="009C6761"/>
    <w:rsid w:val="009C67FD"/>
    <w:rsid w:val="009C6923"/>
    <w:rsid w:val="009C6989"/>
    <w:rsid w:val="009C6C48"/>
    <w:rsid w:val="009C6C63"/>
    <w:rsid w:val="009C6F4E"/>
    <w:rsid w:val="009C6F6C"/>
    <w:rsid w:val="009C6FF0"/>
    <w:rsid w:val="009C74B6"/>
    <w:rsid w:val="009C7BB1"/>
    <w:rsid w:val="009C7D4B"/>
    <w:rsid w:val="009C7D67"/>
    <w:rsid w:val="009C7E68"/>
    <w:rsid w:val="009C7EF2"/>
    <w:rsid w:val="009D0853"/>
    <w:rsid w:val="009D09C0"/>
    <w:rsid w:val="009D0AE9"/>
    <w:rsid w:val="009D0B3C"/>
    <w:rsid w:val="009D0D82"/>
    <w:rsid w:val="009D0F09"/>
    <w:rsid w:val="009D0F2E"/>
    <w:rsid w:val="009D10A5"/>
    <w:rsid w:val="009D10E0"/>
    <w:rsid w:val="009D140F"/>
    <w:rsid w:val="009D15B7"/>
    <w:rsid w:val="009D1FC4"/>
    <w:rsid w:val="009D2101"/>
    <w:rsid w:val="009D216B"/>
    <w:rsid w:val="009D2858"/>
    <w:rsid w:val="009D28EE"/>
    <w:rsid w:val="009D297E"/>
    <w:rsid w:val="009D2F03"/>
    <w:rsid w:val="009D3003"/>
    <w:rsid w:val="009D3070"/>
    <w:rsid w:val="009D30E3"/>
    <w:rsid w:val="009D31F6"/>
    <w:rsid w:val="009D328B"/>
    <w:rsid w:val="009D34FE"/>
    <w:rsid w:val="009D373E"/>
    <w:rsid w:val="009D378B"/>
    <w:rsid w:val="009D3CE3"/>
    <w:rsid w:val="009D4014"/>
    <w:rsid w:val="009D41F6"/>
    <w:rsid w:val="009D4706"/>
    <w:rsid w:val="009D477C"/>
    <w:rsid w:val="009D49A7"/>
    <w:rsid w:val="009D4A12"/>
    <w:rsid w:val="009D4A38"/>
    <w:rsid w:val="009D4B48"/>
    <w:rsid w:val="009D4E62"/>
    <w:rsid w:val="009D4F2F"/>
    <w:rsid w:val="009D5390"/>
    <w:rsid w:val="009D58A4"/>
    <w:rsid w:val="009D5942"/>
    <w:rsid w:val="009D5A6C"/>
    <w:rsid w:val="009D5A77"/>
    <w:rsid w:val="009D5BC9"/>
    <w:rsid w:val="009D6046"/>
    <w:rsid w:val="009D6700"/>
    <w:rsid w:val="009D68F8"/>
    <w:rsid w:val="009D6A72"/>
    <w:rsid w:val="009D6B90"/>
    <w:rsid w:val="009D6BAE"/>
    <w:rsid w:val="009D7104"/>
    <w:rsid w:val="009D721B"/>
    <w:rsid w:val="009D7313"/>
    <w:rsid w:val="009D738C"/>
    <w:rsid w:val="009D74EC"/>
    <w:rsid w:val="009D74EE"/>
    <w:rsid w:val="009D7960"/>
    <w:rsid w:val="009E0071"/>
    <w:rsid w:val="009E0251"/>
    <w:rsid w:val="009E0339"/>
    <w:rsid w:val="009E05D2"/>
    <w:rsid w:val="009E074A"/>
    <w:rsid w:val="009E0929"/>
    <w:rsid w:val="009E09DD"/>
    <w:rsid w:val="009E0E2F"/>
    <w:rsid w:val="009E12A9"/>
    <w:rsid w:val="009E1B20"/>
    <w:rsid w:val="009E1BEB"/>
    <w:rsid w:val="009E1C7D"/>
    <w:rsid w:val="009E1F3E"/>
    <w:rsid w:val="009E201B"/>
    <w:rsid w:val="009E2797"/>
    <w:rsid w:val="009E2AF0"/>
    <w:rsid w:val="009E2CAF"/>
    <w:rsid w:val="009E2CB1"/>
    <w:rsid w:val="009E2EAC"/>
    <w:rsid w:val="009E328B"/>
    <w:rsid w:val="009E3324"/>
    <w:rsid w:val="009E3735"/>
    <w:rsid w:val="009E3EFF"/>
    <w:rsid w:val="009E4204"/>
    <w:rsid w:val="009E4290"/>
    <w:rsid w:val="009E42F0"/>
    <w:rsid w:val="009E44B4"/>
    <w:rsid w:val="009E4618"/>
    <w:rsid w:val="009E4956"/>
    <w:rsid w:val="009E4A80"/>
    <w:rsid w:val="009E4A89"/>
    <w:rsid w:val="009E4B3B"/>
    <w:rsid w:val="009E4CCF"/>
    <w:rsid w:val="009E4DCE"/>
    <w:rsid w:val="009E4E0B"/>
    <w:rsid w:val="009E5051"/>
    <w:rsid w:val="009E5325"/>
    <w:rsid w:val="009E59F3"/>
    <w:rsid w:val="009E5C6A"/>
    <w:rsid w:val="009E60C0"/>
    <w:rsid w:val="009E61E5"/>
    <w:rsid w:val="009E620D"/>
    <w:rsid w:val="009E643D"/>
    <w:rsid w:val="009E6592"/>
    <w:rsid w:val="009E66A5"/>
    <w:rsid w:val="009E6D49"/>
    <w:rsid w:val="009E6FF2"/>
    <w:rsid w:val="009E7373"/>
    <w:rsid w:val="009E774B"/>
    <w:rsid w:val="009E7A69"/>
    <w:rsid w:val="009E7DE6"/>
    <w:rsid w:val="009E7DED"/>
    <w:rsid w:val="009F0334"/>
    <w:rsid w:val="009F039A"/>
    <w:rsid w:val="009F064B"/>
    <w:rsid w:val="009F07F4"/>
    <w:rsid w:val="009F07F9"/>
    <w:rsid w:val="009F0921"/>
    <w:rsid w:val="009F09DD"/>
    <w:rsid w:val="009F0EEE"/>
    <w:rsid w:val="009F111B"/>
    <w:rsid w:val="009F145E"/>
    <w:rsid w:val="009F1464"/>
    <w:rsid w:val="009F1472"/>
    <w:rsid w:val="009F174D"/>
    <w:rsid w:val="009F184E"/>
    <w:rsid w:val="009F1B47"/>
    <w:rsid w:val="009F1BD9"/>
    <w:rsid w:val="009F1BE9"/>
    <w:rsid w:val="009F1F18"/>
    <w:rsid w:val="009F1FA1"/>
    <w:rsid w:val="009F2228"/>
    <w:rsid w:val="009F226D"/>
    <w:rsid w:val="009F2342"/>
    <w:rsid w:val="009F2587"/>
    <w:rsid w:val="009F2603"/>
    <w:rsid w:val="009F265F"/>
    <w:rsid w:val="009F2A80"/>
    <w:rsid w:val="009F2A98"/>
    <w:rsid w:val="009F2DB7"/>
    <w:rsid w:val="009F2F13"/>
    <w:rsid w:val="009F4160"/>
    <w:rsid w:val="009F426F"/>
    <w:rsid w:val="009F42AF"/>
    <w:rsid w:val="009F4592"/>
    <w:rsid w:val="009F494A"/>
    <w:rsid w:val="009F5105"/>
    <w:rsid w:val="009F5607"/>
    <w:rsid w:val="009F570B"/>
    <w:rsid w:val="009F579B"/>
    <w:rsid w:val="009F5D78"/>
    <w:rsid w:val="009F5FDA"/>
    <w:rsid w:val="009F6049"/>
    <w:rsid w:val="009F650C"/>
    <w:rsid w:val="009F660A"/>
    <w:rsid w:val="009F6735"/>
    <w:rsid w:val="009F68EA"/>
    <w:rsid w:val="009F68F1"/>
    <w:rsid w:val="009F68F8"/>
    <w:rsid w:val="009F6ACF"/>
    <w:rsid w:val="009F6ADC"/>
    <w:rsid w:val="009F6D8C"/>
    <w:rsid w:val="009F6EDA"/>
    <w:rsid w:val="009F731F"/>
    <w:rsid w:val="009F771A"/>
    <w:rsid w:val="009F7768"/>
    <w:rsid w:val="009F7941"/>
    <w:rsid w:val="009F7A1D"/>
    <w:rsid w:val="009F7DE6"/>
    <w:rsid w:val="009F7E51"/>
    <w:rsid w:val="00A00064"/>
    <w:rsid w:val="00A0021C"/>
    <w:rsid w:val="00A002C3"/>
    <w:rsid w:val="00A00304"/>
    <w:rsid w:val="00A0032A"/>
    <w:rsid w:val="00A0092A"/>
    <w:rsid w:val="00A00A01"/>
    <w:rsid w:val="00A00AF2"/>
    <w:rsid w:val="00A00CA4"/>
    <w:rsid w:val="00A00D3C"/>
    <w:rsid w:val="00A00D51"/>
    <w:rsid w:val="00A00EE4"/>
    <w:rsid w:val="00A00F68"/>
    <w:rsid w:val="00A01309"/>
    <w:rsid w:val="00A016A0"/>
    <w:rsid w:val="00A01AA6"/>
    <w:rsid w:val="00A01E03"/>
    <w:rsid w:val="00A01F16"/>
    <w:rsid w:val="00A01F40"/>
    <w:rsid w:val="00A02090"/>
    <w:rsid w:val="00A02DF8"/>
    <w:rsid w:val="00A03437"/>
    <w:rsid w:val="00A03E1F"/>
    <w:rsid w:val="00A03F12"/>
    <w:rsid w:val="00A04065"/>
    <w:rsid w:val="00A04620"/>
    <w:rsid w:val="00A046CA"/>
    <w:rsid w:val="00A04E1A"/>
    <w:rsid w:val="00A04EB1"/>
    <w:rsid w:val="00A04EE5"/>
    <w:rsid w:val="00A05014"/>
    <w:rsid w:val="00A05394"/>
    <w:rsid w:val="00A0540B"/>
    <w:rsid w:val="00A05589"/>
    <w:rsid w:val="00A056B2"/>
    <w:rsid w:val="00A056F7"/>
    <w:rsid w:val="00A058D2"/>
    <w:rsid w:val="00A05F53"/>
    <w:rsid w:val="00A06B0F"/>
    <w:rsid w:val="00A070C2"/>
    <w:rsid w:val="00A0743E"/>
    <w:rsid w:val="00A0749A"/>
    <w:rsid w:val="00A07576"/>
    <w:rsid w:val="00A078D7"/>
    <w:rsid w:val="00A07E1A"/>
    <w:rsid w:val="00A07E91"/>
    <w:rsid w:val="00A07F06"/>
    <w:rsid w:val="00A07F51"/>
    <w:rsid w:val="00A101E4"/>
    <w:rsid w:val="00A10494"/>
    <w:rsid w:val="00A107F8"/>
    <w:rsid w:val="00A10813"/>
    <w:rsid w:val="00A10A19"/>
    <w:rsid w:val="00A10E70"/>
    <w:rsid w:val="00A11513"/>
    <w:rsid w:val="00A115A5"/>
    <w:rsid w:val="00A11676"/>
    <w:rsid w:val="00A11720"/>
    <w:rsid w:val="00A11772"/>
    <w:rsid w:val="00A11953"/>
    <w:rsid w:val="00A11EAD"/>
    <w:rsid w:val="00A11EAF"/>
    <w:rsid w:val="00A11FEE"/>
    <w:rsid w:val="00A12130"/>
    <w:rsid w:val="00A12184"/>
    <w:rsid w:val="00A127EF"/>
    <w:rsid w:val="00A12906"/>
    <w:rsid w:val="00A132CC"/>
    <w:rsid w:val="00A13329"/>
    <w:rsid w:val="00A13391"/>
    <w:rsid w:val="00A133AB"/>
    <w:rsid w:val="00A134BA"/>
    <w:rsid w:val="00A135D4"/>
    <w:rsid w:val="00A13694"/>
    <w:rsid w:val="00A136EE"/>
    <w:rsid w:val="00A13818"/>
    <w:rsid w:val="00A13B6F"/>
    <w:rsid w:val="00A1445B"/>
    <w:rsid w:val="00A14A42"/>
    <w:rsid w:val="00A14DC7"/>
    <w:rsid w:val="00A14E04"/>
    <w:rsid w:val="00A14F2B"/>
    <w:rsid w:val="00A14FA3"/>
    <w:rsid w:val="00A15002"/>
    <w:rsid w:val="00A152BE"/>
    <w:rsid w:val="00A15383"/>
    <w:rsid w:val="00A154FC"/>
    <w:rsid w:val="00A15513"/>
    <w:rsid w:val="00A1556E"/>
    <w:rsid w:val="00A15CA1"/>
    <w:rsid w:val="00A15D2E"/>
    <w:rsid w:val="00A15E06"/>
    <w:rsid w:val="00A15F8B"/>
    <w:rsid w:val="00A161F2"/>
    <w:rsid w:val="00A16346"/>
    <w:rsid w:val="00A16443"/>
    <w:rsid w:val="00A1657E"/>
    <w:rsid w:val="00A166DE"/>
    <w:rsid w:val="00A16898"/>
    <w:rsid w:val="00A169AC"/>
    <w:rsid w:val="00A16D1A"/>
    <w:rsid w:val="00A16DCF"/>
    <w:rsid w:val="00A17140"/>
    <w:rsid w:val="00A17406"/>
    <w:rsid w:val="00A17500"/>
    <w:rsid w:val="00A1763B"/>
    <w:rsid w:val="00A17761"/>
    <w:rsid w:val="00A17784"/>
    <w:rsid w:val="00A1786A"/>
    <w:rsid w:val="00A17A52"/>
    <w:rsid w:val="00A17A96"/>
    <w:rsid w:val="00A17FF6"/>
    <w:rsid w:val="00A201E6"/>
    <w:rsid w:val="00A20439"/>
    <w:rsid w:val="00A205FD"/>
    <w:rsid w:val="00A2086D"/>
    <w:rsid w:val="00A20BA6"/>
    <w:rsid w:val="00A20C93"/>
    <w:rsid w:val="00A20D09"/>
    <w:rsid w:val="00A20F00"/>
    <w:rsid w:val="00A20F0B"/>
    <w:rsid w:val="00A21150"/>
    <w:rsid w:val="00A21191"/>
    <w:rsid w:val="00A21439"/>
    <w:rsid w:val="00A21625"/>
    <w:rsid w:val="00A217F8"/>
    <w:rsid w:val="00A21E43"/>
    <w:rsid w:val="00A221EB"/>
    <w:rsid w:val="00A223B2"/>
    <w:rsid w:val="00A223DA"/>
    <w:rsid w:val="00A2247F"/>
    <w:rsid w:val="00A22544"/>
    <w:rsid w:val="00A22562"/>
    <w:rsid w:val="00A2269F"/>
    <w:rsid w:val="00A226D6"/>
    <w:rsid w:val="00A226E5"/>
    <w:rsid w:val="00A2283B"/>
    <w:rsid w:val="00A22A74"/>
    <w:rsid w:val="00A22A8A"/>
    <w:rsid w:val="00A22C64"/>
    <w:rsid w:val="00A23A82"/>
    <w:rsid w:val="00A23AE3"/>
    <w:rsid w:val="00A23CAC"/>
    <w:rsid w:val="00A23F33"/>
    <w:rsid w:val="00A24106"/>
    <w:rsid w:val="00A242D0"/>
    <w:rsid w:val="00A2443A"/>
    <w:rsid w:val="00A244C9"/>
    <w:rsid w:val="00A24A35"/>
    <w:rsid w:val="00A24A84"/>
    <w:rsid w:val="00A24CEE"/>
    <w:rsid w:val="00A24D2B"/>
    <w:rsid w:val="00A24F79"/>
    <w:rsid w:val="00A250F0"/>
    <w:rsid w:val="00A25194"/>
    <w:rsid w:val="00A25198"/>
    <w:rsid w:val="00A252D8"/>
    <w:rsid w:val="00A25394"/>
    <w:rsid w:val="00A253CA"/>
    <w:rsid w:val="00A25459"/>
    <w:rsid w:val="00A25505"/>
    <w:rsid w:val="00A25885"/>
    <w:rsid w:val="00A259F0"/>
    <w:rsid w:val="00A25AAB"/>
    <w:rsid w:val="00A25D28"/>
    <w:rsid w:val="00A25E6F"/>
    <w:rsid w:val="00A2642E"/>
    <w:rsid w:val="00A264A4"/>
    <w:rsid w:val="00A265DE"/>
    <w:rsid w:val="00A2673F"/>
    <w:rsid w:val="00A26DC2"/>
    <w:rsid w:val="00A26FE4"/>
    <w:rsid w:val="00A273E7"/>
    <w:rsid w:val="00A2767D"/>
    <w:rsid w:val="00A27784"/>
    <w:rsid w:val="00A27961"/>
    <w:rsid w:val="00A27A66"/>
    <w:rsid w:val="00A27F90"/>
    <w:rsid w:val="00A30DD3"/>
    <w:rsid w:val="00A3109A"/>
    <w:rsid w:val="00A31653"/>
    <w:rsid w:val="00A31778"/>
    <w:rsid w:val="00A31AF3"/>
    <w:rsid w:val="00A31E9B"/>
    <w:rsid w:val="00A3225C"/>
    <w:rsid w:val="00A326DE"/>
    <w:rsid w:val="00A32E28"/>
    <w:rsid w:val="00A33D7C"/>
    <w:rsid w:val="00A33DDD"/>
    <w:rsid w:val="00A341A7"/>
    <w:rsid w:val="00A34293"/>
    <w:rsid w:val="00A34668"/>
    <w:rsid w:val="00A347C5"/>
    <w:rsid w:val="00A34BAD"/>
    <w:rsid w:val="00A34E13"/>
    <w:rsid w:val="00A34E32"/>
    <w:rsid w:val="00A350C4"/>
    <w:rsid w:val="00A351CB"/>
    <w:rsid w:val="00A358C7"/>
    <w:rsid w:val="00A359EB"/>
    <w:rsid w:val="00A35AB3"/>
    <w:rsid w:val="00A35D08"/>
    <w:rsid w:val="00A35EF4"/>
    <w:rsid w:val="00A36584"/>
    <w:rsid w:val="00A36695"/>
    <w:rsid w:val="00A369F7"/>
    <w:rsid w:val="00A36AB5"/>
    <w:rsid w:val="00A36B25"/>
    <w:rsid w:val="00A36B65"/>
    <w:rsid w:val="00A36D77"/>
    <w:rsid w:val="00A3719C"/>
    <w:rsid w:val="00A37527"/>
    <w:rsid w:val="00A375CC"/>
    <w:rsid w:val="00A37747"/>
    <w:rsid w:val="00A377DB"/>
    <w:rsid w:val="00A378BB"/>
    <w:rsid w:val="00A37A6D"/>
    <w:rsid w:val="00A4033B"/>
    <w:rsid w:val="00A403F1"/>
    <w:rsid w:val="00A403FD"/>
    <w:rsid w:val="00A404B9"/>
    <w:rsid w:val="00A40629"/>
    <w:rsid w:val="00A409ED"/>
    <w:rsid w:val="00A40C69"/>
    <w:rsid w:val="00A40C96"/>
    <w:rsid w:val="00A4114B"/>
    <w:rsid w:val="00A41410"/>
    <w:rsid w:val="00A41A45"/>
    <w:rsid w:val="00A41ABD"/>
    <w:rsid w:val="00A41BD8"/>
    <w:rsid w:val="00A41CFF"/>
    <w:rsid w:val="00A42382"/>
    <w:rsid w:val="00A42668"/>
    <w:rsid w:val="00A42864"/>
    <w:rsid w:val="00A42C4C"/>
    <w:rsid w:val="00A42D9E"/>
    <w:rsid w:val="00A42F09"/>
    <w:rsid w:val="00A430EB"/>
    <w:rsid w:val="00A432BE"/>
    <w:rsid w:val="00A43544"/>
    <w:rsid w:val="00A436DD"/>
    <w:rsid w:val="00A4372C"/>
    <w:rsid w:val="00A43764"/>
    <w:rsid w:val="00A43836"/>
    <w:rsid w:val="00A438CD"/>
    <w:rsid w:val="00A4395D"/>
    <w:rsid w:val="00A439C9"/>
    <w:rsid w:val="00A43ABA"/>
    <w:rsid w:val="00A43B19"/>
    <w:rsid w:val="00A43B66"/>
    <w:rsid w:val="00A43C75"/>
    <w:rsid w:val="00A43CF4"/>
    <w:rsid w:val="00A4408F"/>
    <w:rsid w:val="00A44B77"/>
    <w:rsid w:val="00A44C0A"/>
    <w:rsid w:val="00A44F5E"/>
    <w:rsid w:val="00A44FAC"/>
    <w:rsid w:val="00A44FDB"/>
    <w:rsid w:val="00A4510E"/>
    <w:rsid w:val="00A459E9"/>
    <w:rsid w:val="00A45ACF"/>
    <w:rsid w:val="00A45BE4"/>
    <w:rsid w:val="00A46397"/>
    <w:rsid w:val="00A465B2"/>
    <w:rsid w:val="00A46785"/>
    <w:rsid w:val="00A467A5"/>
    <w:rsid w:val="00A467B9"/>
    <w:rsid w:val="00A469FF"/>
    <w:rsid w:val="00A46C3B"/>
    <w:rsid w:val="00A47288"/>
    <w:rsid w:val="00A47510"/>
    <w:rsid w:val="00A47CC7"/>
    <w:rsid w:val="00A47DE8"/>
    <w:rsid w:val="00A47EEE"/>
    <w:rsid w:val="00A502CF"/>
    <w:rsid w:val="00A50324"/>
    <w:rsid w:val="00A50412"/>
    <w:rsid w:val="00A504D9"/>
    <w:rsid w:val="00A505FA"/>
    <w:rsid w:val="00A50D67"/>
    <w:rsid w:val="00A50DF0"/>
    <w:rsid w:val="00A513DC"/>
    <w:rsid w:val="00A514AA"/>
    <w:rsid w:val="00A5153B"/>
    <w:rsid w:val="00A5188C"/>
    <w:rsid w:val="00A51C3A"/>
    <w:rsid w:val="00A522A2"/>
    <w:rsid w:val="00A52F77"/>
    <w:rsid w:val="00A53249"/>
    <w:rsid w:val="00A5355D"/>
    <w:rsid w:val="00A53879"/>
    <w:rsid w:val="00A53BB6"/>
    <w:rsid w:val="00A540D9"/>
    <w:rsid w:val="00A54133"/>
    <w:rsid w:val="00A541FA"/>
    <w:rsid w:val="00A54281"/>
    <w:rsid w:val="00A543A3"/>
    <w:rsid w:val="00A544DE"/>
    <w:rsid w:val="00A54518"/>
    <w:rsid w:val="00A545D4"/>
    <w:rsid w:val="00A54602"/>
    <w:rsid w:val="00A54B90"/>
    <w:rsid w:val="00A54E65"/>
    <w:rsid w:val="00A54F67"/>
    <w:rsid w:val="00A55A9F"/>
    <w:rsid w:val="00A56035"/>
    <w:rsid w:val="00A560C8"/>
    <w:rsid w:val="00A560D9"/>
    <w:rsid w:val="00A56617"/>
    <w:rsid w:val="00A5695A"/>
    <w:rsid w:val="00A56C3C"/>
    <w:rsid w:val="00A57404"/>
    <w:rsid w:val="00A574DE"/>
    <w:rsid w:val="00A5786F"/>
    <w:rsid w:val="00A57BA4"/>
    <w:rsid w:val="00A57BCE"/>
    <w:rsid w:val="00A600B9"/>
    <w:rsid w:val="00A60230"/>
    <w:rsid w:val="00A60513"/>
    <w:rsid w:val="00A606C5"/>
    <w:rsid w:val="00A606EE"/>
    <w:rsid w:val="00A60E43"/>
    <w:rsid w:val="00A614F4"/>
    <w:rsid w:val="00A615B9"/>
    <w:rsid w:val="00A61942"/>
    <w:rsid w:val="00A61989"/>
    <w:rsid w:val="00A619BA"/>
    <w:rsid w:val="00A619C8"/>
    <w:rsid w:val="00A61BF6"/>
    <w:rsid w:val="00A6212B"/>
    <w:rsid w:val="00A62155"/>
    <w:rsid w:val="00A626C8"/>
    <w:rsid w:val="00A62736"/>
    <w:rsid w:val="00A62975"/>
    <w:rsid w:val="00A62F0D"/>
    <w:rsid w:val="00A62FB9"/>
    <w:rsid w:val="00A6300F"/>
    <w:rsid w:val="00A6301C"/>
    <w:rsid w:val="00A63030"/>
    <w:rsid w:val="00A63195"/>
    <w:rsid w:val="00A632A7"/>
    <w:rsid w:val="00A63453"/>
    <w:rsid w:val="00A63616"/>
    <w:rsid w:val="00A63920"/>
    <w:rsid w:val="00A63BEA"/>
    <w:rsid w:val="00A63D9C"/>
    <w:rsid w:val="00A63E08"/>
    <w:rsid w:val="00A64033"/>
    <w:rsid w:val="00A64148"/>
    <w:rsid w:val="00A6464F"/>
    <w:rsid w:val="00A6488B"/>
    <w:rsid w:val="00A649FD"/>
    <w:rsid w:val="00A64CE7"/>
    <w:rsid w:val="00A64DA0"/>
    <w:rsid w:val="00A65018"/>
    <w:rsid w:val="00A6518F"/>
    <w:rsid w:val="00A651AA"/>
    <w:rsid w:val="00A651FD"/>
    <w:rsid w:val="00A6522B"/>
    <w:rsid w:val="00A652BA"/>
    <w:rsid w:val="00A657CA"/>
    <w:rsid w:val="00A65873"/>
    <w:rsid w:val="00A65901"/>
    <w:rsid w:val="00A65978"/>
    <w:rsid w:val="00A65A62"/>
    <w:rsid w:val="00A65BBD"/>
    <w:rsid w:val="00A662BB"/>
    <w:rsid w:val="00A66339"/>
    <w:rsid w:val="00A6650B"/>
    <w:rsid w:val="00A665D7"/>
    <w:rsid w:val="00A66A77"/>
    <w:rsid w:val="00A66B14"/>
    <w:rsid w:val="00A66DA5"/>
    <w:rsid w:val="00A66EC6"/>
    <w:rsid w:val="00A675AA"/>
    <w:rsid w:val="00A677EB"/>
    <w:rsid w:val="00A679AC"/>
    <w:rsid w:val="00A67A7B"/>
    <w:rsid w:val="00A67B5A"/>
    <w:rsid w:val="00A67D17"/>
    <w:rsid w:val="00A67D1C"/>
    <w:rsid w:val="00A67DF7"/>
    <w:rsid w:val="00A704BF"/>
    <w:rsid w:val="00A70710"/>
    <w:rsid w:val="00A707A1"/>
    <w:rsid w:val="00A70B18"/>
    <w:rsid w:val="00A711C0"/>
    <w:rsid w:val="00A71232"/>
    <w:rsid w:val="00A7185F"/>
    <w:rsid w:val="00A718F9"/>
    <w:rsid w:val="00A71941"/>
    <w:rsid w:val="00A71ABB"/>
    <w:rsid w:val="00A71B42"/>
    <w:rsid w:val="00A71C86"/>
    <w:rsid w:val="00A71CC9"/>
    <w:rsid w:val="00A722A0"/>
    <w:rsid w:val="00A72415"/>
    <w:rsid w:val="00A72418"/>
    <w:rsid w:val="00A72825"/>
    <w:rsid w:val="00A72B0E"/>
    <w:rsid w:val="00A72F67"/>
    <w:rsid w:val="00A730D0"/>
    <w:rsid w:val="00A73552"/>
    <w:rsid w:val="00A7369E"/>
    <w:rsid w:val="00A740F0"/>
    <w:rsid w:val="00A7493A"/>
    <w:rsid w:val="00A74D1C"/>
    <w:rsid w:val="00A75131"/>
    <w:rsid w:val="00A7517E"/>
    <w:rsid w:val="00A754B4"/>
    <w:rsid w:val="00A7556C"/>
    <w:rsid w:val="00A7564C"/>
    <w:rsid w:val="00A75997"/>
    <w:rsid w:val="00A75A10"/>
    <w:rsid w:val="00A75AC1"/>
    <w:rsid w:val="00A75CA2"/>
    <w:rsid w:val="00A76161"/>
    <w:rsid w:val="00A761D7"/>
    <w:rsid w:val="00A762BE"/>
    <w:rsid w:val="00A764D1"/>
    <w:rsid w:val="00A7657B"/>
    <w:rsid w:val="00A767C9"/>
    <w:rsid w:val="00A76850"/>
    <w:rsid w:val="00A76BDF"/>
    <w:rsid w:val="00A76CFD"/>
    <w:rsid w:val="00A76D23"/>
    <w:rsid w:val="00A76E4B"/>
    <w:rsid w:val="00A77094"/>
    <w:rsid w:val="00A77262"/>
    <w:rsid w:val="00A773DD"/>
    <w:rsid w:val="00A77498"/>
    <w:rsid w:val="00A77AB9"/>
    <w:rsid w:val="00A77DD4"/>
    <w:rsid w:val="00A8075C"/>
    <w:rsid w:val="00A8082F"/>
    <w:rsid w:val="00A809FB"/>
    <w:rsid w:val="00A80B6A"/>
    <w:rsid w:val="00A8118C"/>
    <w:rsid w:val="00A81199"/>
    <w:rsid w:val="00A81232"/>
    <w:rsid w:val="00A81998"/>
    <w:rsid w:val="00A81BAD"/>
    <w:rsid w:val="00A81C33"/>
    <w:rsid w:val="00A81F75"/>
    <w:rsid w:val="00A821E2"/>
    <w:rsid w:val="00A8233A"/>
    <w:rsid w:val="00A824CA"/>
    <w:rsid w:val="00A82783"/>
    <w:rsid w:val="00A828E9"/>
    <w:rsid w:val="00A82963"/>
    <w:rsid w:val="00A82C4F"/>
    <w:rsid w:val="00A83329"/>
    <w:rsid w:val="00A833FC"/>
    <w:rsid w:val="00A83A94"/>
    <w:rsid w:val="00A83BB8"/>
    <w:rsid w:val="00A84300"/>
    <w:rsid w:val="00A84346"/>
    <w:rsid w:val="00A8448D"/>
    <w:rsid w:val="00A844D2"/>
    <w:rsid w:val="00A84632"/>
    <w:rsid w:val="00A8522D"/>
    <w:rsid w:val="00A8538D"/>
    <w:rsid w:val="00A85E4D"/>
    <w:rsid w:val="00A85F5D"/>
    <w:rsid w:val="00A85F7C"/>
    <w:rsid w:val="00A86271"/>
    <w:rsid w:val="00A862A6"/>
    <w:rsid w:val="00A86447"/>
    <w:rsid w:val="00A86A7B"/>
    <w:rsid w:val="00A86E02"/>
    <w:rsid w:val="00A8776E"/>
    <w:rsid w:val="00A877B7"/>
    <w:rsid w:val="00A87E88"/>
    <w:rsid w:val="00A90B1B"/>
    <w:rsid w:val="00A90D72"/>
    <w:rsid w:val="00A91449"/>
    <w:rsid w:val="00A916A3"/>
    <w:rsid w:val="00A91A0D"/>
    <w:rsid w:val="00A91ECF"/>
    <w:rsid w:val="00A9227D"/>
    <w:rsid w:val="00A92368"/>
    <w:rsid w:val="00A92ACE"/>
    <w:rsid w:val="00A92D28"/>
    <w:rsid w:val="00A93048"/>
    <w:rsid w:val="00A9355E"/>
    <w:rsid w:val="00A9391F"/>
    <w:rsid w:val="00A93A0D"/>
    <w:rsid w:val="00A93C79"/>
    <w:rsid w:val="00A940B9"/>
    <w:rsid w:val="00A9429A"/>
    <w:rsid w:val="00A943C6"/>
    <w:rsid w:val="00A94663"/>
    <w:rsid w:val="00A94E54"/>
    <w:rsid w:val="00A94FCA"/>
    <w:rsid w:val="00A952F5"/>
    <w:rsid w:val="00A9541D"/>
    <w:rsid w:val="00A95A69"/>
    <w:rsid w:val="00A95E85"/>
    <w:rsid w:val="00A9611D"/>
    <w:rsid w:val="00A96197"/>
    <w:rsid w:val="00A9632B"/>
    <w:rsid w:val="00A96352"/>
    <w:rsid w:val="00A9653A"/>
    <w:rsid w:val="00A96572"/>
    <w:rsid w:val="00A967C9"/>
    <w:rsid w:val="00A97065"/>
    <w:rsid w:val="00A97439"/>
    <w:rsid w:val="00A974AC"/>
    <w:rsid w:val="00A97817"/>
    <w:rsid w:val="00A9799E"/>
    <w:rsid w:val="00A97C44"/>
    <w:rsid w:val="00A97CFC"/>
    <w:rsid w:val="00A97D06"/>
    <w:rsid w:val="00AA0371"/>
    <w:rsid w:val="00AA06F3"/>
    <w:rsid w:val="00AA09FA"/>
    <w:rsid w:val="00AA0C12"/>
    <w:rsid w:val="00AA120A"/>
    <w:rsid w:val="00AA1303"/>
    <w:rsid w:val="00AA133D"/>
    <w:rsid w:val="00AA158F"/>
    <w:rsid w:val="00AA1612"/>
    <w:rsid w:val="00AA17F8"/>
    <w:rsid w:val="00AA1A52"/>
    <w:rsid w:val="00AA2030"/>
    <w:rsid w:val="00AA213C"/>
    <w:rsid w:val="00AA221E"/>
    <w:rsid w:val="00AA23CF"/>
    <w:rsid w:val="00AA2DFB"/>
    <w:rsid w:val="00AA32EF"/>
    <w:rsid w:val="00AA341B"/>
    <w:rsid w:val="00AA3659"/>
    <w:rsid w:val="00AA3AB7"/>
    <w:rsid w:val="00AA4363"/>
    <w:rsid w:val="00AA45D1"/>
    <w:rsid w:val="00AA4888"/>
    <w:rsid w:val="00AA4C15"/>
    <w:rsid w:val="00AA4C8A"/>
    <w:rsid w:val="00AA4DFE"/>
    <w:rsid w:val="00AA4F48"/>
    <w:rsid w:val="00AA5608"/>
    <w:rsid w:val="00AA5952"/>
    <w:rsid w:val="00AA59BF"/>
    <w:rsid w:val="00AA5A98"/>
    <w:rsid w:val="00AA5AD9"/>
    <w:rsid w:val="00AA5B55"/>
    <w:rsid w:val="00AA5C4A"/>
    <w:rsid w:val="00AA5D3D"/>
    <w:rsid w:val="00AA5E2A"/>
    <w:rsid w:val="00AA5E6E"/>
    <w:rsid w:val="00AA6449"/>
    <w:rsid w:val="00AA6468"/>
    <w:rsid w:val="00AA65BA"/>
    <w:rsid w:val="00AA6625"/>
    <w:rsid w:val="00AA678C"/>
    <w:rsid w:val="00AA6A84"/>
    <w:rsid w:val="00AA6B61"/>
    <w:rsid w:val="00AA6D53"/>
    <w:rsid w:val="00AA710C"/>
    <w:rsid w:val="00AA71B6"/>
    <w:rsid w:val="00AA7808"/>
    <w:rsid w:val="00AA790E"/>
    <w:rsid w:val="00AA7A07"/>
    <w:rsid w:val="00AA7DD2"/>
    <w:rsid w:val="00AA7EC8"/>
    <w:rsid w:val="00AB0419"/>
    <w:rsid w:val="00AB053D"/>
    <w:rsid w:val="00AB06E7"/>
    <w:rsid w:val="00AB0B20"/>
    <w:rsid w:val="00AB0D5E"/>
    <w:rsid w:val="00AB0F0D"/>
    <w:rsid w:val="00AB1828"/>
    <w:rsid w:val="00AB1869"/>
    <w:rsid w:val="00AB1D0A"/>
    <w:rsid w:val="00AB2175"/>
    <w:rsid w:val="00AB238D"/>
    <w:rsid w:val="00AB26B9"/>
    <w:rsid w:val="00AB2870"/>
    <w:rsid w:val="00AB33B1"/>
    <w:rsid w:val="00AB3CD9"/>
    <w:rsid w:val="00AB4041"/>
    <w:rsid w:val="00AB419B"/>
    <w:rsid w:val="00AB41DE"/>
    <w:rsid w:val="00AB46A3"/>
    <w:rsid w:val="00AB472F"/>
    <w:rsid w:val="00AB473C"/>
    <w:rsid w:val="00AB4D42"/>
    <w:rsid w:val="00AB4D69"/>
    <w:rsid w:val="00AB510C"/>
    <w:rsid w:val="00AB516E"/>
    <w:rsid w:val="00AB51A7"/>
    <w:rsid w:val="00AB53BB"/>
    <w:rsid w:val="00AB552D"/>
    <w:rsid w:val="00AB55CA"/>
    <w:rsid w:val="00AB58C3"/>
    <w:rsid w:val="00AB5A91"/>
    <w:rsid w:val="00AB5AF4"/>
    <w:rsid w:val="00AB5B99"/>
    <w:rsid w:val="00AB5D37"/>
    <w:rsid w:val="00AB613A"/>
    <w:rsid w:val="00AB623B"/>
    <w:rsid w:val="00AB62F8"/>
    <w:rsid w:val="00AB65AA"/>
    <w:rsid w:val="00AB65CF"/>
    <w:rsid w:val="00AB6620"/>
    <w:rsid w:val="00AB681B"/>
    <w:rsid w:val="00AB69A4"/>
    <w:rsid w:val="00AB71D0"/>
    <w:rsid w:val="00AB7257"/>
    <w:rsid w:val="00AB75D2"/>
    <w:rsid w:val="00AB75FC"/>
    <w:rsid w:val="00AB7760"/>
    <w:rsid w:val="00AC0347"/>
    <w:rsid w:val="00AC0575"/>
    <w:rsid w:val="00AC0880"/>
    <w:rsid w:val="00AC08FB"/>
    <w:rsid w:val="00AC0A17"/>
    <w:rsid w:val="00AC103E"/>
    <w:rsid w:val="00AC107D"/>
    <w:rsid w:val="00AC179B"/>
    <w:rsid w:val="00AC18F6"/>
    <w:rsid w:val="00AC1AE9"/>
    <w:rsid w:val="00AC20DF"/>
    <w:rsid w:val="00AC236F"/>
    <w:rsid w:val="00AC23DF"/>
    <w:rsid w:val="00AC2736"/>
    <w:rsid w:val="00AC2BC2"/>
    <w:rsid w:val="00AC2E54"/>
    <w:rsid w:val="00AC3357"/>
    <w:rsid w:val="00AC35D4"/>
    <w:rsid w:val="00AC3A21"/>
    <w:rsid w:val="00AC3BD7"/>
    <w:rsid w:val="00AC3CD9"/>
    <w:rsid w:val="00AC4229"/>
    <w:rsid w:val="00AC46A0"/>
    <w:rsid w:val="00AC49C4"/>
    <w:rsid w:val="00AC4D05"/>
    <w:rsid w:val="00AC5293"/>
    <w:rsid w:val="00AC54A8"/>
    <w:rsid w:val="00AC572A"/>
    <w:rsid w:val="00AC5759"/>
    <w:rsid w:val="00AC5876"/>
    <w:rsid w:val="00AC62F4"/>
    <w:rsid w:val="00AC69D7"/>
    <w:rsid w:val="00AC6BD8"/>
    <w:rsid w:val="00AC7026"/>
    <w:rsid w:val="00AC7106"/>
    <w:rsid w:val="00AC76E5"/>
    <w:rsid w:val="00AC7B08"/>
    <w:rsid w:val="00AC7E86"/>
    <w:rsid w:val="00AC7ED2"/>
    <w:rsid w:val="00AC7F91"/>
    <w:rsid w:val="00AD05DA"/>
    <w:rsid w:val="00AD0B30"/>
    <w:rsid w:val="00AD0CB7"/>
    <w:rsid w:val="00AD0CFF"/>
    <w:rsid w:val="00AD0E19"/>
    <w:rsid w:val="00AD14D9"/>
    <w:rsid w:val="00AD1C00"/>
    <w:rsid w:val="00AD2207"/>
    <w:rsid w:val="00AD2867"/>
    <w:rsid w:val="00AD2DF1"/>
    <w:rsid w:val="00AD3210"/>
    <w:rsid w:val="00AD345E"/>
    <w:rsid w:val="00AD3514"/>
    <w:rsid w:val="00AD3726"/>
    <w:rsid w:val="00AD392A"/>
    <w:rsid w:val="00AD3E38"/>
    <w:rsid w:val="00AD3ED6"/>
    <w:rsid w:val="00AD408E"/>
    <w:rsid w:val="00AD4F48"/>
    <w:rsid w:val="00AD5032"/>
    <w:rsid w:val="00AD55D3"/>
    <w:rsid w:val="00AD5817"/>
    <w:rsid w:val="00AD58CF"/>
    <w:rsid w:val="00AD5F18"/>
    <w:rsid w:val="00AD64E6"/>
    <w:rsid w:val="00AD66AC"/>
    <w:rsid w:val="00AD68CC"/>
    <w:rsid w:val="00AD68F7"/>
    <w:rsid w:val="00AD6B6A"/>
    <w:rsid w:val="00AD6D08"/>
    <w:rsid w:val="00AD70B1"/>
    <w:rsid w:val="00AD754E"/>
    <w:rsid w:val="00AD78BC"/>
    <w:rsid w:val="00AD7B5A"/>
    <w:rsid w:val="00AD7C4F"/>
    <w:rsid w:val="00AE0518"/>
    <w:rsid w:val="00AE084E"/>
    <w:rsid w:val="00AE098A"/>
    <w:rsid w:val="00AE0A2E"/>
    <w:rsid w:val="00AE0E9D"/>
    <w:rsid w:val="00AE13B0"/>
    <w:rsid w:val="00AE159C"/>
    <w:rsid w:val="00AE174D"/>
    <w:rsid w:val="00AE1BFF"/>
    <w:rsid w:val="00AE1C30"/>
    <w:rsid w:val="00AE1D4E"/>
    <w:rsid w:val="00AE1F7B"/>
    <w:rsid w:val="00AE1F89"/>
    <w:rsid w:val="00AE227C"/>
    <w:rsid w:val="00AE24FE"/>
    <w:rsid w:val="00AE2979"/>
    <w:rsid w:val="00AE2DE3"/>
    <w:rsid w:val="00AE2F34"/>
    <w:rsid w:val="00AE348A"/>
    <w:rsid w:val="00AE3596"/>
    <w:rsid w:val="00AE375D"/>
    <w:rsid w:val="00AE38A0"/>
    <w:rsid w:val="00AE3E27"/>
    <w:rsid w:val="00AE3E9D"/>
    <w:rsid w:val="00AE4660"/>
    <w:rsid w:val="00AE46D1"/>
    <w:rsid w:val="00AE4724"/>
    <w:rsid w:val="00AE4797"/>
    <w:rsid w:val="00AE4BDD"/>
    <w:rsid w:val="00AE5161"/>
    <w:rsid w:val="00AE56B8"/>
    <w:rsid w:val="00AE5726"/>
    <w:rsid w:val="00AE57AF"/>
    <w:rsid w:val="00AE5A8A"/>
    <w:rsid w:val="00AE5B0F"/>
    <w:rsid w:val="00AE5B59"/>
    <w:rsid w:val="00AE5CFB"/>
    <w:rsid w:val="00AE5D5F"/>
    <w:rsid w:val="00AE5E38"/>
    <w:rsid w:val="00AE623E"/>
    <w:rsid w:val="00AE6AB8"/>
    <w:rsid w:val="00AE6DA6"/>
    <w:rsid w:val="00AE6F91"/>
    <w:rsid w:val="00AE743E"/>
    <w:rsid w:val="00AE74FB"/>
    <w:rsid w:val="00AE75FE"/>
    <w:rsid w:val="00AE7689"/>
    <w:rsid w:val="00AE7BBE"/>
    <w:rsid w:val="00AE7CDA"/>
    <w:rsid w:val="00AE7EFF"/>
    <w:rsid w:val="00AF019D"/>
    <w:rsid w:val="00AF029E"/>
    <w:rsid w:val="00AF0BD8"/>
    <w:rsid w:val="00AF0BEB"/>
    <w:rsid w:val="00AF0E8B"/>
    <w:rsid w:val="00AF0F34"/>
    <w:rsid w:val="00AF0F37"/>
    <w:rsid w:val="00AF0FA6"/>
    <w:rsid w:val="00AF117D"/>
    <w:rsid w:val="00AF18C3"/>
    <w:rsid w:val="00AF1921"/>
    <w:rsid w:val="00AF1B0A"/>
    <w:rsid w:val="00AF1BF0"/>
    <w:rsid w:val="00AF2015"/>
    <w:rsid w:val="00AF2154"/>
    <w:rsid w:val="00AF2159"/>
    <w:rsid w:val="00AF21EA"/>
    <w:rsid w:val="00AF230F"/>
    <w:rsid w:val="00AF280A"/>
    <w:rsid w:val="00AF2A37"/>
    <w:rsid w:val="00AF2B09"/>
    <w:rsid w:val="00AF2BC4"/>
    <w:rsid w:val="00AF2C78"/>
    <w:rsid w:val="00AF2C99"/>
    <w:rsid w:val="00AF2EC0"/>
    <w:rsid w:val="00AF3113"/>
    <w:rsid w:val="00AF3267"/>
    <w:rsid w:val="00AF335B"/>
    <w:rsid w:val="00AF36CA"/>
    <w:rsid w:val="00AF3D22"/>
    <w:rsid w:val="00AF3E20"/>
    <w:rsid w:val="00AF3FDF"/>
    <w:rsid w:val="00AF40A9"/>
    <w:rsid w:val="00AF4266"/>
    <w:rsid w:val="00AF439D"/>
    <w:rsid w:val="00AF443A"/>
    <w:rsid w:val="00AF4A5B"/>
    <w:rsid w:val="00AF4D08"/>
    <w:rsid w:val="00AF4FCE"/>
    <w:rsid w:val="00AF52AD"/>
    <w:rsid w:val="00AF5337"/>
    <w:rsid w:val="00AF590C"/>
    <w:rsid w:val="00AF596C"/>
    <w:rsid w:val="00AF5C2C"/>
    <w:rsid w:val="00AF5D9A"/>
    <w:rsid w:val="00AF5F10"/>
    <w:rsid w:val="00AF6481"/>
    <w:rsid w:val="00AF6734"/>
    <w:rsid w:val="00AF6B5D"/>
    <w:rsid w:val="00AF6BD1"/>
    <w:rsid w:val="00AF6DAF"/>
    <w:rsid w:val="00AF6F30"/>
    <w:rsid w:val="00AF6F88"/>
    <w:rsid w:val="00AF7085"/>
    <w:rsid w:val="00AF7143"/>
    <w:rsid w:val="00AF7144"/>
    <w:rsid w:val="00AF740A"/>
    <w:rsid w:val="00AF7593"/>
    <w:rsid w:val="00AF76DB"/>
    <w:rsid w:val="00AF7AD4"/>
    <w:rsid w:val="00AF7C74"/>
    <w:rsid w:val="00AF7DFC"/>
    <w:rsid w:val="00AF7E0A"/>
    <w:rsid w:val="00B000F1"/>
    <w:rsid w:val="00B00117"/>
    <w:rsid w:val="00B0013F"/>
    <w:rsid w:val="00B00140"/>
    <w:rsid w:val="00B001AD"/>
    <w:rsid w:val="00B0022F"/>
    <w:rsid w:val="00B00286"/>
    <w:rsid w:val="00B0054B"/>
    <w:rsid w:val="00B00595"/>
    <w:rsid w:val="00B00A2C"/>
    <w:rsid w:val="00B00BB0"/>
    <w:rsid w:val="00B01358"/>
    <w:rsid w:val="00B015B5"/>
    <w:rsid w:val="00B017EE"/>
    <w:rsid w:val="00B01B8F"/>
    <w:rsid w:val="00B01BE6"/>
    <w:rsid w:val="00B01C65"/>
    <w:rsid w:val="00B0205F"/>
    <w:rsid w:val="00B021C6"/>
    <w:rsid w:val="00B02243"/>
    <w:rsid w:val="00B02265"/>
    <w:rsid w:val="00B0242B"/>
    <w:rsid w:val="00B02474"/>
    <w:rsid w:val="00B0251D"/>
    <w:rsid w:val="00B02596"/>
    <w:rsid w:val="00B032A5"/>
    <w:rsid w:val="00B03B02"/>
    <w:rsid w:val="00B04433"/>
    <w:rsid w:val="00B049A4"/>
    <w:rsid w:val="00B04CA2"/>
    <w:rsid w:val="00B054B1"/>
    <w:rsid w:val="00B0571F"/>
    <w:rsid w:val="00B05B4D"/>
    <w:rsid w:val="00B060EC"/>
    <w:rsid w:val="00B0613C"/>
    <w:rsid w:val="00B0640A"/>
    <w:rsid w:val="00B064A9"/>
    <w:rsid w:val="00B06D02"/>
    <w:rsid w:val="00B06F00"/>
    <w:rsid w:val="00B07509"/>
    <w:rsid w:val="00B07D67"/>
    <w:rsid w:val="00B1025C"/>
    <w:rsid w:val="00B10C73"/>
    <w:rsid w:val="00B10D11"/>
    <w:rsid w:val="00B10FE6"/>
    <w:rsid w:val="00B11062"/>
    <w:rsid w:val="00B1112D"/>
    <w:rsid w:val="00B1141E"/>
    <w:rsid w:val="00B11619"/>
    <w:rsid w:val="00B11E45"/>
    <w:rsid w:val="00B12BAD"/>
    <w:rsid w:val="00B13150"/>
    <w:rsid w:val="00B1330E"/>
    <w:rsid w:val="00B13640"/>
    <w:rsid w:val="00B139EA"/>
    <w:rsid w:val="00B13FDD"/>
    <w:rsid w:val="00B1407D"/>
    <w:rsid w:val="00B1422F"/>
    <w:rsid w:val="00B14430"/>
    <w:rsid w:val="00B14675"/>
    <w:rsid w:val="00B14BBB"/>
    <w:rsid w:val="00B14C40"/>
    <w:rsid w:val="00B14D39"/>
    <w:rsid w:val="00B14DC4"/>
    <w:rsid w:val="00B14FD4"/>
    <w:rsid w:val="00B150FE"/>
    <w:rsid w:val="00B15539"/>
    <w:rsid w:val="00B1557F"/>
    <w:rsid w:val="00B15631"/>
    <w:rsid w:val="00B158FF"/>
    <w:rsid w:val="00B15FE7"/>
    <w:rsid w:val="00B16331"/>
    <w:rsid w:val="00B16746"/>
    <w:rsid w:val="00B16987"/>
    <w:rsid w:val="00B16E55"/>
    <w:rsid w:val="00B17112"/>
    <w:rsid w:val="00B17154"/>
    <w:rsid w:val="00B173D9"/>
    <w:rsid w:val="00B173F0"/>
    <w:rsid w:val="00B177E8"/>
    <w:rsid w:val="00B17EE8"/>
    <w:rsid w:val="00B20169"/>
    <w:rsid w:val="00B203E4"/>
    <w:rsid w:val="00B206C6"/>
    <w:rsid w:val="00B20892"/>
    <w:rsid w:val="00B20B93"/>
    <w:rsid w:val="00B21093"/>
    <w:rsid w:val="00B216AA"/>
    <w:rsid w:val="00B21D77"/>
    <w:rsid w:val="00B21F49"/>
    <w:rsid w:val="00B2254C"/>
    <w:rsid w:val="00B2269F"/>
    <w:rsid w:val="00B22BD1"/>
    <w:rsid w:val="00B22E3F"/>
    <w:rsid w:val="00B23034"/>
    <w:rsid w:val="00B230AC"/>
    <w:rsid w:val="00B23201"/>
    <w:rsid w:val="00B23570"/>
    <w:rsid w:val="00B235DA"/>
    <w:rsid w:val="00B23D48"/>
    <w:rsid w:val="00B23F9E"/>
    <w:rsid w:val="00B2410D"/>
    <w:rsid w:val="00B24264"/>
    <w:rsid w:val="00B2474E"/>
    <w:rsid w:val="00B24853"/>
    <w:rsid w:val="00B24AEC"/>
    <w:rsid w:val="00B2500F"/>
    <w:rsid w:val="00B25039"/>
    <w:rsid w:val="00B250E1"/>
    <w:rsid w:val="00B25121"/>
    <w:rsid w:val="00B25201"/>
    <w:rsid w:val="00B258FD"/>
    <w:rsid w:val="00B25E5A"/>
    <w:rsid w:val="00B26429"/>
    <w:rsid w:val="00B26C7B"/>
    <w:rsid w:val="00B26CC7"/>
    <w:rsid w:val="00B26DD3"/>
    <w:rsid w:val="00B26FA7"/>
    <w:rsid w:val="00B2724B"/>
    <w:rsid w:val="00B272FF"/>
    <w:rsid w:val="00B27763"/>
    <w:rsid w:val="00B27944"/>
    <w:rsid w:val="00B27C71"/>
    <w:rsid w:val="00B27E09"/>
    <w:rsid w:val="00B27F4F"/>
    <w:rsid w:val="00B3017E"/>
    <w:rsid w:val="00B30352"/>
    <w:rsid w:val="00B30503"/>
    <w:rsid w:val="00B30507"/>
    <w:rsid w:val="00B30683"/>
    <w:rsid w:val="00B30953"/>
    <w:rsid w:val="00B31223"/>
    <w:rsid w:val="00B312E3"/>
    <w:rsid w:val="00B313CD"/>
    <w:rsid w:val="00B3160E"/>
    <w:rsid w:val="00B317A6"/>
    <w:rsid w:val="00B3183A"/>
    <w:rsid w:val="00B319C0"/>
    <w:rsid w:val="00B31CE1"/>
    <w:rsid w:val="00B31FCE"/>
    <w:rsid w:val="00B320C8"/>
    <w:rsid w:val="00B324F4"/>
    <w:rsid w:val="00B3301B"/>
    <w:rsid w:val="00B33346"/>
    <w:rsid w:val="00B3363A"/>
    <w:rsid w:val="00B3372B"/>
    <w:rsid w:val="00B3378A"/>
    <w:rsid w:val="00B33ADB"/>
    <w:rsid w:val="00B33C45"/>
    <w:rsid w:val="00B34218"/>
    <w:rsid w:val="00B348B5"/>
    <w:rsid w:val="00B34A28"/>
    <w:rsid w:val="00B34CA5"/>
    <w:rsid w:val="00B34CC5"/>
    <w:rsid w:val="00B34E84"/>
    <w:rsid w:val="00B350E9"/>
    <w:rsid w:val="00B3543E"/>
    <w:rsid w:val="00B3574E"/>
    <w:rsid w:val="00B357CB"/>
    <w:rsid w:val="00B35D5D"/>
    <w:rsid w:val="00B35E7D"/>
    <w:rsid w:val="00B35F76"/>
    <w:rsid w:val="00B36190"/>
    <w:rsid w:val="00B363E5"/>
    <w:rsid w:val="00B3645F"/>
    <w:rsid w:val="00B36778"/>
    <w:rsid w:val="00B36BAA"/>
    <w:rsid w:val="00B36BCB"/>
    <w:rsid w:val="00B36BE2"/>
    <w:rsid w:val="00B36DC9"/>
    <w:rsid w:val="00B36EB0"/>
    <w:rsid w:val="00B36EBC"/>
    <w:rsid w:val="00B37E5F"/>
    <w:rsid w:val="00B4003B"/>
    <w:rsid w:val="00B404A3"/>
    <w:rsid w:val="00B4058D"/>
    <w:rsid w:val="00B40B13"/>
    <w:rsid w:val="00B40DE1"/>
    <w:rsid w:val="00B40F08"/>
    <w:rsid w:val="00B4102F"/>
    <w:rsid w:val="00B41079"/>
    <w:rsid w:val="00B41086"/>
    <w:rsid w:val="00B410EA"/>
    <w:rsid w:val="00B413A9"/>
    <w:rsid w:val="00B415D0"/>
    <w:rsid w:val="00B4190E"/>
    <w:rsid w:val="00B4191F"/>
    <w:rsid w:val="00B41BF7"/>
    <w:rsid w:val="00B41C22"/>
    <w:rsid w:val="00B41D38"/>
    <w:rsid w:val="00B41EA2"/>
    <w:rsid w:val="00B41EFF"/>
    <w:rsid w:val="00B4267A"/>
    <w:rsid w:val="00B426AE"/>
    <w:rsid w:val="00B42BC8"/>
    <w:rsid w:val="00B42E17"/>
    <w:rsid w:val="00B42E8E"/>
    <w:rsid w:val="00B42F7F"/>
    <w:rsid w:val="00B433A1"/>
    <w:rsid w:val="00B43826"/>
    <w:rsid w:val="00B4396F"/>
    <w:rsid w:val="00B43B6C"/>
    <w:rsid w:val="00B44026"/>
    <w:rsid w:val="00B442AD"/>
    <w:rsid w:val="00B4461A"/>
    <w:rsid w:val="00B4467D"/>
    <w:rsid w:val="00B44890"/>
    <w:rsid w:val="00B44BAC"/>
    <w:rsid w:val="00B44FF7"/>
    <w:rsid w:val="00B45144"/>
    <w:rsid w:val="00B45334"/>
    <w:rsid w:val="00B4557C"/>
    <w:rsid w:val="00B45594"/>
    <w:rsid w:val="00B45755"/>
    <w:rsid w:val="00B45787"/>
    <w:rsid w:val="00B457AC"/>
    <w:rsid w:val="00B45B4F"/>
    <w:rsid w:val="00B45BC3"/>
    <w:rsid w:val="00B45F1E"/>
    <w:rsid w:val="00B46008"/>
    <w:rsid w:val="00B4672F"/>
    <w:rsid w:val="00B475CC"/>
    <w:rsid w:val="00B477C8"/>
    <w:rsid w:val="00B47B6E"/>
    <w:rsid w:val="00B47D69"/>
    <w:rsid w:val="00B500DA"/>
    <w:rsid w:val="00B50415"/>
    <w:rsid w:val="00B50E31"/>
    <w:rsid w:val="00B50E4B"/>
    <w:rsid w:val="00B5114E"/>
    <w:rsid w:val="00B51261"/>
    <w:rsid w:val="00B51281"/>
    <w:rsid w:val="00B512C7"/>
    <w:rsid w:val="00B5147B"/>
    <w:rsid w:val="00B51660"/>
    <w:rsid w:val="00B51744"/>
    <w:rsid w:val="00B51E2A"/>
    <w:rsid w:val="00B52318"/>
    <w:rsid w:val="00B5246B"/>
    <w:rsid w:val="00B5252B"/>
    <w:rsid w:val="00B52ECF"/>
    <w:rsid w:val="00B53027"/>
    <w:rsid w:val="00B53037"/>
    <w:rsid w:val="00B533AC"/>
    <w:rsid w:val="00B53808"/>
    <w:rsid w:val="00B54522"/>
    <w:rsid w:val="00B5455B"/>
    <w:rsid w:val="00B54818"/>
    <w:rsid w:val="00B54BCE"/>
    <w:rsid w:val="00B54CF8"/>
    <w:rsid w:val="00B54E8C"/>
    <w:rsid w:val="00B54FD5"/>
    <w:rsid w:val="00B5505C"/>
    <w:rsid w:val="00B550B5"/>
    <w:rsid w:val="00B5527D"/>
    <w:rsid w:val="00B5555D"/>
    <w:rsid w:val="00B55A0D"/>
    <w:rsid w:val="00B55D19"/>
    <w:rsid w:val="00B55FD0"/>
    <w:rsid w:val="00B563F2"/>
    <w:rsid w:val="00B56409"/>
    <w:rsid w:val="00B5692A"/>
    <w:rsid w:val="00B56A76"/>
    <w:rsid w:val="00B56C60"/>
    <w:rsid w:val="00B56E2C"/>
    <w:rsid w:val="00B56FC6"/>
    <w:rsid w:val="00B5709E"/>
    <w:rsid w:val="00B57138"/>
    <w:rsid w:val="00B57262"/>
    <w:rsid w:val="00B577C9"/>
    <w:rsid w:val="00B57A3D"/>
    <w:rsid w:val="00B57CDF"/>
    <w:rsid w:val="00B57EC0"/>
    <w:rsid w:val="00B57FED"/>
    <w:rsid w:val="00B6023B"/>
    <w:rsid w:val="00B60669"/>
    <w:rsid w:val="00B6082A"/>
    <w:rsid w:val="00B61617"/>
    <w:rsid w:val="00B61784"/>
    <w:rsid w:val="00B6182B"/>
    <w:rsid w:val="00B6191F"/>
    <w:rsid w:val="00B61B50"/>
    <w:rsid w:val="00B61B74"/>
    <w:rsid w:val="00B61C21"/>
    <w:rsid w:val="00B61CCB"/>
    <w:rsid w:val="00B61E78"/>
    <w:rsid w:val="00B62686"/>
    <w:rsid w:val="00B6268C"/>
    <w:rsid w:val="00B629F5"/>
    <w:rsid w:val="00B62C1C"/>
    <w:rsid w:val="00B62D5D"/>
    <w:rsid w:val="00B63127"/>
    <w:rsid w:val="00B633C7"/>
    <w:rsid w:val="00B63440"/>
    <w:rsid w:val="00B6355A"/>
    <w:rsid w:val="00B6386A"/>
    <w:rsid w:val="00B639D6"/>
    <w:rsid w:val="00B63DE0"/>
    <w:rsid w:val="00B6407A"/>
    <w:rsid w:val="00B643E2"/>
    <w:rsid w:val="00B6453A"/>
    <w:rsid w:val="00B64CBE"/>
    <w:rsid w:val="00B64E1A"/>
    <w:rsid w:val="00B64E34"/>
    <w:rsid w:val="00B64E50"/>
    <w:rsid w:val="00B64F1C"/>
    <w:rsid w:val="00B65012"/>
    <w:rsid w:val="00B65025"/>
    <w:rsid w:val="00B653C4"/>
    <w:rsid w:val="00B653EE"/>
    <w:rsid w:val="00B654A4"/>
    <w:rsid w:val="00B655FE"/>
    <w:rsid w:val="00B65923"/>
    <w:rsid w:val="00B65E62"/>
    <w:rsid w:val="00B6659E"/>
    <w:rsid w:val="00B6690E"/>
    <w:rsid w:val="00B66AAA"/>
    <w:rsid w:val="00B66B2D"/>
    <w:rsid w:val="00B66BCB"/>
    <w:rsid w:val="00B66EA1"/>
    <w:rsid w:val="00B672CD"/>
    <w:rsid w:val="00B67583"/>
    <w:rsid w:val="00B67BA2"/>
    <w:rsid w:val="00B67BB3"/>
    <w:rsid w:val="00B67DF3"/>
    <w:rsid w:val="00B67FBF"/>
    <w:rsid w:val="00B70081"/>
    <w:rsid w:val="00B701B4"/>
    <w:rsid w:val="00B70220"/>
    <w:rsid w:val="00B70286"/>
    <w:rsid w:val="00B70298"/>
    <w:rsid w:val="00B70334"/>
    <w:rsid w:val="00B705F8"/>
    <w:rsid w:val="00B70798"/>
    <w:rsid w:val="00B70C3C"/>
    <w:rsid w:val="00B70CA4"/>
    <w:rsid w:val="00B71397"/>
    <w:rsid w:val="00B72136"/>
    <w:rsid w:val="00B72173"/>
    <w:rsid w:val="00B7238B"/>
    <w:rsid w:val="00B723CD"/>
    <w:rsid w:val="00B723D4"/>
    <w:rsid w:val="00B72595"/>
    <w:rsid w:val="00B72698"/>
    <w:rsid w:val="00B727A9"/>
    <w:rsid w:val="00B7281D"/>
    <w:rsid w:val="00B72915"/>
    <w:rsid w:val="00B72A30"/>
    <w:rsid w:val="00B72A75"/>
    <w:rsid w:val="00B72DCF"/>
    <w:rsid w:val="00B72E3C"/>
    <w:rsid w:val="00B72E8B"/>
    <w:rsid w:val="00B7308F"/>
    <w:rsid w:val="00B731ED"/>
    <w:rsid w:val="00B733A0"/>
    <w:rsid w:val="00B7376F"/>
    <w:rsid w:val="00B73934"/>
    <w:rsid w:val="00B73E85"/>
    <w:rsid w:val="00B74216"/>
    <w:rsid w:val="00B74896"/>
    <w:rsid w:val="00B74DA6"/>
    <w:rsid w:val="00B75276"/>
    <w:rsid w:val="00B753B5"/>
    <w:rsid w:val="00B75703"/>
    <w:rsid w:val="00B75C45"/>
    <w:rsid w:val="00B75E1C"/>
    <w:rsid w:val="00B75FFF"/>
    <w:rsid w:val="00B7620B"/>
    <w:rsid w:val="00B76257"/>
    <w:rsid w:val="00B76261"/>
    <w:rsid w:val="00B7648D"/>
    <w:rsid w:val="00B764DE"/>
    <w:rsid w:val="00B7656D"/>
    <w:rsid w:val="00B76817"/>
    <w:rsid w:val="00B76919"/>
    <w:rsid w:val="00B77127"/>
    <w:rsid w:val="00B7775F"/>
    <w:rsid w:val="00B777B8"/>
    <w:rsid w:val="00B77A1A"/>
    <w:rsid w:val="00B77B63"/>
    <w:rsid w:val="00B77D84"/>
    <w:rsid w:val="00B7AF79"/>
    <w:rsid w:val="00B80302"/>
    <w:rsid w:val="00B80974"/>
    <w:rsid w:val="00B80E83"/>
    <w:rsid w:val="00B80E9F"/>
    <w:rsid w:val="00B80F24"/>
    <w:rsid w:val="00B812F9"/>
    <w:rsid w:val="00B81420"/>
    <w:rsid w:val="00B81544"/>
    <w:rsid w:val="00B8159E"/>
    <w:rsid w:val="00B8179D"/>
    <w:rsid w:val="00B81B37"/>
    <w:rsid w:val="00B81CEE"/>
    <w:rsid w:val="00B825F0"/>
    <w:rsid w:val="00B827F9"/>
    <w:rsid w:val="00B82F5C"/>
    <w:rsid w:val="00B83AB8"/>
    <w:rsid w:val="00B83B3A"/>
    <w:rsid w:val="00B8409D"/>
    <w:rsid w:val="00B84886"/>
    <w:rsid w:val="00B84959"/>
    <w:rsid w:val="00B84CE8"/>
    <w:rsid w:val="00B84E9A"/>
    <w:rsid w:val="00B8501B"/>
    <w:rsid w:val="00B85195"/>
    <w:rsid w:val="00B855B8"/>
    <w:rsid w:val="00B85783"/>
    <w:rsid w:val="00B85868"/>
    <w:rsid w:val="00B85D0F"/>
    <w:rsid w:val="00B85DB2"/>
    <w:rsid w:val="00B860E8"/>
    <w:rsid w:val="00B8612E"/>
    <w:rsid w:val="00B8693C"/>
    <w:rsid w:val="00B869A2"/>
    <w:rsid w:val="00B86B40"/>
    <w:rsid w:val="00B86B68"/>
    <w:rsid w:val="00B870D3"/>
    <w:rsid w:val="00B87689"/>
    <w:rsid w:val="00B87A36"/>
    <w:rsid w:val="00B87A71"/>
    <w:rsid w:val="00B87DAD"/>
    <w:rsid w:val="00B90136"/>
    <w:rsid w:val="00B90356"/>
    <w:rsid w:val="00B904D2"/>
    <w:rsid w:val="00B909AC"/>
    <w:rsid w:val="00B911C2"/>
    <w:rsid w:val="00B91486"/>
    <w:rsid w:val="00B91755"/>
    <w:rsid w:val="00B918E9"/>
    <w:rsid w:val="00B919AE"/>
    <w:rsid w:val="00B91EF6"/>
    <w:rsid w:val="00B920C4"/>
    <w:rsid w:val="00B921D7"/>
    <w:rsid w:val="00B92364"/>
    <w:rsid w:val="00B92420"/>
    <w:rsid w:val="00B9273D"/>
    <w:rsid w:val="00B9290C"/>
    <w:rsid w:val="00B9299E"/>
    <w:rsid w:val="00B92A97"/>
    <w:rsid w:val="00B930D2"/>
    <w:rsid w:val="00B93141"/>
    <w:rsid w:val="00B9334F"/>
    <w:rsid w:val="00B93555"/>
    <w:rsid w:val="00B93BE7"/>
    <w:rsid w:val="00B93C41"/>
    <w:rsid w:val="00B93D80"/>
    <w:rsid w:val="00B93F36"/>
    <w:rsid w:val="00B93F7B"/>
    <w:rsid w:val="00B9442D"/>
    <w:rsid w:val="00B94686"/>
    <w:rsid w:val="00B94A0E"/>
    <w:rsid w:val="00B94B64"/>
    <w:rsid w:val="00B94BEA"/>
    <w:rsid w:val="00B94CF8"/>
    <w:rsid w:val="00B94D1B"/>
    <w:rsid w:val="00B94F04"/>
    <w:rsid w:val="00B950B3"/>
    <w:rsid w:val="00B95519"/>
    <w:rsid w:val="00B95B5C"/>
    <w:rsid w:val="00B95BD1"/>
    <w:rsid w:val="00B95D0F"/>
    <w:rsid w:val="00B95E0C"/>
    <w:rsid w:val="00B95F14"/>
    <w:rsid w:val="00B95F63"/>
    <w:rsid w:val="00B95F88"/>
    <w:rsid w:val="00B96019"/>
    <w:rsid w:val="00B960CD"/>
    <w:rsid w:val="00B96437"/>
    <w:rsid w:val="00B96996"/>
    <w:rsid w:val="00B96C78"/>
    <w:rsid w:val="00B96F42"/>
    <w:rsid w:val="00B96F81"/>
    <w:rsid w:val="00B9707C"/>
    <w:rsid w:val="00B970CB"/>
    <w:rsid w:val="00B977DA"/>
    <w:rsid w:val="00B979B5"/>
    <w:rsid w:val="00B97B66"/>
    <w:rsid w:val="00B97C8A"/>
    <w:rsid w:val="00BA041C"/>
    <w:rsid w:val="00BA047F"/>
    <w:rsid w:val="00BA07D4"/>
    <w:rsid w:val="00BA08A7"/>
    <w:rsid w:val="00BA0934"/>
    <w:rsid w:val="00BA0A5A"/>
    <w:rsid w:val="00BA0B4D"/>
    <w:rsid w:val="00BA0C9B"/>
    <w:rsid w:val="00BA192C"/>
    <w:rsid w:val="00BA1A18"/>
    <w:rsid w:val="00BA1B55"/>
    <w:rsid w:val="00BA1D2C"/>
    <w:rsid w:val="00BA1F37"/>
    <w:rsid w:val="00BA2121"/>
    <w:rsid w:val="00BA2CD8"/>
    <w:rsid w:val="00BA3508"/>
    <w:rsid w:val="00BA3B16"/>
    <w:rsid w:val="00BA3E40"/>
    <w:rsid w:val="00BA3F13"/>
    <w:rsid w:val="00BA44B6"/>
    <w:rsid w:val="00BA45BB"/>
    <w:rsid w:val="00BA46A9"/>
    <w:rsid w:val="00BA4938"/>
    <w:rsid w:val="00BA4A23"/>
    <w:rsid w:val="00BA4EB1"/>
    <w:rsid w:val="00BA59C6"/>
    <w:rsid w:val="00BA5B2E"/>
    <w:rsid w:val="00BA5F14"/>
    <w:rsid w:val="00BA5F28"/>
    <w:rsid w:val="00BA61C0"/>
    <w:rsid w:val="00BA6A40"/>
    <w:rsid w:val="00BA6A80"/>
    <w:rsid w:val="00BA6CD8"/>
    <w:rsid w:val="00BA6D24"/>
    <w:rsid w:val="00BA6D42"/>
    <w:rsid w:val="00BA6E3C"/>
    <w:rsid w:val="00BA700B"/>
    <w:rsid w:val="00BA710F"/>
    <w:rsid w:val="00BA79AF"/>
    <w:rsid w:val="00BA7D0C"/>
    <w:rsid w:val="00BA7F10"/>
    <w:rsid w:val="00BB03A1"/>
    <w:rsid w:val="00BB03C1"/>
    <w:rsid w:val="00BB04F7"/>
    <w:rsid w:val="00BB066D"/>
    <w:rsid w:val="00BB0AAC"/>
    <w:rsid w:val="00BB0DB5"/>
    <w:rsid w:val="00BB1314"/>
    <w:rsid w:val="00BB19B1"/>
    <w:rsid w:val="00BB1C60"/>
    <w:rsid w:val="00BB20BE"/>
    <w:rsid w:val="00BB2491"/>
    <w:rsid w:val="00BB24FB"/>
    <w:rsid w:val="00BB2561"/>
    <w:rsid w:val="00BB256C"/>
    <w:rsid w:val="00BB271B"/>
    <w:rsid w:val="00BB27DE"/>
    <w:rsid w:val="00BB29DD"/>
    <w:rsid w:val="00BB2C25"/>
    <w:rsid w:val="00BB2F30"/>
    <w:rsid w:val="00BB2F41"/>
    <w:rsid w:val="00BB2FE4"/>
    <w:rsid w:val="00BB32D9"/>
    <w:rsid w:val="00BB3B35"/>
    <w:rsid w:val="00BB3D2F"/>
    <w:rsid w:val="00BB3D9E"/>
    <w:rsid w:val="00BB40AF"/>
    <w:rsid w:val="00BB40B8"/>
    <w:rsid w:val="00BB483E"/>
    <w:rsid w:val="00BB4B75"/>
    <w:rsid w:val="00BB4E06"/>
    <w:rsid w:val="00BB4F32"/>
    <w:rsid w:val="00BB57C2"/>
    <w:rsid w:val="00BB58AC"/>
    <w:rsid w:val="00BB592F"/>
    <w:rsid w:val="00BB59E5"/>
    <w:rsid w:val="00BB5AEA"/>
    <w:rsid w:val="00BB5B06"/>
    <w:rsid w:val="00BB5B94"/>
    <w:rsid w:val="00BB5C80"/>
    <w:rsid w:val="00BB5D8D"/>
    <w:rsid w:val="00BB6761"/>
    <w:rsid w:val="00BB677C"/>
    <w:rsid w:val="00BB6868"/>
    <w:rsid w:val="00BB6A20"/>
    <w:rsid w:val="00BB6BA8"/>
    <w:rsid w:val="00BB6C26"/>
    <w:rsid w:val="00BB6EB9"/>
    <w:rsid w:val="00BB705B"/>
    <w:rsid w:val="00BB74B4"/>
    <w:rsid w:val="00BB7815"/>
    <w:rsid w:val="00BB78BA"/>
    <w:rsid w:val="00BB7AEE"/>
    <w:rsid w:val="00BB7CBD"/>
    <w:rsid w:val="00BB7DE3"/>
    <w:rsid w:val="00BB7EC5"/>
    <w:rsid w:val="00BC037A"/>
    <w:rsid w:val="00BC042F"/>
    <w:rsid w:val="00BC0552"/>
    <w:rsid w:val="00BC0B09"/>
    <w:rsid w:val="00BC0D39"/>
    <w:rsid w:val="00BC0DC6"/>
    <w:rsid w:val="00BC126D"/>
    <w:rsid w:val="00BC1505"/>
    <w:rsid w:val="00BC1547"/>
    <w:rsid w:val="00BC16E1"/>
    <w:rsid w:val="00BC1B6B"/>
    <w:rsid w:val="00BC1D4D"/>
    <w:rsid w:val="00BC1DFF"/>
    <w:rsid w:val="00BC212C"/>
    <w:rsid w:val="00BC23AD"/>
    <w:rsid w:val="00BC266A"/>
    <w:rsid w:val="00BC2787"/>
    <w:rsid w:val="00BC285C"/>
    <w:rsid w:val="00BC2C64"/>
    <w:rsid w:val="00BC2F92"/>
    <w:rsid w:val="00BC3525"/>
    <w:rsid w:val="00BC3596"/>
    <w:rsid w:val="00BC3824"/>
    <w:rsid w:val="00BC3C0A"/>
    <w:rsid w:val="00BC3F61"/>
    <w:rsid w:val="00BC40E9"/>
    <w:rsid w:val="00BC423A"/>
    <w:rsid w:val="00BC426C"/>
    <w:rsid w:val="00BC4447"/>
    <w:rsid w:val="00BC47E4"/>
    <w:rsid w:val="00BC4A9C"/>
    <w:rsid w:val="00BC4D96"/>
    <w:rsid w:val="00BC4E6A"/>
    <w:rsid w:val="00BC4EE6"/>
    <w:rsid w:val="00BC50AD"/>
    <w:rsid w:val="00BC52C7"/>
    <w:rsid w:val="00BC555E"/>
    <w:rsid w:val="00BC58B4"/>
    <w:rsid w:val="00BC58FB"/>
    <w:rsid w:val="00BC5B48"/>
    <w:rsid w:val="00BC5CE8"/>
    <w:rsid w:val="00BC6134"/>
    <w:rsid w:val="00BC694D"/>
    <w:rsid w:val="00BC6D99"/>
    <w:rsid w:val="00BC6FBB"/>
    <w:rsid w:val="00BC7547"/>
    <w:rsid w:val="00BC7982"/>
    <w:rsid w:val="00BC79DC"/>
    <w:rsid w:val="00BC7C13"/>
    <w:rsid w:val="00BC7CBA"/>
    <w:rsid w:val="00BD03E4"/>
    <w:rsid w:val="00BD0559"/>
    <w:rsid w:val="00BD07B9"/>
    <w:rsid w:val="00BD0816"/>
    <w:rsid w:val="00BD081B"/>
    <w:rsid w:val="00BD0D09"/>
    <w:rsid w:val="00BD13E8"/>
    <w:rsid w:val="00BD1440"/>
    <w:rsid w:val="00BD15B7"/>
    <w:rsid w:val="00BD170F"/>
    <w:rsid w:val="00BD1780"/>
    <w:rsid w:val="00BD2374"/>
    <w:rsid w:val="00BD2412"/>
    <w:rsid w:val="00BD248C"/>
    <w:rsid w:val="00BD270D"/>
    <w:rsid w:val="00BD2E67"/>
    <w:rsid w:val="00BD3519"/>
    <w:rsid w:val="00BD398A"/>
    <w:rsid w:val="00BD3BDD"/>
    <w:rsid w:val="00BD4194"/>
    <w:rsid w:val="00BD4A11"/>
    <w:rsid w:val="00BD4B61"/>
    <w:rsid w:val="00BD4BF8"/>
    <w:rsid w:val="00BD4CAA"/>
    <w:rsid w:val="00BD4E2C"/>
    <w:rsid w:val="00BD5F12"/>
    <w:rsid w:val="00BD627F"/>
    <w:rsid w:val="00BD64C0"/>
    <w:rsid w:val="00BD651C"/>
    <w:rsid w:val="00BD678B"/>
    <w:rsid w:val="00BD6CD0"/>
    <w:rsid w:val="00BD6E08"/>
    <w:rsid w:val="00BD6F45"/>
    <w:rsid w:val="00BD6FDD"/>
    <w:rsid w:val="00BD7296"/>
    <w:rsid w:val="00BD72BA"/>
    <w:rsid w:val="00BD7382"/>
    <w:rsid w:val="00BD73E6"/>
    <w:rsid w:val="00BD763F"/>
    <w:rsid w:val="00BD7C0F"/>
    <w:rsid w:val="00BD7F02"/>
    <w:rsid w:val="00BE014F"/>
    <w:rsid w:val="00BE05B0"/>
    <w:rsid w:val="00BE0609"/>
    <w:rsid w:val="00BE0BF5"/>
    <w:rsid w:val="00BE0D6E"/>
    <w:rsid w:val="00BE1193"/>
    <w:rsid w:val="00BE1712"/>
    <w:rsid w:val="00BE1908"/>
    <w:rsid w:val="00BE1935"/>
    <w:rsid w:val="00BE195B"/>
    <w:rsid w:val="00BE1A8C"/>
    <w:rsid w:val="00BE267E"/>
    <w:rsid w:val="00BE2740"/>
    <w:rsid w:val="00BE2821"/>
    <w:rsid w:val="00BE2A6B"/>
    <w:rsid w:val="00BE2B38"/>
    <w:rsid w:val="00BE2DEA"/>
    <w:rsid w:val="00BE2E15"/>
    <w:rsid w:val="00BE2F67"/>
    <w:rsid w:val="00BE3B59"/>
    <w:rsid w:val="00BE3BFE"/>
    <w:rsid w:val="00BE4110"/>
    <w:rsid w:val="00BE41AF"/>
    <w:rsid w:val="00BE42D1"/>
    <w:rsid w:val="00BE472F"/>
    <w:rsid w:val="00BE4A49"/>
    <w:rsid w:val="00BE4DFA"/>
    <w:rsid w:val="00BE55A3"/>
    <w:rsid w:val="00BE5D1B"/>
    <w:rsid w:val="00BE5D33"/>
    <w:rsid w:val="00BE5D3D"/>
    <w:rsid w:val="00BE5E61"/>
    <w:rsid w:val="00BE60ED"/>
    <w:rsid w:val="00BE62C4"/>
    <w:rsid w:val="00BE65AB"/>
    <w:rsid w:val="00BE65B9"/>
    <w:rsid w:val="00BE65D7"/>
    <w:rsid w:val="00BE6804"/>
    <w:rsid w:val="00BE691D"/>
    <w:rsid w:val="00BE69AD"/>
    <w:rsid w:val="00BE6AAC"/>
    <w:rsid w:val="00BE6B79"/>
    <w:rsid w:val="00BE6DA4"/>
    <w:rsid w:val="00BE71F5"/>
    <w:rsid w:val="00BE73B6"/>
    <w:rsid w:val="00BE777E"/>
    <w:rsid w:val="00BE77AB"/>
    <w:rsid w:val="00BE7D32"/>
    <w:rsid w:val="00BE7D9C"/>
    <w:rsid w:val="00BE7F25"/>
    <w:rsid w:val="00BE7F31"/>
    <w:rsid w:val="00BF059C"/>
    <w:rsid w:val="00BF09C9"/>
    <w:rsid w:val="00BF09F9"/>
    <w:rsid w:val="00BF0A82"/>
    <w:rsid w:val="00BF0D5F"/>
    <w:rsid w:val="00BF12A7"/>
    <w:rsid w:val="00BF12C1"/>
    <w:rsid w:val="00BF1317"/>
    <w:rsid w:val="00BF1427"/>
    <w:rsid w:val="00BF1605"/>
    <w:rsid w:val="00BF16AA"/>
    <w:rsid w:val="00BF1839"/>
    <w:rsid w:val="00BF18D0"/>
    <w:rsid w:val="00BF216E"/>
    <w:rsid w:val="00BF2179"/>
    <w:rsid w:val="00BF23BC"/>
    <w:rsid w:val="00BF2B25"/>
    <w:rsid w:val="00BF2EE5"/>
    <w:rsid w:val="00BF307C"/>
    <w:rsid w:val="00BF3103"/>
    <w:rsid w:val="00BF34E3"/>
    <w:rsid w:val="00BF3533"/>
    <w:rsid w:val="00BF368D"/>
    <w:rsid w:val="00BF371B"/>
    <w:rsid w:val="00BF37FE"/>
    <w:rsid w:val="00BF3B96"/>
    <w:rsid w:val="00BF3D93"/>
    <w:rsid w:val="00BF3DBC"/>
    <w:rsid w:val="00BF41DA"/>
    <w:rsid w:val="00BF45A3"/>
    <w:rsid w:val="00BF45B4"/>
    <w:rsid w:val="00BF475A"/>
    <w:rsid w:val="00BF4BF0"/>
    <w:rsid w:val="00BF53AA"/>
    <w:rsid w:val="00BF5831"/>
    <w:rsid w:val="00BF5AA5"/>
    <w:rsid w:val="00BF5BE7"/>
    <w:rsid w:val="00BF5C0C"/>
    <w:rsid w:val="00BF5DE1"/>
    <w:rsid w:val="00BF5F43"/>
    <w:rsid w:val="00BF5F9E"/>
    <w:rsid w:val="00BF6034"/>
    <w:rsid w:val="00BF61F2"/>
    <w:rsid w:val="00BF62E9"/>
    <w:rsid w:val="00BF631C"/>
    <w:rsid w:val="00BF6622"/>
    <w:rsid w:val="00BF6752"/>
    <w:rsid w:val="00BF6AD3"/>
    <w:rsid w:val="00BF6D4B"/>
    <w:rsid w:val="00BF6E29"/>
    <w:rsid w:val="00BF711C"/>
    <w:rsid w:val="00BF72CA"/>
    <w:rsid w:val="00BF752A"/>
    <w:rsid w:val="00BF7903"/>
    <w:rsid w:val="00BF7987"/>
    <w:rsid w:val="00BF7CF2"/>
    <w:rsid w:val="00C00BC0"/>
    <w:rsid w:val="00C01047"/>
    <w:rsid w:val="00C0110C"/>
    <w:rsid w:val="00C01140"/>
    <w:rsid w:val="00C01242"/>
    <w:rsid w:val="00C013F5"/>
    <w:rsid w:val="00C015C8"/>
    <w:rsid w:val="00C01620"/>
    <w:rsid w:val="00C0180A"/>
    <w:rsid w:val="00C01B82"/>
    <w:rsid w:val="00C01C17"/>
    <w:rsid w:val="00C01CFF"/>
    <w:rsid w:val="00C01F03"/>
    <w:rsid w:val="00C01F36"/>
    <w:rsid w:val="00C0208C"/>
    <w:rsid w:val="00C0223C"/>
    <w:rsid w:val="00C02251"/>
    <w:rsid w:val="00C02283"/>
    <w:rsid w:val="00C023AF"/>
    <w:rsid w:val="00C02433"/>
    <w:rsid w:val="00C02549"/>
    <w:rsid w:val="00C025F8"/>
    <w:rsid w:val="00C02B12"/>
    <w:rsid w:val="00C02BB4"/>
    <w:rsid w:val="00C02E86"/>
    <w:rsid w:val="00C02FE9"/>
    <w:rsid w:val="00C030A3"/>
    <w:rsid w:val="00C03216"/>
    <w:rsid w:val="00C0328F"/>
    <w:rsid w:val="00C0349B"/>
    <w:rsid w:val="00C034AC"/>
    <w:rsid w:val="00C03761"/>
    <w:rsid w:val="00C03852"/>
    <w:rsid w:val="00C038CC"/>
    <w:rsid w:val="00C03F3E"/>
    <w:rsid w:val="00C0444B"/>
    <w:rsid w:val="00C0446D"/>
    <w:rsid w:val="00C04696"/>
    <w:rsid w:val="00C04D3B"/>
    <w:rsid w:val="00C04F22"/>
    <w:rsid w:val="00C055DF"/>
    <w:rsid w:val="00C0592A"/>
    <w:rsid w:val="00C06238"/>
    <w:rsid w:val="00C0692C"/>
    <w:rsid w:val="00C06D03"/>
    <w:rsid w:val="00C06DF9"/>
    <w:rsid w:val="00C0707B"/>
    <w:rsid w:val="00C07182"/>
    <w:rsid w:val="00C071EF"/>
    <w:rsid w:val="00C076F5"/>
    <w:rsid w:val="00C078F0"/>
    <w:rsid w:val="00C07DB2"/>
    <w:rsid w:val="00C07E87"/>
    <w:rsid w:val="00C10083"/>
    <w:rsid w:val="00C10103"/>
    <w:rsid w:val="00C103E4"/>
    <w:rsid w:val="00C106DA"/>
    <w:rsid w:val="00C10A51"/>
    <w:rsid w:val="00C10C61"/>
    <w:rsid w:val="00C11139"/>
    <w:rsid w:val="00C11968"/>
    <w:rsid w:val="00C119E6"/>
    <w:rsid w:val="00C11C40"/>
    <w:rsid w:val="00C11C5C"/>
    <w:rsid w:val="00C11D3B"/>
    <w:rsid w:val="00C11F9D"/>
    <w:rsid w:val="00C12127"/>
    <w:rsid w:val="00C12220"/>
    <w:rsid w:val="00C12353"/>
    <w:rsid w:val="00C124B3"/>
    <w:rsid w:val="00C12516"/>
    <w:rsid w:val="00C125D0"/>
    <w:rsid w:val="00C12623"/>
    <w:rsid w:val="00C128A3"/>
    <w:rsid w:val="00C128D2"/>
    <w:rsid w:val="00C129B1"/>
    <w:rsid w:val="00C12A07"/>
    <w:rsid w:val="00C12F56"/>
    <w:rsid w:val="00C131CE"/>
    <w:rsid w:val="00C1322D"/>
    <w:rsid w:val="00C13325"/>
    <w:rsid w:val="00C13693"/>
    <w:rsid w:val="00C13B82"/>
    <w:rsid w:val="00C13D0A"/>
    <w:rsid w:val="00C13F00"/>
    <w:rsid w:val="00C142E3"/>
    <w:rsid w:val="00C1450F"/>
    <w:rsid w:val="00C14E98"/>
    <w:rsid w:val="00C150A3"/>
    <w:rsid w:val="00C15278"/>
    <w:rsid w:val="00C1532F"/>
    <w:rsid w:val="00C15454"/>
    <w:rsid w:val="00C157FF"/>
    <w:rsid w:val="00C15ABE"/>
    <w:rsid w:val="00C15D0F"/>
    <w:rsid w:val="00C16105"/>
    <w:rsid w:val="00C16150"/>
    <w:rsid w:val="00C16565"/>
    <w:rsid w:val="00C16578"/>
    <w:rsid w:val="00C16733"/>
    <w:rsid w:val="00C1674E"/>
    <w:rsid w:val="00C168B1"/>
    <w:rsid w:val="00C172FF"/>
    <w:rsid w:val="00C175A9"/>
    <w:rsid w:val="00C178FC"/>
    <w:rsid w:val="00C17ECE"/>
    <w:rsid w:val="00C200B6"/>
    <w:rsid w:val="00C20111"/>
    <w:rsid w:val="00C20230"/>
    <w:rsid w:val="00C2046E"/>
    <w:rsid w:val="00C205BF"/>
    <w:rsid w:val="00C207B4"/>
    <w:rsid w:val="00C20B69"/>
    <w:rsid w:val="00C20B83"/>
    <w:rsid w:val="00C2102D"/>
    <w:rsid w:val="00C211F4"/>
    <w:rsid w:val="00C21724"/>
    <w:rsid w:val="00C21775"/>
    <w:rsid w:val="00C22028"/>
    <w:rsid w:val="00C22033"/>
    <w:rsid w:val="00C2229D"/>
    <w:rsid w:val="00C222A9"/>
    <w:rsid w:val="00C22418"/>
    <w:rsid w:val="00C224B2"/>
    <w:rsid w:val="00C22661"/>
    <w:rsid w:val="00C22829"/>
    <w:rsid w:val="00C22C1C"/>
    <w:rsid w:val="00C22CD3"/>
    <w:rsid w:val="00C230D0"/>
    <w:rsid w:val="00C231E0"/>
    <w:rsid w:val="00C2321E"/>
    <w:rsid w:val="00C2328D"/>
    <w:rsid w:val="00C23290"/>
    <w:rsid w:val="00C23488"/>
    <w:rsid w:val="00C239BE"/>
    <w:rsid w:val="00C23A68"/>
    <w:rsid w:val="00C23B96"/>
    <w:rsid w:val="00C23D8C"/>
    <w:rsid w:val="00C245A9"/>
    <w:rsid w:val="00C247A5"/>
    <w:rsid w:val="00C249D3"/>
    <w:rsid w:val="00C24AE6"/>
    <w:rsid w:val="00C24B8D"/>
    <w:rsid w:val="00C24C03"/>
    <w:rsid w:val="00C24D7F"/>
    <w:rsid w:val="00C24E66"/>
    <w:rsid w:val="00C2508E"/>
    <w:rsid w:val="00C25194"/>
    <w:rsid w:val="00C256BE"/>
    <w:rsid w:val="00C257C1"/>
    <w:rsid w:val="00C2589D"/>
    <w:rsid w:val="00C25BE7"/>
    <w:rsid w:val="00C25DA3"/>
    <w:rsid w:val="00C2605A"/>
    <w:rsid w:val="00C2646D"/>
    <w:rsid w:val="00C264ED"/>
    <w:rsid w:val="00C26701"/>
    <w:rsid w:val="00C268EF"/>
    <w:rsid w:val="00C26B2F"/>
    <w:rsid w:val="00C26C26"/>
    <w:rsid w:val="00C26DC7"/>
    <w:rsid w:val="00C26DE3"/>
    <w:rsid w:val="00C26F24"/>
    <w:rsid w:val="00C27271"/>
    <w:rsid w:val="00C272EE"/>
    <w:rsid w:val="00C276F3"/>
    <w:rsid w:val="00C277AD"/>
    <w:rsid w:val="00C30625"/>
    <w:rsid w:val="00C30640"/>
    <w:rsid w:val="00C30644"/>
    <w:rsid w:val="00C30A7E"/>
    <w:rsid w:val="00C30D6C"/>
    <w:rsid w:val="00C31220"/>
    <w:rsid w:val="00C316A3"/>
    <w:rsid w:val="00C31C9A"/>
    <w:rsid w:val="00C31DB9"/>
    <w:rsid w:val="00C31E84"/>
    <w:rsid w:val="00C31F52"/>
    <w:rsid w:val="00C321C8"/>
    <w:rsid w:val="00C323C1"/>
    <w:rsid w:val="00C32B9E"/>
    <w:rsid w:val="00C32F56"/>
    <w:rsid w:val="00C330E6"/>
    <w:rsid w:val="00C331B5"/>
    <w:rsid w:val="00C332CB"/>
    <w:rsid w:val="00C33410"/>
    <w:rsid w:val="00C338BC"/>
    <w:rsid w:val="00C339D8"/>
    <w:rsid w:val="00C33D20"/>
    <w:rsid w:val="00C33E4C"/>
    <w:rsid w:val="00C33FE1"/>
    <w:rsid w:val="00C34406"/>
    <w:rsid w:val="00C345BF"/>
    <w:rsid w:val="00C346E5"/>
    <w:rsid w:val="00C34AAF"/>
    <w:rsid w:val="00C34BCD"/>
    <w:rsid w:val="00C34E4F"/>
    <w:rsid w:val="00C354C0"/>
    <w:rsid w:val="00C3566F"/>
    <w:rsid w:val="00C36013"/>
    <w:rsid w:val="00C36217"/>
    <w:rsid w:val="00C3669B"/>
    <w:rsid w:val="00C367B6"/>
    <w:rsid w:val="00C368B9"/>
    <w:rsid w:val="00C36998"/>
    <w:rsid w:val="00C36A1E"/>
    <w:rsid w:val="00C36D0E"/>
    <w:rsid w:val="00C36D31"/>
    <w:rsid w:val="00C36F51"/>
    <w:rsid w:val="00C37091"/>
    <w:rsid w:val="00C37283"/>
    <w:rsid w:val="00C373A6"/>
    <w:rsid w:val="00C37520"/>
    <w:rsid w:val="00C377BF"/>
    <w:rsid w:val="00C37AE6"/>
    <w:rsid w:val="00C37D8A"/>
    <w:rsid w:val="00C401AB"/>
    <w:rsid w:val="00C40509"/>
    <w:rsid w:val="00C407C8"/>
    <w:rsid w:val="00C40857"/>
    <w:rsid w:val="00C40957"/>
    <w:rsid w:val="00C40BC5"/>
    <w:rsid w:val="00C40BF2"/>
    <w:rsid w:val="00C40EF2"/>
    <w:rsid w:val="00C40F10"/>
    <w:rsid w:val="00C40FB6"/>
    <w:rsid w:val="00C41411"/>
    <w:rsid w:val="00C41898"/>
    <w:rsid w:val="00C41C6C"/>
    <w:rsid w:val="00C41D0E"/>
    <w:rsid w:val="00C41D12"/>
    <w:rsid w:val="00C41FFA"/>
    <w:rsid w:val="00C42042"/>
    <w:rsid w:val="00C42131"/>
    <w:rsid w:val="00C4217D"/>
    <w:rsid w:val="00C421D8"/>
    <w:rsid w:val="00C426A4"/>
    <w:rsid w:val="00C429A1"/>
    <w:rsid w:val="00C42B04"/>
    <w:rsid w:val="00C42CFE"/>
    <w:rsid w:val="00C42D49"/>
    <w:rsid w:val="00C42E22"/>
    <w:rsid w:val="00C42E7A"/>
    <w:rsid w:val="00C430C2"/>
    <w:rsid w:val="00C43722"/>
    <w:rsid w:val="00C439D6"/>
    <w:rsid w:val="00C43D3C"/>
    <w:rsid w:val="00C43FBF"/>
    <w:rsid w:val="00C44038"/>
    <w:rsid w:val="00C44528"/>
    <w:rsid w:val="00C448A2"/>
    <w:rsid w:val="00C44C2E"/>
    <w:rsid w:val="00C44C80"/>
    <w:rsid w:val="00C44E37"/>
    <w:rsid w:val="00C44E55"/>
    <w:rsid w:val="00C44EE0"/>
    <w:rsid w:val="00C4510F"/>
    <w:rsid w:val="00C4526E"/>
    <w:rsid w:val="00C454A4"/>
    <w:rsid w:val="00C45636"/>
    <w:rsid w:val="00C458FA"/>
    <w:rsid w:val="00C459DD"/>
    <w:rsid w:val="00C45F96"/>
    <w:rsid w:val="00C464E7"/>
    <w:rsid w:val="00C4659C"/>
    <w:rsid w:val="00C466FA"/>
    <w:rsid w:val="00C468F7"/>
    <w:rsid w:val="00C46A1B"/>
    <w:rsid w:val="00C46AB1"/>
    <w:rsid w:val="00C46EAF"/>
    <w:rsid w:val="00C46F23"/>
    <w:rsid w:val="00C46F57"/>
    <w:rsid w:val="00C4721F"/>
    <w:rsid w:val="00C4729A"/>
    <w:rsid w:val="00C47361"/>
    <w:rsid w:val="00C47517"/>
    <w:rsid w:val="00C4762D"/>
    <w:rsid w:val="00C47AFC"/>
    <w:rsid w:val="00C47B53"/>
    <w:rsid w:val="00C47D63"/>
    <w:rsid w:val="00C47EA2"/>
    <w:rsid w:val="00C5035F"/>
    <w:rsid w:val="00C503AD"/>
    <w:rsid w:val="00C5048F"/>
    <w:rsid w:val="00C504D5"/>
    <w:rsid w:val="00C5077F"/>
    <w:rsid w:val="00C50831"/>
    <w:rsid w:val="00C509C3"/>
    <w:rsid w:val="00C50A6E"/>
    <w:rsid w:val="00C50ECF"/>
    <w:rsid w:val="00C50F5D"/>
    <w:rsid w:val="00C51692"/>
    <w:rsid w:val="00C517E1"/>
    <w:rsid w:val="00C51B68"/>
    <w:rsid w:val="00C51B83"/>
    <w:rsid w:val="00C51F17"/>
    <w:rsid w:val="00C52050"/>
    <w:rsid w:val="00C52284"/>
    <w:rsid w:val="00C52665"/>
    <w:rsid w:val="00C52ACE"/>
    <w:rsid w:val="00C52B8E"/>
    <w:rsid w:val="00C52E16"/>
    <w:rsid w:val="00C530BA"/>
    <w:rsid w:val="00C5337C"/>
    <w:rsid w:val="00C537F9"/>
    <w:rsid w:val="00C53BDA"/>
    <w:rsid w:val="00C53C5D"/>
    <w:rsid w:val="00C53CEC"/>
    <w:rsid w:val="00C53D1F"/>
    <w:rsid w:val="00C53FDC"/>
    <w:rsid w:val="00C5429E"/>
    <w:rsid w:val="00C54C22"/>
    <w:rsid w:val="00C54C87"/>
    <w:rsid w:val="00C54E25"/>
    <w:rsid w:val="00C54EE1"/>
    <w:rsid w:val="00C54F15"/>
    <w:rsid w:val="00C54F1C"/>
    <w:rsid w:val="00C5500F"/>
    <w:rsid w:val="00C5542A"/>
    <w:rsid w:val="00C55A78"/>
    <w:rsid w:val="00C55C42"/>
    <w:rsid w:val="00C55D4C"/>
    <w:rsid w:val="00C55EE9"/>
    <w:rsid w:val="00C56003"/>
    <w:rsid w:val="00C563EB"/>
    <w:rsid w:val="00C5667C"/>
    <w:rsid w:val="00C56710"/>
    <w:rsid w:val="00C5680A"/>
    <w:rsid w:val="00C5680C"/>
    <w:rsid w:val="00C568D2"/>
    <w:rsid w:val="00C57002"/>
    <w:rsid w:val="00C57112"/>
    <w:rsid w:val="00C57240"/>
    <w:rsid w:val="00C57485"/>
    <w:rsid w:val="00C57E1F"/>
    <w:rsid w:val="00C57E95"/>
    <w:rsid w:val="00C57F15"/>
    <w:rsid w:val="00C57F4B"/>
    <w:rsid w:val="00C60143"/>
    <w:rsid w:val="00C604DA"/>
    <w:rsid w:val="00C60915"/>
    <w:rsid w:val="00C60F54"/>
    <w:rsid w:val="00C60FAE"/>
    <w:rsid w:val="00C610A3"/>
    <w:rsid w:val="00C61412"/>
    <w:rsid w:val="00C61586"/>
    <w:rsid w:val="00C615E4"/>
    <w:rsid w:val="00C6164C"/>
    <w:rsid w:val="00C617CD"/>
    <w:rsid w:val="00C617FD"/>
    <w:rsid w:val="00C61872"/>
    <w:rsid w:val="00C61A1E"/>
    <w:rsid w:val="00C61B1A"/>
    <w:rsid w:val="00C61BE3"/>
    <w:rsid w:val="00C62005"/>
    <w:rsid w:val="00C6207A"/>
    <w:rsid w:val="00C62256"/>
    <w:rsid w:val="00C622A8"/>
    <w:rsid w:val="00C623F3"/>
    <w:rsid w:val="00C626B8"/>
    <w:rsid w:val="00C628B4"/>
    <w:rsid w:val="00C63252"/>
    <w:rsid w:val="00C63618"/>
    <w:rsid w:val="00C6361A"/>
    <w:rsid w:val="00C638FF"/>
    <w:rsid w:val="00C63BFA"/>
    <w:rsid w:val="00C63C62"/>
    <w:rsid w:val="00C641FE"/>
    <w:rsid w:val="00C643E5"/>
    <w:rsid w:val="00C64BDC"/>
    <w:rsid w:val="00C64C59"/>
    <w:rsid w:val="00C64DC0"/>
    <w:rsid w:val="00C654DD"/>
    <w:rsid w:val="00C655F3"/>
    <w:rsid w:val="00C65746"/>
    <w:rsid w:val="00C65B81"/>
    <w:rsid w:val="00C6608E"/>
    <w:rsid w:val="00C664FC"/>
    <w:rsid w:val="00C66A65"/>
    <w:rsid w:val="00C66C57"/>
    <w:rsid w:val="00C66F50"/>
    <w:rsid w:val="00C670AE"/>
    <w:rsid w:val="00C670ED"/>
    <w:rsid w:val="00C6728F"/>
    <w:rsid w:val="00C67295"/>
    <w:rsid w:val="00C67885"/>
    <w:rsid w:val="00C67935"/>
    <w:rsid w:val="00C67D34"/>
    <w:rsid w:val="00C67D41"/>
    <w:rsid w:val="00C70194"/>
    <w:rsid w:val="00C701A4"/>
    <w:rsid w:val="00C70436"/>
    <w:rsid w:val="00C70D29"/>
    <w:rsid w:val="00C71037"/>
    <w:rsid w:val="00C710F3"/>
    <w:rsid w:val="00C71136"/>
    <w:rsid w:val="00C71153"/>
    <w:rsid w:val="00C71319"/>
    <w:rsid w:val="00C714C5"/>
    <w:rsid w:val="00C7186A"/>
    <w:rsid w:val="00C718E5"/>
    <w:rsid w:val="00C7194A"/>
    <w:rsid w:val="00C71A7E"/>
    <w:rsid w:val="00C71E74"/>
    <w:rsid w:val="00C71EA1"/>
    <w:rsid w:val="00C71F3F"/>
    <w:rsid w:val="00C72035"/>
    <w:rsid w:val="00C7268D"/>
    <w:rsid w:val="00C726D0"/>
    <w:rsid w:val="00C728CF"/>
    <w:rsid w:val="00C7346C"/>
    <w:rsid w:val="00C73507"/>
    <w:rsid w:val="00C7360F"/>
    <w:rsid w:val="00C73D3A"/>
    <w:rsid w:val="00C73F2E"/>
    <w:rsid w:val="00C74194"/>
    <w:rsid w:val="00C7425E"/>
    <w:rsid w:val="00C74391"/>
    <w:rsid w:val="00C74633"/>
    <w:rsid w:val="00C74BEE"/>
    <w:rsid w:val="00C74C80"/>
    <w:rsid w:val="00C74D68"/>
    <w:rsid w:val="00C74F49"/>
    <w:rsid w:val="00C75068"/>
    <w:rsid w:val="00C752E4"/>
    <w:rsid w:val="00C75439"/>
    <w:rsid w:val="00C7570E"/>
    <w:rsid w:val="00C758E0"/>
    <w:rsid w:val="00C75CC7"/>
    <w:rsid w:val="00C75ECB"/>
    <w:rsid w:val="00C75FA5"/>
    <w:rsid w:val="00C767AF"/>
    <w:rsid w:val="00C76AD8"/>
    <w:rsid w:val="00C76D97"/>
    <w:rsid w:val="00C77868"/>
    <w:rsid w:val="00C77D77"/>
    <w:rsid w:val="00C77E8F"/>
    <w:rsid w:val="00C8030A"/>
    <w:rsid w:val="00C805BA"/>
    <w:rsid w:val="00C807F3"/>
    <w:rsid w:val="00C807FA"/>
    <w:rsid w:val="00C80E5D"/>
    <w:rsid w:val="00C80FAA"/>
    <w:rsid w:val="00C810BC"/>
    <w:rsid w:val="00C811EB"/>
    <w:rsid w:val="00C81657"/>
    <w:rsid w:val="00C81A53"/>
    <w:rsid w:val="00C81C61"/>
    <w:rsid w:val="00C81DCC"/>
    <w:rsid w:val="00C82356"/>
    <w:rsid w:val="00C827C3"/>
    <w:rsid w:val="00C82BD0"/>
    <w:rsid w:val="00C82FCD"/>
    <w:rsid w:val="00C830EA"/>
    <w:rsid w:val="00C83379"/>
    <w:rsid w:val="00C83E97"/>
    <w:rsid w:val="00C841D1"/>
    <w:rsid w:val="00C841DF"/>
    <w:rsid w:val="00C844E2"/>
    <w:rsid w:val="00C84571"/>
    <w:rsid w:val="00C845AC"/>
    <w:rsid w:val="00C845C7"/>
    <w:rsid w:val="00C84625"/>
    <w:rsid w:val="00C847DB"/>
    <w:rsid w:val="00C8482C"/>
    <w:rsid w:val="00C8492E"/>
    <w:rsid w:val="00C8496C"/>
    <w:rsid w:val="00C84A88"/>
    <w:rsid w:val="00C84C4F"/>
    <w:rsid w:val="00C84F60"/>
    <w:rsid w:val="00C8508C"/>
    <w:rsid w:val="00C851B0"/>
    <w:rsid w:val="00C852C6"/>
    <w:rsid w:val="00C85351"/>
    <w:rsid w:val="00C855F6"/>
    <w:rsid w:val="00C85AB4"/>
    <w:rsid w:val="00C85B83"/>
    <w:rsid w:val="00C85B98"/>
    <w:rsid w:val="00C85FFD"/>
    <w:rsid w:val="00C861B5"/>
    <w:rsid w:val="00C86355"/>
    <w:rsid w:val="00C863E5"/>
    <w:rsid w:val="00C865EA"/>
    <w:rsid w:val="00C868DC"/>
    <w:rsid w:val="00C86ABB"/>
    <w:rsid w:val="00C86C3A"/>
    <w:rsid w:val="00C86CE3"/>
    <w:rsid w:val="00C86D05"/>
    <w:rsid w:val="00C8713B"/>
    <w:rsid w:val="00C872EE"/>
    <w:rsid w:val="00C874C3"/>
    <w:rsid w:val="00C876DD"/>
    <w:rsid w:val="00C878DB"/>
    <w:rsid w:val="00C87A9E"/>
    <w:rsid w:val="00C87F43"/>
    <w:rsid w:val="00C901B1"/>
    <w:rsid w:val="00C90305"/>
    <w:rsid w:val="00C90344"/>
    <w:rsid w:val="00C90500"/>
    <w:rsid w:val="00C908B9"/>
    <w:rsid w:val="00C90AE2"/>
    <w:rsid w:val="00C90D15"/>
    <w:rsid w:val="00C90D16"/>
    <w:rsid w:val="00C90EF1"/>
    <w:rsid w:val="00C910AA"/>
    <w:rsid w:val="00C91771"/>
    <w:rsid w:val="00C91CFF"/>
    <w:rsid w:val="00C91D53"/>
    <w:rsid w:val="00C9219D"/>
    <w:rsid w:val="00C9222C"/>
    <w:rsid w:val="00C92252"/>
    <w:rsid w:val="00C92484"/>
    <w:rsid w:val="00C92710"/>
    <w:rsid w:val="00C92749"/>
    <w:rsid w:val="00C92767"/>
    <w:rsid w:val="00C9280C"/>
    <w:rsid w:val="00C92D58"/>
    <w:rsid w:val="00C92DBB"/>
    <w:rsid w:val="00C9313D"/>
    <w:rsid w:val="00C93280"/>
    <w:rsid w:val="00C932CD"/>
    <w:rsid w:val="00C934F9"/>
    <w:rsid w:val="00C937D1"/>
    <w:rsid w:val="00C938B9"/>
    <w:rsid w:val="00C93C46"/>
    <w:rsid w:val="00C93C6F"/>
    <w:rsid w:val="00C943B0"/>
    <w:rsid w:val="00C947B0"/>
    <w:rsid w:val="00C94895"/>
    <w:rsid w:val="00C9508E"/>
    <w:rsid w:val="00C953D0"/>
    <w:rsid w:val="00C955BF"/>
    <w:rsid w:val="00C95697"/>
    <w:rsid w:val="00C957CA"/>
    <w:rsid w:val="00C95B54"/>
    <w:rsid w:val="00C95E3C"/>
    <w:rsid w:val="00C95F85"/>
    <w:rsid w:val="00C95FF3"/>
    <w:rsid w:val="00C960DA"/>
    <w:rsid w:val="00C965A0"/>
    <w:rsid w:val="00C96A4A"/>
    <w:rsid w:val="00C96A9E"/>
    <w:rsid w:val="00C96B06"/>
    <w:rsid w:val="00C96D70"/>
    <w:rsid w:val="00C96DEE"/>
    <w:rsid w:val="00C96FA5"/>
    <w:rsid w:val="00C9727E"/>
    <w:rsid w:val="00C9740C"/>
    <w:rsid w:val="00C97948"/>
    <w:rsid w:val="00C97B8C"/>
    <w:rsid w:val="00CA006C"/>
    <w:rsid w:val="00CA0119"/>
    <w:rsid w:val="00CA06DF"/>
    <w:rsid w:val="00CA0938"/>
    <w:rsid w:val="00CA09E7"/>
    <w:rsid w:val="00CA0F4F"/>
    <w:rsid w:val="00CA0FDD"/>
    <w:rsid w:val="00CA1173"/>
    <w:rsid w:val="00CA14EF"/>
    <w:rsid w:val="00CA1586"/>
    <w:rsid w:val="00CA169C"/>
    <w:rsid w:val="00CA1B09"/>
    <w:rsid w:val="00CA1B73"/>
    <w:rsid w:val="00CA1D8B"/>
    <w:rsid w:val="00CA1EEB"/>
    <w:rsid w:val="00CA2017"/>
    <w:rsid w:val="00CA209D"/>
    <w:rsid w:val="00CA22BC"/>
    <w:rsid w:val="00CA25C4"/>
    <w:rsid w:val="00CA28BF"/>
    <w:rsid w:val="00CA29B5"/>
    <w:rsid w:val="00CA2A48"/>
    <w:rsid w:val="00CA2B03"/>
    <w:rsid w:val="00CA2B7A"/>
    <w:rsid w:val="00CA2D57"/>
    <w:rsid w:val="00CA2E0B"/>
    <w:rsid w:val="00CA2F0D"/>
    <w:rsid w:val="00CA2F1C"/>
    <w:rsid w:val="00CA2FE8"/>
    <w:rsid w:val="00CA32AA"/>
    <w:rsid w:val="00CA38B2"/>
    <w:rsid w:val="00CA3B0E"/>
    <w:rsid w:val="00CA3BEA"/>
    <w:rsid w:val="00CA3D2C"/>
    <w:rsid w:val="00CA3D55"/>
    <w:rsid w:val="00CA3FAE"/>
    <w:rsid w:val="00CA42D0"/>
    <w:rsid w:val="00CA42F8"/>
    <w:rsid w:val="00CA43F8"/>
    <w:rsid w:val="00CA46B8"/>
    <w:rsid w:val="00CA4C4F"/>
    <w:rsid w:val="00CA54BC"/>
    <w:rsid w:val="00CA5F47"/>
    <w:rsid w:val="00CA606A"/>
    <w:rsid w:val="00CA6485"/>
    <w:rsid w:val="00CA673F"/>
    <w:rsid w:val="00CA6915"/>
    <w:rsid w:val="00CA6C1D"/>
    <w:rsid w:val="00CA6CAD"/>
    <w:rsid w:val="00CA7131"/>
    <w:rsid w:val="00CA716D"/>
    <w:rsid w:val="00CA750B"/>
    <w:rsid w:val="00CA764A"/>
    <w:rsid w:val="00CA7682"/>
    <w:rsid w:val="00CA7876"/>
    <w:rsid w:val="00CA797B"/>
    <w:rsid w:val="00CA7B8D"/>
    <w:rsid w:val="00CA7DFB"/>
    <w:rsid w:val="00CA7F30"/>
    <w:rsid w:val="00CA7F94"/>
    <w:rsid w:val="00CA7FCA"/>
    <w:rsid w:val="00CB00F3"/>
    <w:rsid w:val="00CB02A3"/>
    <w:rsid w:val="00CB0342"/>
    <w:rsid w:val="00CB04FB"/>
    <w:rsid w:val="00CB076C"/>
    <w:rsid w:val="00CB0773"/>
    <w:rsid w:val="00CB077A"/>
    <w:rsid w:val="00CB0805"/>
    <w:rsid w:val="00CB0849"/>
    <w:rsid w:val="00CB0C1F"/>
    <w:rsid w:val="00CB0DEE"/>
    <w:rsid w:val="00CB1041"/>
    <w:rsid w:val="00CB1177"/>
    <w:rsid w:val="00CB11FB"/>
    <w:rsid w:val="00CB130D"/>
    <w:rsid w:val="00CB13BE"/>
    <w:rsid w:val="00CB15A3"/>
    <w:rsid w:val="00CB1651"/>
    <w:rsid w:val="00CB1E87"/>
    <w:rsid w:val="00CB1E9C"/>
    <w:rsid w:val="00CB21D2"/>
    <w:rsid w:val="00CB267F"/>
    <w:rsid w:val="00CB269E"/>
    <w:rsid w:val="00CB2A9D"/>
    <w:rsid w:val="00CB2D0B"/>
    <w:rsid w:val="00CB314B"/>
    <w:rsid w:val="00CB363D"/>
    <w:rsid w:val="00CB3868"/>
    <w:rsid w:val="00CB395E"/>
    <w:rsid w:val="00CB39AE"/>
    <w:rsid w:val="00CB3A02"/>
    <w:rsid w:val="00CB3A2B"/>
    <w:rsid w:val="00CB3CF0"/>
    <w:rsid w:val="00CB40C7"/>
    <w:rsid w:val="00CB454E"/>
    <w:rsid w:val="00CB46FD"/>
    <w:rsid w:val="00CB4922"/>
    <w:rsid w:val="00CB4A37"/>
    <w:rsid w:val="00CB4D5F"/>
    <w:rsid w:val="00CB4D66"/>
    <w:rsid w:val="00CB4E0D"/>
    <w:rsid w:val="00CB4ECA"/>
    <w:rsid w:val="00CB4F15"/>
    <w:rsid w:val="00CB4F97"/>
    <w:rsid w:val="00CB51EF"/>
    <w:rsid w:val="00CB5285"/>
    <w:rsid w:val="00CB54E5"/>
    <w:rsid w:val="00CB5694"/>
    <w:rsid w:val="00CB5966"/>
    <w:rsid w:val="00CB5B2A"/>
    <w:rsid w:val="00CB5FE1"/>
    <w:rsid w:val="00CB645E"/>
    <w:rsid w:val="00CB646C"/>
    <w:rsid w:val="00CB699F"/>
    <w:rsid w:val="00CB69F9"/>
    <w:rsid w:val="00CB6B10"/>
    <w:rsid w:val="00CB6C07"/>
    <w:rsid w:val="00CB7027"/>
    <w:rsid w:val="00CB7302"/>
    <w:rsid w:val="00CB734A"/>
    <w:rsid w:val="00CB753D"/>
    <w:rsid w:val="00CB7574"/>
    <w:rsid w:val="00CB7A3B"/>
    <w:rsid w:val="00CC02E6"/>
    <w:rsid w:val="00CC06A6"/>
    <w:rsid w:val="00CC0917"/>
    <w:rsid w:val="00CC0AA2"/>
    <w:rsid w:val="00CC0BDF"/>
    <w:rsid w:val="00CC0C16"/>
    <w:rsid w:val="00CC0DAA"/>
    <w:rsid w:val="00CC10CC"/>
    <w:rsid w:val="00CC192F"/>
    <w:rsid w:val="00CC1A68"/>
    <w:rsid w:val="00CC1BBD"/>
    <w:rsid w:val="00CC1C7B"/>
    <w:rsid w:val="00CC219D"/>
    <w:rsid w:val="00CC2547"/>
    <w:rsid w:val="00CC2CF5"/>
    <w:rsid w:val="00CC2FAB"/>
    <w:rsid w:val="00CC3243"/>
    <w:rsid w:val="00CC3433"/>
    <w:rsid w:val="00CC3ADA"/>
    <w:rsid w:val="00CC3DB5"/>
    <w:rsid w:val="00CC3F19"/>
    <w:rsid w:val="00CC3F62"/>
    <w:rsid w:val="00CC3F79"/>
    <w:rsid w:val="00CC4020"/>
    <w:rsid w:val="00CC4154"/>
    <w:rsid w:val="00CC42DF"/>
    <w:rsid w:val="00CC43F0"/>
    <w:rsid w:val="00CC45F7"/>
    <w:rsid w:val="00CC46C4"/>
    <w:rsid w:val="00CC4759"/>
    <w:rsid w:val="00CC48E6"/>
    <w:rsid w:val="00CC4A82"/>
    <w:rsid w:val="00CC4DE2"/>
    <w:rsid w:val="00CC52FF"/>
    <w:rsid w:val="00CC53FC"/>
    <w:rsid w:val="00CC5598"/>
    <w:rsid w:val="00CC57A7"/>
    <w:rsid w:val="00CC57C9"/>
    <w:rsid w:val="00CC57D7"/>
    <w:rsid w:val="00CC5A23"/>
    <w:rsid w:val="00CC5C53"/>
    <w:rsid w:val="00CC5EA2"/>
    <w:rsid w:val="00CC60AF"/>
    <w:rsid w:val="00CC64AB"/>
    <w:rsid w:val="00CC6866"/>
    <w:rsid w:val="00CC698A"/>
    <w:rsid w:val="00CC6EF7"/>
    <w:rsid w:val="00CC7331"/>
    <w:rsid w:val="00CC7390"/>
    <w:rsid w:val="00CC73B7"/>
    <w:rsid w:val="00CC749B"/>
    <w:rsid w:val="00CC7640"/>
    <w:rsid w:val="00CC790F"/>
    <w:rsid w:val="00CC7A64"/>
    <w:rsid w:val="00CC7F6D"/>
    <w:rsid w:val="00CD0047"/>
    <w:rsid w:val="00CD0369"/>
    <w:rsid w:val="00CD0893"/>
    <w:rsid w:val="00CD0A8C"/>
    <w:rsid w:val="00CD0AF4"/>
    <w:rsid w:val="00CD0B07"/>
    <w:rsid w:val="00CD0BF5"/>
    <w:rsid w:val="00CD0C22"/>
    <w:rsid w:val="00CD0C3C"/>
    <w:rsid w:val="00CD0C75"/>
    <w:rsid w:val="00CD0E9B"/>
    <w:rsid w:val="00CD1274"/>
    <w:rsid w:val="00CD185A"/>
    <w:rsid w:val="00CD185F"/>
    <w:rsid w:val="00CD23F7"/>
    <w:rsid w:val="00CD250B"/>
    <w:rsid w:val="00CD2858"/>
    <w:rsid w:val="00CD2AF3"/>
    <w:rsid w:val="00CD2BA7"/>
    <w:rsid w:val="00CD2D36"/>
    <w:rsid w:val="00CD30E2"/>
    <w:rsid w:val="00CD34A9"/>
    <w:rsid w:val="00CD35FC"/>
    <w:rsid w:val="00CD3776"/>
    <w:rsid w:val="00CD383D"/>
    <w:rsid w:val="00CD3994"/>
    <w:rsid w:val="00CD3A34"/>
    <w:rsid w:val="00CD41BC"/>
    <w:rsid w:val="00CD4562"/>
    <w:rsid w:val="00CD45C1"/>
    <w:rsid w:val="00CD466F"/>
    <w:rsid w:val="00CD46CF"/>
    <w:rsid w:val="00CD4A5B"/>
    <w:rsid w:val="00CD4C43"/>
    <w:rsid w:val="00CD4C44"/>
    <w:rsid w:val="00CD4DF0"/>
    <w:rsid w:val="00CD4EA9"/>
    <w:rsid w:val="00CD5025"/>
    <w:rsid w:val="00CD5081"/>
    <w:rsid w:val="00CD55AA"/>
    <w:rsid w:val="00CD56FF"/>
    <w:rsid w:val="00CD5A10"/>
    <w:rsid w:val="00CD5AC3"/>
    <w:rsid w:val="00CD5BC9"/>
    <w:rsid w:val="00CD605F"/>
    <w:rsid w:val="00CD6289"/>
    <w:rsid w:val="00CD6501"/>
    <w:rsid w:val="00CD668C"/>
    <w:rsid w:val="00CD6735"/>
    <w:rsid w:val="00CD6C86"/>
    <w:rsid w:val="00CD71F8"/>
    <w:rsid w:val="00CD7240"/>
    <w:rsid w:val="00CD74F5"/>
    <w:rsid w:val="00CD76EB"/>
    <w:rsid w:val="00CD7B31"/>
    <w:rsid w:val="00CD7D28"/>
    <w:rsid w:val="00CD7E98"/>
    <w:rsid w:val="00CD7ED4"/>
    <w:rsid w:val="00CE01D9"/>
    <w:rsid w:val="00CE040A"/>
    <w:rsid w:val="00CE05A8"/>
    <w:rsid w:val="00CE06BE"/>
    <w:rsid w:val="00CE14CD"/>
    <w:rsid w:val="00CE186C"/>
    <w:rsid w:val="00CE20C1"/>
    <w:rsid w:val="00CE234D"/>
    <w:rsid w:val="00CE2932"/>
    <w:rsid w:val="00CE2BA2"/>
    <w:rsid w:val="00CE2C14"/>
    <w:rsid w:val="00CE2DBF"/>
    <w:rsid w:val="00CE2EA1"/>
    <w:rsid w:val="00CE3059"/>
    <w:rsid w:val="00CE3373"/>
    <w:rsid w:val="00CE348B"/>
    <w:rsid w:val="00CE3B04"/>
    <w:rsid w:val="00CE3F14"/>
    <w:rsid w:val="00CE3F9F"/>
    <w:rsid w:val="00CE4014"/>
    <w:rsid w:val="00CE40E4"/>
    <w:rsid w:val="00CE4709"/>
    <w:rsid w:val="00CE47E9"/>
    <w:rsid w:val="00CE4B01"/>
    <w:rsid w:val="00CE4CAB"/>
    <w:rsid w:val="00CE4E6E"/>
    <w:rsid w:val="00CE519A"/>
    <w:rsid w:val="00CE5241"/>
    <w:rsid w:val="00CE53E4"/>
    <w:rsid w:val="00CE5624"/>
    <w:rsid w:val="00CE5CBA"/>
    <w:rsid w:val="00CE5CF0"/>
    <w:rsid w:val="00CE6109"/>
    <w:rsid w:val="00CE653D"/>
    <w:rsid w:val="00CE65A0"/>
    <w:rsid w:val="00CE65F2"/>
    <w:rsid w:val="00CE66B1"/>
    <w:rsid w:val="00CE6795"/>
    <w:rsid w:val="00CE78C2"/>
    <w:rsid w:val="00CE7D32"/>
    <w:rsid w:val="00CE7EDB"/>
    <w:rsid w:val="00CF00EF"/>
    <w:rsid w:val="00CF0268"/>
    <w:rsid w:val="00CF03A3"/>
    <w:rsid w:val="00CF0449"/>
    <w:rsid w:val="00CF04B6"/>
    <w:rsid w:val="00CF08FC"/>
    <w:rsid w:val="00CF0D60"/>
    <w:rsid w:val="00CF1441"/>
    <w:rsid w:val="00CF1690"/>
    <w:rsid w:val="00CF1CDD"/>
    <w:rsid w:val="00CF1EA4"/>
    <w:rsid w:val="00CF1F09"/>
    <w:rsid w:val="00CF1FFD"/>
    <w:rsid w:val="00CF26A8"/>
    <w:rsid w:val="00CF2804"/>
    <w:rsid w:val="00CF281E"/>
    <w:rsid w:val="00CF290A"/>
    <w:rsid w:val="00CF2AD3"/>
    <w:rsid w:val="00CF2BBF"/>
    <w:rsid w:val="00CF2DBA"/>
    <w:rsid w:val="00CF31C5"/>
    <w:rsid w:val="00CF3397"/>
    <w:rsid w:val="00CF3418"/>
    <w:rsid w:val="00CF3742"/>
    <w:rsid w:val="00CF384A"/>
    <w:rsid w:val="00CF3DD3"/>
    <w:rsid w:val="00CF4129"/>
    <w:rsid w:val="00CF4416"/>
    <w:rsid w:val="00CF46E0"/>
    <w:rsid w:val="00CF46E7"/>
    <w:rsid w:val="00CF479B"/>
    <w:rsid w:val="00CF4900"/>
    <w:rsid w:val="00CF4A75"/>
    <w:rsid w:val="00CF4B6E"/>
    <w:rsid w:val="00CF4BFE"/>
    <w:rsid w:val="00CF4C89"/>
    <w:rsid w:val="00CF4EC2"/>
    <w:rsid w:val="00CF4FE7"/>
    <w:rsid w:val="00CF50B5"/>
    <w:rsid w:val="00CF51A0"/>
    <w:rsid w:val="00CF5980"/>
    <w:rsid w:val="00CF59AB"/>
    <w:rsid w:val="00CF5AE9"/>
    <w:rsid w:val="00CF5B22"/>
    <w:rsid w:val="00CF5D02"/>
    <w:rsid w:val="00CF5DEF"/>
    <w:rsid w:val="00CF5DF8"/>
    <w:rsid w:val="00CF5E5B"/>
    <w:rsid w:val="00CF5EB8"/>
    <w:rsid w:val="00CF625F"/>
    <w:rsid w:val="00CF6676"/>
    <w:rsid w:val="00CF678A"/>
    <w:rsid w:val="00CF694F"/>
    <w:rsid w:val="00CF6956"/>
    <w:rsid w:val="00CF6E35"/>
    <w:rsid w:val="00CF6F1D"/>
    <w:rsid w:val="00CF7313"/>
    <w:rsid w:val="00CF7381"/>
    <w:rsid w:val="00CF74F9"/>
    <w:rsid w:val="00CF7836"/>
    <w:rsid w:val="00D00B18"/>
    <w:rsid w:val="00D00CF0"/>
    <w:rsid w:val="00D012C2"/>
    <w:rsid w:val="00D0138D"/>
    <w:rsid w:val="00D013BC"/>
    <w:rsid w:val="00D0144F"/>
    <w:rsid w:val="00D019B8"/>
    <w:rsid w:val="00D01FB2"/>
    <w:rsid w:val="00D02309"/>
    <w:rsid w:val="00D025AD"/>
    <w:rsid w:val="00D025C8"/>
    <w:rsid w:val="00D02667"/>
    <w:rsid w:val="00D026D6"/>
    <w:rsid w:val="00D02793"/>
    <w:rsid w:val="00D028D5"/>
    <w:rsid w:val="00D03420"/>
    <w:rsid w:val="00D03A97"/>
    <w:rsid w:val="00D03D72"/>
    <w:rsid w:val="00D03F1B"/>
    <w:rsid w:val="00D03FB9"/>
    <w:rsid w:val="00D04253"/>
    <w:rsid w:val="00D042BE"/>
    <w:rsid w:val="00D0450F"/>
    <w:rsid w:val="00D046E6"/>
    <w:rsid w:val="00D04A27"/>
    <w:rsid w:val="00D04C8F"/>
    <w:rsid w:val="00D04D0D"/>
    <w:rsid w:val="00D04D95"/>
    <w:rsid w:val="00D04E94"/>
    <w:rsid w:val="00D04EE4"/>
    <w:rsid w:val="00D04FCF"/>
    <w:rsid w:val="00D05009"/>
    <w:rsid w:val="00D0568F"/>
    <w:rsid w:val="00D05731"/>
    <w:rsid w:val="00D05761"/>
    <w:rsid w:val="00D0577F"/>
    <w:rsid w:val="00D058EC"/>
    <w:rsid w:val="00D059E7"/>
    <w:rsid w:val="00D05BA0"/>
    <w:rsid w:val="00D060D2"/>
    <w:rsid w:val="00D06120"/>
    <w:rsid w:val="00D063B8"/>
    <w:rsid w:val="00D06422"/>
    <w:rsid w:val="00D06727"/>
    <w:rsid w:val="00D06A17"/>
    <w:rsid w:val="00D06B0B"/>
    <w:rsid w:val="00D06F68"/>
    <w:rsid w:val="00D06F7A"/>
    <w:rsid w:val="00D0702C"/>
    <w:rsid w:val="00D07049"/>
    <w:rsid w:val="00D070F3"/>
    <w:rsid w:val="00D07227"/>
    <w:rsid w:val="00D072ED"/>
    <w:rsid w:val="00D07721"/>
    <w:rsid w:val="00D0786C"/>
    <w:rsid w:val="00D07918"/>
    <w:rsid w:val="00D0792B"/>
    <w:rsid w:val="00D07BDE"/>
    <w:rsid w:val="00D100E1"/>
    <w:rsid w:val="00D101FD"/>
    <w:rsid w:val="00D1047A"/>
    <w:rsid w:val="00D10C08"/>
    <w:rsid w:val="00D10C9B"/>
    <w:rsid w:val="00D11082"/>
    <w:rsid w:val="00D1118F"/>
    <w:rsid w:val="00D11285"/>
    <w:rsid w:val="00D11474"/>
    <w:rsid w:val="00D118B2"/>
    <w:rsid w:val="00D119ED"/>
    <w:rsid w:val="00D11AD9"/>
    <w:rsid w:val="00D11B69"/>
    <w:rsid w:val="00D122CF"/>
    <w:rsid w:val="00D12378"/>
    <w:rsid w:val="00D12481"/>
    <w:rsid w:val="00D127CA"/>
    <w:rsid w:val="00D12E95"/>
    <w:rsid w:val="00D13230"/>
    <w:rsid w:val="00D134D9"/>
    <w:rsid w:val="00D135FA"/>
    <w:rsid w:val="00D13AD5"/>
    <w:rsid w:val="00D13EB5"/>
    <w:rsid w:val="00D14168"/>
    <w:rsid w:val="00D14331"/>
    <w:rsid w:val="00D14354"/>
    <w:rsid w:val="00D144C6"/>
    <w:rsid w:val="00D14783"/>
    <w:rsid w:val="00D1489A"/>
    <w:rsid w:val="00D15083"/>
    <w:rsid w:val="00D15168"/>
    <w:rsid w:val="00D151D8"/>
    <w:rsid w:val="00D152E9"/>
    <w:rsid w:val="00D15632"/>
    <w:rsid w:val="00D15731"/>
    <w:rsid w:val="00D159B9"/>
    <w:rsid w:val="00D1628A"/>
    <w:rsid w:val="00D164D5"/>
    <w:rsid w:val="00D1694C"/>
    <w:rsid w:val="00D16A43"/>
    <w:rsid w:val="00D16C7A"/>
    <w:rsid w:val="00D16D40"/>
    <w:rsid w:val="00D16D48"/>
    <w:rsid w:val="00D16FDF"/>
    <w:rsid w:val="00D17099"/>
    <w:rsid w:val="00D171B5"/>
    <w:rsid w:val="00D17338"/>
    <w:rsid w:val="00D1766C"/>
    <w:rsid w:val="00D176A4"/>
    <w:rsid w:val="00D178FA"/>
    <w:rsid w:val="00D17BEA"/>
    <w:rsid w:val="00D17C49"/>
    <w:rsid w:val="00D17F25"/>
    <w:rsid w:val="00D17FF4"/>
    <w:rsid w:val="00D20046"/>
    <w:rsid w:val="00D20234"/>
    <w:rsid w:val="00D20740"/>
    <w:rsid w:val="00D207E4"/>
    <w:rsid w:val="00D209B2"/>
    <w:rsid w:val="00D20DE5"/>
    <w:rsid w:val="00D20EA3"/>
    <w:rsid w:val="00D20F87"/>
    <w:rsid w:val="00D2127A"/>
    <w:rsid w:val="00D21452"/>
    <w:rsid w:val="00D21896"/>
    <w:rsid w:val="00D21D10"/>
    <w:rsid w:val="00D21D79"/>
    <w:rsid w:val="00D21DB5"/>
    <w:rsid w:val="00D21DF3"/>
    <w:rsid w:val="00D22011"/>
    <w:rsid w:val="00D22294"/>
    <w:rsid w:val="00D222A7"/>
    <w:rsid w:val="00D222FC"/>
    <w:rsid w:val="00D2235B"/>
    <w:rsid w:val="00D224A1"/>
    <w:rsid w:val="00D22772"/>
    <w:rsid w:val="00D22882"/>
    <w:rsid w:val="00D22918"/>
    <w:rsid w:val="00D22CDF"/>
    <w:rsid w:val="00D239DC"/>
    <w:rsid w:val="00D23DBA"/>
    <w:rsid w:val="00D2448F"/>
    <w:rsid w:val="00D24575"/>
    <w:rsid w:val="00D2465A"/>
    <w:rsid w:val="00D2482C"/>
    <w:rsid w:val="00D24D36"/>
    <w:rsid w:val="00D24F11"/>
    <w:rsid w:val="00D24F44"/>
    <w:rsid w:val="00D24F96"/>
    <w:rsid w:val="00D25239"/>
    <w:rsid w:val="00D2555B"/>
    <w:rsid w:val="00D255F2"/>
    <w:rsid w:val="00D25637"/>
    <w:rsid w:val="00D258EF"/>
    <w:rsid w:val="00D259D7"/>
    <w:rsid w:val="00D25CF7"/>
    <w:rsid w:val="00D25DC3"/>
    <w:rsid w:val="00D25F16"/>
    <w:rsid w:val="00D2602D"/>
    <w:rsid w:val="00D262DE"/>
    <w:rsid w:val="00D26306"/>
    <w:rsid w:val="00D26532"/>
    <w:rsid w:val="00D267BA"/>
    <w:rsid w:val="00D268B4"/>
    <w:rsid w:val="00D27187"/>
    <w:rsid w:val="00D278C7"/>
    <w:rsid w:val="00D27A20"/>
    <w:rsid w:val="00D27DBE"/>
    <w:rsid w:val="00D27DD5"/>
    <w:rsid w:val="00D301FB"/>
    <w:rsid w:val="00D30236"/>
    <w:rsid w:val="00D3028D"/>
    <w:rsid w:val="00D30B53"/>
    <w:rsid w:val="00D30DA3"/>
    <w:rsid w:val="00D30E71"/>
    <w:rsid w:val="00D3119E"/>
    <w:rsid w:val="00D31385"/>
    <w:rsid w:val="00D3156E"/>
    <w:rsid w:val="00D31829"/>
    <w:rsid w:val="00D3187A"/>
    <w:rsid w:val="00D31A5E"/>
    <w:rsid w:val="00D31B20"/>
    <w:rsid w:val="00D31B6B"/>
    <w:rsid w:val="00D31D27"/>
    <w:rsid w:val="00D3208A"/>
    <w:rsid w:val="00D321B5"/>
    <w:rsid w:val="00D321D8"/>
    <w:rsid w:val="00D32201"/>
    <w:rsid w:val="00D32E0B"/>
    <w:rsid w:val="00D330C0"/>
    <w:rsid w:val="00D333B0"/>
    <w:rsid w:val="00D334A2"/>
    <w:rsid w:val="00D33627"/>
    <w:rsid w:val="00D343E6"/>
    <w:rsid w:val="00D34405"/>
    <w:rsid w:val="00D3488E"/>
    <w:rsid w:val="00D348C0"/>
    <w:rsid w:val="00D34987"/>
    <w:rsid w:val="00D34992"/>
    <w:rsid w:val="00D34B5E"/>
    <w:rsid w:val="00D34B6E"/>
    <w:rsid w:val="00D34C80"/>
    <w:rsid w:val="00D34ED0"/>
    <w:rsid w:val="00D35168"/>
    <w:rsid w:val="00D3550C"/>
    <w:rsid w:val="00D3599B"/>
    <w:rsid w:val="00D35BD6"/>
    <w:rsid w:val="00D35D3B"/>
    <w:rsid w:val="00D3651D"/>
    <w:rsid w:val="00D3655F"/>
    <w:rsid w:val="00D36672"/>
    <w:rsid w:val="00D36AE3"/>
    <w:rsid w:val="00D36DB1"/>
    <w:rsid w:val="00D374B4"/>
    <w:rsid w:val="00D377A9"/>
    <w:rsid w:val="00D37C7B"/>
    <w:rsid w:val="00D37D63"/>
    <w:rsid w:val="00D400AF"/>
    <w:rsid w:val="00D401E5"/>
    <w:rsid w:val="00D40223"/>
    <w:rsid w:val="00D405F4"/>
    <w:rsid w:val="00D40B13"/>
    <w:rsid w:val="00D40B98"/>
    <w:rsid w:val="00D40EDC"/>
    <w:rsid w:val="00D411F2"/>
    <w:rsid w:val="00D41215"/>
    <w:rsid w:val="00D41354"/>
    <w:rsid w:val="00D415DA"/>
    <w:rsid w:val="00D41746"/>
    <w:rsid w:val="00D41836"/>
    <w:rsid w:val="00D41B15"/>
    <w:rsid w:val="00D41C2B"/>
    <w:rsid w:val="00D41CDE"/>
    <w:rsid w:val="00D41EFB"/>
    <w:rsid w:val="00D42023"/>
    <w:rsid w:val="00D421B0"/>
    <w:rsid w:val="00D425DF"/>
    <w:rsid w:val="00D42634"/>
    <w:rsid w:val="00D42760"/>
    <w:rsid w:val="00D42B1C"/>
    <w:rsid w:val="00D42BAC"/>
    <w:rsid w:val="00D42ED1"/>
    <w:rsid w:val="00D42EE2"/>
    <w:rsid w:val="00D43125"/>
    <w:rsid w:val="00D43892"/>
    <w:rsid w:val="00D43B5E"/>
    <w:rsid w:val="00D442D8"/>
    <w:rsid w:val="00D4447E"/>
    <w:rsid w:val="00D446CB"/>
    <w:rsid w:val="00D44A77"/>
    <w:rsid w:val="00D44AA3"/>
    <w:rsid w:val="00D44F93"/>
    <w:rsid w:val="00D45445"/>
    <w:rsid w:val="00D454E0"/>
    <w:rsid w:val="00D45730"/>
    <w:rsid w:val="00D45C0B"/>
    <w:rsid w:val="00D45EB7"/>
    <w:rsid w:val="00D464D4"/>
    <w:rsid w:val="00D46659"/>
    <w:rsid w:val="00D46E28"/>
    <w:rsid w:val="00D46E7B"/>
    <w:rsid w:val="00D46EF6"/>
    <w:rsid w:val="00D474D7"/>
    <w:rsid w:val="00D475F5"/>
    <w:rsid w:val="00D4780D"/>
    <w:rsid w:val="00D47997"/>
    <w:rsid w:val="00D47A94"/>
    <w:rsid w:val="00D47CAC"/>
    <w:rsid w:val="00D47DA1"/>
    <w:rsid w:val="00D47DAA"/>
    <w:rsid w:val="00D47F09"/>
    <w:rsid w:val="00D47FA1"/>
    <w:rsid w:val="00D50338"/>
    <w:rsid w:val="00D50340"/>
    <w:rsid w:val="00D5065D"/>
    <w:rsid w:val="00D508E0"/>
    <w:rsid w:val="00D50E3B"/>
    <w:rsid w:val="00D515DF"/>
    <w:rsid w:val="00D5167B"/>
    <w:rsid w:val="00D51724"/>
    <w:rsid w:val="00D51A62"/>
    <w:rsid w:val="00D51B8C"/>
    <w:rsid w:val="00D51DBA"/>
    <w:rsid w:val="00D51DC9"/>
    <w:rsid w:val="00D52096"/>
    <w:rsid w:val="00D522BC"/>
    <w:rsid w:val="00D52369"/>
    <w:rsid w:val="00D5241E"/>
    <w:rsid w:val="00D524C0"/>
    <w:rsid w:val="00D525D0"/>
    <w:rsid w:val="00D52759"/>
    <w:rsid w:val="00D52D62"/>
    <w:rsid w:val="00D52E1C"/>
    <w:rsid w:val="00D53387"/>
    <w:rsid w:val="00D533B4"/>
    <w:rsid w:val="00D535FE"/>
    <w:rsid w:val="00D53A6A"/>
    <w:rsid w:val="00D53B25"/>
    <w:rsid w:val="00D53B67"/>
    <w:rsid w:val="00D53D18"/>
    <w:rsid w:val="00D53EF0"/>
    <w:rsid w:val="00D53F32"/>
    <w:rsid w:val="00D544C9"/>
    <w:rsid w:val="00D54556"/>
    <w:rsid w:val="00D547DE"/>
    <w:rsid w:val="00D54ADE"/>
    <w:rsid w:val="00D54EB7"/>
    <w:rsid w:val="00D54FDC"/>
    <w:rsid w:val="00D5573A"/>
    <w:rsid w:val="00D55C1F"/>
    <w:rsid w:val="00D566E0"/>
    <w:rsid w:val="00D568D7"/>
    <w:rsid w:val="00D56BD1"/>
    <w:rsid w:val="00D56EE8"/>
    <w:rsid w:val="00D57001"/>
    <w:rsid w:val="00D57047"/>
    <w:rsid w:val="00D570F9"/>
    <w:rsid w:val="00D575C2"/>
    <w:rsid w:val="00D60046"/>
    <w:rsid w:val="00D60B96"/>
    <w:rsid w:val="00D60C12"/>
    <w:rsid w:val="00D60D5B"/>
    <w:rsid w:val="00D60FF9"/>
    <w:rsid w:val="00D61039"/>
    <w:rsid w:val="00D6131C"/>
    <w:rsid w:val="00D61759"/>
    <w:rsid w:val="00D61C60"/>
    <w:rsid w:val="00D61D28"/>
    <w:rsid w:val="00D62485"/>
    <w:rsid w:val="00D6271C"/>
    <w:rsid w:val="00D62AA1"/>
    <w:rsid w:val="00D62D85"/>
    <w:rsid w:val="00D62DBD"/>
    <w:rsid w:val="00D630DF"/>
    <w:rsid w:val="00D63162"/>
    <w:rsid w:val="00D632FD"/>
    <w:rsid w:val="00D63481"/>
    <w:rsid w:val="00D63A33"/>
    <w:rsid w:val="00D63C2B"/>
    <w:rsid w:val="00D63EE8"/>
    <w:rsid w:val="00D63FA2"/>
    <w:rsid w:val="00D642C8"/>
    <w:rsid w:val="00D64DAE"/>
    <w:rsid w:val="00D65411"/>
    <w:rsid w:val="00D657D5"/>
    <w:rsid w:val="00D6580F"/>
    <w:rsid w:val="00D65884"/>
    <w:rsid w:val="00D65C2A"/>
    <w:rsid w:val="00D65E67"/>
    <w:rsid w:val="00D6612F"/>
    <w:rsid w:val="00D66177"/>
    <w:rsid w:val="00D662A9"/>
    <w:rsid w:val="00D663BD"/>
    <w:rsid w:val="00D66417"/>
    <w:rsid w:val="00D66B28"/>
    <w:rsid w:val="00D66C51"/>
    <w:rsid w:val="00D66D56"/>
    <w:rsid w:val="00D66D89"/>
    <w:rsid w:val="00D66F53"/>
    <w:rsid w:val="00D67158"/>
    <w:rsid w:val="00D671FA"/>
    <w:rsid w:val="00D672EF"/>
    <w:rsid w:val="00D67A63"/>
    <w:rsid w:val="00D67DC2"/>
    <w:rsid w:val="00D67DF2"/>
    <w:rsid w:val="00D70583"/>
    <w:rsid w:val="00D7077F"/>
    <w:rsid w:val="00D70919"/>
    <w:rsid w:val="00D70928"/>
    <w:rsid w:val="00D70AF6"/>
    <w:rsid w:val="00D70B17"/>
    <w:rsid w:val="00D70C4E"/>
    <w:rsid w:val="00D70DA2"/>
    <w:rsid w:val="00D70E99"/>
    <w:rsid w:val="00D710F3"/>
    <w:rsid w:val="00D718E4"/>
    <w:rsid w:val="00D71A43"/>
    <w:rsid w:val="00D7203A"/>
    <w:rsid w:val="00D72306"/>
    <w:rsid w:val="00D723A1"/>
    <w:rsid w:val="00D72A90"/>
    <w:rsid w:val="00D72D36"/>
    <w:rsid w:val="00D72D42"/>
    <w:rsid w:val="00D7302F"/>
    <w:rsid w:val="00D7304A"/>
    <w:rsid w:val="00D73139"/>
    <w:rsid w:val="00D7320B"/>
    <w:rsid w:val="00D73916"/>
    <w:rsid w:val="00D73BB8"/>
    <w:rsid w:val="00D73FE1"/>
    <w:rsid w:val="00D74118"/>
    <w:rsid w:val="00D74344"/>
    <w:rsid w:val="00D745AD"/>
    <w:rsid w:val="00D747B6"/>
    <w:rsid w:val="00D74829"/>
    <w:rsid w:val="00D749E8"/>
    <w:rsid w:val="00D74FBB"/>
    <w:rsid w:val="00D7555D"/>
    <w:rsid w:val="00D7580B"/>
    <w:rsid w:val="00D759C7"/>
    <w:rsid w:val="00D759D7"/>
    <w:rsid w:val="00D75A17"/>
    <w:rsid w:val="00D75CE0"/>
    <w:rsid w:val="00D75EE6"/>
    <w:rsid w:val="00D762C5"/>
    <w:rsid w:val="00D76567"/>
    <w:rsid w:val="00D76586"/>
    <w:rsid w:val="00D767B2"/>
    <w:rsid w:val="00D76B45"/>
    <w:rsid w:val="00D76BE3"/>
    <w:rsid w:val="00D76F48"/>
    <w:rsid w:val="00D7737D"/>
    <w:rsid w:val="00D77479"/>
    <w:rsid w:val="00D77645"/>
    <w:rsid w:val="00D77782"/>
    <w:rsid w:val="00D7785E"/>
    <w:rsid w:val="00D77900"/>
    <w:rsid w:val="00D77945"/>
    <w:rsid w:val="00D779C9"/>
    <w:rsid w:val="00D77E77"/>
    <w:rsid w:val="00D80297"/>
    <w:rsid w:val="00D8046B"/>
    <w:rsid w:val="00D80E91"/>
    <w:rsid w:val="00D81009"/>
    <w:rsid w:val="00D811C4"/>
    <w:rsid w:val="00D8121E"/>
    <w:rsid w:val="00D81290"/>
    <w:rsid w:val="00D812A6"/>
    <w:rsid w:val="00D812E5"/>
    <w:rsid w:val="00D813EA"/>
    <w:rsid w:val="00D8165C"/>
    <w:rsid w:val="00D816FE"/>
    <w:rsid w:val="00D81745"/>
    <w:rsid w:val="00D81D35"/>
    <w:rsid w:val="00D81DEE"/>
    <w:rsid w:val="00D8231C"/>
    <w:rsid w:val="00D823DC"/>
    <w:rsid w:val="00D82756"/>
    <w:rsid w:val="00D827A6"/>
    <w:rsid w:val="00D8296E"/>
    <w:rsid w:val="00D82BBA"/>
    <w:rsid w:val="00D82C1E"/>
    <w:rsid w:val="00D82FD3"/>
    <w:rsid w:val="00D83567"/>
    <w:rsid w:val="00D83C9E"/>
    <w:rsid w:val="00D840A9"/>
    <w:rsid w:val="00D84352"/>
    <w:rsid w:val="00D847D5"/>
    <w:rsid w:val="00D8480D"/>
    <w:rsid w:val="00D84838"/>
    <w:rsid w:val="00D84A2D"/>
    <w:rsid w:val="00D84BF9"/>
    <w:rsid w:val="00D85950"/>
    <w:rsid w:val="00D859B7"/>
    <w:rsid w:val="00D85AA7"/>
    <w:rsid w:val="00D85D44"/>
    <w:rsid w:val="00D85D61"/>
    <w:rsid w:val="00D85E2A"/>
    <w:rsid w:val="00D85E65"/>
    <w:rsid w:val="00D8624A"/>
    <w:rsid w:val="00D862FE"/>
    <w:rsid w:val="00D86587"/>
    <w:rsid w:val="00D8661C"/>
    <w:rsid w:val="00D86952"/>
    <w:rsid w:val="00D86A15"/>
    <w:rsid w:val="00D86B3E"/>
    <w:rsid w:val="00D86C1B"/>
    <w:rsid w:val="00D86EFF"/>
    <w:rsid w:val="00D87011"/>
    <w:rsid w:val="00D87117"/>
    <w:rsid w:val="00D8724F"/>
    <w:rsid w:val="00D87252"/>
    <w:rsid w:val="00D87746"/>
    <w:rsid w:val="00D87820"/>
    <w:rsid w:val="00D87876"/>
    <w:rsid w:val="00D87D49"/>
    <w:rsid w:val="00D87F19"/>
    <w:rsid w:val="00D9012A"/>
    <w:rsid w:val="00D9056C"/>
    <w:rsid w:val="00D90579"/>
    <w:rsid w:val="00D90634"/>
    <w:rsid w:val="00D90B13"/>
    <w:rsid w:val="00D90CD8"/>
    <w:rsid w:val="00D90D43"/>
    <w:rsid w:val="00D91015"/>
    <w:rsid w:val="00D914D9"/>
    <w:rsid w:val="00D9166A"/>
    <w:rsid w:val="00D9174D"/>
    <w:rsid w:val="00D91792"/>
    <w:rsid w:val="00D91885"/>
    <w:rsid w:val="00D91B85"/>
    <w:rsid w:val="00D91BC4"/>
    <w:rsid w:val="00D91E1A"/>
    <w:rsid w:val="00D91F1F"/>
    <w:rsid w:val="00D91FDC"/>
    <w:rsid w:val="00D9208D"/>
    <w:rsid w:val="00D9216B"/>
    <w:rsid w:val="00D92398"/>
    <w:rsid w:val="00D925E5"/>
    <w:rsid w:val="00D9275C"/>
    <w:rsid w:val="00D92B79"/>
    <w:rsid w:val="00D93006"/>
    <w:rsid w:val="00D930AC"/>
    <w:rsid w:val="00D931B9"/>
    <w:rsid w:val="00D9326C"/>
    <w:rsid w:val="00D93494"/>
    <w:rsid w:val="00D934AB"/>
    <w:rsid w:val="00D935F9"/>
    <w:rsid w:val="00D93611"/>
    <w:rsid w:val="00D93920"/>
    <w:rsid w:val="00D93A62"/>
    <w:rsid w:val="00D93B98"/>
    <w:rsid w:val="00D93F9E"/>
    <w:rsid w:val="00D93FA3"/>
    <w:rsid w:val="00D9413B"/>
    <w:rsid w:val="00D94556"/>
    <w:rsid w:val="00D94708"/>
    <w:rsid w:val="00D947AA"/>
    <w:rsid w:val="00D9492C"/>
    <w:rsid w:val="00D94B5C"/>
    <w:rsid w:val="00D94C83"/>
    <w:rsid w:val="00D9505E"/>
    <w:rsid w:val="00D9508F"/>
    <w:rsid w:val="00D952E4"/>
    <w:rsid w:val="00D9570E"/>
    <w:rsid w:val="00D95B9F"/>
    <w:rsid w:val="00D95C89"/>
    <w:rsid w:val="00D95C8F"/>
    <w:rsid w:val="00D96001"/>
    <w:rsid w:val="00D960B1"/>
    <w:rsid w:val="00D960B3"/>
    <w:rsid w:val="00D9624F"/>
    <w:rsid w:val="00D96253"/>
    <w:rsid w:val="00D96544"/>
    <w:rsid w:val="00D96810"/>
    <w:rsid w:val="00D968FA"/>
    <w:rsid w:val="00D96BE3"/>
    <w:rsid w:val="00D96BFE"/>
    <w:rsid w:val="00D96D38"/>
    <w:rsid w:val="00D96E5F"/>
    <w:rsid w:val="00D96F8D"/>
    <w:rsid w:val="00D9716A"/>
    <w:rsid w:val="00D97223"/>
    <w:rsid w:val="00D9769F"/>
    <w:rsid w:val="00D976A2"/>
    <w:rsid w:val="00D97B6E"/>
    <w:rsid w:val="00DA023F"/>
    <w:rsid w:val="00DA02E6"/>
    <w:rsid w:val="00DA035E"/>
    <w:rsid w:val="00DA08A5"/>
    <w:rsid w:val="00DA08FB"/>
    <w:rsid w:val="00DA0D9C"/>
    <w:rsid w:val="00DA0FC0"/>
    <w:rsid w:val="00DA1097"/>
    <w:rsid w:val="00DA119B"/>
    <w:rsid w:val="00DA1298"/>
    <w:rsid w:val="00DA1850"/>
    <w:rsid w:val="00DA18F5"/>
    <w:rsid w:val="00DA1C2F"/>
    <w:rsid w:val="00DA1FC2"/>
    <w:rsid w:val="00DA292B"/>
    <w:rsid w:val="00DA29CF"/>
    <w:rsid w:val="00DA2F13"/>
    <w:rsid w:val="00DA2F86"/>
    <w:rsid w:val="00DA2F97"/>
    <w:rsid w:val="00DA329E"/>
    <w:rsid w:val="00DA38CF"/>
    <w:rsid w:val="00DA3B8F"/>
    <w:rsid w:val="00DA3D26"/>
    <w:rsid w:val="00DA3DC5"/>
    <w:rsid w:val="00DA3E39"/>
    <w:rsid w:val="00DA412C"/>
    <w:rsid w:val="00DA4829"/>
    <w:rsid w:val="00DA4921"/>
    <w:rsid w:val="00DA49EE"/>
    <w:rsid w:val="00DA4B6C"/>
    <w:rsid w:val="00DA4B78"/>
    <w:rsid w:val="00DA4BEA"/>
    <w:rsid w:val="00DA4CB8"/>
    <w:rsid w:val="00DA4D03"/>
    <w:rsid w:val="00DA4EB3"/>
    <w:rsid w:val="00DA4FC4"/>
    <w:rsid w:val="00DA4FFE"/>
    <w:rsid w:val="00DA5084"/>
    <w:rsid w:val="00DA5345"/>
    <w:rsid w:val="00DA53AA"/>
    <w:rsid w:val="00DA58B0"/>
    <w:rsid w:val="00DA5A6A"/>
    <w:rsid w:val="00DA5D0C"/>
    <w:rsid w:val="00DA5EA1"/>
    <w:rsid w:val="00DA612B"/>
    <w:rsid w:val="00DA630C"/>
    <w:rsid w:val="00DA671E"/>
    <w:rsid w:val="00DA6CE7"/>
    <w:rsid w:val="00DA6CE9"/>
    <w:rsid w:val="00DA74FA"/>
    <w:rsid w:val="00DA7577"/>
    <w:rsid w:val="00DA75B8"/>
    <w:rsid w:val="00DA7A6A"/>
    <w:rsid w:val="00DA7C3E"/>
    <w:rsid w:val="00DA7DEB"/>
    <w:rsid w:val="00DB06A0"/>
    <w:rsid w:val="00DB08A9"/>
    <w:rsid w:val="00DB092F"/>
    <w:rsid w:val="00DB0CBC"/>
    <w:rsid w:val="00DB0EDA"/>
    <w:rsid w:val="00DB1017"/>
    <w:rsid w:val="00DB109F"/>
    <w:rsid w:val="00DB13A1"/>
    <w:rsid w:val="00DB1C55"/>
    <w:rsid w:val="00DB1D9C"/>
    <w:rsid w:val="00DB22E1"/>
    <w:rsid w:val="00DB241C"/>
    <w:rsid w:val="00DB255B"/>
    <w:rsid w:val="00DB25BC"/>
    <w:rsid w:val="00DB28D8"/>
    <w:rsid w:val="00DB2BDA"/>
    <w:rsid w:val="00DB2C03"/>
    <w:rsid w:val="00DB2CDE"/>
    <w:rsid w:val="00DB3019"/>
    <w:rsid w:val="00DB301B"/>
    <w:rsid w:val="00DB340F"/>
    <w:rsid w:val="00DB345D"/>
    <w:rsid w:val="00DB37FA"/>
    <w:rsid w:val="00DB3945"/>
    <w:rsid w:val="00DB3FF2"/>
    <w:rsid w:val="00DB4120"/>
    <w:rsid w:val="00DB42A6"/>
    <w:rsid w:val="00DB4414"/>
    <w:rsid w:val="00DB48D7"/>
    <w:rsid w:val="00DB4985"/>
    <w:rsid w:val="00DB4A37"/>
    <w:rsid w:val="00DB4B80"/>
    <w:rsid w:val="00DB51F4"/>
    <w:rsid w:val="00DB528A"/>
    <w:rsid w:val="00DB5420"/>
    <w:rsid w:val="00DB55F6"/>
    <w:rsid w:val="00DB571C"/>
    <w:rsid w:val="00DB583C"/>
    <w:rsid w:val="00DB5E31"/>
    <w:rsid w:val="00DB60E5"/>
    <w:rsid w:val="00DB60E6"/>
    <w:rsid w:val="00DB631D"/>
    <w:rsid w:val="00DB63D8"/>
    <w:rsid w:val="00DB6697"/>
    <w:rsid w:val="00DB66BA"/>
    <w:rsid w:val="00DB66E1"/>
    <w:rsid w:val="00DB6972"/>
    <w:rsid w:val="00DB6A62"/>
    <w:rsid w:val="00DB6E83"/>
    <w:rsid w:val="00DB7058"/>
    <w:rsid w:val="00DB7164"/>
    <w:rsid w:val="00DB72A2"/>
    <w:rsid w:val="00DB7529"/>
    <w:rsid w:val="00DB755A"/>
    <w:rsid w:val="00DB7E76"/>
    <w:rsid w:val="00DC0142"/>
    <w:rsid w:val="00DC02BA"/>
    <w:rsid w:val="00DC088F"/>
    <w:rsid w:val="00DC0B92"/>
    <w:rsid w:val="00DC0E1B"/>
    <w:rsid w:val="00DC12E4"/>
    <w:rsid w:val="00DC1387"/>
    <w:rsid w:val="00DC13A7"/>
    <w:rsid w:val="00DC15F0"/>
    <w:rsid w:val="00DC1A41"/>
    <w:rsid w:val="00DC1B33"/>
    <w:rsid w:val="00DC235C"/>
    <w:rsid w:val="00DC23FA"/>
    <w:rsid w:val="00DC2426"/>
    <w:rsid w:val="00DC2DEA"/>
    <w:rsid w:val="00DC2ECD"/>
    <w:rsid w:val="00DC2F38"/>
    <w:rsid w:val="00DC30A6"/>
    <w:rsid w:val="00DC30D4"/>
    <w:rsid w:val="00DC34A8"/>
    <w:rsid w:val="00DC3516"/>
    <w:rsid w:val="00DC389C"/>
    <w:rsid w:val="00DC3D36"/>
    <w:rsid w:val="00DC3E4C"/>
    <w:rsid w:val="00DC3FF4"/>
    <w:rsid w:val="00DC4190"/>
    <w:rsid w:val="00DC4229"/>
    <w:rsid w:val="00DC442B"/>
    <w:rsid w:val="00DC49A9"/>
    <w:rsid w:val="00DC4A35"/>
    <w:rsid w:val="00DC4B76"/>
    <w:rsid w:val="00DC4C02"/>
    <w:rsid w:val="00DC4F45"/>
    <w:rsid w:val="00DC5020"/>
    <w:rsid w:val="00DC50B9"/>
    <w:rsid w:val="00DC52B1"/>
    <w:rsid w:val="00DC593D"/>
    <w:rsid w:val="00DC5D8F"/>
    <w:rsid w:val="00DC5E42"/>
    <w:rsid w:val="00DC6583"/>
    <w:rsid w:val="00DC673F"/>
    <w:rsid w:val="00DC677B"/>
    <w:rsid w:val="00DC6B57"/>
    <w:rsid w:val="00DC6BAE"/>
    <w:rsid w:val="00DC6D70"/>
    <w:rsid w:val="00DC6F04"/>
    <w:rsid w:val="00DC73ED"/>
    <w:rsid w:val="00DC765F"/>
    <w:rsid w:val="00DC781F"/>
    <w:rsid w:val="00DC7B6A"/>
    <w:rsid w:val="00DC7CEF"/>
    <w:rsid w:val="00DC7D6D"/>
    <w:rsid w:val="00DC7DFF"/>
    <w:rsid w:val="00DC7E36"/>
    <w:rsid w:val="00DD0339"/>
    <w:rsid w:val="00DD0855"/>
    <w:rsid w:val="00DD09A2"/>
    <w:rsid w:val="00DD0B6A"/>
    <w:rsid w:val="00DD122A"/>
    <w:rsid w:val="00DD12E4"/>
    <w:rsid w:val="00DD1762"/>
    <w:rsid w:val="00DD1ABD"/>
    <w:rsid w:val="00DD1DCB"/>
    <w:rsid w:val="00DD217C"/>
    <w:rsid w:val="00DD24C9"/>
    <w:rsid w:val="00DD3026"/>
    <w:rsid w:val="00DD328F"/>
    <w:rsid w:val="00DD35F5"/>
    <w:rsid w:val="00DD36F6"/>
    <w:rsid w:val="00DD38A6"/>
    <w:rsid w:val="00DD3901"/>
    <w:rsid w:val="00DD3CC7"/>
    <w:rsid w:val="00DD3CE2"/>
    <w:rsid w:val="00DD46B0"/>
    <w:rsid w:val="00DD46D7"/>
    <w:rsid w:val="00DD4777"/>
    <w:rsid w:val="00DD49A3"/>
    <w:rsid w:val="00DD4DA2"/>
    <w:rsid w:val="00DD4E40"/>
    <w:rsid w:val="00DD5092"/>
    <w:rsid w:val="00DD511F"/>
    <w:rsid w:val="00DD517A"/>
    <w:rsid w:val="00DD5370"/>
    <w:rsid w:val="00DD5646"/>
    <w:rsid w:val="00DD57E6"/>
    <w:rsid w:val="00DD580D"/>
    <w:rsid w:val="00DD5A9F"/>
    <w:rsid w:val="00DD5AA9"/>
    <w:rsid w:val="00DD5B1E"/>
    <w:rsid w:val="00DD61C3"/>
    <w:rsid w:val="00DD61D0"/>
    <w:rsid w:val="00DD63F3"/>
    <w:rsid w:val="00DD677E"/>
    <w:rsid w:val="00DD6A52"/>
    <w:rsid w:val="00DD6EB6"/>
    <w:rsid w:val="00DD7923"/>
    <w:rsid w:val="00DD798B"/>
    <w:rsid w:val="00DD7FBF"/>
    <w:rsid w:val="00DE0081"/>
    <w:rsid w:val="00DE0112"/>
    <w:rsid w:val="00DE03A2"/>
    <w:rsid w:val="00DE05A5"/>
    <w:rsid w:val="00DE06A6"/>
    <w:rsid w:val="00DE0E6D"/>
    <w:rsid w:val="00DE14D6"/>
    <w:rsid w:val="00DE1A32"/>
    <w:rsid w:val="00DE1A97"/>
    <w:rsid w:val="00DE1D3A"/>
    <w:rsid w:val="00DE1E8B"/>
    <w:rsid w:val="00DE223F"/>
    <w:rsid w:val="00DE2572"/>
    <w:rsid w:val="00DE286C"/>
    <w:rsid w:val="00DE29E2"/>
    <w:rsid w:val="00DE2A31"/>
    <w:rsid w:val="00DE2B89"/>
    <w:rsid w:val="00DE2B9C"/>
    <w:rsid w:val="00DE2DFA"/>
    <w:rsid w:val="00DE30E9"/>
    <w:rsid w:val="00DE32B2"/>
    <w:rsid w:val="00DE3375"/>
    <w:rsid w:val="00DE338D"/>
    <w:rsid w:val="00DE3934"/>
    <w:rsid w:val="00DE3C27"/>
    <w:rsid w:val="00DE3C71"/>
    <w:rsid w:val="00DE3D37"/>
    <w:rsid w:val="00DE3E5D"/>
    <w:rsid w:val="00DE42C2"/>
    <w:rsid w:val="00DE434C"/>
    <w:rsid w:val="00DE4579"/>
    <w:rsid w:val="00DE48A0"/>
    <w:rsid w:val="00DE4CB8"/>
    <w:rsid w:val="00DE522C"/>
    <w:rsid w:val="00DE59BB"/>
    <w:rsid w:val="00DE5A82"/>
    <w:rsid w:val="00DE5B46"/>
    <w:rsid w:val="00DE5FC8"/>
    <w:rsid w:val="00DE696E"/>
    <w:rsid w:val="00DE6ACD"/>
    <w:rsid w:val="00DE74E6"/>
    <w:rsid w:val="00DE7533"/>
    <w:rsid w:val="00DE7A12"/>
    <w:rsid w:val="00DE7B01"/>
    <w:rsid w:val="00DE7B04"/>
    <w:rsid w:val="00DE7E09"/>
    <w:rsid w:val="00DF0082"/>
    <w:rsid w:val="00DF013C"/>
    <w:rsid w:val="00DF041C"/>
    <w:rsid w:val="00DF052B"/>
    <w:rsid w:val="00DF08DC"/>
    <w:rsid w:val="00DF097D"/>
    <w:rsid w:val="00DF0A4A"/>
    <w:rsid w:val="00DF0B50"/>
    <w:rsid w:val="00DF0BBB"/>
    <w:rsid w:val="00DF0ED4"/>
    <w:rsid w:val="00DF0EFE"/>
    <w:rsid w:val="00DF1148"/>
    <w:rsid w:val="00DF144C"/>
    <w:rsid w:val="00DF1585"/>
    <w:rsid w:val="00DF159B"/>
    <w:rsid w:val="00DF1714"/>
    <w:rsid w:val="00DF1828"/>
    <w:rsid w:val="00DF1849"/>
    <w:rsid w:val="00DF1B97"/>
    <w:rsid w:val="00DF1D34"/>
    <w:rsid w:val="00DF1E22"/>
    <w:rsid w:val="00DF218B"/>
    <w:rsid w:val="00DF2388"/>
    <w:rsid w:val="00DF2724"/>
    <w:rsid w:val="00DF2B66"/>
    <w:rsid w:val="00DF2C1B"/>
    <w:rsid w:val="00DF2DCD"/>
    <w:rsid w:val="00DF31CD"/>
    <w:rsid w:val="00DF3387"/>
    <w:rsid w:val="00DF37F8"/>
    <w:rsid w:val="00DF384C"/>
    <w:rsid w:val="00DF39DD"/>
    <w:rsid w:val="00DF3B2C"/>
    <w:rsid w:val="00DF3D3E"/>
    <w:rsid w:val="00DF4815"/>
    <w:rsid w:val="00DF4D04"/>
    <w:rsid w:val="00DF4F58"/>
    <w:rsid w:val="00DF50A5"/>
    <w:rsid w:val="00DF5172"/>
    <w:rsid w:val="00DF563F"/>
    <w:rsid w:val="00DF6020"/>
    <w:rsid w:val="00DF615A"/>
    <w:rsid w:val="00DF68A6"/>
    <w:rsid w:val="00DF6B2E"/>
    <w:rsid w:val="00DF6B6C"/>
    <w:rsid w:val="00DF6DA4"/>
    <w:rsid w:val="00DF7135"/>
    <w:rsid w:val="00DF7772"/>
    <w:rsid w:val="00DF78E1"/>
    <w:rsid w:val="00DF7CCB"/>
    <w:rsid w:val="00E00098"/>
    <w:rsid w:val="00E00173"/>
    <w:rsid w:val="00E001D7"/>
    <w:rsid w:val="00E0053A"/>
    <w:rsid w:val="00E005DF"/>
    <w:rsid w:val="00E0062E"/>
    <w:rsid w:val="00E00750"/>
    <w:rsid w:val="00E0075D"/>
    <w:rsid w:val="00E00D1D"/>
    <w:rsid w:val="00E00EF6"/>
    <w:rsid w:val="00E011F3"/>
    <w:rsid w:val="00E015BC"/>
    <w:rsid w:val="00E015DB"/>
    <w:rsid w:val="00E018FF"/>
    <w:rsid w:val="00E01A4A"/>
    <w:rsid w:val="00E01C4F"/>
    <w:rsid w:val="00E02C14"/>
    <w:rsid w:val="00E02C54"/>
    <w:rsid w:val="00E02CAF"/>
    <w:rsid w:val="00E02E88"/>
    <w:rsid w:val="00E03670"/>
    <w:rsid w:val="00E036CC"/>
    <w:rsid w:val="00E039C6"/>
    <w:rsid w:val="00E03F35"/>
    <w:rsid w:val="00E040FC"/>
    <w:rsid w:val="00E04419"/>
    <w:rsid w:val="00E044E2"/>
    <w:rsid w:val="00E04717"/>
    <w:rsid w:val="00E0497D"/>
    <w:rsid w:val="00E049FA"/>
    <w:rsid w:val="00E04C86"/>
    <w:rsid w:val="00E05538"/>
    <w:rsid w:val="00E05A8C"/>
    <w:rsid w:val="00E05A95"/>
    <w:rsid w:val="00E05D2B"/>
    <w:rsid w:val="00E05F13"/>
    <w:rsid w:val="00E0692A"/>
    <w:rsid w:val="00E06BAC"/>
    <w:rsid w:val="00E06C21"/>
    <w:rsid w:val="00E06EAB"/>
    <w:rsid w:val="00E06FCE"/>
    <w:rsid w:val="00E07079"/>
    <w:rsid w:val="00E072A5"/>
    <w:rsid w:val="00E074C7"/>
    <w:rsid w:val="00E077BD"/>
    <w:rsid w:val="00E101ED"/>
    <w:rsid w:val="00E106A4"/>
    <w:rsid w:val="00E10B24"/>
    <w:rsid w:val="00E10CBF"/>
    <w:rsid w:val="00E11025"/>
    <w:rsid w:val="00E11296"/>
    <w:rsid w:val="00E119BB"/>
    <w:rsid w:val="00E12113"/>
    <w:rsid w:val="00E1238E"/>
    <w:rsid w:val="00E12537"/>
    <w:rsid w:val="00E12686"/>
    <w:rsid w:val="00E126E3"/>
    <w:rsid w:val="00E134EA"/>
    <w:rsid w:val="00E135C0"/>
    <w:rsid w:val="00E136BD"/>
    <w:rsid w:val="00E139F0"/>
    <w:rsid w:val="00E13CA3"/>
    <w:rsid w:val="00E14238"/>
    <w:rsid w:val="00E149F7"/>
    <w:rsid w:val="00E14CAD"/>
    <w:rsid w:val="00E14D0D"/>
    <w:rsid w:val="00E14F57"/>
    <w:rsid w:val="00E14F78"/>
    <w:rsid w:val="00E15416"/>
    <w:rsid w:val="00E157F0"/>
    <w:rsid w:val="00E15ED2"/>
    <w:rsid w:val="00E160A5"/>
    <w:rsid w:val="00E1655A"/>
    <w:rsid w:val="00E1667F"/>
    <w:rsid w:val="00E167AB"/>
    <w:rsid w:val="00E16D3D"/>
    <w:rsid w:val="00E16E74"/>
    <w:rsid w:val="00E17417"/>
    <w:rsid w:val="00E1749B"/>
    <w:rsid w:val="00E1781D"/>
    <w:rsid w:val="00E2013C"/>
    <w:rsid w:val="00E20D18"/>
    <w:rsid w:val="00E20DD9"/>
    <w:rsid w:val="00E20E98"/>
    <w:rsid w:val="00E210C4"/>
    <w:rsid w:val="00E218AE"/>
    <w:rsid w:val="00E218CF"/>
    <w:rsid w:val="00E21B2E"/>
    <w:rsid w:val="00E223B3"/>
    <w:rsid w:val="00E224AA"/>
    <w:rsid w:val="00E2250A"/>
    <w:rsid w:val="00E22689"/>
    <w:rsid w:val="00E22719"/>
    <w:rsid w:val="00E22770"/>
    <w:rsid w:val="00E22B99"/>
    <w:rsid w:val="00E23186"/>
    <w:rsid w:val="00E23326"/>
    <w:rsid w:val="00E234A7"/>
    <w:rsid w:val="00E23729"/>
    <w:rsid w:val="00E239DE"/>
    <w:rsid w:val="00E23B49"/>
    <w:rsid w:val="00E23BB8"/>
    <w:rsid w:val="00E23C16"/>
    <w:rsid w:val="00E23D30"/>
    <w:rsid w:val="00E23E97"/>
    <w:rsid w:val="00E24140"/>
    <w:rsid w:val="00E2458E"/>
    <w:rsid w:val="00E2473F"/>
    <w:rsid w:val="00E247BF"/>
    <w:rsid w:val="00E248F0"/>
    <w:rsid w:val="00E24AC6"/>
    <w:rsid w:val="00E24C08"/>
    <w:rsid w:val="00E24CEA"/>
    <w:rsid w:val="00E24D9D"/>
    <w:rsid w:val="00E2518A"/>
    <w:rsid w:val="00E252A1"/>
    <w:rsid w:val="00E257EE"/>
    <w:rsid w:val="00E25AF5"/>
    <w:rsid w:val="00E25B32"/>
    <w:rsid w:val="00E26346"/>
    <w:rsid w:val="00E266F7"/>
    <w:rsid w:val="00E26E76"/>
    <w:rsid w:val="00E26EC1"/>
    <w:rsid w:val="00E2754E"/>
    <w:rsid w:val="00E27804"/>
    <w:rsid w:val="00E27AE2"/>
    <w:rsid w:val="00E27EF6"/>
    <w:rsid w:val="00E300FB"/>
    <w:rsid w:val="00E302BD"/>
    <w:rsid w:val="00E304F3"/>
    <w:rsid w:val="00E30567"/>
    <w:rsid w:val="00E308E3"/>
    <w:rsid w:val="00E30950"/>
    <w:rsid w:val="00E30A12"/>
    <w:rsid w:val="00E30AD0"/>
    <w:rsid w:val="00E30D9A"/>
    <w:rsid w:val="00E30EEF"/>
    <w:rsid w:val="00E31395"/>
    <w:rsid w:val="00E3147E"/>
    <w:rsid w:val="00E31832"/>
    <w:rsid w:val="00E318B0"/>
    <w:rsid w:val="00E320E6"/>
    <w:rsid w:val="00E322BD"/>
    <w:rsid w:val="00E3245B"/>
    <w:rsid w:val="00E324DD"/>
    <w:rsid w:val="00E32580"/>
    <w:rsid w:val="00E3260B"/>
    <w:rsid w:val="00E3287C"/>
    <w:rsid w:val="00E32B31"/>
    <w:rsid w:val="00E32BC2"/>
    <w:rsid w:val="00E335C7"/>
    <w:rsid w:val="00E33736"/>
    <w:rsid w:val="00E33D7E"/>
    <w:rsid w:val="00E33DCE"/>
    <w:rsid w:val="00E34129"/>
    <w:rsid w:val="00E345C8"/>
    <w:rsid w:val="00E34A0A"/>
    <w:rsid w:val="00E34ABE"/>
    <w:rsid w:val="00E34DB1"/>
    <w:rsid w:val="00E35109"/>
    <w:rsid w:val="00E35DF6"/>
    <w:rsid w:val="00E36228"/>
    <w:rsid w:val="00E364C3"/>
    <w:rsid w:val="00E365E6"/>
    <w:rsid w:val="00E36669"/>
    <w:rsid w:val="00E3671F"/>
    <w:rsid w:val="00E36C9C"/>
    <w:rsid w:val="00E36EEB"/>
    <w:rsid w:val="00E36FF8"/>
    <w:rsid w:val="00E3708D"/>
    <w:rsid w:val="00E3729F"/>
    <w:rsid w:val="00E373C3"/>
    <w:rsid w:val="00E374E8"/>
    <w:rsid w:val="00E40184"/>
    <w:rsid w:val="00E404D5"/>
    <w:rsid w:val="00E40590"/>
    <w:rsid w:val="00E40AC0"/>
    <w:rsid w:val="00E40B71"/>
    <w:rsid w:val="00E41089"/>
    <w:rsid w:val="00E41156"/>
    <w:rsid w:val="00E412FD"/>
    <w:rsid w:val="00E4154B"/>
    <w:rsid w:val="00E415C2"/>
    <w:rsid w:val="00E416BA"/>
    <w:rsid w:val="00E417BE"/>
    <w:rsid w:val="00E41CFE"/>
    <w:rsid w:val="00E4200E"/>
    <w:rsid w:val="00E420ED"/>
    <w:rsid w:val="00E4222B"/>
    <w:rsid w:val="00E42245"/>
    <w:rsid w:val="00E42454"/>
    <w:rsid w:val="00E428EF"/>
    <w:rsid w:val="00E42B3C"/>
    <w:rsid w:val="00E42B8F"/>
    <w:rsid w:val="00E42D68"/>
    <w:rsid w:val="00E43034"/>
    <w:rsid w:val="00E430D2"/>
    <w:rsid w:val="00E4319F"/>
    <w:rsid w:val="00E431E7"/>
    <w:rsid w:val="00E43B1A"/>
    <w:rsid w:val="00E43DA4"/>
    <w:rsid w:val="00E43F06"/>
    <w:rsid w:val="00E44063"/>
    <w:rsid w:val="00E4422F"/>
    <w:rsid w:val="00E44B19"/>
    <w:rsid w:val="00E44BE5"/>
    <w:rsid w:val="00E44E25"/>
    <w:rsid w:val="00E44E71"/>
    <w:rsid w:val="00E44EB6"/>
    <w:rsid w:val="00E4521A"/>
    <w:rsid w:val="00E45585"/>
    <w:rsid w:val="00E4558D"/>
    <w:rsid w:val="00E45815"/>
    <w:rsid w:val="00E45D49"/>
    <w:rsid w:val="00E45DF0"/>
    <w:rsid w:val="00E46454"/>
    <w:rsid w:val="00E466B3"/>
    <w:rsid w:val="00E466FB"/>
    <w:rsid w:val="00E4675A"/>
    <w:rsid w:val="00E467FD"/>
    <w:rsid w:val="00E46846"/>
    <w:rsid w:val="00E46AB0"/>
    <w:rsid w:val="00E46B83"/>
    <w:rsid w:val="00E46ED3"/>
    <w:rsid w:val="00E4720E"/>
    <w:rsid w:val="00E474BE"/>
    <w:rsid w:val="00E47A2A"/>
    <w:rsid w:val="00E47C82"/>
    <w:rsid w:val="00E47C84"/>
    <w:rsid w:val="00E47CE9"/>
    <w:rsid w:val="00E47F92"/>
    <w:rsid w:val="00E5018A"/>
    <w:rsid w:val="00E5029F"/>
    <w:rsid w:val="00E502C2"/>
    <w:rsid w:val="00E5051F"/>
    <w:rsid w:val="00E5074D"/>
    <w:rsid w:val="00E50B00"/>
    <w:rsid w:val="00E50B27"/>
    <w:rsid w:val="00E50F8A"/>
    <w:rsid w:val="00E50F9A"/>
    <w:rsid w:val="00E510AD"/>
    <w:rsid w:val="00E51148"/>
    <w:rsid w:val="00E51298"/>
    <w:rsid w:val="00E51541"/>
    <w:rsid w:val="00E515B8"/>
    <w:rsid w:val="00E51966"/>
    <w:rsid w:val="00E51BB6"/>
    <w:rsid w:val="00E51D26"/>
    <w:rsid w:val="00E5207A"/>
    <w:rsid w:val="00E523B1"/>
    <w:rsid w:val="00E524BE"/>
    <w:rsid w:val="00E52628"/>
    <w:rsid w:val="00E52857"/>
    <w:rsid w:val="00E52CAA"/>
    <w:rsid w:val="00E52CC0"/>
    <w:rsid w:val="00E52E25"/>
    <w:rsid w:val="00E52EAF"/>
    <w:rsid w:val="00E53287"/>
    <w:rsid w:val="00E53A99"/>
    <w:rsid w:val="00E53BB7"/>
    <w:rsid w:val="00E53D03"/>
    <w:rsid w:val="00E53FA8"/>
    <w:rsid w:val="00E53FE7"/>
    <w:rsid w:val="00E53FF8"/>
    <w:rsid w:val="00E54099"/>
    <w:rsid w:val="00E541AD"/>
    <w:rsid w:val="00E5427C"/>
    <w:rsid w:val="00E547B5"/>
    <w:rsid w:val="00E54CED"/>
    <w:rsid w:val="00E54E06"/>
    <w:rsid w:val="00E550D3"/>
    <w:rsid w:val="00E552C7"/>
    <w:rsid w:val="00E556A1"/>
    <w:rsid w:val="00E558C5"/>
    <w:rsid w:val="00E55A9D"/>
    <w:rsid w:val="00E55D5C"/>
    <w:rsid w:val="00E55E45"/>
    <w:rsid w:val="00E55FA7"/>
    <w:rsid w:val="00E561C9"/>
    <w:rsid w:val="00E562F1"/>
    <w:rsid w:val="00E56623"/>
    <w:rsid w:val="00E566DF"/>
    <w:rsid w:val="00E5693B"/>
    <w:rsid w:val="00E56C81"/>
    <w:rsid w:val="00E56CD4"/>
    <w:rsid w:val="00E5730E"/>
    <w:rsid w:val="00E575E7"/>
    <w:rsid w:val="00E5799C"/>
    <w:rsid w:val="00E57A1E"/>
    <w:rsid w:val="00E57B2E"/>
    <w:rsid w:val="00E601C0"/>
    <w:rsid w:val="00E606F5"/>
    <w:rsid w:val="00E60BBF"/>
    <w:rsid w:val="00E60C68"/>
    <w:rsid w:val="00E611FF"/>
    <w:rsid w:val="00E61321"/>
    <w:rsid w:val="00E6140A"/>
    <w:rsid w:val="00E6146A"/>
    <w:rsid w:val="00E6159F"/>
    <w:rsid w:val="00E61693"/>
    <w:rsid w:val="00E6191A"/>
    <w:rsid w:val="00E61B92"/>
    <w:rsid w:val="00E61C11"/>
    <w:rsid w:val="00E61C97"/>
    <w:rsid w:val="00E61E93"/>
    <w:rsid w:val="00E62C62"/>
    <w:rsid w:val="00E631E6"/>
    <w:rsid w:val="00E637E5"/>
    <w:rsid w:val="00E63901"/>
    <w:rsid w:val="00E63E34"/>
    <w:rsid w:val="00E63FC5"/>
    <w:rsid w:val="00E64181"/>
    <w:rsid w:val="00E64409"/>
    <w:rsid w:val="00E6452C"/>
    <w:rsid w:val="00E6458E"/>
    <w:rsid w:val="00E64757"/>
    <w:rsid w:val="00E64EC1"/>
    <w:rsid w:val="00E6530A"/>
    <w:rsid w:val="00E6538C"/>
    <w:rsid w:val="00E657F1"/>
    <w:rsid w:val="00E660E4"/>
    <w:rsid w:val="00E66807"/>
    <w:rsid w:val="00E66E9E"/>
    <w:rsid w:val="00E672D1"/>
    <w:rsid w:val="00E672F9"/>
    <w:rsid w:val="00E676AA"/>
    <w:rsid w:val="00E67DEB"/>
    <w:rsid w:val="00E70052"/>
    <w:rsid w:val="00E70392"/>
    <w:rsid w:val="00E70903"/>
    <w:rsid w:val="00E70F6D"/>
    <w:rsid w:val="00E70FF5"/>
    <w:rsid w:val="00E71127"/>
    <w:rsid w:val="00E711B7"/>
    <w:rsid w:val="00E714E5"/>
    <w:rsid w:val="00E7155E"/>
    <w:rsid w:val="00E71631"/>
    <w:rsid w:val="00E71714"/>
    <w:rsid w:val="00E717B3"/>
    <w:rsid w:val="00E71BA5"/>
    <w:rsid w:val="00E72005"/>
    <w:rsid w:val="00E72046"/>
    <w:rsid w:val="00E7207D"/>
    <w:rsid w:val="00E72106"/>
    <w:rsid w:val="00E72296"/>
    <w:rsid w:val="00E728AF"/>
    <w:rsid w:val="00E72E28"/>
    <w:rsid w:val="00E73918"/>
    <w:rsid w:val="00E74098"/>
    <w:rsid w:val="00E742BD"/>
    <w:rsid w:val="00E74391"/>
    <w:rsid w:val="00E74549"/>
    <w:rsid w:val="00E7496A"/>
    <w:rsid w:val="00E74C0C"/>
    <w:rsid w:val="00E74C75"/>
    <w:rsid w:val="00E74DE6"/>
    <w:rsid w:val="00E751C1"/>
    <w:rsid w:val="00E751D4"/>
    <w:rsid w:val="00E75251"/>
    <w:rsid w:val="00E754F2"/>
    <w:rsid w:val="00E754FC"/>
    <w:rsid w:val="00E75587"/>
    <w:rsid w:val="00E75683"/>
    <w:rsid w:val="00E7577C"/>
    <w:rsid w:val="00E7593A"/>
    <w:rsid w:val="00E75973"/>
    <w:rsid w:val="00E75A98"/>
    <w:rsid w:val="00E75B44"/>
    <w:rsid w:val="00E7638E"/>
    <w:rsid w:val="00E763A9"/>
    <w:rsid w:val="00E76AEA"/>
    <w:rsid w:val="00E76C2F"/>
    <w:rsid w:val="00E76D1F"/>
    <w:rsid w:val="00E77027"/>
    <w:rsid w:val="00E775F8"/>
    <w:rsid w:val="00E77622"/>
    <w:rsid w:val="00E7769A"/>
    <w:rsid w:val="00E779E7"/>
    <w:rsid w:val="00E77CC5"/>
    <w:rsid w:val="00E80395"/>
    <w:rsid w:val="00E8051B"/>
    <w:rsid w:val="00E80A23"/>
    <w:rsid w:val="00E810F9"/>
    <w:rsid w:val="00E81247"/>
    <w:rsid w:val="00E81285"/>
    <w:rsid w:val="00E8165D"/>
    <w:rsid w:val="00E819A7"/>
    <w:rsid w:val="00E819B5"/>
    <w:rsid w:val="00E81C07"/>
    <w:rsid w:val="00E81C9D"/>
    <w:rsid w:val="00E81F79"/>
    <w:rsid w:val="00E82303"/>
    <w:rsid w:val="00E82523"/>
    <w:rsid w:val="00E829B0"/>
    <w:rsid w:val="00E82CFB"/>
    <w:rsid w:val="00E82D1A"/>
    <w:rsid w:val="00E82F4E"/>
    <w:rsid w:val="00E8315C"/>
    <w:rsid w:val="00E83249"/>
    <w:rsid w:val="00E83294"/>
    <w:rsid w:val="00E832B3"/>
    <w:rsid w:val="00E835CF"/>
    <w:rsid w:val="00E83B4D"/>
    <w:rsid w:val="00E83CCB"/>
    <w:rsid w:val="00E83D17"/>
    <w:rsid w:val="00E83FA1"/>
    <w:rsid w:val="00E84170"/>
    <w:rsid w:val="00E843F1"/>
    <w:rsid w:val="00E84441"/>
    <w:rsid w:val="00E848C1"/>
    <w:rsid w:val="00E8490B"/>
    <w:rsid w:val="00E849DB"/>
    <w:rsid w:val="00E84C0A"/>
    <w:rsid w:val="00E84EBA"/>
    <w:rsid w:val="00E84F27"/>
    <w:rsid w:val="00E85253"/>
    <w:rsid w:val="00E85259"/>
    <w:rsid w:val="00E8545D"/>
    <w:rsid w:val="00E85598"/>
    <w:rsid w:val="00E85611"/>
    <w:rsid w:val="00E856C1"/>
    <w:rsid w:val="00E85864"/>
    <w:rsid w:val="00E85913"/>
    <w:rsid w:val="00E859FB"/>
    <w:rsid w:val="00E85B72"/>
    <w:rsid w:val="00E8604C"/>
    <w:rsid w:val="00E861E6"/>
    <w:rsid w:val="00E86394"/>
    <w:rsid w:val="00E86BC0"/>
    <w:rsid w:val="00E87141"/>
    <w:rsid w:val="00E8717F"/>
    <w:rsid w:val="00E87B99"/>
    <w:rsid w:val="00E87CCC"/>
    <w:rsid w:val="00E90031"/>
    <w:rsid w:val="00E9022E"/>
    <w:rsid w:val="00E90316"/>
    <w:rsid w:val="00E9078A"/>
    <w:rsid w:val="00E907C5"/>
    <w:rsid w:val="00E90A38"/>
    <w:rsid w:val="00E90AC4"/>
    <w:rsid w:val="00E90C0B"/>
    <w:rsid w:val="00E9114C"/>
    <w:rsid w:val="00E91243"/>
    <w:rsid w:val="00E912D5"/>
    <w:rsid w:val="00E91797"/>
    <w:rsid w:val="00E91B44"/>
    <w:rsid w:val="00E91FA3"/>
    <w:rsid w:val="00E92261"/>
    <w:rsid w:val="00E9287F"/>
    <w:rsid w:val="00E92ACF"/>
    <w:rsid w:val="00E92BBA"/>
    <w:rsid w:val="00E93017"/>
    <w:rsid w:val="00E933BB"/>
    <w:rsid w:val="00E93432"/>
    <w:rsid w:val="00E93910"/>
    <w:rsid w:val="00E939F4"/>
    <w:rsid w:val="00E93CCF"/>
    <w:rsid w:val="00E93D31"/>
    <w:rsid w:val="00E93F15"/>
    <w:rsid w:val="00E93FCD"/>
    <w:rsid w:val="00E9419C"/>
    <w:rsid w:val="00E941AA"/>
    <w:rsid w:val="00E94CB3"/>
    <w:rsid w:val="00E94FF6"/>
    <w:rsid w:val="00E952FF"/>
    <w:rsid w:val="00E95308"/>
    <w:rsid w:val="00E95339"/>
    <w:rsid w:val="00E956FC"/>
    <w:rsid w:val="00E95758"/>
    <w:rsid w:val="00E95931"/>
    <w:rsid w:val="00E95B82"/>
    <w:rsid w:val="00E95BC5"/>
    <w:rsid w:val="00E95C92"/>
    <w:rsid w:val="00E95DF0"/>
    <w:rsid w:val="00E960DC"/>
    <w:rsid w:val="00E96136"/>
    <w:rsid w:val="00E961D2"/>
    <w:rsid w:val="00E9666E"/>
    <w:rsid w:val="00E967B7"/>
    <w:rsid w:val="00E96846"/>
    <w:rsid w:val="00E968A6"/>
    <w:rsid w:val="00E969EB"/>
    <w:rsid w:val="00E96A7C"/>
    <w:rsid w:val="00E96C8D"/>
    <w:rsid w:val="00E9702F"/>
    <w:rsid w:val="00E975A6"/>
    <w:rsid w:val="00E975C6"/>
    <w:rsid w:val="00E97657"/>
    <w:rsid w:val="00E97752"/>
    <w:rsid w:val="00E9784B"/>
    <w:rsid w:val="00E97925"/>
    <w:rsid w:val="00E97B1B"/>
    <w:rsid w:val="00E97B99"/>
    <w:rsid w:val="00E97D7C"/>
    <w:rsid w:val="00E97E21"/>
    <w:rsid w:val="00EA0210"/>
    <w:rsid w:val="00EA025C"/>
    <w:rsid w:val="00EA030F"/>
    <w:rsid w:val="00EA047C"/>
    <w:rsid w:val="00EA061C"/>
    <w:rsid w:val="00EA0B28"/>
    <w:rsid w:val="00EA0C93"/>
    <w:rsid w:val="00EA1016"/>
    <w:rsid w:val="00EA1246"/>
    <w:rsid w:val="00EA19C6"/>
    <w:rsid w:val="00EA1B81"/>
    <w:rsid w:val="00EA1B99"/>
    <w:rsid w:val="00EA1EA9"/>
    <w:rsid w:val="00EA1ED1"/>
    <w:rsid w:val="00EA20E6"/>
    <w:rsid w:val="00EA25AF"/>
    <w:rsid w:val="00EA2762"/>
    <w:rsid w:val="00EA299F"/>
    <w:rsid w:val="00EA2BB1"/>
    <w:rsid w:val="00EA2DEE"/>
    <w:rsid w:val="00EA2EDC"/>
    <w:rsid w:val="00EA3370"/>
    <w:rsid w:val="00EA35DC"/>
    <w:rsid w:val="00EA3671"/>
    <w:rsid w:val="00EA36DC"/>
    <w:rsid w:val="00EA3E7F"/>
    <w:rsid w:val="00EA41D3"/>
    <w:rsid w:val="00EA429D"/>
    <w:rsid w:val="00EA430A"/>
    <w:rsid w:val="00EA45D7"/>
    <w:rsid w:val="00EA4848"/>
    <w:rsid w:val="00EA4C5D"/>
    <w:rsid w:val="00EA4C75"/>
    <w:rsid w:val="00EA4CEE"/>
    <w:rsid w:val="00EA4CF9"/>
    <w:rsid w:val="00EA4EDA"/>
    <w:rsid w:val="00EA4EFE"/>
    <w:rsid w:val="00EA517D"/>
    <w:rsid w:val="00EA5196"/>
    <w:rsid w:val="00EA52EB"/>
    <w:rsid w:val="00EA53B0"/>
    <w:rsid w:val="00EA5895"/>
    <w:rsid w:val="00EA5ADE"/>
    <w:rsid w:val="00EA5B21"/>
    <w:rsid w:val="00EA5D50"/>
    <w:rsid w:val="00EA629B"/>
    <w:rsid w:val="00EA63B5"/>
    <w:rsid w:val="00EA63C6"/>
    <w:rsid w:val="00EA6A8C"/>
    <w:rsid w:val="00EA6D16"/>
    <w:rsid w:val="00EA6DFD"/>
    <w:rsid w:val="00EA730E"/>
    <w:rsid w:val="00EA7387"/>
    <w:rsid w:val="00EA76CF"/>
    <w:rsid w:val="00EA7865"/>
    <w:rsid w:val="00EA7E1F"/>
    <w:rsid w:val="00EA7F3B"/>
    <w:rsid w:val="00EA7FC3"/>
    <w:rsid w:val="00EB03D7"/>
    <w:rsid w:val="00EB0425"/>
    <w:rsid w:val="00EB0E9C"/>
    <w:rsid w:val="00EB1264"/>
    <w:rsid w:val="00EB1299"/>
    <w:rsid w:val="00EB137A"/>
    <w:rsid w:val="00EB13F3"/>
    <w:rsid w:val="00EB1851"/>
    <w:rsid w:val="00EB1BCA"/>
    <w:rsid w:val="00EB1E96"/>
    <w:rsid w:val="00EB1F31"/>
    <w:rsid w:val="00EB2139"/>
    <w:rsid w:val="00EB21CB"/>
    <w:rsid w:val="00EB2216"/>
    <w:rsid w:val="00EB244A"/>
    <w:rsid w:val="00EB2557"/>
    <w:rsid w:val="00EB256A"/>
    <w:rsid w:val="00EB260D"/>
    <w:rsid w:val="00EB26DC"/>
    <w:rsid w:val="00EB295B"/>
    <w:rsid w:val="00EB2963"/>
    <w:rsid w:val="00EB29BF"/>
    <w:rsid w:val="00EB29D5"/>
    <w:rsid w:val="00EB2BBC"/>
    <w:rsid w:val="00EB3352"/>
    <w:rsid w:val="00EB3371"/>
    <w:rsid w:val="00EB376F"/>
    <w:rsid w:val="00EB398F"/>
    <w:rsid w:val="00EB3AB7"/>
    <w:rsid w:val="00EB3CCC"/>
    <w:rsid w:val="00EB3ECB"/>
    <w:rsid w:val="00EB3F0E"/>
    <w:rsid w:val="00EB3F57"/>
    <w:rsid w:val="00EB3FD7"/>
    <w:rsid w:val="00EB419D"/>
    <w:rsid w:val="00EB435E"/>
    <w:rsid w:val="00EB44B3"/>
    <w:rsid w:val="00EB4664"/>
    <w:rsid w:val="00EB479D"/>
    <w:rsid w:val="00EB4C3C"/>
    <w:rsid w:val="00EB5118"/>
    <w:rsid w:val="00EB55D3"/>
    <w:rsid w:val="00EB6302"/>
    <w:rsid w:val="00EB6630"/>
    <w:rsid w:val="00EB6ABA"/>
    <w:rsid w:val="00EB6D63"/>
    <w:rsid w:val="00EB6E45"/>
    <w:rsid w:val="00EB6F70"/>
    <w:rsid w:val="00EB71FE"/>
    <w:rsid w:val="00EB7232"/>
    <w:rsid w:val="00EB733B"/>
    <w:rsid w:val="00EB745F"/>
    <w:rsid w:val="00EB7C1A"/>
    <w:rsid w:val="00EC017B"/>
    <w:rsid w:val="00EC022C"/>
    <w:rsid w:val="00EC0691"/>
    <w:rsid w:val="00EC06CA"/>
    <w:rsid w:val="00EC0FDA"/>
    <w:rsid w:val="00EC1116"/>
    <w:rsid w:val="00EC135D"/>
    <w:rsid w:val="00EC13DA"/>
    <w:rsid w:val="00EC1499"/>
    <w:rsid w:val="00EC175E"/>
    <w:rsid w:val="00EC1A57"/>
    <w:rsid w:val="00EC1B81"/>
    <w:rsid w:val="00EC1B8D"/>
    <w:rsid w:val="00EC1CB3"/>
    <w:rsid w:val="00EC1D64"/>
    <w:rsid w:val="00EC2252"/>
    <w:rsid w:val="00EC249E"/>
    <w:rsid w:val="00EC251F"/>
    <w:rsid w:val="00EC2588"/>
    <w:rsid w:val="00EC294A"/>
    <w:rsid w:val="00EC2E52"/>
    <w:rsid w:val="00EC302A"/>
    <w:rsid w:val="00EC31D7"/>
    <w:rsid w:val="00EC32CA"/>
    <w:rsid w:val="00EC3359"/>
    <w:rsid w:val="00EC3D76"/>
    <w:rsid w:val="00EC41F2"/>
    <w:rsid w:val="00EC4347"/>
    <w:rsid w:val="00EC47D7"/>
    <w:rsid w:val="00EC47E6"/>
    <w:rsid w:val="00EC4DA4"/>
    <w:rsid w:val="00EC4ECC"/>
    <w:rsid w:val="00EC5209"/>
    <w:rsid w:val="00EC570B"/>
    <w:rsid w:val="00EC577B"/>
    <w:rsid w:val="00EC5A2B"/>
    <w:rsid w:val="00EC5CCC"/>
    <w:rsid w:val="00EC5EEB"/>
    <w:rsid w:val="00EC60E1"/>
    <w:rsid w:val="00EC6107"/>
    <w:rsid w:val="00EC62D5"/>
    <w:rsid w:val="00EC6474"/>
    <w:rsid w:val="00EC6475"/>
    <w:rsid w:val="00EC652C"/>
    <w:rsid w:val="00EC6703"/>
    <w:rsid w:val="00EC6C89"/>
    <w:rsid w:val="00EC6E28"/>
    <w:rsid w:val="00EC7079"/>
    <w:rsid w:val="00EC72D9"/>
    <w:rsid w:val="00EC72E6"/>
    <w:rsid w:val="00EC743B"/>
    <w:rsid w:val="00EC750B"/>
    <w:rsid w:val="00EC7896"/>
    <w:rsid w:val="00EC7A9F"/>
    <w:rsid w:val="00EC7B2E"/>
    <w:rsid w:val="00EC7B7C"/>
    <w:rsid w:val="00EC7FBE"/>
    <w:rsid w:val="00ED01E4"/>
    <w:rsid w:val="00ED03F8"/>
    <w:rsid w:val="00ED0449"/>
    <w:rsid w:val="00ED059B"/>
    <w:rsid w:val="00ED0677"/>
    <w:rsid w:val="00ED07F7"/>
    <w:rsid w:val="00ED07FE"/>
    <w:rsid w:val="00ED0817"/>
    <w:rsid w:val="00ED08CD"/>
    <w:rsid w:val="00ED096F"/>
    <w:rsid w:val="00ED0A95"/>
    <w:rsid w:val="00ED0F39"/>
    <w:rsid w:val="00ED16F0"/>
    <w:rsid w:val="00ED1C14"/>
    <w:rsid w:val="00ED1D2F"/>
    <w:rsid w:val="00ED2382"/>
    <w:rsid w:val="00ED24D3"/>
    <w:rsid w:val="00ED2620"/>
    <w:rsid w:val="00ED2B7B"/>
    <w:rsid w:val="00ED2DCD"/>
    <w:rsid w:val="00ED2E03"/>
    <w:rsid w:val="00ED2E84"/>
    <w:rsid w:val="00ED2EC6"/>
    <w:rsid w:val="00ED2F91"/>
    <w:rsid w:val="00ED3034"/>
    <w:rsid w:val="00ED3068"/>
    <w:rsid w:val="00ED34FE"/>
    <w:rsid w:val="00ED3504"/>
    <w:rsid w:val="00ED36EC"/>
    <w:rsid w:val="00ED387D"/>
    <w:rsid w:val="00ED3C09"/>
    <w:rsid w:val="00ED3F33"/>
    <w:rsid w:val="00ED40D8"/>
    <w:rsid w:val="00ED4118"/>
    <w:rsid w:val="00ED438E"/>
    <w:rsid w:val="00ED43C2"/>
    <w:rsid w:val="00ED4643"/>
    <w:rsid w:val="00ED4749"/>
    <w:rsid w:val="00ED4E32"/>
    <w:rsid w:val="00ED5312"/>
    <w:rsid w:val="00ED5314"/>
    <w:rsid w:val="00ED5352"/>
    <w:rsid w:val="00ED54B3"/>
    <w:rsid w:val="00ED58B4"/>
    <w:rsid w:val="00ED5C2E"/>
    <w:rsid w:val="00ED5D26"/>
    <w:rsid w:val="00ED5ECE"/>
    <w:rsid w:val="00ED6EF9"/>
    <w:rsid w:val="00ED6F16"/>
    <w:rsid w:val="00ED7637"/>
    <w:rsid w:val="00ED7CBE"/>
    <w:rsid w:val="00EE0AC4"/>
    <w:rsid w:val="00EE0C18"/>
    <w:rsid w:val="00EE15E5"/>
    <w:rsid w:val="00EE1AD8"/>
    <w:rsid w:val="00EE1B1D"/>
    <w:rsid w:val="00EE1B83"/>
    <w:rsid w:val="00EE1D47"/>
    <w:rsid w:val="00EE1D48"/>
    <w:rsid w:val="00EE24D4"/>
    <w:rsid w:val="00EE2806"/>
    <w:rsid w:val="00EE29F8"/>
    <w:rsid w:val="00EE3335"/>
    <w:rsid w:val="00EE33BF"/>
    <w:rsid w:val="00EE3424"/>
    <w:rsid w:val="00EE3713"/>
    <w:rsid w:val="00EE394C"/>
    <w:rsid w:val="00EE3E27"/>
    <w:rsid w:val="00EE3E5F"/>
    <w:rsid w:val="00EE41C1"/>
    <w:rsid w:val="00EE4282"/>
    <w:rsid w:val="00EE4608"/>
    <w:rsid w:val="00EE49CD"/>
    <w:rsid w:val="00EE4D60"/>
    <w:rsid w:val="00EE4F91"/>
    <w:rsid w:val="00EE52B5"/>
    <w:rsid w:val="00EE538F"/>
    <w:rsid w:val="00EE54D7"/>
    <w:rsid w:val="00EE54F0"/>
    <w:rsid w:val="00EE57CB"/>
    <w:rsid w:val="00EE5F4C"/>
    <w:rsid w:val="00EE5F4F"/>
    <w:rsid w:val="00EE652C"/>
    <w:rsid w:val="00EE6579"/>
    <w:rsid w:val="00EE6726"/>
    <w:rsid w:val="00EE6907"/>
    <w:rsid w:val="00EE6AF2"/>
    <w:rsid w:val="00EE6CAA"/>
    <w:rsid w:val="00EE6CB8"/>
    <w:rsid w:val="00EE6DAA"/>
    <w:rsid w:val="00EE6F58"/>
    <w:rsid w:val="00EE70FB"/>
    <w:rsid w:val="00EE7397"/>
    <w:rsid w:val="00EE7862"/>
    <w:rsid w:val="00EE7B42"/>
    <w:rsid w:val="00EE7CCC"/>
    <w:rsid w:val="00EF04A7"/>
    <w:rsid w:val="00EF0A78"/>
    <w:rsid w:val="00EF0D4B"/>
    <w:rsid w:val="00EF0F1B"/>
    <w:rsid w:val="00EF151B"/>
    <w:rsid w:val="00EF1531"/>
    <w:rsid w:val="00EF1563"/>
    <w:rsid w:val="00EF1760"/>
    <w:rsid w:val="00EF1964"/>
    <w:rsid w:val="00EF1B52"/>
    <w:rsid w:val="00EF1D87"/>
    <w:rsid w:val="00EF1F6D"/>
    <w:rsid w:val="00EF2C25"/>
    <w:rsid w:val="00EF2D10"/>
    <w:rsid w:val="00EF2D4C"/>
    <w:rsid w:val="00EF2EFE"/>
    <w:rsid w:val="00EF2F05"/>
    <w:rsid w:val="00EF30B3"/>
    <w:rsid w:val="00EF31F4"/>
    <w:rsid w:val="00EF322A"/>
    <w:rsid w:val="00EF324B"/>
    <w:rsid w:val="00EF3335"/>
    <w:rsid w:val="00EF39CB"/>
    <w:rsid w:val="00EF3C64"/>
    <w:rsid w:val="00EF3E1E"/>
    <w:rsid w:val="00EF41E6"/>
    <w:rsid w:val="00EF432A"/>
    <w:rsid w:val="00EF466C"/>
    <w:rsid w:val="00EF4818"/>
    <w:rsid w:val="00EF499C"/>
    <w:rsid w:val="00EF4C26"/>
    <w:rsid w:val="00EF4D38"/>
    <w:rsid w:val="00EF4E1D"/>
    <w:rsid w:val="00EF5216"/>
    <w:rsid w:val="00EF52C2"/>
    <w:rsid w:val="00EF5343"/>
    <w:rsid w:val="00EF5689"/>
    <w:rsid w:val="00EF581D"/>
    <w:rsid w:val="00EF5995"/>
    <w:rsid w:val="00EF59B6"/>
    <w:rsid w:val="00EF5D8F"/>
    <w:rsid w:val="00EF5E65"/>
    <w:rsid w:val="00EF5EB2"/>
    <w:rsid w:val="00EF5EE4"/>
    <w:rsid w:val="00EF6328"/>
    <w:rsid w:val="00EF63CD"/>
    <w:rsid w:val="00EF6524"/>
    <w:rsid w:val="00EF67A6"/>
    <w:rsid w:val="00EF6985"/>
    <w:rsid w:val="00EF69CA"/>
    <w:rsid w:val="00EF6A67"/>
    <w:rsid w:val="00EF6BB2"/>
    <w:rsid w:val="00EF6C2D"/>
    <w:rsid w:val="00EF6E44"/>
    <w:rsid w:val="00EF778C"/>
    <w:rsid w:val="00EF7A8A"/>
    <w:rsid w:val="00EF7C2C"/>
    <w:rsid w:val="00EF7C35"/>
    <w:rsid w:val="00F002BC"/>
    <w:rsid w:val="00F003A3"/>
    <w:rsid w:val="00F003DE"/>
    <w:rsid w:val="00F00536"/>
    <w:rsid w:val="00F00A4E"/>
    <w:rsid w:val="00F00A70"/>
    <w:rsid w:val="00F00B87"/>
    <w:rsid w:val="00F00CF0"/>
    <w:rsid w:val="00F010F6"/>
    <w:rsid w:val="00F011BD"/>
    <w:rsid w:val="00F0206A"/>
    <w:rsid w:val="00F02234"/>
    <w:rsid w:val="00F022D5"/>
    <w:rsid w:val="00F025A6"/>
    <w:rsid w:val="00F02655"/>
    <w:rsid w:val="00F02846"/>
    <w:rsid w:val="00F028B7"/>
    <w:rsid w:val="00F02AEB"/>
    <w:rsid w:val="00F03193"/>
    <w:rsid w:val="00F0319D"/>
    <w:rsid w:val="00F03989"/>
    <w:rsid w:val="00F03C16"/>
    <w:rsid w:val="00F03C50"/>
    <w:rsid w:val="00F03C94"/>
    <w:rsid w:val="00F03CCE"/>
    <w:rsid w:val="00F041B4"/>
    <w:rsid w:val="00F04269"/>
    <w:rsid w:val="00F044AF"/>
    <w:rsid w:val="00F0454F"/>
    <w:rsid w:val="00F0459B"/>
    <w:rsid w:val="00F04B96"/>
    <w:rsid w:val="00F04BD8"/>
    <w:rsid w:val="00F04CEF"/>
    <w:rsid w:val="00F0510F"/>
    <w:rsid w:val="00F05302"/>
    <w:rsid w:val="00F0538E"/>
    <w:rsid w:val="00F058D6"/>
    <w:rsid w:val="00F05B6A"/>
    <w:rsid w:val="00F05C6C"/>
    <w:rsid w:val="00F06055"/>
    <w:rsid w:val="00F060D2"/>
    <w:rsid w:val="00F0611B"/>
    <w:rsid w:val="00F06326"/>
    <w:rsid w:val="00F06495"/>
    <w:rsid w:val="00F06588"/>
    <w:rsid w:val="00F066C1"/>
    <w:rsid w:val="00F0671C"/>
    <w:rsid w:val="00F06729"/>
    <w:rsid w:val="00F0699F"/>
    <w:rsid w:val="00F06A70"/>
    <w:rsid w:val="00F06DA4"/>
    <w:rsid w:val="00F06DD6"/>
    <w:rsid w:val="00F073E8"/>
    <w:rsid w:val="00F07933"/>
    <w:rsid w:val="00F0794B"/>
    <w:rsid w:val="00F102BF"/>
    <w:rsid w:val="00F102F3"/>
    <w:rsid w:val="00F10506"/>
    <w:rsid w:val="00F10923"/>
    <w:rsid w:val="00F10B7B"/>
    <w:rsid w:val="00F11357"/>
    <w:rsid w:val="00F11570"/>
    <w:rsid w:val="00F1161C"/>
    <w:rsid w:val="00F1175D"/>
    <w:rsid w:val="00F11967"/>
    <w:rsid w:val="00F11A4F"/>
    <w:rsid w:val="00F11AD5"/>
    <w:rsid w:val="00F1278F"/>
    <w:rsid w:val="00F12844"/>
    <w:rsid w:val="00F134E3"/>
    <w:rsid w:val="00F136BC"/>
    <w:rsid w:val="00F139BE"/>
    <w:rsid w:val="00F13B1D"/>
    <w:rsid w:val="00F13BC5"/>
    <w:rsid w:val="00F14138"/>
    <w:rsid w:val="00F14177"/>
    <w:rsid w:val="00F148FB"/>
    <w:rsid w:val="00F14BEF"/>
    <w:rsid w:val="00F14FB0"/>
    <w:rsid w:val="00F1505E"/>
    <w:rsid w:val="00F15136"/>
    <w:rsid w:val="00F15579"/>
    <w:rsid w:val="00F15E27"/>
    <w:rsid w:val="00F15E6D"/>
    <w:rsid w:val="00F15EF5"/>
    <w:rsid w:val="00F16116"/>
    <w:rsid w:val="00F162D6"/>
    <w:rsid w:val="00F165CA"/>
    <w:rsid w:val="00F16710"/>
    <w:rsid w:val="00F1680F"/>
    <w:rsid w:val="00F168C0"/>
    <w:rsid w:val="00F16BEC"/>
    <w:rsid w:val="00F16D29"/>
    <w:rsid w:val="00F170C1"/>
    <w:rsid w:val="00F1717B"/>
    <w:rsid w:val="00F1724C"/>
    <w:rsid w:val="00F173A0"/>
    <w:rsid w:val="00F174D0"/>
    <w:rsid w:val="00F17706"/>
    <w:rsid w:val="00F177BC"/>
    <w:rsid w:val="00F1799F"/>
    <w:rsid w:val="00F17B82"/>
    <w:rsid w:val="00F17EBE"/>
    <w:rsid w:val="00F17FC7"/>
    <w:rsid w:val="00F201F9"/>
    <w:rsid w:val="00F204D6"/>
    <w:rsid w:val="00F204FE"/>
    <w:rsid w:val="00F20577"/>
    <w:rsid w:val="00F2068A"/>
    <w:rsid w:val="00F20A24"/>
    <w:rsid w:val="00F20C9E"/>
    <w:rsid w:val="00F210B7"/>
    <w:rsid w:val="00F21148"/>
    <w:rsid w:val="00F215A6"/>
    <w:rsid w:val="00F21C40"/>
    <w:rsid w:val="00F21D4E"/>
    <w:rsid w:val="00F21DFD"/>
    <w:rsid w:val="00F21FC7"/>
    <w:rsid w:val="00F22173"/>
    <w:rsid w:val="00F22260"/>
    <w:rsid w:val="00F2231E"/>
    <w:rsid w:val="00F22333"/>
    <w:rsid w:val="00F225EA"/>
    <w:rsid w:val="00F22788"/>
    <w:rsid w:val="00F22ABF"/>
    <w:rsid w:val="00F22AD2"/>
    <w:rsid w:val="00F22B78"/>
    <w:rsid w:val="00F22BD5"/>
    <w:rsid w:val="00F22FA6"/>
    <w:rsid w:val="00F232A6"/>
    <w:rsid w:val="00F236A5"/>
    <w:rsid w:val="00F23BDA"/>
    <w:rsid w:val="00F242A9"/>
    <w:rsid w:val="00F24565"/>
    <w:rsid w:val="00F245C2"/>
    <w:rsid w:val="00F246AC"/>
    <w:rsid w:val="00F24923"/>
    <w:rsid w:val="00F24ADF"/>
    <w:rsid w:val="00F24CD2"/>
    <w:rsid w:val="00F24CE6"/>
    <w:rsid w:val="00F24E70"/>
    <w:rsid w:val="00F24FE4"/>
    <w:rsid w:val="00F251CC"/>
    <w:rsid w:val="00F2520B"/>
    <w:rsid w:val="00F25AAA"/>
    <w:rsid w:val="00F25BF3"/>
    <w:rsid w:val="00F25C25"/>
    <w:rsid w:val="00F25D27"/>
    <w:rsid w:val="00F25D3F"/>
    <w:rsid w:val="00F25EFD"/>
    <w:rsid w:val="00F26493"/>
    <w:rsid w:val="00F26E44"/>
    <w:rsid w:val="00F270E1"/>
    <w:rsid w:val="00F274A1"/>
    <w:rsid w:val="00F27958"/>
    <w:rsid w:val="00F27AED"/>
    <w:rsid w:val="00F27DCB"/>
    <w:rsid w:val="00F30138"/>
    <w:rsid w:val="00F30B7D"/>
    <w:rsid w:val="00F30C80"/>
    <w:rsid w:val="00F30D9C"/>
    <w:rsid w:val="00F30F84"/>
    <w:rsid w:val="00F30FEE"/>
    <w:rsid w:val="00F312B7"/>
    <w:rsid w:val="00F31447"/>
    <w:rsid w:val="00F31AD9"/>
    <w:rsid w:val="00F31F5C"/>
    <w:rsid w:val="00F32172"/>
    <w:rsid w:val="00F323D9"/>
    <w:rsid w:val="00F328B3"/>
    <w:rsid w:val="00F32D49"/>
    <w:rsid w:val="00F33131"/>
    <w:rsid w:val="00F336CB"/>
    <w:rsid w:val="00F33774"/>
    <w:rsid w:val="00F338DB"/>
    <w:rsid w:val="00F33B2E"/>
    <w:rsid w:val="00F341CA"/>
    <w:rsid w:val="00F3495C"/>
    <w:rsid w:val="00F3496B"/>
    <w:rsid w:val="00F34A9B"/>
    <w:rsid w:val="00F34B35"/>
    <w:rsid w:val="00F34F76"/>
    <w:rsid w:val="00F351F4"/>
    <w:rsid w:val="00F3571C"/>
    <w:rsid w:val="00F35C22"/>
    <w:rsid w:val="00F35CA3"/>
    <w:rsid w:val="00F35E35"/>
    <w:rsid w:val="00F35E7C"/>
    <w:rsid w:val="00F35E9A"/>
    <w:rsid w:val="00F35ED0"/>
    <w:rsid w:val="00F36106"/>
    <w:rsid w:val="00F36176"/>
    <w:rsid w:val="00F3658E"/>
    <w:rsid w:val="00F3686D"/>
    <w:rsid w:val="00F36CF5"/>
    <w:rsid w:val="00F37438"/>
    <w:rsid w:val="00F37821"/>
    <w:rsid w:val="00F37E69"/>
    <w:rsid w:val="00F37EB7"/>
    <w:rsid w:val="00F3F5D0"/>
    <w:rsid w:val="00F40239"/>
    <w:rsid w:val="00F40423"/>
    <w:rsid w:val="00F409C5"/>
    <w:rsid w:val="00F40A6E"/>
    <w:rsid w:val="00F40C49"/>
    <w:rsid w:val="00F4178C"/>
    <w:rsid w:val="00F41E26"/>
    <w:rsid w:val="00F41EDF"/>
    <w:rsid w:val="00F424D0"/>
    <w:rsid w:val="00F428A0"/>
    <w:rsid w:val="00F42C45"/>
    <w:rsid w:val="00F433C9"/>
    <w:rsid w:val="00F433CF"/>
    <w:rsid w:val="00F43840"/>
    <w:rsid w:val="00F438C3"/>
    <w:rsid w:val="00F43C1A"/>
    <w:rsid w:val="00F43DC5"/>
    <w:rsid w:val="00F4424D"/>
    <w:rsid w:val="00F442A2"/>
    <w:rsid w:val="00F44E9F"/>
    <w:rsid w:val="00F45261"/>
    <w:rsid w:val="00F454CD"/>
    <w:rsid w:val="00F4579E"/>
    <w:rsid w:val="00F457D8"/>
    <w:rsid w:val="00F4586B"/>
    <w:rsid w:val="00F45C50"/>
    <w:rsid w:val="00F45F94"/>
    <w:rsid w:val="00F4610A"/>
    <w:rsid w:val="00F46161"/>
    <w:rsid w:val="00F4627A"/>
    <w:rsid w:val="00F468CF"/>
    <w:rsid w:val="00F46BC0"/>
    <w:rsid w:val="00F46EB1"/>
    <w:rsid w:val="00F46F8F"/>
    <w:rsid w:val="00F4718C"/>
    <w:rsid w:val="00F474F0"/>
    <w:rsid w:val="00F478CA"/>
    <w:rsid w:val="00F479ED"/>
    <w:rsid w:val="00F50000"/>
    <w:rsid w:val="00F50688"/>
    <w:rsid w:val="00F50849"/>
    <w:rsid w:val="00F509A1"/>
    <w:rsid w:val="00F50DEE"/>
    <w:rsid w:val="00F50DFE"/>
    <w:rsid w:val="00F51002"/>
    <w:rsid w:val="00F51559"/>
    <w:rsid w:val="00F51BC6"/>
    <w:rsid w:val="00F51BFE"/>
    <w:rsid w:val="00F52040"/>
    <w:rsid w:val="00F5220A"/>
    <w:rsid w:val="00F52650"/>
    <w:rsid w:val="00F52D3F"/>
    <w:rsid w:val="00F52E51"/>
    <w:rsid w:val="00F52F51"/>
    <w:rsid w:val="00F53534"/>
    <w:rsid w:val="00F5387F"/>
    <w:rsid w:val="00F5390C"/>
    <w:rsid w:val="00F53E49"/>
    <w:rsid w:val="00F5403B"/>
    <w:rsid w:val="00F54132"/>
    <w:rsid w:val="00F5420B"/>
    <w:rsid w:val="00F54379"/>
    <w:rsid w:val="00F5452A"/>
    <w:rsid w:val="00F54804"/>
    <w:rsid w:val="00F5482F"/>
    <w:rsid w:val="00F54C53"/>
    <w:rsid w:val="00F54CD6"/>
    <w:rsid w:val="00F54D64"/>
    <w:rsid w:val="00F54DCC"/>
    <w:rsid w:val="00F54DDB"/>
    <w:rsid w:val="00F54EB9"/>
    <w:rsid w:val="00F54F54"/>
    <w:rsid w:val="00F55623"/>
    <w:rsid w:val="00F55808"/>
    <w:rsid w:val="00F55E88"/>
    <w:rsid w:val="00F562AD"/>
    <w:rsid w:val="00F56424"/>
    <w:rsid w:val="00F5651A"/>
    <w:rsid w:val="00F56B94"/>
    <w:rsid w:val="00F57216"/>
    <w:rsid w:val="00F572F6"/>
    <w:rsid w:val="00F57549"/>
    <w:rsid w:val="00F5762E"/>
    <w:rsid w:val="00F578D3"/>
    <w:rsid w:val="00F5790F"/>
    <w:rsid w:val="00F57FF4"/>
    <w:rsid w:val="00F60403"/>
    <w:rsid w:val="00F6075D"/>
    <w:rsid w:val="00F608DC"/>
    <w:rsid w:val="00F60D27"/>
    <w:rsid w:val="00F60DBB"/>
    <w:rsid w:val="00F610C7"/>
    <w:rsid w:val="00F61137"/>
    <w:rsid w:val="00F6144B"/>
    <w:rsid w:val="00F61989"/>
    <w:rsid w:val="00F61A72"/>
    <w:rsid w:val="00F61ABF"/>
    <w:rsid w:val="00F61C10"/>
    <w:rsid w:val="00F61C28"/>
    <w:rsid w:val="00F61C68"/>
    <w:rsid w:val="00F61F62"/>
    <w:rsid w:val="00F6202E"/>
    <w:rsid w:val="00F622CD"/>
    <w:rsid w:val="00F62396"/>
    <w:rsid w:val="00F625A5"/>
    <w:rsid w:val="00F629E4"/>
    <w:rsid w:val="00F62C78"/>
    <w:rsid w:val="00F62D46"/>
    <w:rsid w:val="00F62DAB"/>
    <w:rsid w:val="00F62FFF"/>
    <w:rsid w:val="00F63317"/>
    <w:rsid w:val="00F63738"/>
    <w:rsid w:val="00F645E1"/>
    <w:rsid w:val="00F646A4"/>
    <w:rsid w:val="00F6499C"/>
    <w:rsid w:val="00F64B3E"/>
    <w:rsid w:val="00F64C3E"/>
    <w:rsid w:val="00F64D0B"/>
    <w:rsid w:val="00F65327"/>
    <w:rsid w:val="00F65466"/>
    <w:rsid w:val="00F655C3"/>
    <w:rsid w:val="00F655DB"/>
    <w:rsid w:val="00F657F6"/>
    <w:rsid w:val="00F65F33"/>
    <w:rsid w:val="00F662A4"/>
    <w:rsid w:val="00F66309"/>
    <w:rsid w:val="00F6639F"/>
    <w:rsid w:val="00F66435"/>
    <w:rsid w:val="00F664E3"/>
    <w:rsid w:val="00F6670B"/>
    <w:rsid w:val="00F66752"/>
    <w:rsid w:val="00F66C55"/>
    <w:rsid w:val="00F66D36"/>
    <w:rsid w:val="00F66E02"/>
    <w:rsid w:val="00F672E6"/>
    <w:rsid w:val="00F672EE"/>
    <w:rsid w:val="00F676CC"/>
    <w:rsid w:val="00F67C39"/>
    <w:rsid w:val="00F70064"/>
    <w:rsid w:val="00F70412"/>
    <w:rsid w:val="00F7056F"/>
    <w:rsid w:val="00F70574"/>
    <w:rsid w:val="00F707B9"/>
    <w:rsid w:val="00F70AE2"/>
    <w:rsid w:val="00F70D2B"/>
    <w:rsid w:val="00F70D98"/>
    <w:rsid w:val="00F70DA5"/>
    <w:rsid w:val="00F710FF"/>
    <w:rsid w:val="00F711A1"/>
    <w:rsid w:val="00F7146D"/>
    <w:rsid w:val="00F721AC"/>
    <w:rsid w:val="00F722B1"/>
    <w:rsid w:val="00F722BD"/>
    <w:rsid w:val="00F722F5"/>
    <w:rsid w:val="00F725B0"/>
    <w:rsid w:val="00F72E81"/>
    <w:rsid w:val="00F72EFF"/>
    <w:rsid w:val="00F73093"/>
    <w:rsid w:val="00F7350F"/>
    <w:rsid w:val="00F73660"/>
    <w:rsid w:val="00F738A8"/>
    <w:rsid w:val="00F738B3"/>
    <w:rsid w:val="00F73E73"/>
    <w:rsid w:val="00F74196"/>
    <w:rsid w:val="00F74201"/>
    <w:rsid w:val="00F74402"/>
    <w:rsid w:val="00F74464"/>
    <w:rsid w:val="00F74788"/>
    <w:rsid w:val="00F74AA5"/>
    <w:rsid w:val="00F74BDD"/>
    <w:rsid w:val="00F75028"/>
    <w:rsid w:val="00F75649"/>
    <w:rsid w:val="00F756F7"/>
    <w:rsid w:val="00F7571B"/>
    <w:rsid w:val="00F75CBB"/>
    <w:rsid w:val="00F75D55"/>
    <w:rsid w:val="00F763A3"/>
    <w:rsid w:val="00F764B0"/>
    <w:rsid w:val="00F766E7"/>
    <w:rsid w:val="00F76A07"/>
    <w:rsid w:val="00F76A53"/>
    <w:rsid w:val="00F76BD2"/>
    <w:rsid w:val="00F76E34"/>
    <w:rsid w:val="00F77163"/>
    <w:rsid w:val="00F77843"/>
    <w:rsid w:val="00F77A77"/>
    <w:rsid w:val="00F77A7B"/>
    <w:rsid w:val="00F800A2"/>
    <w:rsid w:val="00F802B0"/>
    <w:rsid w:val="00F804AD"/>
    <w:rsid w:val="00F804C6"/>
    <w:rsid w:val="00F80573"/>
    <w:rsid w:val="00F8100E"/>
    <w:rsid w:val="00F81255"/>
    <w:rsid w:val="00F81D83"/>
    <w:rsid w:val="00F81DBD"/>
    <w:rsid w:val="00F81E3D"/>
    <w:rsid w:val="00F82600"/>
    <w:rsid w:val="00F827BF"/>
    <w:rsid w:val="00F8288B"/>
    <w:rsid w:val="00F82E14"/>
    <w:rsid w:val="00F82F89"/>
    <w:rsid w:val="00F8305F"/>
    <w:rsid w:val="00F83107"/>
    <w:rsid w:val="00F83703"/>
    <w:rsid w:val="00F838A9"/>
    <w:rsid w:val="00F83F3A"/>
    <w:rsid w:val="00F83F87"/>
    <w:rsid w:val="00F83F88"/>
    <w:rsid w:val="00F84214"/>
    <w:rsid w:val="00F84853"/>
    <w:rsid w:val="00F85086"/>
    <w:rsid w:val="00F853BC"/>
    <w:rsid w:val="00F85CA7"/>
    <w:rsid w:val="00F8617F"/>
    <w:rsid w:val="00F863FE"/>
    <w:rsid w:val="00F865D8"/>
    <w:rsid w:val="00F8677D"/>
    <w:rsid w:val="00F8691C"/>
    <w:rsid w:val="00F8695F"/>
    <w:rsid w:val="00F86B22"/>
    <w:rsid w:val="00F86FDF"/>
    <w:rsid w:val="00F871D0"/>
    <w:rsid w:val="00F87251"/>
    <w:rsid w:val="00F8735E"/>
    <w:rsid w:val="00F8738F"/>
    <w:rsid w:val="00F8747A"/>
    <w:rsid w:val="00F874C6"/>
    <w:rsid w:val="00F876CF"/>
    <w:rsid w:val="00F87EF0"/>
    <w:rsid w:val="00F908ED"/>
    <w:rsid w:val="00F90B0E"/>
    <w:rsid w:val="00F90CB4"/>
    <w:rsid w:val="00F90CBF"/>
    <w:rsid w:val="00F90F75"/>
    <w:rsid w:val="00F91192"/>
    <w:rsid w:val="00F913A9"/>
    <w:rsid w:val="00F91914"/>
    <w:rsid w:val="00F91A97"/>
    <w:rsid w:val="00F91AAB"/>
    <w:rsid w:val="00F91AB1"/>
    <w:rsid w:val="00F91E48"/>
    <w:rsid w:val="00F920AA"/>
    <w:rsid w:val="00F92252"/>
    <w:rsid w:val="00F92429"/>
    <w:rsid w:val="00F927D2"/>
    <w:rsid w:val="00F9292C"/>
    <w:rsid w:val="00F92D13"/>
    <w:rsid w:val="00F92D15"/>
    <w:rsid w:val="00F92EEF"/>
    <w:rsid w:val="00F93096"/>
    <w:rsid w:val="00F9343A"/>
    <w:rsid w:val="00F93630"/>
    <w:rsid w:val="00F937C5"/>
    <w:rsid w:val="00F93A96"/>
    <w:rsid w:val="00F93AD1"/>
    <w:rsid w:val="00F93B37"/>
    <w:rsid w:val="00F93C1F"/>
    <w:rsid w:val="00F93D63"/>
    <w:rsid w:val="00F93DF9"/>
    <w:rsid w:val="00F9410F"/>
    <w:rsid w:val="00F943C6"/>
    <w:rsid w:val="00F944A5"/>
    <w:rsid w:val="00F9458F"/>
    <w:rsid w:val="00F94778"/>
    <w:rsid w:val="00F94CE9"/>
    <w:rsid w:val="00F94F31"/>
    <w:rsid w:val="00F9501A"/>
    <w:rsid w:val="00F95196"/>
    <w:rsid w:val="00F951C5"/>
    <w:rsid w:val="00F955A1"/>
    <w:rsid w:val="00F956CC"/>
    <w:rsid w:val="00F95746"/>
    <w:rsid w:val="00F95887"/>
    <w:rsid w:val="00F9592F"/>
    <w:rsid w:val="00F95983"/>
    <w:rsid w:val="00F95C1E"/>
    <w:rsid w:val="00F95DC9"/>
    <w:rsid w:val="00F95E40"/>
    <w:rsid w:val="00F95F2E"/>
    <w:rsid w:val="00F96335"/>
    <w:rsid w:val="00F964C6"/>
    <w:rsid w:val="00F96C31"/>
    <w:rsid w:val="00F96DD2"/>
    <w:rsid w:val="00F96F37"/>
    <w:rsid w:val="00F97150"/>
    <w:rsid w:val="00F97168"/>
    <w:rsid w:val="00F9716F"/>
    <w:rsid w:val="00F97868"/>
    <w:rsid w:val="00F97CA5"/>
    <w:rsid w:val="00FA031B"/>
    <w:rsid w:val="00FA04EB"/>
    <w:rsid w:val="00FA0812"/>
    <w:rsid w:val="00FA0CE9"/>
    <w:rsid w:val="00FA1021"/>
    <w:rsid w:val="00FA138E"/>
    <w:rsid w:val="00FA1750"/>
    <w:rsid w:val="00FA19EA"/>
    <w:rsid w:val="00FA1B7F"/>
    <w:rsid w:val="00FA1B8F"/>
    <w:rsid w:val="00FA1B97"/>
    <w:rsid w:val="00FA1DD5"/>
    <w:rsid w:val="00FA1F6C"/>
    <w:rsid w:val="00FA1FA3"/>
    <w:rsid w:val="00FA21E3"/>
    <w:rsid w:val="00FA23B8"/>
    <w:rsid w:val="00FA26DC"/>
    <w:rsid w:val="00FA2989"/>
    <w:rsid w:val="00FA2CC3"/>
    <w:rsid w:val="00FA2D0D"/>
    <w:rsid w:val="00FA2D4F"/>
    <w:rsid w:val="00FA2DDA"/>
    <w:rsid w:val="00FA2F41"/>
    <w:rsid w:val="00FA3057"/>
    <w:rsid w:val="00FA3898"/>
    <w:rsid w:val="00FA3A12"/>
    <w:rsid w:val="00FA3B68"/>
    <w:rsid w:val="00FA3DAE"/>
    <w:rsid w:val="00FA4A04"/>
    <w:rsid w:val="00FA5152"/>
    <w:rsid w:val="00FA5837"/>
    <w:rsid w:val="00FA59D6"/>
    <w:rsid w:val="00FA5B0A"/>
    <w:rsid w:val="00FA5B99"/>
    <w:rsid w:val="00FA5D05"/>
    <w:rsid w:val="00FA5F96"/>
    <w:rsid w:val="00FA60AD"/>
    <w:rsid w:val="00FA6105"/>
    <w:rsid w:val="00FA653F"/>
    <w:rsid w:val="00FA6744"/>
    <w:rsid w:val="00FA6B16"/>
    <w:rsid w:val="00FA6C37"/>
    <w:rsid w:val="00FA6FF3"/>
    <w:rsid w:val="00FA7167"/>
    <w:rsid w:val="00FA71DB"/>
    <w:rsid w:val="00FA7205"/>
    <w:rsid w:val="00FA743C"/>
    <w:rsid w:val="00FA7BAD"/>
    <w:rsid w:val="00FA7C9F"/>
    <w:rsid w:val="00FA7DB4"/>
    <w:rsid w:val="00FA7F9D"/>
    <w:rsid w:val="00FA7FB8"/>
    <w:rsid w:val="00FB00F7"/>
    <w:rsid w:val="00FB0115"/>
    <w:rsid w:val="00FB01A9"/>
    <w:rsid w:val="00FB0437"/>
    <w:rsid w:val="00FB072C"/>
    <w:rsid w:val="00FB07CA"/>
    <w:rsid w:val="00FB0B0C"/>
    <w:rsid w:val="00FB0B7E"/>
    <w:rsid w:val="00FB0C54"/>
    <w:rsid w:val="00FB0D77"/>
    <w:rsid w:val="00FB0F1A"/>
    <w:rsid w:val="00FB1084"/>
    <w:rsid w:val="00FB1527"/>
    <w:rsid w:val="00FB169F"/>
    <w:rsid w:val="00FB17F5"/>
    <w:rsid w:val="00FB195C"/>
    <w:rsid w:val="00FB1E99"/>
    <w:rsid w:val="00FB1F45"/>
    <w:rsid w:val="00FB2497"/>
    <w:rsid w:val="00FB265C"/>
    <w:rsid w:val="00FB2740"/>
    <w:rsid w:val="00FB29D3"/>
    <w:rsid w:val="00FB2C0A"/>
    <w:rsid w:val="00FB2EFA"/>
    <w:rsid w:val="00FB31F8"/>
    <w:rsid w:val="00FB3225"/>
    <w:rsid w:val="00FB345B"/>
    <w:rsid w:val="00FB352E"/>
    <w:rsid w:val="00FB3770"/>
    <w:rsid w:val="00FB37C6"/>
    <w:rsid w:val="00FB3863"/>
    <w:rsid w:val="00FB3A2A"/>
    <w:rsid w:val="00FB3DC4"/>
    <w:rsid w:val="00FB40AE"/>
    <w:rsid w:val="00FB438F"/>
    <w:rsid w:val="00FB46AE"/>
    <w:rsid w:val="00FB4900"/>
    <w:rsid w:val="00FB4B94"/>
    <w:rsid w:val="00FB4DA5"/>
    <w:rsid w:val="00FB4F41"/>
    <w:rsid w:val="00FB50E1"/>
    <w:rsid w:val="00FB562E"/>
    <w:rsid w:val="00FB58D8"/>
    <w:rsid w:val="00FB5C7B"/>
    <w:rsid w:val="00FB5EDB"/>
    <w:rsid w:val="00FB5F30"/>
    <w:rsid w:val="00FB5F4C"/>
    <w:rsid w:val="00FB6029"/>
    <w:rsid w:val="00FB6399"/>
    <w:rsid w:val="00FB6527"/>
    <w:rsid w:val="00FB6B81"/>
    <w:rsid w:val="00FB711E"/>
    <w:rsid w:val="00FB729E"/>
    <w:rsid w:val="00FB7584"/>
    <w:rsid w:val="00FB75B4"/>
    <w:rsid w:val="00FB765C"/>
    <w:rsid w:val="00FB786B"/>
    <w:rsid w:val="00FB78E2"/>
    <w:rsid w:val="00FB7AA7"/>
    <w:rsid w:val="00FB7BE7"/>
    <w:rsid w:val="00FC026F"/>
    <w:rsid w:val="00FC02AD"/>
    <w:rsid w:val="00FC04A8"/>
    <w:rsid w:val="00FC06D0"/>
    <w:rsid w:val="00FC09D8"/>
    <w:rsid w:val="00FC0CDF"/>
    <w:rsid w:val="00FC13DD"/>
    <w:rsid w:val="00FC1706"/>
    <w:rsid w:val="00FC1BB9"/>
    <w:rsid w:val="00FC1C4F"/>
    <w:rsid w:val="00FC1CEF"/>
    <w:rsid w:val="00FC1D63"/>
    <w:rsid w:val="00FC1E5A"/>
    <w:rsid w:val="00FC1F49"/>
    <w:rsid w:val="00FC1F6C"/>
    <w:rsid w:val="00FC1FCB"/>
    <w:rsid w:val="00FC2021"/>
    <w:rsid w:val="00FC2026"/>
    <w:rsid w:val="00FC247E"/>
    <w:rsid w:val="00FC270D"/>
    <w:rsid w:val="00FC2AAA"/>
    <w:rsid w:val="00FC2D32"/>
    <w:rsid w:val="00FC2E01"/>
    <w:rsid w:val="00FC2F8A"/>
    <w:rsid w:val="00FC31FD"/>
    <w:rsid w:val="00FC3575"/>
    <w:rsid w:val="00FC3845"/>
    <w:rsid w:val="00FC395A"/>
    <w:rsid w:val="00FC3965"/>
    <w:rsid w:val="00FC3DCF"/>
    <w:rsid w:val="00FC4155"/>
    <w:rsid w:val="00FC4171"/>
    <w:rsid w:val="00FC4286"/>
    <w:rsid w:val="00FC4877"/>
    <w:rsid w:val="00FC4C0E"/>
    <w:rsid w:val="00FC4C57"/>
    <w:rsid w:val="00FC4E86"/>
    <w:rsid w:val="00FC50D9"/>
    <w:rsid w:val="00FC55E3"/>
    <w:rsid w:val="00FC58AC"/>
    <w:rsid w:val="00FC5B50"/>
    <w:rsid w:val="00FC5E0C"/>
    <w:rsid w:val="00FC62BA"/>
    <w:rsid w:val="00FC6368"/>
    <w:rsid w:val="00FC6787"/>
    <w:rsid w:val="00FC6A34"/>
    <w:rsid w:val="00FC6D87"/>
    <w:rsid w:val="00FC6ED3"/>
    <w:rsid w:val="00FC6FBD"/>
    <w:rsid w:val="00FC73D4"/>
    <w:rsid w:val="00FC78F3"/>
    <w:rsid w:val="00FC7A55"/>
    <w:rsid w:val="00FC7A88"/>
    <w:rsid w:val="00FC7B12"/>
    <w:rsid w:val="00FC7EA5"/>
    <w:rsid w:val="00FD004E"/>
    <w:rsid w:val="00FD03BA"/>
    <w:rsid w:val="00FD0E83"/>
    <w:rsid w:val="00FD0FFE"/>
    <w:rsid w:val="00FD11DD"/>
    <w:rsid w:val="00FD1249"/>
    <w:rsid w:val="00FD12B5"/>
    <w:rsid w:val="00FD13E1"/>
    <w:rsid w:val="00FD1769"/>
    <w:rsid w:val="00FD19CF"/>
    <w:rsid w:val="00FD19D3"/>
    <w:rsid w:val="00FD19DC"/>
    <w:rsid w:val="00FD1BB5"/>
    <w:rsid w:val="00FD1D24"/>
    <w:rsid w:val="00FD269B"/>
    <w:rsid w:val="00FD282E"/>
    <w:rsid w:val="00FD2933"/>
    <w:rsid w:val="00FD2B09"/>
    <w:rsid w:val="00FD333B"/>
    <w:rsid w:val="00FD33BE"/>
    <w:rsid w:val="00FD340F"/>
    <w:rsid w:val="00FD345D"/>
    <w:rsid w:val="00FD3E3E"/>
    <w:rsid w:val="00FD3EA2"/>
    <w:rsid w:val="00FD3EC5"/>
    <w:rsid w:val="00FD3F1D"/>
    <w:rsid w:val="00FD3F32"/>
    <w:rsid w:val="00FD41DB"/>
    <w:rsid w:val="00FD46A6"/>
    <w:rsid w:val="00FD4EC0"/>
    <w:rsid w:val="00FD500D"/>
    <w:rsid w:val="00FD506D"/>
    <w:rsid w:val="00FD5137"/>
    <w:rsid w:val="00FD52BB"/>
    <w:rsid w:val="00FD5384"/>
    <w:rsid w:val="00FD53D3"/>
    <w:rsid w:val="00FD54DF"/>
    <w:rsid w:val="00FD55BD"/>
    <w:rsid w:val="00FD5876"/>
    <w:rsid w:val="00FD5FD0"/>
    <w:rsid w:val="00FD6308"/>
    <w:rsid w:val="00FD64F5"/>
    <w:rsid w:val="00FD6A7A"/>
    <w:rsid w:val="00FD6B69"/>
    <w:rsid w:val="00FD6B9A"/>
    <w:rsid w:val="00FD6D9C"/>
    <w:rsid w:val="00FD6E5A"/>
    <w:rsid w:val="00FD6FB1"/>
    <w:rsid w:val="00FD7167"/>
    <w:rsid w:val="00FD7293"/>
    <w:rsid w:val="00FD791F"/>
    <w:rsid w:val="00FD7AC1"/>
    <w:rsid w:val="00FD7BCF"/>
    <w:rsid w:val="00FE01B9"/>
    <w:rsid w:val="00FE04E9"/>
    <w:rsid w:val="00FE074D"/>
    <w:rsid w:val="00FE0885"/>
    <w:rsid w:val="00FE0A96"/>
    <w:rsid w:val="00FE0C82"/>
    <w:rsid w:val="00FE120E"/>
    <w:rsid w:val="00FE167F"/>
    <w:rsid w:val="00FE16E2"/>
    <w:rsid w:val="00FE18BE"/>
    <w:rsid w:val="00FE1D3E"/>
    <w:rsid w:val="00FE1E06"/>
    <w:rsid w:val="00FE21CB"/>
    <w:rsid w:val="00FE2602"/>
    <w:rsid w:val="00FE2753"/>
    <w:rsid w:val="00FE27CB"/>
    <w:rsid w:val="00FE2BAC"/>
    <w:rsid w:val="00FE2E6A"/>
    <w:rsid w:val="00FE2EC5"/>
    <w:rsid w:val="00FE2F0C"/>
    <w:rsid w:val="00FE3981"/>
    <w:rsid w:val="00FE3BC6"/>
    <w:rsid w:val="00FE4164"/>
    <w:rsid w:val="00FE419B"/>
    <w:rsid w:val="00FE4718"/>
    <w:rsid w:val="00FE4727"/>
    <w:rsid w:val="00FE47F4"/>
    <w:rsid w:val="00FE495A"/>
    <w:rsid w:val="00FE4B8D"/>
    <w:rsid w:val="00FE532A"/>
    <w:rsid w:val="00FE5909"/>
    <w:rsid w:val="00FE59DB"/>
    <w:rsid w:val="00FE59FA"/>
    <w:rsid w:val="00FE5CBE"/>
    <w:rsid w:val="00FE5F05"/>
    <w:rsid w:val="00FE623E"/>
    <w:rsid w:val="00FE63EF"/>
    <w:rsid w:val="00FE640B"/>
    <w:rsid w:val="00FE65C3"/>
    <w:rsid w:val="00FE68DF"/>
    <w:rsid w:val="00FE6C4C"/>
    <w:rsid w:val="00FE6C53"/>
    <w:rsid w:val="00FE729B"/>
    <w:rsid w:val="00FE72C3"/>
    <w:rsid w:val="00FE7ECD"/>
    <w:rsid w:val="00FE7FBC"/>
    <w:rsid w:val="00FF010A"/>
    <w:rsid w:val="00FF0144"/>
    <w:rsid w:val="00FF0943"/>
    <w:rsid w:val="00FF0A2D"/>
    <w:rsid w:val="00FF0C0F"/>
    <w:rsid w:val="00FF0E15"/>
    <w:rsid w:val="00FF11DC"/>
    <w:rsid w:val="00FF13C9"/>
    <w:rsid w:val="00FF1626"/>
    <w:rsid w:val="00FF1730"/>
    <w:rsid w:val="00FF179E"/>
    <w:rsid w:val="00FF1858"/>
    <w:rsid w:val="00FF20BE"/>
    <w:rsid w:val="00FF2182"/>
    <w:rsid w:val="00FF2327"/>
    <w:rsid w:val="00FF2361"/>
    <w:rsid w:val="00FF2485"/>
    <w:rsid w:val="00FF254C"/>
    <w:rsid w:val="00FF2626"/>
    <w:rsid w:val="00FF2912"/>
    <w:rsid w:val="00FF2AA1"/>
    <w:rsid w:val="00FF2BA4"/>
    <w:rsid w:val="00FF2BFD"/>
    <w:rsid w:val="00FF2C51"/>
    <w:rsid w:val="00FF2C8C"/>
    <w:rsid w:val="00FF2FB9"/>
    <w:rsid w:val="00FF3285"/>
    <w:rsid w:val="00FF32CF"/>
    <w:rsid w:val="00FF330A"/>
    <w:rsid w:val="00FF35AB"/>
    <w:rsid w:val="00FF379B"/>
    <w:rsid w:val="00FF3E1A"/>
    <w:rsid w:val="00FF409D"/>
    <w:rsid w:val="00FF40C4"/>
    <w:rsid w:val="00FF4293"/>
    <w:rsid w:val="00FF4591"/>
    <w:rsid w:val="00FF4859"/>
    <w:rsid w:val="00FF4CB3"/>
    <w:rsid w:val="00FF4D7E"/>
    <w:rsid w:val="00FF4DFC"/>
    <w:rsid w:val="00FF4E71"/>
    <w:rsid w:val="00FF4EB7"/>
    <w:rsid w:val="00FF4FF8"/>
    <w:rsid w:val="00FF5040"/>
    <w:rsid w:val="00FF5069"/>
    <w:rsid w:val="00FF5408"/>
    <w:rsid w:val="00FF573B"/>
    <w:rsid w:val="00FF57BB"/>
    <w:rsid w:val="00FF58EC"/>
    <w:rsid w:val="00FF613C"/>
    <w:rsid w:val="00FF6367"/>
    <w:rsid w:val="00FF6562"/>
    <w:rsid w:val="00FF657B"/>
    <w:rsid w:val="00FF6BF2"/>
    <w:rsid w:val="00FF6F90"/>
    <w:rsid w:val="00FF721B"/>
    <w:rsid w:val="00FF7787"/>
    <w:rsid w:val="00FF78A2"/>
    <w:rsid w:val="00FF78CE"/>
    <w:rsid w:val="00FF7BF8"/>
    <w:rsid w:val="00FF7CAE"/>
    <w:rsid w:val="00FF7D3A"/>
    <w:rsid w:val="00FF7E79"/>
    <w:rsid w:val="00FF7FE8"/>
    <w:rsid w:val="010B9BF6"/>
    <w:rsid w:val="011C0F7F"/>
    <w:rsid w:val="0132860A"/>
    <w:rsid w:val="016F4D33"/>
    <w:rsid w:val="0174E638"/>
    <w:rsid w:val="0186102D"/>
    <w:rsid w:val="018653E9"/>
    <w:rsid w:val="01A0330F"/>
    <w:rsid w:val="01B4C7A9"/>
    <w:rsid w:val="01DC3B63"/>
    <w:rsid w:val="020AA87C"/>
    <w:rsid w:val="02261F9C"/>
    <w:rsid w:val="023DF6F5"/>
    <w:rsid w:val="02506CE3"/>
    <w:rsid w:val="025D25B1"/>
    <w:rsid w:val="02687603"/>
    <w:rsid w:val="0296D437"/>
    <w:rsid w:val="029D086C"/>
    <w:rsid w:val="02C516F5"/>
    <w:rsid w:val="02D8BAE5"/>
    <w:rsid w:val="02DED661"/>
    <w:rsid w:val="031FC23E"/>
    <w:rsid w:val="0325D678"/>
    <w:rsid w:val="032C4629"/>
    <w:rsid w:val="034A536D"/>
    <w:rsid w:val="03531159"/>
    <w:rsid w:val="037436AA"/>
    <w:rsid w:val="038FC8F1"/>
    <w:rsid w:val="03A2B56E"/>
    <w:rsid w:val="04136BEC"/>
    <w:rsid w:val="0423302F"/>
    <w:rsid w:val="04290AB7"/>
    <w:rsid w:val="04559EE7"/>
    <w:rsid w:val="04679F82"/>
    <w:rsid w:val="048E4B1D"/>
    <w:rsid w:val="04A4DD2D"/>
    <w:rsid w:val="04CDA508"/>
    <w:rsid w:val="04D1771F"/>
    <w:rsid w:val="04D65D0B"/>
    <w:rsid w:val="04E24AA4"/>
    <w:rsid w:val="054D2330"/>
    <w:rsid w:val="054DEC86"/>
    <w:rsid w:val="056BEEF2"/>
    <w:rsid w:val="0571A546"/>
    <w:rsid w:val="058B1F99"/>
    <w:rsid w:val="05B86FEC"/>
    <w:rsid w:val="05F1D8F8"/>
    <w:rsid w:val="05F3BF47"/>
    <w:rsid w:val="065B639D"/>
    <w:rsid w:val="0661F499"/>
    <w:rsid w:val="06658FA1"/>
    <w:rsid w:val="0683581E"/>
    <w:rsid w:val="06B878BA"/>
    <w:rsid w:val="06CE987C"/>
    <w:rsid w:val="06CFF086"/>
    <w:rsid w:val="06D90BB4"/>
    <w:rsid w:val="06E294E6"/>
    <w:rsid w:val="06FAAFBA"/>
    <w:rsid w:val="06FD8C4D"/>
    <w:rsid w:val="078578EB"/>
    <w:rsid w:val="0786EC2B"/>
    <w:rsid w:val="0788375C"/>
    <w:rsid w:val="08032645"/>
    <w:rsid w:val="080D96B1"/>
    <w:rsid w:val="081A7AF6"/>
    <w:rsid w:val="0861F8D2"/>
    <w:rsid w:val="0887533C"/>
    <w:rsid w:val="090973EA"/>
    <w:rsid w:val="092EB5B8"/>
    <w:rsid w:val="0973D379"/>
    <w:rsid w:val="09C2C739"/>
    <w:rsid w:val="0A60F687"/>
    <w:rsid w:val="0A7CDA37"/>
    <w:rsid w:val="0AC7F2BF"/>
    <w:rsid w:val="0AE48E15"/>
    <w:rsid w:val="0AECF618"/>
    <w:rsid w:val="0B1E5792"/>
    <w:rsid w:val="0C2F4379"/>
    <w:rsid w:val="0C4184F3"/>
    <w:rsid w:val="0C456511"/>
    <w:rsid w:val="0C7507CB"/>
    <w:rsid w:val="0C7D8553"/>
    <w:rsid w:val="0C9721E4"/>
    <w:rsid w:val="0CD051D3"/>
    <w:rsid w:val="0CE2A303"/>
    <w:rsid w:val="0CF2A30A"/>
    <w:rsid w:val="0CF4B694"/>
    <w:rsid w:val="0CF9C524"/>
    <w:rsid w:val="0D02B5B7"/>
    <w:rsid w:val="0D08AA27"/>
    <w:rsid w:val="0D1491A3"/>
    <w:rsid w:val="0D8344CE"/>
    <w:rsid w:val="0E0CE934"/>
    <w:rsid w:val="0E152C08"/>
    <w:rsid w:val="0E178265"/>
    <w:rsid w:val="0E648174"/>
    <w:rsid w:val="0E65B261"/>
    <w:rsid w:val="0EBC2973"/>
    <w:rsid w:val="0EBD7976"/>
    <w:rsid w:val="0ECD85B0"/>
    <w:rsid w:val="0ED3E1E0"/>
    <w:rsid w:val="0F00ADBD"/>
    <w:rsid w:val="0F05EE5D"/>
    <w:rsid w:val="0F08AE1B"/>
    <w:rsid w:val="0F315043"/>
    <w:rsid w:val="0F55CE5C"/>
    <w:rsid w:val="0F8E6535"/>
    <w:rsid w:val="0FA0702E"/>
    <w:rsid w:val="1001D4C0"/>
    <w:rsid w:val="100483EF"/>
    <w:rsid w:val="10375760"/>
    <w:rsid w:val="103A90FD"/>
    <w:rsid w:val="1046D427"/>
    <w:rsid w:val="1057EA8F"/>
    <w:rsid w:val="114462BE"/>
    <w:rsid w:val="115029BC"/>
    <w:rsid w:val="116FFF42"/>
    <w:rsid w:val="11860EE3"/>
    <w:rsid w:val="118E9ED7"/>
    <w:rsid w:val="11ABF2B3"/>
    <w:rsid w:val="11BBEF47"/>
    <w:rsid w:val="11BCAA35"/>
    <w:rsid w:val="11F909C8"/>
    <w:rsid w:val="11FDCBBF"/>
    <w:rsid w:val="1214997C"/>
    <w:rsid w:val="1234F37A"/>
    <w:rsid w:val="1238D1F9"/>
    <w:rsid w:val="12478429"/>
    <w:rsid w:val="12A29C9C"/>
    <w:rsid w:val="12E0A07C"/>
    <w:rsid w:val="13253AE9"/>
    <w:rsid w:val="13266678"/>
    <w:rsid w:val="1335F0F1"/>
    <w:rsid w:val="13365ED4"/>
    <w:rsid w:val="13382B5C"/>
    <w:rsid w:val="13CD155B"/>
    <w:rsid w:val="13D13176"/>
    <w:rsid w:val="13D1A2F7"/>
    <w:rsid w:val="13E632AC"/>
    <w:rsid w:val="13E750E7"/>
    <w:rsid w:val="13F399D7"/>
    <w:rsid w:val="13F764BC"/>
    <w:rsid w:val="1436A994"/>
    <w:rsid w:val="1450053D"/>
    <w:rsid w:val="14603C10"/>
    <w:rsid w:val="1460D329"/>
    <w:rsid w:val="146D2A1B"/>
    <w:rsid w:val="14D4DC5F"/>
    <w:rsid w:val="14D55595"/>
    <w:rsid w:val="152A0C19"/>
    <w:rsid w:val="154F7689"/>
    <w:rsid w:val="154F99FF"/>
    <w:rsid w:val="155613FC"/>
    <w:rsid w:val="155807E4"/>
    <w:rsid w:val="156093DF"/>
    <w:rsid w:val="1561FED6"/>
    <w:rsid w:val="15D6A03E"/>
    <w:rsid w:val="162F103E"/>
    <w:rsid w:val="1649F846"/>
    <w:rsid w:val="164C8259"/>
    <w:rsid w:val="164C8AA6"/>
    <w:rsid w:val="16793846"/>
    <w:rsid w:val="17224905"/>
    <w:rsid w:val="17244420"/>
    <w:rsid w:val="174A126A"/>
    <w:rsid w:val="17568287"/>
    <w:rsid w:val="176F3EAB"/>
    <w:rsid w:val="17AB0DFC"/>
    <w:rsid w:val="17C50F81"/>
    <w:rsid w:val="18092B95"/>
    <w:rsid w:val="180C6761"/>
    <w:rsid w:val="184480FC"/>
    <w:rsid w:val="18707116"/>
    <w:rsid w:val="18A0AD30"/>
    <w:rsid w:val="18AC53FE"/>
    <w:rsid w:val="18BE9ED4"/>
    <w:rsid w:val="1929C79F"/>
    <w:rsid w:val="1935833F"/>
    <w:rsid w:val="199C7204"/>
    <w:rsid w:val="19E0E941"/>
    <w:rsid w:val="19F0B1D1"/>
    <w:rsid w:val="1A023A0E"/>
    <w:rsid w:val="1AA58216"/>
    <w:rsid w:val="1AB7295F"/>
    <w:rsid w:val="1AFFB4C2"/>
    <w:rsid w:val="1B0C6802"/>
    <w:rsid w:val="1B1EB22C"/>
    <w:rsid w:val="1B52289B"/>
    <w:rsid w:val="1B7506CF"/>
    <w:rsid w:val="1B88D874"/>
    <w:rsid w:val="1BE51B99"/>
    <w:rsid w:val="1C38C2A6"/>
    <w:rsid w:val="1C3AFBF3"/>
    <w:rsid w:val="1C45D602"/>
    <w:rsid w:val="1C701676"/>
    <w:rsid w:val="1C704C6F"/>
    <w:rsid w:val="1C743970"/>
    <w:rsid w:val="1C8D94D1"/>
    <w:rsid w:val="1C9B8309"/>
    <w:rsid w:val="1C9C2C1B"/>
    <w:rsid w:val="1CA25219"/>
    <w:rsid w:val="1CD7526D"/>
    <w:rsid w:val="1CE30732"/>
    <w:rsid w:val="1D329DD0"/>
    <w:rsid w:val="1D36214B"/>
    <w:rsid w:val="1D469572"/>
    <w:rsid w:val="1D79BC39"/>
    <w:rsid w:val="1D9D3BDA"/>
    <w:rsid w:val="1DB3BCEC"/>
    <w:rsid w:val="1DDC9774"/>
    <w:rsid w:val="1DF14D22"/>
    <w:rsid w:val="1E06CC0C"/>
    <w:rsid w:val="1E12C441"/>
    <w:rsid w:val="1E3422EB"/>
    <w:rsid w:val="1E3EBD55"/>
    <w:rsid w:val="1E7714B5"/>
    <w:rsid w:val="1E8253C3"/>
    <w:rsid w:val="1E998C33"/>
    <w:rsid w:val="1EC26EE4"/>
    <w:rsid w:val="1F0EEE3D"/>
    <w:rsid w:val="1F1FC69C"/>
    <w:rsid w:val="1F2E7A26"/>
    <w:rsid w:val="1F5BCDF8"/>
    <w:rsid w:val="1F708A3B"/>
    <w:rsid w:val="1F8193AD"/>
    <w:rsid w:val="1FE636D4"/>
    <w:rsid w:val="1FEFDAC3"/>
    <w:rsid w:val="201F69A8"/>
    <w:rsid w:val="2043E249"/>
    <w:rsid w:val="2061A939"/>
    <w:rsid w:val="207166A7"/>
    <w:rsid w:val="20AD8EA8"/>
    <w:rsid w:val="20BF759E"/>
    <w:rsid w:val="20CA731D"/>
    <w:rsid w:val="20EEBA06"/>
    <w:rsid w:val="21598B6D"/>
    <w:rsid w:val="218F5EDE"/>
    <w:rsid w:val="21B36D2D"/>
    <w:rsid w:val="21CE601B"/>
    <w:rsid w:val="21EEEEFD"/>
    <w:rsid w:val="21F603A9"/>
    <w:rsid w:val="21FE51DF"/>
    <w:rsid w:val="22070083"/>
    <w:rsid w:val="22281D95"/>
    <w:rsid w:val="2228BF2F"/>
    <w:rsid w:val="2249F5AF"/>
    <w:rsid w:val="2266B399"/>
    <w:rsid w:val="228C886D"/>
    <w:rsid w:val="22ADD861"/>
    <w:rsid w:val="22B3F45E"/>
    <w:rsid w:val="22B638A3"/>
    <w:rsid w:val="22BCE346"/>
    <w:rsid w:val="239085D8"/>
    <w:rsid w:val="239742E1"/>
    <w:rsid w:val="23A9AF7A"/>
    <w:rsid w:val="23E67E5A"/>
    <w:rsid w:val="23FC786F"/>
    <w:rsid w:val="242E436C"/>
    <w:rsid w:val="24407234"/>
    <w:rsid w:val="24884436"/>
    <w:rsid w:val="24FED5F1"/>
    <w:rsid w:val="25228BF7"/>
    <w:rsid w:val="2530E3A7"/>
    <w:rsid w:val="25331C43"/>
    <w:rsid w:val="2566EF76"/>
    <w:rsid w:val="25B360C7"/>
    <w:rsid w:val="25C44151"/>
    <w:rsid w:val="25F4EF42"/>
    <w:rsid w:val="25F7131B"/>
    <w:rsid w:val="261D0BFA"/>
    <w:rsid w:val="26339C1E"/>
    <w:rsid w:val="265D9060"/>
    <w:rsid w:val="2686F523"/>
    <w:rsid w:val="26A4D9B3"/>
    <w:rsid w:val="26B19E8A"/>
    <w:rsid w:val="26B23241"/>
    <w:rsid w:val="26C77837"/>
    <w:rsid w:val="26EA497F"/>
    <w:rsid w:val="272FDBF1"/>
    <w:rsid w:val="2752024A"/>
    <w:rsid w:val="27911D89"/>
    <w:rsid w:val="279DD6D1"/>
    <w:rsid w:val="27D57913"/>
    <w:rsid w:val="27EC58B2"/>
    <w:rsid w:val="280DB142"/>
    <w:rsid w:val="2864C9BB"/>
    <w:rsid w:val="2868A019"/>
    <w:rsid w:val="288B4CA9"/>
    <w:rsid w:val="28B8A903"/>
    <w:rsid w:val="28BFAFE1"/>
    <w:rsid w:val="28C9D773"/>
    <w:rsid w:val="28E05F5C"/>
    <w:rsid w:val="29317B16"/>
    <w:rsid w:val="29778FB6"/>
    <w:rsid w:val="299346C1"/>
    <w:rsid w:val="299BE5BD"/>
    <w:rsid w:val="29BBDB14"/>
    <w:rsid w:val="29D4FEAF"/>
    <w:rsid w:val="2A8ACCE3"/>
    <w:rsid w:val="2A8FAAA0"/>
    <w:rsid w:val="2A9A64C3"/>
    <w:rsid w:val="2AA78E5F"/>
    <w:rsid w:val="2AC4602B"/>
    <w:rsid w:val="2AEADDDD"/>
    <w:rsid w:val="2B210E42"/>
    <w:rsid w:val="2B2C0E03"/>
    <w:rsid w:val="2B4AF3EF"/>
    <w:rsid w:val="2B6FD0C5"/>
    <w:rsid w:val="2BBC9C7D"/>
    <w:rsid w:val="2BFD8C5D"/>
    <w:rsid w:val="2C33DDB9"/>
    <w:rsid w:val="2C8F35AB"/>
    <w:rsid w:val="2CE2A6B0"/>
    <w:rsid w:val="2CE3A237"/>
    <w:rsid w:val="2CE5E281"/>
    <w:rsid w:val="2D17A23A"/>
    <w:rsid w:val="2DE135DD"/>
    <w:rsid w:val="2E0C0C00"/>
    <w:rsid w:val="2E8F9381"/>
    <w:rsid w:val="2E9878D8"/>
    <w:rsid w:val="2EC8B55D"/>
    <w:rsid w:val="2ECD659C"/>
    <w:rsid w:val="2ED0832D"/>
    <w:rsid w:val="2ED4692B"/>
    <w:rsid w:val="2EDD8041"/>
    <w:rsid w:val="2EE4E295"/>
    <w:rsid w:val="2EEB474C"/>
    <w:rsid w:val="2EED5748"/>
    <w:rsid w:val="2F3575C6"/>
    <w:rsid w:val="2FA3C917"/>
    <w:rsid w:val="30151CF3"/>
    <w:rsid w:val="302FEAF6"/>
    <w:rsid w:val="304154F7"/>
    <w:rsid w:val="3049CB74"/>
    <w:rsid w:val="3077A487"/>
    <w:rsid w:val="30A48C5D"/>
    <w:rsid w:val="30A854A7"/>
    <w:rsid w:val="30E3A8B4"/>
    <w:rsid w:val="31599A3C"/>
    <w:rsid w:val="315CE427"/>
    <w:rsid w:val="317C211E"/>
    <w:rsid w:val="31C2283E"/>
    <w:rsid w:val="31C251C0"/>
    <w:rsid w:val="31CB6A2E"/>
    <w:rsid w:val="32BE40CC"/>
    <w:rsid w:val="33071070"/>
    <w:rsid w:val="3310C67D"/>
    <w:rsid w:val="331F93E7"/>
    <w:rsid w:val="3341D794"/>
    <w:rsid w:val="3377102E"/>
    <w:rsid w:val="33816DFB"/>
    <w:rsid w:val="339BD581"/>
    <w:rsid w:val="33E420E3"/>
    <w:rsid w:val="33EE6846"/>
    <w:rsid w:val="342E76EC"/>
    <w:rsid w:val="34B9DA38"/>
    <w:rsid w:val="3512DB33"/>
    <w:rsid w:val="35130205"/>
    <w:rsid w:val="3528B7F9"/>
    <w:rsid w:val="352E338A"/>
    <w:rsid w:val="352E9677"/>
    <w:rsid w:val="3535092B"/>
    <w:rsid w:val="3537A31B"/>
    <w:rsid w:val="353CF68E"/>
    <w:rsid w:val="353F026D"/>
    <w:rsid w:val="354D293C"/>
    <w:rsid w:val="355215E6"/>
    <w:rsid w:val="3559F4E0"/>
    <w:rsid w:val="35B154BD"/>
    <w:rsid w:val="35C7FD15"/>
    <w:rsid w:val="35E5ABC3"/>
    <w:rsid w:val="35EADCA0"/>
    <w:rsid w:val="35FA9E18"/>
    <w:rsid w:val="35FD2D61"/>
    <w:rsid w:val="3625402F"/>
    <w:rsid w:val="367192AE"/>
    <w:rsid w:val="367452DF"/>
    <w:rsid w:val="3675E237"/>
    <w:rsid w:val="36A05498"/>
    <w:rsid w:val="370FDD30"/>
    <w:rsid w:val="3769B504"/>
    <w:rsid w:val="377C2BA0"/>
    <w:rsid w:val="385CA078"/>
    <w:rsid w:val="386A8F66"/>
    <w:rsid w:val="388808A1"/>
    <w:rsid w:val="389A0E13"/>
    <w:rsid w:val="38A72A9D"/>
    <w:rsid w:val="38D34DCF"/>
    <w:rsid w:val="38D765B1"/>
    <w:rsid w:val="38D82768"/>
    <w:rsid w:val="38DED1B4"/>
    <w:rsid w:val="393E209D"/>
    <w:rsid w:val="396855AE"/>
    <w:rsid w:val="397A3FAF"/>
    <w:rsid w:val="39965420"/>
    <w:rsid w:val="39BFB46B"/>
    <w:rsid w:val="39F9D4AC"/>
    <w:rsid w:val="39FC3B8C"/>
    <w:rsid w:val="3A02A28F"/>
    <w:rsid w:val="3A876E8D"/>
    <w:rsid w:val="3AA37F29"/>
    <w:rsid w:val="3AEA01BF"/>
    <w:rsid w:val="3AED20F3"/>
    <w:rsid w:val="3B1EC2AC"/>
    <w:rsid w:val="3B2B1D4E"/>
    <w:rsid w:val="3B44ECFD"/>
    <w:rsid w:val="3B4EA97D"/>
    <w:rsid w:val="3B641F65"/>
    <w:rsid w:val="3B85D0BF"/>
    <w:rsid w:val="3B88E92A"/>
    <w:rsid w:val="3BB065CA"/>
    <w:rsid w:val="3BBF1B16"/>
    <w:rsid w:val="3BFB2CCE"/>
    <w:rsid w:val="3BFB6DA4"/>
    <w:rsid w:val="3BFC2A2B"/>
    <w:rsid w:val="3C132470"/>
    <w:rsid w:val="3C22E001"/>
    <w:rsid w:val="3C4F9F89"/>
    <w:rsid w:val="3C579C6F"/>
    <w:rsid w:val="3C77B08E"/>
    <w:rsid w:val="3C96B2D4"/>
    <w:rsid w:val="3C98E03C"/>
    <w:rsid w:val="3CAEEC4F"/>
    <w:rsid w:val="3CBF4EF0"/>
    <w:rsid w:val="3CC87B29"/>
    <w:rsid w:val="3CD1EAE7"/>
    <w:rsid w:val="3CD69C6D"/>
    <w:rsid w:val="3D707569"/>
    <w:rsid w:val="3D900724"/>
    <w:rsid w:val="3DAA27F7"/>
    <w:rsid w:val="3DE25619"/>
    <w:rsid w:val="3DECEA13"/>
    <w:rsid w:val="3E02CF69"/>
    <w:rsid w:val="3E335059"/>
    <w:rsid w:val="3E3A8144"/>
    <w:rsid w:val="3E59FECD"/>
    <w:rsid w:val="3E5CE650"/>
    <w:rsid w:val="3EB1EE6A"/>
    <w:rsid w:val="3ED415F7"/>
    <w:rsid w:val="3EE3ED99"/>
    <w:rsid w:val="3F5DCFB7"/>
    <w:rsid w:val="3F6AE17F"/>
    <w:rsid w:val="3F73A220"/>
    <w:rsid w:val="3F9A68FD"/>
    <w:rsid w:val="3FAFB452"/>
    <w:rsid w:val="3FD13066"/>
    <w:rsid w:val="40019E45"/>
    <w:rsid w:val="4015887C"/>
    <w:rsid w:val="402A6B09"/>
    <w:rsid w:val="402C884B"/>
    <w:rsid w:val="406000FA"/>
    <w:rsid w:val="40AC1507"/>
    <w:rsid w:val="40B1A43C"/>
    <w:rsid w:val="40B42621"/>
    <w:rsid w:val="40CE3AED"/>
    <w:rsid w:val="40F8D870"/>
    <w:rsid w:val="411DC1AD"/>
    <w:rsid w:val="413D3F32"/>
    <w:rsid w:val="41453460"/>
    <w:rsid w:val="4173CB68"/>
    <w:rsid w:val="418CBFC0"/>
    <w:rsid w:val="419B2D12"/>
    <w:rsid w:val="41E59AEB"/>
    <w:rsid w:val="421C45B5"/>
    <w:rsid w:val="421D9112"/>
    <w:rsid w:val="4225FF95"/>
    <w:rsid w:val="4239452F"/>
    <w:rsid w:val="429B13FD"/>
    <w:rsid w:val="42A0F640"/>
    <w:rsid w:val="42AF64F8"/>
    <w:rsid w:val="42DB3B19"/>
    <w:rsid w:val="42EB029A"/>
    <w:rsid w:val="43060E6E"/>
    <w:rsid w:val="43365143"/>
    <w:rsid w:val="434349E5"/>
    <w:rsid w:val="43570B10"/>
    <w:rsid w:val="43576AB5"/>
    <w:rsid w:val="43855C5C"/>
    <w:rsid w:val="43AA3CF3"/>
    <w:rsid w:val="43BFD03C"/>
    <w:rsid w:val="43D55F3A"/>
    <w:rsid w:val="4431773E"/>
    <w:rsid w:val="443724CB"/>
    <w:rsid w:val="44654967"/>
    <w:rsid w:val="4480DDC1"/>
    <w:rsid w:val="44925897"/>
    <w:rsid w:val="449A3F6B"/>
    <w:rsid w:val="44A56C24"/>
    <w:rsid w:val="44A645B6"/>
    <w:rsid w:val="44A6EE8A"/>
    <w:rsid w:val="44B681A9"/>
    <w:rsid w:val="44BC6D4C"/>
    <w:rsid w:val="44C24A09"/>
    <w:rsid w:val="44F8D544"/>
    <w:rsid w:val="4510A4C2"/>
    <w:rsid w:val="456D0E43"/>
    <w:rsid w:val="459FB06E"/>
    <w:rsid w:val="45B0137A"/>
    <w:rsid w:val="45D3FF3A"/>
    <w:rsid w:val="45E9043D"/>
    <w:rsid w:val="460C3547"/>
    <w:rsid w:val="4618803A"/>
    <w:rsid w:val="462B2636"/>
    <w:rsid w:val="464379FE"/>
    <w:rsid w:val="46464CA7"/>
    <w:rsid w:val="4650E531"/>
    <w:rsid w:val="467B8BA4"/>
    <w:rsid w:val="4686D404"/>
    <w:rsid w:val="46958397"/>
    <w:rsid w:val="469CEA76"/>
    <w:rsid w:val="46A4A6E6"/>
    <w:rsid w:val="46A7DB0C"/>
    <w:rsid w:val="46C87B8C"/>
    <w:rsid w:val="46DCE988"/>
    <w:rsid w:val="46F5D186"/>
    <w:rsid w:val="471CCACC"/>
    <w:rsid w:val="4744C9DE"/>
    <w:rsid w:val="479E32E1"/>
    <w:rsid w:val="47A9EA93"/>
    <w:rsid w:val="47B04822"/>
    <w:rsid w:val="47B16768"/>
    <w:rsid w:val="47D2273A"/>
    <w:rsid w:val="48B8EE52"/>
    <w:rsid w:val="48DFEE75"/>
    <w:rsid w:val="492D4BDD"/>
    <w:rsid w:val="493B3512"/>
    <w:rsid w:val="49A89FE8"/>
    <w:rsid w:val="49B818F5"/>
    <w:rsid w:val="4A177355"/>
    <w:rsid w:val="4A1F0FA3"/>
    <w:rsid w:val="4A2509E5"/>
    <w:rsid w:val="4A5B07A8"/>
    <w:rsid w:val="4A696452"/>
    <w:rsid w:val="4A743631"/>
    <w:rsid w:val="4B3367CC"/>
    <w:rsid w:val="4B3EAD31"/>
    <w:rsid w:val="4B457486"/>
    <w:rsid w:val="4B6004DC"/>
    <w:rsid w:val="4B7AF5A9"/>
    <w:rsid w:val="4B80B579"/>
    <w:rsid w:val="4B8CD6A8"/>
    <w:rsid w:val="4B9F11D4"/>
    <w:rsid w:val="4BA75C80"/>
    <w:rsid w:val="4C5E99B7"/>
    <w:rsid w:val="4C6F2480"/>
    <w:rsid w:val="4C718F83"/>
    <w:rsid w:val="4C75C3E2"/>
    <w:rsid w:val="4C7AB544"/>
    <w:rsid w:val="4C88D9B6"/>
    <w:rsid w:val="4C97D2B5"/>
    <w:rsid w:val="4CAC5933"/>
    <w:rsid w:val="4D0C7E3E"/>
    <w:rsid w:val="4D28E945"/>
    <w:rsid w:val="4D2FFE0A"/>
    <w:rsid w:val="4D40AD8B"/>
    <w:rsid w:val="4D7E606E"/>
    <w:rsid w:val="4D910C2C"/>
    <w:rsid w:val="4D91D1B2"/>
    <w:rsid w:val="4DA9D99D"/>
    <w:rsid w:val="4DB23CCA"/>
    <w:rsid w:val="4DF795F8"/>
    <w:rsid w:val="4DFD1BBF"/>
    <w:rsid w:val="4E02CF70"/>
    <w:rsid w:val="4E354B92"/>
    <w:rsid w:val="4EA652FE"/>
    <w:rsid w:val="4EE50C66"/>
    <w:rsid w:val="4F37203F"/>
    <w:rsid w:val="4F4C7ECD"/>
    <w:rsid w:val="4F85A57A"/>
    <w:rsid w:val="4F94F4A6"/>
    <w:rsid w:val="4FD3DDC1"/>
    <w:rsid w:val="4FD3E51A"/>
    <w:rsid w:val="50022A02"/>
    <w:rsid w:val="501C2DCB"/>
    <w:rsid w:val="502F3E2F"/>
    <w:rsid w:val="5032ACDD"/>
    <w:rsid w:val="5037FA58"/>
    <w:rsid w:val="5057589F"/>
    <w:rsid w:val="5085F61C"/>
    <w:rsid w:val="50E21A87"/>
    <w:rsid w:val="5132B101"/>
    <w:rsid w:val="51BE6372"/>
    <w:rsid w:val="5223DE44"/>
    <w:rsid w:val="523BCF0B"/>
    <w:rsid w:val="528BD273"/>
    <w:rsid w:val="52976C86"/>
    <w:rsid w:val="52A4D08D"/>
    <w:rsid w:val="52ACA864"/>
    <w:rsid w:val="530D2CD1"/>
    <w:rsid w:val="5321F2FF"/>
    <w:rsid w:val="5325C5A9"/>
    <w:rsid w:val="535878A5"/>
    <w:rsid w:val="53737FB3"/>
    <w:rsid w:val="53D49CEA"/>
    <w:rsid w:val="5407CC90"/>
    <w:rsid w:val="54184448"/>
    <w:rsid w:val="54275D52"/>
    <w:rsid w:val="54454C5A"/>
    <w:rsid w:val="5484ED46"/>
    <w:rsid w:val="54B592C1"/>
    <w:rsid w:val="55419734"/>
    <w:rsid w:val="557E63E6"/>
    <w:rsid w:val="559640F3"/>
    <w:rsid w:val="5625A8C4"/>
    <w:rsid w:val="562BD58C"/>
    <w:rsid w:val="564B64F5"/>
    <w:rsid w:val="567A520C"/>
    <w:rsid w:val="56B8230A"/>
    <w:rsid w:val="56FE9980"/>
    <w:rsid w:val="571FC768"/>
    <w:rsid w:val="57412D42"/>
    <w:rsid w:val="574B268F"/>
    <w:rsid w:val="578D1E2F"/>
    <w:rsid w:val="579010E6"/>
    <w:rsid w:val="57BCF8A8"/>
    <w:rsid w:val="57E5EC04"/>
    <w:rsid w:val="57F02B7E"/>
    <w:rsid w:val="58C0D30D"/>
    <w:rsid w:val="58FF7C5E"/>
    <w:rsid w:val="591095D0"/>
    <w:rsid w:val="59532FF5"/>
    <w:rsid w:val="5979501D"/>
    <w:rsid w:val="59AEBC04"/>
    <w:rsid w:val="59CD9C6D"/>
    <w:rsid w:val="59F8A023"/>
    <w:rsid w:val="5A18ECEE"/>
    <w:rsid w:val="5A585DE5"/>
    <w:rsid w:val="5A64FBC3"/>
    <w:rsid w:val="5A6BC822"/>
    <w:rsid w:val="5A6C3641"/>
    <w:rsid w:val="5A72B4AC"/>
    <w:rsid w:val="5A7A926C"/>
    <w:rsid w:val="5AAC946C"/>
    <w:rsid w:val="5AAD5282"/>
    <w:rsid w:val="5AD03B08"/>
    <w:rsid w:val="5AE74A22"/>
    <w:rsid w:val="5B47A695"/>
    <w:rsid w:val="5B759DE4"/>
    <w:rsid w:val="5B7C4E01"/>
    <w:rsid w:val="5B92B2C3"/>
    <w:rsid w:val="5BCD0E8D"/>
    <w:rsid w:val="5BE30C7D"/>
    <w:rsid w:val="5BE4861D"/>
    <w:rsid w:val="5C177F19"/>
    <w:rsid w:val="5C1C9DBB"/>
    <w:rsid w:val="5C289151"/>
    <w:rsid w:val="5C2B520C"/>
    <w:rsid w:val="5CC136A9"/>
    <w:rsid w:val="5CD8AC00"/>
    <w:rsid w:val="5CDCA35E"/>
    <w:rsid w:val="5CE74015"/>
    <w:rsid w:val="5D0E9384"/>
    <w:rsid w:val="5D392773"/>
    <w:rsid w:val="5D42AA99"/>
    <w:rsid w:val="5DB7BDB2"/>
    <w:rsid w:val="5DC4ABFA"/>
    <w:rsid w:val="5DCE62C5"/>
    <w:rsid w:val="5DDBD10A"/>
    <w:rsid w:val="5DEBA548"/>
    <w:rsid w:val="5DFFA687"/>
    <w:rsid w:val="5E26B2E7"/>
    <w:rsid w:val="5E27826A"/>
    <w:rsid w:val="5E7BBEBF"/>
    <w:rsid w:val="5E955E7B"/>
    <w:rsid w:val="5EE7C1C6"/>
    <w:rsid w:val="5EFABAC2"/>
    <w:rsid w:val="5EFAD883"/>
    <w:rsid w:val="5F0BEFF5"/>
    <w:rsid w:val="5F23C7B2"/>
    <w:rsid w:val="5F34608A"/>
    <w:rsid w:val="5F352E12"/>
    <w:rsid w:val="5F3A226F"/>
    <w:rsid w:val="5F51748D"/>
    <w:rsid w:val="5F554B2D"/>
    <w:rsid w:val="5FBB3FFA"/>
    <w:rsid w:val="60120E11"/>
    <w:rsid w:val="60220028"/>
    <w:rsid w:val="6033366E"/>
    <w:rsid w:val="606DF1CF"/>
    <w:rsid w:val="60AD73DD"/>
    <w:rsid w:val="60C45971"/>
    <w:rsid w:val="61249981"/>
    <w:rsid w:val="613F43DF"/>
    <w:rsid w:val="614B55D3"/>
    <w:rsid w:val="6152A806"/>
    <w:rsid w:val="6163C797"/>
    <w:rsid w:val="6199C27A"/>
    <w:rsid w:val="61B3D0DE"/>
    <w:rsid w:val="61B59E21"/>
    <w:rsid w:val="620337B1"/>
    <w:rsid w:val="621D16D6"/>
    <w:rsid w:val="622D94FB"/>
    <w:rsid w:val="62454E57"/>
    <w:rsid w:val="62A81149"/>
    <w:rsid w:val="62B2DC12"/>
    <w:rsid w:val="62B3032D"/>
    <w:rsid w:val="62D5DA5C"/>
    <w:rsid w:val="62FA5E51"/>
    <w:rsid w:val="630888CA"/>
    <w:rsid w:val="630ABC71"/>
    <w:rsid w:val="63238615"/>
    <w:rsid w:val="632DB0FF"/>
    <w:rsid w:val="635C5529"/>
    <w:rsid w:val="63814437"/>
    <w:rsid w:val="638C6838"/>
    <w:rsid w:val="63E9E74D"/>
    <w:rsid w:val="642661BF"/>
    <w:rsid w:val="64381E8C"/>
    <w:rsid w:val="644D09D7"/>
    <w:rsid w:val="6451C923"/>
    <w:rsid w:val="64F856AC"/>
    <w:rsid w:val="651E3D76"/>
    <w:rsid w:val="651EEE3A"/>
    <w:rsid w:val="6521A6E1"/>
    <w:rsid w:val="6524F835"/>
    <w:rsid w:val="65533BA2"/>
    <w:rsid w:val="6562A44E"/>
    <w:rsid w:val="6569B48F"/>
    <w:rsid w:val="65991EA6"/>
    <w:rsid w:val="65A068CB"/>
    <w:rsid w:val="65CBE2E1"/>
    <w:rsid w:val="65D708EE"/>
    <w:rsid w:val="669CB867"/>
    <w:rsid w:val="678FEA13"/>
    <w:rsid w:val="679515BE"/>
    <w:rsid w:val="67BFC672"/>
    <w:rsid w:val="67CC97F5"/>
    <w:rsid w:val="67E8E457"/>
    <w:rsid w:val="67F434C8"/>
    <w:rsid w:val="67F89BC1"/>
    <w:rsid w:val="683687D9"/>
    <w:rsid w:val="68495C98"/>
    <w:rsid w:val="685C3814"/>
    <w:rsid w:val="6870BE2E"/>
    <w:rsid w:val="68786D9D"/>
    <w:rsid w:val="688093F9"/>
    <w:rsid w:val="68EC2498"/>
    <w:rsid w:val="68F31130"/>
    <w:rsid w:val="692F4D5D"/>
    <w:rsid w:val="696EC9D8"/>
    <w:rsid w:val="69930537"/>
    <w:rsid w:val="69A47A6C"/>
    <w:rsid w:val="69F41284"/>
    <w:rsid w:val="6A017E8F"/>
    <w:rsid w:val="6A0E2DFC"/>
    <w:rsid w:val="6A15F1B8"/>
    <w:rsid w:val="6A377802"/>
    <w:rsid w:val="6A3A13CE"/>
    <w:rsid w:val="6A3CAC55"/>
    <w:rsid w:val="6A626662"/>
    <w:rsid w:val="6A693ECA"/>
    <w:rsid w:val="6AA77842"/>
    <w:rsid w:val="6ADA5CF6"/>
    <w:rsid w:val="6AEAE5E7"/>
    <w:rsid w:val="6B2D6A40"/>
    <w:rsid w:val="6B4B63B4"/>
    <w:rsid w:val="6B798950"/>
    <w:rsid w:val="6BAC275A"/>
    <w:rsid w:val="6BC3E820"/>
    <w:rsid w:val="6BD9B403"/>
    <w:rsid w:val="6BDA683A"/>
    <w:rsid w:val="6BE2B068"/>
    <w:rsid w:val="6BF8E4E6"/>
    <w:rsid w:val="6C39D1FC"/>
    <w:rsid w:val="6C5153F0"/>
    <w:rsid w:val="6C85946E"/>
    <w:rsid w:val="6CD4ABBB"/>
    <w:rsid w:val="6CE5D899"/>
    <w:rsid w:val="6CEA3A69"/>
    <w:rsid w:val="6D063AAE"/>
    <w:rsid w:val="6D0C4539"/>
    <w:rsid w:val="6D346E24"/>
    <w:rsid w:val="6D588485"/>
    <w:rsid w:val="6D59B7D5"/>
    <w:rsid w:val="6D73A360"/>
    <w:rsid w:val="6D79F017"/>
    <w:rsid w:val="6D807C77"/>
    <w:rsid w:val="6D9A1E80"/>
    <w:rsid w:val="6DAE3669"/>
    <w:rsid w:val="6DD5343E"/>
    <w:rsid w:val="6E01B306"/>
    <w:rsid w:val="6E05D886"/>
    <w:rsid w:val="6E18AE01"/>
    <w:rsid w:val="6E4C5218"/>
    <w:rsid w:val="6E55F250"/>
    <w:rsid w:val="6E9AA4C7"/>
    <w:rsid w:val="6EA17AA8"/>
    <w:rsid w:val="6EAA5E2B"/>
    <w:rsid w:val="6EBB2835"/>
    <w:rsid w:val="6EBED3BB"/>
    <w:rsid w:val="6ED021DB"/>
    <w:rsid w:val="6EDA234C"/>
    <w:rsid w:val="6EE68C39"/>
    <w:rsid w:val="6F11C0A8"/>
    <w:rsid w:val="6F145F49"/>
    <w:rsid w:val="6F1B3498"/>
    <w:rsid w:val="6F294170"/>
    <w:rsid w:val="6FA3E51C"/>
    <w:rsid w:val="7029F12B"/>
    <w:rsid w:val="70481E64"/>
    <w:rsid w:val="70895CA5"/>
    <w:rsid w:val="708D6594"/>
    <w:rsid w:val="7099E72E"/>
    <w:rsid w:val="709FF8F4"/>
    <w:rsid w:val="70A15532"/>
    <w:rsid w:val="70B23A74"/>
    <w:rsid w:val="70DC3D04"/>
    <w:rsid w:val="714C1167"/>
    <w:rsid w:val="716D695B"/>
    <w:rsid w:val="717A3FDD"/>
    <w:rsid w:val="71BD4DBA"/>
    <w:rsid w:val="71E8D4B9"/>
    <w:rsid w:val="71F43F97"/>
    <w:rsid w:val="720E1DC7"/>
    <w:rsid w:val="72131299"/>
    <w:rsid w:val="728A444A"/>
    <w:rsid w:val="7290C935"/>
    <w:rsid w:val="72CFBB35"/>
    <w:rsid w:val="72EF18EC"/>
    <w:rsid w:val="72FEA15D"/>
    <w:rsid w:val="73109568"/>
    <w:rsid w:val="7350AFE6"/>
    <w:rsid w:val="73563ED9"/>
    <w:rsid w:val="7396B157"/>
    <w:rsid w:val="73A74962"/>
    <w:rsid w:val="73C7E4C3"/>
    <w:rsid w:val="73CB6F74"/>
    <w:rsid w:val="73D75F8B"/>
    <w:rsid w:val="73FA695A"/>
    <w:rsid w:val="73FED3EF"/>
    <w:rsid w:val="741ACFCE"/>
    <w:rsid w:val="742DE8DB"/>
    <w:rsid w:val="7431D887"/>
    <w:rsid w:val="7434B25D"/>
    <w:rsid w:val="7469B740"/>
    <w:rsid w:val="746CBE93"/>
    <w:rsid w:val="749F0C5F"/>
    <w:rsid w:val="74BACC7A"/>
    <w:rsid w:val="74D66FC2"/>
    <w:rsid w:val="74DB994F"/>
    <w:rsid w:val="74E9BEE9"/>
    <w:rsid w:val="750A43E6"/>
    <w:rsid w:val="7515860E"/>
    <w:rsid w:val="7534FF1A"/>
    <w:rsid w:val="75762CFD"/>
    <w:rsid w:val="7584304D"/>
    <w:rsid w:val="75F14137"/>
    <w:rsid w:val="761AF831"/>
    <w:rsid w:val="765F3E48"/>
    <w:rsid w:val="766DB7AA"/>
    <w:rsid w:val="76832A28"/>
    <w:rsid w:val="76CD75CE"/>
    <w:rsid w:val="76DE6AD6"/>
    <w:rsid w:val="7742EA3F"/>
    <w:rsid w:val="77576E10"/>
    <w:rsid w:val="7763B28B"/>
    <w:rsid w:val="7767C27C"/>
    <w:rsid w:val="778590C1"/>
    <w:rsid w:val="7795B2DF"/>
    <w:rsid w:val="779A286B"/>
    <w:rsid w:val="77B7751B"/>
    <w:rsid w:val="784B41E3"/>
    <w:rsid w:val="78544E89"/>
    <w:rsid w:val="785D204B"/>
    <w:rsid w:val="78737021"/>
    <w:rsid w:val="78A2951A"/>
    <w:rsid w:val="78B4C5F7"/>
    <w:rsid w:val="78CF153D"/>
    <w:rsid w:val="790E5EB3"/>
    <w:rsid w:val="791960E5"/>
    <w:rsid w:val="79339EA9"/>
    <w:rsid w:val="796C2215"/>
    <w:rsid w:val="7970ECD0"/>
    <w:rsid w:val="79C83116"/>
    <w:rsid w:val="79C988BC"/>
    <w:rsid w:val="7A178618"/>
    <w:rsid w:val="7A2B6846"/>
    <w:rsid w:val="7A418CAA"/>
    <w:rsid w:val="7A6213F7"/>
    <w:rsid w:val="7AD50AB6"/>
    <w:rsid w:val="7AE0AAA5"/>
    <w:rsid w:val="7AEEA90B"/>
    <w:rsid w:val="7B4D6500"/>
    <w:rsid w:val="7B50ADC6"/>
    <w:rsid w:val="7B634071"/>
    <w:rsid w:val="7B7FA06C"/>
    <w:rsid w:val="7B991F46"/>
    <w:rsid w:val="7B9A0940"/>
    <w:rsid w:val="7BC9B8EB"/>
    <w:rsid w:val="7BEC31D6"/>
    <w:rsid w:val="7C17AE1D"/>
    <w:rsid w:val="7C1FF7E6"/>
    <w:rsid w:val="7C2B99A3"/>
    <w:rsid w:val="7C44728A"/>
    <w:rsid w:val="7C705C53"/>
    <w:rsid w:val="7C95050F"/>
    <w:rsid w:val="7CB49F4B"/>
    <w:rsid w:val="7CBADBC2"/>
    <w:rsid w:val="7CC8AF67"/>
    <w:rsid w:val="7CD72208"/>
    <w:rsid w:val="7D0C2012"/>
    <w:rsid w:val="7D58750B"/>
    <w:rsid w:val="7D7F4209"/>
    <w:rsid w:val="7D8275D0"/>
    <w:rsid w:val="7D856561"/>
    <w:rsid w:val="7D9D4460"/>
    <w:rsid w:val="7E331FE4"/>
    <w:rsid w:val="7E3A6CCB"/>
    <w:rsid w:val="7E4D1EAC"/>
    <w:rsid w:val="7E6A9981"/>
    <w:rsid w:val="7E89D954"/>
    <w:rsid w:val="7EA0A29B"/>
    <w:rsid w:val="7EA9DB18"/>
    <w:rsid w:val="7EE5B54A"/>
    <w:rsid w:val="7F29A9B5"/>
    <w:rsid w:val="7F43EB88"/>
    <w:rsid w:val="7FB83C4D"/>
    <w:rsid w:val="7FCAA253"/>
    <w:rsid w:val="7FD8B359"/>
    <w:rsid w:val="7FFE856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AA115"/>
  <w15:docId w15:val="{CEC1D79E-AB00-4C95-A26E-902D34ED7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F90B0E"/>
    <w:pPr>
      <w:spacing w:after="0" w:line="240" w:lineRule="auto"/>
      <w:contextualSpacing/>
    </w:pPr>
    <w:rPr>
      <w:rFonts w:ascii="Arial" w:hAnsi="Arial"/>
      <w:sz w:val="24"/>
    </w:rPr>
  </w:style>
  <w:style w:type="paragraph" w:styleId="Heading1">
    <w:name w:val="heading 1"/>
    <w:basedOn w:val="NoSpacing"/>
    <w:next w:val="NoSpacing"/>
    <w:link w:val="Heading1Char"/>
    <w:autoRedefine/>
    <w:uiPriority w:val="9"/>
    <w:qFormat/>
    <w:rsid w:val="00836E70"/>
    <w:pPr>
      <w:keepNext/>
      <w:keepLines/>
      <w:numPr>
        <w:numId w:val="19"/>
      </w:numPr>
      <w:spacing w:before="240" w:line="240" w:lineRule="auto"/>
      <w:outlineLvl w:val="0"/>
    </w:pPr>
    <w:rPr>
      <w:b/>
      <w:bCs/>
      <w:sz w:val="32"/>
      <w:szCs w:val="32"/>
    </w:rPr>
  </w:style>
  <w:style w:type="paragraph" w:styleId="Heading2">
    <w:name w:val="heading 2"/>
    <w:basedOn w:val="NoSpacing"/>
    <w:next w:val="NoSpacing"/>
    <w:link w:val="Heading2Char"/>
    <w:uiPriority w:val="9"/>
    <w:unhideWhenUsed/>
    <w:qFormat/>
    <w:rsid w:val="0047692E"/>
    <w:pPr>
      <w:keepNext/>
      <w:keepLines/>
      <w:spacing w:before="40" w:line="240" w:lineRule="auto"/>
      <w:outlineLvl w:val="1"/>
    </w:pPr>
    <w:rPr>
      <w:rFonts w:eastAsiaTheme="majorEastAsia"/>
      <w:b/>
      <w:sz w:val="28"/>
      <w:szCs w:val="26"/>
    </w:rPr>
  </w:style>
  <w:style w:type="paragraph" w:styleId="Heading3">
    <w:name w:val="heading 3"/>
    <w:basedOn w:val="NoSpacing"/>
    <w:next w:val="NoSpacing"/>
    <w:link w:val="Heading3Char"/>
    <w:uiPriority w:val="9"/>
    <w:unhideWhenUsed/>
    <w:qFormat/>
    <w:rsid w:val="00985BE5"/>
    <w:pPr>
      <w:keepNext/>
      <w:keepLines/>
      <w:outlineLvl w:val="2"/>
    </w:pPr>
    <w:rPr>
      <w:rFonts w:eastAsiaTheme="majorEastAsia" w:cstheme="majorBidi"/>
      <w:i/>
      <w:sz w:val="28"/>
    </w:rPr>
  </w:style>
  <w:style w:type="paragraph" w:styleId="Heading4">
    <w:name w:val="heading 4"/>
    <w:basedOn w:val="NoSpacing"/>
    <w:next w:val="Normal"/>
    <w:link w:val="Heading4Char"/>
    <w:uiPriority w:val="9"/>
    <w:unhideWhenUsed/>
    <w:qFormat/>
    <w:rsid w:val="00FA2D0D"/>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unhideWhenUsed/>
    <w:qFormat/>
    <w:rsid w:val="00D92398"/>
    <w:pPr>
      <w:keepNext/>
      <w:keepLines/>
      <w:contextualSpacing w:val="0"/>
      <w:outlineLvl w:val="4"/>
    </w:pPr>
    <w:rPr>
      <w:rFonts w:eastAsiaTheme="majorEastAsia" w:cstheme="majorBidi"/>
    </w:rPr>
  </w:style>
  <w:style w:type="paragraph" w:styleId="Heading6">
    <w:name w:val="heading 6"/>
    <w:basedOn w:val="Normal"/>
    <w:next w:val="Normal"/>
    <w:link w:val="Heading6Char"/>
    <w:uiPriority w:val="9"/>
    <w:unhideWhenUsed/>
    <w:qFormat/>
    <w:rsid w:val="002848C9"/>
    <w:pPr>
      <w:keepNext/>
      <w:keepLines/>
      <w:spacing w:before="200"/>
      <w:contextualSpacing w:val="0"/>
      <w:outlineLvl w:val="5"/>
    </w:pPr>
    <w:rPr>
      <w:rFonts w:asciiTheme="majorHAnsi" w:eastAsiaTheme="majorEastAsia" w:hAnsiTheme="majorHAnsi" w:cstheme="majorBidi"/>
      <w:i/>
      <w:iCs/>
      <w:color w:val="1F3763" w:themeColor="accent1" w:themeShade="7F"/>
    </w:rPr>
  </w:style>
  <w:style w:type="paragraph" w:styleId="Heading7">
    <w:name w:val="heading 7"/>
    <w:aliases w:val="Appendix"/>
    <w:basedOn w:val="Normal"/>
    <w:next w:val="Normal"/>
    <w:link w:val="Heading7Char"/>
    <w:autoRedefine/>
    <w:uiPriority w:val="9"/>
    <w:unhideWhenUsed/>
    <w:qFormat/>
    <w:rsid w:val="002848C9"/>
    <w:pPr>
      <w:keepNext/>
      <w:keepLines/>
      <w:spacing w:before="200"/>
      <w:contextualSpacing w:val="0"/>
      <w:outlineLvl w:val="6"/>
    </w:pPr>
    <w:rPr>
      <w:rFonts w:eastAsiaTheme="majorEastAsia" w:cstheme="majorBidi"/>
      <w:i/>
      <w:iCs/>
      <w:sz w:val="28"/>
    </w:rPr>
  </w:style>
  <w:style w:type="paragraph" w:styleId="Heading8">
    <w:name w:val="heading 8"/>
    <w:basedOn w:val="Normal"/>
    <w:next w:val="Normal"/>
    <w:link w:val="Heading8Char"/>
    <w:uiPriority w:val="9"/>
    <w:unhideWhenUsed/>
    <w:qFormat/>
    <w:rsid w:val="002848C9"/>
    <w:pPr>
      <w:keepNext/>
      <w:keepLines/>
      <w:spacing w:before="200"/>
      <w:contextualSpacing w:val="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848C9"/>
    <w:pPr>
      <w:keepNext/>
      <w:keepLines/>
      <w:spacing w:before="200"/>
      <w:contextualSpacing w:val="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5FE"/>
    <w:rPr>
      <w:rFonts w:ascii="Tahoma" w:hAnsi="Tahoma" w:cs="Tahoma"/>
      <w:sz w:val="16"/>
      <w:szCs w:val="16"/>
    </w:rPr>
  </w:style>
  <w:style w:type="character" w:customStyle="1" w:styleId="BalloonTextChar">
    <w:name w:val="Balloon Text Char"/>
    <w:basedOn w:val="DefaultParagraphFont"/>
    <w:link w:val="BalloonText"/>
    <w:uiPriority w:val="99"/>
    <w:semiHidden/>
    <w:rsid w:val="00D535FE"/>
    <w:rPr>
      <w:rFonts w:ascii="Tahoma" w:hAnsi="Tahoma" w:cs="Tahoma"/>
      <w:sz w:val="16"/>
      <w:szCs w:val="16"/>
    </w:rPr>
  </w:style>
  <w:style w:type="character" w:styleId="Hyperlink">
    <w:name w:val="Hyperlink"/>
    <w:basedOn w:val="DefaultParagraphFont"/>
    <w:uiPriority w:val="99"/>
    <w:unhideWhenUsed/>
    <w:rsid w:val="00792225"/>
    <w:rPr>
      <w:color w:val="0563C1" w:themeColor="hyperlink"/>
      <w:u w:val="single"/>
    </w:rPr>
  </w:style>
  <w:style w:type="paragraph" w:styleId="Header">
    <w:name w:val="header"/>
    <w:basedOn w:val="Normal"/>
    <w:link w:val="HeaderChar"/>
    <w:uiPriority w:val="99"/>
    <w:unhideWhenUsed/>
    <w:rsid w:val="008A2D51"/>
    <w:pPr>
      <w:tabs>
        <w:tab w:val="center" w:pos="4513"/>
        <w:tab w:val="right" w:pos="9026"/>
      </w:tabs>
    </w:pPr>
  </w:style>
  <w:style w:type="character" w:customStyle="1" w:styleId="HeaderChar">
    <w:name w:val="Header Char"/>
    <w:basedOn w:val="DefaultParagraphFont"/>
    <w:link w:val="Header"/>
    <w:uiPriority w:val="99"/>
    <w:rsid w:val="008A2D51"/>
  </w:style>
  <w:style w:type="paragraph" w:styleId="Footer">
    <w:name w:val="footer"/>
    <w:basedOn w:val="Normal"/>
    <w:link w:val="FooterChar"/>
    <w:uiPriority w:val="99"/>
    <w:unhideWhenUsed/>
    <w:rsid w:val="008A2D51"/>
    <w:pPr>
      <w:tabs>
        <w:tab w:val="center" w:pos="4513"/>
        <w:tab w:val="right" w:pos="9026"/>
      </w:tabs>
    </w:pPr>
  </w:style>
  <w:style w:type="character" w:customStyle="1" w:styleId="FooterChar">
    <w:name w:val="Footer Char"/>
    <w:basedOn w:val="DefaultParagraphFont"/>
    <w:link w:val="Footer"/>
    <w:uiPriority w:val="99"/>
    <w:rsid w:val="008A2D51"/>
  </w:style>
  <w:style w:type="character" w:customStyle="1" w:styleId="Heading1Char">
    <w:name w:val="Heading 1 Char"/>
    <w:basedOn w:val="DefaultParagraphFont"/>
    <w:link w:val="Heading1"/>
    <w:uiPriority w:val="9"/>
    <w:rsid w:val="00836E70"/>
    <w:rPr>
      <w:rFonts w:ascii="Arial" w:hAnsi="Arial" w:cs="Arial"/>
      <w:b/>
      <w:bCs/>
      <w:sz w:val="32"/>
      <w:szCs w:val="32"/>
    </w:rPr>
  </w:style>
  <w:style w:type="paragraph" w:styleId="NoSpacing">
    <w:name w:val="No Spacing"/>
    <w:aliases w:val="Double spacing"/>
    <w:link w:val="NoSpacingChar"/>
    <w:uiPriority w:val="1"/>
    <w:qFormat/>
    <w:rsid w:val="009A5814"/>
    <w:pPr>
      <w:spacing w:after="0" w:line="480" w:lineRule="auto"/>
      <w:contextualSpacing/>
    </w:pPr>
    <w:rPr>
      <w:rFonts w:ascii="Arial" w:hAnsi="Arial" w:cs="Arial"/>
      <w:sz w:val="24"/>
      <w:szCs w:val="24"/>
    </w:rPr>
  </w:style>
  <w:style w:type="character" w:customStyle="1" w:styleId="Heading2Char">
    <w:name w:val="Heading 2 Char"/>
    <w:basedOn w:val="DefaultParagraphFont"/>
    <w:link w:val="Heading2"/>
    <w:uiPriority w:val="9"/>
    <w:rsid w:val="002956BC"/>
    <w:rPr>
      <w:rFonts w:ascii="Arial" w:eastAsiaTheme="majorEastAsia" w:hAnsi="Arial" w:cs="Arial"/>
      <w:b/>
      <w:sz w:val="28"/>
      <w:szCs w:val="26"/>
    </w:rPr>
  </w:style>
  <w:style w:type="paragraph" w:customStyle="1" w:styleId="comp">
    <w:name w:val="comp"/>
    <w:basedOn w:val="Normal"/>
    <w:rsid w:val="00AE084E"/>
    <w:pPr>
      <w:spacing w:before="100" w:beforeAutospacing="1" w:after="100" w:afterAutospacing="1"/>
    </w:pPr>
    <w:rPr>
      <w:rFonts w:ascii="Times New Roman" w:eastAsia="Times New Roman" w:hAnsi="Times New Roman" w:cs="Times New Roman"/>
      <w:szCs w:val="24"/>
      <w:lang w:eastAsia="en-GB"/>
    </w:rPr>
  </w:style>
  <w:style w:type="character" w:customStyle="1" w:styleId="mntl-inline-citation">
    <w:name w:val="mntl-inline-citation"/>
    <w:basedOn w:val="DefaultParagraphFont"/>
    <w:rsid w:val="00AE084E"/>
  </w:style>
  <w:style w:type="paragraph" w:customStyle="1" w:styleId="EndNoteBibliographyTitle">
    <w:name w:val="EndNote Bibliography Title"/>
    <w:basedOn w:val="Normal"/>
    <w:link w:val="EndNoteBibliographyTitleChar"/>
    <w:rsid w:val="00160E9D"/>
    <w:pPr>
      <w:jc w:val="center"/>
    </w:pPr>
    <w:rPr>
      <w:rFonts w:cs="Arial"/>
      <w:noProof/>
      <w:lang w:val="en-US"/>
    </w:rPr>
  </w:style>
  <w:style w:type="character" w:customStyle="1" w:styleId="NoSpacingChar">
    <w:name w:val="No Spacing Char"/>
    <w:aliases w:val="Double spacing Char"/>
    <w:basedOn w:val="DefaultParagraphFont"/>
    <w:link w:val="NoSpacing"/>
    <w:uiPriority w:val="1"/>
    <w:rsid w:val="009A5814"/>
    <w:rPr>
      <w:rFonts w:ascii="Arial" w:hAnsi="Arial" w:cs="Arial"/>
      <w:sz w:val="24"/>
      <w:szCs w:val="24"/>
    </w:rPr>
  </w:style>
  <w:style w:type="character" w:customStyle="1" w:styleId="EndNoteBibliographyTitleChar">
    <w:name w:val="EndNote Bibliography Title Char"/>
    <w:basedOn w:val="NoSpacingChar"/>
    <w:link w:val="EndNoteBibliographyTitle"/>
    <w:rsid w:val="00160E9D"/>
    <w:rPr>
      <w:rFonts w:ascii="Arial" w:hAnsi="Arial" w:cs="Arial"/>
      <w:noProof/>
      <w:sz w:val="24"/>
      <w:szCs w:val="24"/>
      <w:lang w:val="en-US"/>
    </w:rPr>
  </w:style>
  <w:style w:type="paragraph" w:customStyle="1" w:styleId="EndNoteBibliography">
    <w:name w:val="EndNote Bibliography"/>
    <w:basedOn w:val="Normal"/>
    <w:link w:val="EndNoteBibliographyChar"/>
    <w:rsid w:val="00160E9D"/>
    <w:rPr>
      <w:rFonts w:cs="Arial"/>
      <w:noProof/>
      <w:lang w:val="en-US"/>
    </w:rPr>
  </w:style>
  <w:style w:type="character" w:customStyle="1" w:styleId="EndNoteBibliographyChar">
    <w:name w:val="EndNote Bibliography Char"/>
    <w:basedOn w:val="NoSpacingChar"/>
    <w:link w:val="EndNoteBibliography"/>
    <w:rsid w:val="00160E9D"/>
    <w:rPr>
      <w:rFonts w:ascii="Arial" w:hAnsi="Arial" w:cs="Arial"/>
      <w:noProof/>
      <w:sz w:val="24"/>
      <w:szCs w:val="24"/>
      <w:lang w:val="en-US"/>
    </w:rPr>
  </w:style>
  <w:style w:type="character" w:customStyle="1" w:styleId="app-emphasisitalic">
    <w:name w:val="app-emphasisitalic"/>
    <w:basedOn w:val="DefaultParagraphFont"/>
    <w:rsid w:val="00141745"/>
  </w:style>
  <w:style w:type="character" w:customStyle="1" w:styleId="app-citegroup">
    <w:name w:val="app-citegroup"/>
    <w:basedOn w:val="DefaultParagraphFont"/>
    <w:rsid w:val="002F43AB"/>
  </w:style>
  <w:style w:type="character" w:customStyle="1" w:styleId="app-cite">
    <w:name w:val="app-cite"/>
    <w:basedOn w:val="DefaultParagraphFont"/>
    <w:rsid w:val="002F43AB"/>
  </w:style>
  <w:style w:type="paragraph" w:customStyle="1" w:styleId="app-para">
    <w:name w:val="app-para"/>
    <w:basedOn w:val="Normal"/>
    <w:rsid w:val="00401954"/>
    <w:pPr>
      <w:spacing w:before="100" w:beforeAutospacing="1" w:after="100" w:afterAutospacing="1"/>
    </w:pPr>
    <w:rPr>
      <w:rFonts w:ascii="Times New Roman" w:eastAsia="Times New Roman" w:hAnsi="Times New Roman" w:cs="Times New Roman"/>
      <w:szCs w:val="24"/>
      <w:lang w:eastAsia="en-GB"/>
    </w:rPr>
  </w:style>
  <w:style w:type="character" w:customStyle="1" w:styleId="app-dsmdisordername">
    <w:name w:val="app-dsmdisordername"/>
    <w:basedOn w:val="DefaultParagraphFont"/>
    <w:rsid w:val="00401954"/>
  </w:style>
  <w:style w:type="character" w:styleId="UnresolvedMention">
    <w:name w:val="Unresolved Mention"/>
    <w:basedOn w:val="DefaultParagraphFont"/>
    <w:uiPriority w:val="99"/>
    <w:semiHidden/>
    <w:unhideWhenUsed/>
    <w:rsid w:val="00DB4985"/>
    <w:rPr>
      <w:color w:val="605E5C"/>
      <w:shd w:val="clear" w:color="auto" w:fill="E1DFDD"/>
    </w:rPr>
  </w:style>
  <w:style w:type="character" w:customStyle="1" w:styleId="anchor-text">
    <w:name w:val="anchor-text"/>
    <w:basedOn w:val="DefaultParagraphFont"/>
    <w:rsid w:val="00ED0677"/>
  </w:style>
  <w:style w:type="character" w:customStyle="1" w:styleId="Heading3Char">
    <w:name w:val="Heading 3 Char"/>
    <w:basedOn w:val="DefaultParagraphFont"/>
    <w:link w:val="Heading3"/>
    <w:uiPriority w:val="9"/>
    <w:rsid w:val="00985BE5"/>
    <w:rPr>
      <w:rFonts w:ascii="Arial" w:eastAsiaTheme="majorEastAsia" w:hAnsi="Arial" w:cstheme="majorBidi"/>
      <w:i/>
      <w:sz w:val="28"/>
      <w:szCs w:val="24"/>
    </w:rPr>
  </w:style>
  <w:style w:type="paragraph" w:styleId="TOCHeading">
    <w:name w:val="TOC Heading"/>
    <w:basedOn w:val="Heading1"/>
    <w:next w:val="Normal"/>
    <w:uiPriority w:val="39"/>
    <w:unhideWhenUsed/>
    <w:qFormat/>
    <w:rsid w:val="00765DC8"/>
    <w:pPr>
      <w:spacing w:line="259" w:lineRule="auto"/>
      <w:contextualSpacing w:val="0"/>
      <w:outlineLvl w:val="9"/>
    </w:pPr>
    <w:rPr>
      <w:rFonts w:asciiTheme="majorHAnsi" w:hAnsiTheme="majorHAnsi"/>
      <w:b w:val="0"/>
      <w:color w:val="2F5496" w:themeColor="accent1" w:themeShade="BF"/>
      <w:lang w:val="en-US"/>
    </w:rPr>
  </w:style>
  <w:style w:type="paragraph" w:styleId="TOC2">
    <w:name w:val="toc 2"/>
    <w:basedOn w:val="Normal"/>
    <w:next w:val="Normal"/>
    <w:autoRedefine/>
    <w:uiPriority w:val="39"/>
    <w:unhideWhenUsed/>
    <w:qFormat/>
    <w:rsid w:val="00765DC8"/>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qFormat/>
    <w:rsid w:val="00765DC8"/>
    <w:pPr>
      <w:spacing w:after="100" w:line="259" w:lineRule="auto"/>
    </w:pPr>
    <w:rPr>
      <w:rFonts w:eastAsiaTheme="minorEastAsia" w:cs="Times New Roman"/>
      <w:lang w:val="en-US"/>
    </w:rPr>
  </w:style>
  <w:style w:type="paragraph" w:styleId="TOC3">
    <w:name w:val="toc 3"/>
    <w:basedOn w:val="Normal"/>
    <w:next w:val="Normal"/>
    <w:autoRedefine/>
    <w:uiPriority w:val="39"/>
    <w:unhideWhenUsed/>
    <w:qFormat/>
    <w:rsid w:val="00765DC8"/>
    <w:pPr>
      <w:spacing w:after="100" w:line="259" w:lineRule="auto"/>
      <w:ind w:left="440"/>
    </w:pPr>
    <w:rPr>
      <w:rFonts w:eastAsiaTheme="minorEastAsia" w:cs="Times New Roman"/>
      <w:lang w:val="en-US"/>
    </w:rPr>
  </w:style>
  <w:style w:type="character" w:customStyle="1" w:styleId="Heading4Char">
    <w:name w:val="Heading 4 Char"/>
    <w:basedOn w:val="DefaultParagraphFont"/>
    <w:link w:val="Heading4"/>
    <w:uiPriority w:val="9"/>
    <w:rsid w:val="00FA2D0D"/>
    <w:rPr>
      <w:rFonts w:ascii="Arial" w:eastAsiaTheme="majorEastAsia" w:hAnsi="Arial" w:cstheme="majorBidi"/>
      <w:i/>
      <w:iCs/>
      <w:sz w:val="24"/>
      <w:szCs w:val="24"/>
    </w:rPr>
  </w:style>
  <w:style w:type="paragraph" w:customStyle="1" w:styleId="paragraph">
    <w:name w:val="paragraph"/>
    <w:basedOn w:val="Normal"/>
    <w:link w:val="paragraphChar"/>
    <w:rsid w:val="00D70B17"/>
    <w:pPr>
      <w:spacing w:before="100" w:beforeAutospacing="1" w:after="100" w:afterAutospacing="1"/>
    </w:pPr>
    <w:rPr>
      <w:rFonts w:ascii="Times New Roman" w:eastAsia="Times New Roman" w:hAnsi="Times New Roman" w:cs="Times New Roman"/>
      <w:szCs w:val="24"/>
      <w:lang w:eastAsia="en-GB"/>
    </w:rPr>
  </w:style>
  <w:style w:type="character" w:customStyle="1" w:styleId="paragraphChar">
    <w:name w:val="paragraph Char"/>
    <w:basedOn w:val="DefaultParagraphFont"/>
    <w:link w:val="paragraph"/>
    <w:rsid w:val="00D70B17"/>
    <w:rPr>
      <w:rFonts w:ascii="Times New Roman" w:eastAsia="Times New Roman" w:hAnsi="Times New Roman" w:cs="Times New Roman"/>
      <w:sz w:val="24"/>
      <w:szCs w:val="24"/>
      <w:lang w:eastAsia="en-GB"/>
    </w:rPr>
  </w:style>
  <w:style w:type="paragraph" w:styleId="Title">
    <w:name w:val="Title"/>
    <w:basedOn w:val="NoSpacing"/>
    <w:next w:val="NoSpacing"/>
    <w:link w:val="TitleChar"/>
    <w:autoRedefine/>
    <w:uiPriority w:val="10"/>
    <w:qFormat/>
    <w:rsid w:val="000561E1"/>
    <w:pPr>
      <w:spacing w:line="240" w:lineRule="auto"/>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0561E1"/>
    <w:rPr>
      <w:rFonts w:ascii="Arial" w:eastAsiaTheme="majorEastAsia" w:hAnsi="Arial" w:cstheme="majorBidi"/>
      <w:b/>
      <w:spacing w:val="-10"/>
      <w:kern w:val="28"/>
      <w:sz w:val="36"/>
      <w:szCs w:val="56"/>
    </w:rPr>
  </w:style>
  <w:style w:type="paragraph" w:styleId="ListParagraph">
    <w:name w:val="List Paragraph"/>
    <w:basedOn w:val="Normal"/>
    <w:uiPriority w:val="34"/>
    <w:qFormat/>
    <w:rsid w:val="00D15731"/>
    <w:pPr>
      <w:spacing w:after="160" w:line="259" w:lineRule="auto"/>
      <w:ind w:left="720"/>
    </w:pPr>
  </w:style>
  <w:style w:type="paragraph" w:styleId="CommentText">
    <w:name w:val="annotation text"/>
    <w:basedOn w:val="Normal"/>
    <w:link w:val="CommentTextChar"/>
    <w:uiPriority w:val="99"/>
    <w:unhideWhenUsed/>
    <w:rsid w:val="00D15731"/>
    <w:pPr>
      <w:spacing w:after="160"/>
    </w:pPr>
    <w:rPr>
      <w:sz w:val="20"/>
      <w:szCs w:val="20"/>
    </w:rPr>
  </w:style>
  <w:style w:type="character" w:customStyle="1" w:styleId="CommentTextChar">
    <w:name w:val="Comment Text Char"/>
    <w:basedOn w:val="DefaultParagraphFont"/>
    <w:link w:val="CommentText"/>
    <w:uiPriority w:val="99"/>
    <w:rsid w:val="00D15731"/>
    <w:rPr>
      <w:rFonts w:ascii="Arial" w:hAnsi="Arial"/>
      <w:sz w:val="20"/>
      <w:szCs w:val="20"/>
    </w:rPr>
  </w:style>
  <w:style w:type="paragraph" w:styleId="FootnoteText">
    <w:name w:val="footnote text"/>
    <w:basedOn w:val="Normal"/>
    <w:link w:val="FootnoteTextChar"/>
    <w:unhideWhenUsed/>
    <w:rsid w:val="00D15731"/>
    <w:rPr>
      <w:sz w:val="20"/>
      <w:szCs w:val="20"/>
    </w:rPr>
  </w:style>
  <w:style w:type="character" w:customStyle="1" w:styleId="FootnoteTextChar">
    <w:name w:val="Footnote Text Char"/>
    <w:basedOn w:val="DefaultParagraphFont"/>
    <w:link w:val="FootnoteText"/>
    <w:rsid w:val="00D15731"/>
    <w:rPr>
      <w:rFonts w:ascii="Arial" w:hAnsi="Arial"/>
      <w:sz w:val="20"/>
      <w:szCs w:val="20"/>
    </w:rPr>
  </w:style>
  <w:style w:type="character" w:styleId="FootnoteReference">
    <w:name w:val="footnote reference"/>
    <w:basedOn w:val="DefaultParagraphFont"/>
    <w:semiHidden/>
    <w:unhideWhenUsed/>
    <w:rsid w:val="00D15731"/>
    <w:rPr>
      <w:vertAlign w:val="superscript"/>
    </w:rPr>
  </w:style>
  <w:style w:type="character" w:customStyle="1" w:styleId="normaltextrun">
    <w:name w:val="normaltextrun"/>
    <w:basedOn w:val="DefaultParagraphFont"/>
    <w:rsid w:val="00D15731"/>
  </w:style>
  <w:style w:type="character" w:customStyle="1" w:styleId="eop">
    <w:name w:val="eop"/>
    <w:basedOn w:val="DefaultParagraphFont"/>
    <w:rsid w:val="00D15731"/>
  </w:style>
  <w:style w:type="character" w:styleId="CommentReference">
    <w:name w:val="annotation reference"/>
    <w:basedOn w:val="DefaultParagraphFont"/>
    <w:uiPriority w:val="99"/>
    <w:semiHidden/>
    <w:unhideWhenUsed/>
    <w:rsid w:val="00D15731"/>
    <w:rPr>
      <w:sz w:val="16"/>
      <w:szCs w:val="16"/>
    </w:rPr>
  </w:style>
  <w:style w:type="paragraph" w:styleId="Caption">
    <w:name w:val="caption"/>
    <w:basedOn w:val="Normal"/>
    <w:next w:val="Normal"/>
    <w:uiPriority w:val="35"/>
    <w:unhideWhenUsed/>
    <w:qFormat/>
    <w:rsid w:val="00D15731"/>
    <w:rPr>
      <w:b/>
      <w:bCs/>
      <w:color w:val="4472C4" w:themeColor="accent1"/>
      <w:sz w:val="18"/>
      <w:szCs w:val="18"/>
    </w:rPr>
  </w:style>
  <w:style w:type="paragraph" w:styleId="NormalWeb">
    <w:name w:val="Normal (Web)"/>
    <w:basedOn w:val="Normal"/>
    <w:uiPriority w:val="99"/>
    <w:unhideWhenUsed/>
    <w:rsid w:val="00D15731"/>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D15731"/>
    <w:rPr>
      <w:i/>
      <w:iCs/>
    </w:rPr>
  </w:style>
  <w:style w:type="character" w:customStyle="1" w:styleId="UnresolvedMention1">
    <w:name w:val="Unresolved Mention1"/>
    <w:basedOn w:val="DefaultParagraphFont"/>
    <w:uiPriority w:val="99"/>
    <w:unhideWhenUsed/>
    <w:rsid w:val="00D15731"/>
    <w:rPr>
      <w:color w:val="605E5C"/>
      <w:shd w:val="clear" w:color="auto" w:fill="E1DFDD"/>
    </w:rPr>
  </w:style>
  <w:style w:type="character" w:customStyle="1" w:styleId="show-for-sr">
    <w:name w:val="show-for-sr"/>
    <w:basedOn w:val="DefaultParagraphFont"/>
    <w:rsid w:val="00D15731"/>
  </w:style>
  <w:style w:type="character" w:styleId="FollowedHyperlink">
    <w:name w:val="FollowedHyperlink"/>
    <w:basedOn w:val="DefaultParagraphFont"/>
    <w:uiPriority w:val="99"/>
    <w:unhideWhenUsed/>
    <w:rsid w:val="00D1573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15731"/>
    <w:rPr>
      <w:b/>
      <w:bCs/>
    </w:rPr>
  </w:style>
  <w:style w:type="character" w:customStyle="1" w:styleId="CommentSubjectChar">
    <w:name w:val="Comment Subject Char"/>
    <w:basedOn w:val="CommentTextChar"/>
    <w:link w:val="CommentSubject"/>
    <w:uiPriority w:val="99"/>
    <w:semiHidden/>
    <w:rsid w:val="00D15731"/>
    <w:rPr>
      <w:rFonts w:ascii="Arial" w:hAnsi="Arial"/>
      <w:b/>
      <w:bCs/>
      <w:sz w:val="20"/>
      <w:szCs w:val="20"/>
    </w:rPr>
  </w:style>
  <w:style w:type="table" w:styleId="TableGrid">
    <w:name w:val="Table Grid"/>
    <w:basedOn w:val="TableNormal"/>
    <w:uiPriority w:val="39"/>
    <w:rsid w:val="00D15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3">
    <w:name w:val="number3"/>
    <w:basedOn w:val="DefaultParagraphFont"/>
    <w:rsid w:val="00D15731"/>
  </w:style>
  <w:style w:type="character" w:customStyle="1" w:styleId="UnresolvedMention2">
    <w:name w:val="Unresolved Mention2"/>
    <w:basedOn w:val="DefaultParagraphFont"/>
    <w:uiPriority w:val="99"/>
    <w:unhideWhenUsed/>
    <w:rsid w:val="00D15731"/>
    <w:rPr>
      <w:color w:val="605E5C"/>
      <w:shd w:val="clear" w:color="auto" w:fill="E1DFDD"/>
    </w:rPr>
  </w:style>
  <w:style w:type="character" w:styleId="Strong">
    <w:name w:val="Strong"/>
    <w:basedOn w:val="DefaultParagraphFont"/>
    <w:uiPriority w:val="22"/>
    <w:qFormat/>
    <w:rsid w:val="00D15731"/>
    <w:rPr>
      <w:b/>
      <w:bCs/>
    </w:rPr>
  </w:style>
  <w:style w:type="paragraph" w:customStyle="1" w:styleId="EndNoteCategoryHeading">
    <w:name w:val="EndNote Category Heading"/>
    <w:basedOn w:val="Normal"/>
    <w:link w:val="EndNoteCategoryHeadingChar"/>
    <w:rsid w:val="00D15731"/>
    <w:pPr>
      <w:spacing w:before="120" w:after="120" w:line="259" w:lineRule="auto"/>
    </w:pPr>
    <w:rPr>
      <w:b/>
    </w:rPr>
  </w:style>
  <w:style w:type="character" w:customStyle="1" w:styleId="EndNoteCategoryHeadingChar">
    <w:name w:val="EndNote Category Heading Char"/>
    <w:basedOn w:val="NoSpacingChar"/>
    <w:link w:val="EndNoteCategoryHeading"/>
    <w:rsid w:val="00D15731"/>
    <w:rPr>
      <w:rFonts w:ascii="Arial" w:hAnsi="Arial" w:cs="Arial"/>
      <w:b/>
      <w:sz w:val="24"/>
      <w:szCs w:val="24"/>
    </w:rPr>
  </w:style>
  <w:style w:type="paragraph" w:customStyle="1" w:styleId="EndNoteCategoryTitle">
    <w:name w:val="EndNote Category Title"/>
    <w:basedOn w:val="Normal"/>
    <w:link w:val="EndNoteCategoryTitleChar"/>
    <w:rsid w:val="00D15731"/>
    <w:pPr>
      <w:spacing w:before="120" w:after="120" w:line="259" w:lineRule="auto"/>
      <w:jc w:val="center"/>
    </w:pPr>
  </w:style>
  <w:style w:type="character" w:customStyle="1" w:styleId="EndNoteCategoryTitleChar">
    <w:name w:val="EndNote Category Title Char"/>
    <w:basedOn w:val="NoSpacingChar"/>
    <w:link w:val="EndNoteCategoryTitle"/>
    <w:rsid w:val="00D15731"/>
    <w:rPr>
      <w:rFonts w:ascii="Arial" w:hAnsi="Arial" w:cs="Arial"/>
      <w:sz w:val="24"/>
      <w:szCs w:val="24"/>
    </w:rPr>
  </w:style>
  <w:style w:type="character" w:customStyle="1" w:styleId="mathspan">
    <w:name w:val="mathspan"/>
    <w:basedOn w:val="DefaultParagraphFont"/>
    <w:rsid w:val="00D15731"/>
  </w:style>
  <w:style w:type="character" w:customStyle="1" w:styleId="mi">
    <w:name w:val="mi"/>
    <w:basedOn w:val="DefaultParagraphFont"/>
    <w:rsid w:val="00D15731"/>
  </w:style>
  <w:style w:type="character" w:customStyle="1" w:styleId="mjxassistivemathml">
    <w:name w:val="mjx_assistive_mathml"/>
    <w:basedOn w:val="DefaultParagraphFont"/>
    <w:rsid w:val="00D15731"/>
  </w:style>
  <w:style w:type="character" w:customStyle="1" w:styleId="ff91">
    <w:name w:val="ff91"/>
    <w:basedOn w:val="DefaultParagraphFont"/>
    <w:rsid w:val="00D15731"/>
    <w:rPr>
      <w:rFonts w:ascii="ff9" w:hAnsi="ff9" w:hint="default"/>
      <w:b w:val="0"/>
      <w:bCs w:val="0"/>
      <w:i w:val="0"/>
      <w:iCs w:val="0"/>
    </w:rPr>
  </w:style>
  <w:style w:type="character" w:customStyle="1" w:styleId="a">
    <w:name w:val="_"/>
    <w:basedOn w:val="DefaultParagraphFont"/>
    <w:rsid w:val="00D15731"/>
  </w:style>
  <w:style w:type="character" w:customStyle="1" w:styleId="ffc1">
    <w:name w:val="ffc1"/>
    <w:basedOn w:val="DefaultParagraphFont"/>
    <w:rsid w:val="00D15731"/>
    <w:rPr>
      <w:rFonts w:ascii="ffc" w:hAnsi="ffc" w:hint="default"/>
      <w:b w:val="0"/>
      <w:bCs w:val="0"/>
      <w:i w:val="0"/>
      <w:iCs w:val="0"/>
    </w:rPr>
  </w:style>
  <w:style w:type="character" w:customStyle="1" w:styleId="ffd1">
    <w:name w:val="ffd1"/>
    <w:basedOn w:val="DefaultParagraphFont"/>
    <w:rsid w:val="00D15731"/>
    <w:rPr>
      <w:rFonts w:ascii="ffd" w:hAnsi="ffd" w:hint="default"/>
      <w:b w:val="0"/>
      <w:bCs w:val="0"/>
      <w:i w:val="0"/>
      <w:iCs w:val="0"/>
    </w:rPr>
  </w:style>
  <w:style w:type="character" w:customStyle="1" w:styleId="ls121">
    <w:name w:val="ls121"/>
    <w:basedOn w:val="DefaultParagraphFont"/>
    <w:rsid w:val="00D15731"/>
    <w:rPr>
      <w:spacing w:val="-7"/>
    </w:rPr>
  </w:style>
  <w:style w:type="character" w:customStyle="1" w:styleId="ls261">
    <w:name w:val="ls261"/>
    <w:basedOn w:val="DefaultParagraphFont"/>
    <w:rsid w:val="00D15731"/>
    <w:rPr>
      <w:spacing w:val="-12"/>
    </w:rPr>
  </w:style>
  <w:style w:type="paragraph" w:styleId="Revision">
    <w:name w:val="Revision"/>
    <w:hidden/>
    <w:uiPriority w:val="99"/>
    <w:semiHidden/>
    <w:rsid w:val="00D15731"/>
    <w:pPr>
      <w:spacing w:after="0" w:line="240" w:lineRule="auto"/>
    </w:pPr>
    <w:rPr>
      <w:rFonts w:ascii="Arial" w:hAnsi="Arial"/>
      <w:sz w:val="24"/>
    </w:rPr>
  </w:style>
  <w:style w:type="character" w:customStyle="1" w:styleId="scxw63888116">
    <w:name w:val="scxw63888116"/>
    <w:basedOn w:val="DefaultParagraphFont"/>
    <w:rsid w:val="00D15731"/>
  </w:style>
  <w:style w:type="character" w:customStyle="1" w:styleId="UnresolvedMention3">
    <w:name w:val="Unresolved Mention3"/>
    <w:basedOn w:val="DefaultParagraphFont"/>
    <w:uiPriority w:val="99"/>
    <w:semiHidden/>
    <w:unhideWhenUsed/>
    <w:rsid w:val="00D15731"/>
    <w:rPr>
      <w:color w:val="605E5C"/>
      <w:shd w:val="clear" w:color="auto" w:fill="E1DFDD"/>
    </w:rPr>
  </w:style>
  <w:style w:type="character" w:customStyle="1" w:styleId="findhit">
    <w:name w:val="findhit"/>
    <w:basedOn w:val="DefaultParagraphFont"/>
    <w:rsid w:val="00D15731"/>
  </w:style>
  <w:style w:type="character" w:customStyle="1" w:styleId="cf01">
    <w:name w:val="cf01"/>
    <w:basedOn w:val="DefaultParagraphFont"/>
    <w:rsid w:val="00E42B3C"/>
    <w:rPr>
      <w:rFonts w:ascii="Segoe UI" w:hAnsi="Segoe UI" w:cs="Segoe UI" w:hint="default"/>
      <w:sz w:val="18"/>
      <w:szCs w:val="18"/>
    </w:rPr>
  </w:style>
  <w:style w:type="paragraph" w:styleId="TableofFigures">
    <w:name w:val="table of figures"/>
    <w:basedOn w:val="Normal"/>
    <w:next w:val="Normal"/>
    <w:uiPriority w:val="99"/>
    <w:unhideWhenUsed/>
    <w:rsid w:val="00610F4B"/>
    <w:pPr>
      <w:ind w:left="480" w:hanging="480"/>
    </w:pPr>
    <w:rPr>
      <w:rFonts w:cstheme="minorHAnsi"/>
      <w:bCs/>
      <w:sz w:val="20"/>
      <w:szCs w:val="20"/>
    </w:rPr>
  </w:style>
  <w:style w:type="character" w:customStyle="1" w:styleId="number">
    <w:name w:val="number"/>
    <w:basedOn w:val="DefaultParagraphFont"/>
    <w:rsid w:val="00541556"/>
  </w:style>
  <w:style w:type="paragraph" w:customStyle="1" w:styleId="xmsonormal">
    <w:name w:val="x_msonormal"/>
    <w:basedOn w:val="Normal"/>
    <w:rsid w:val="00EC294A"/>
    <w:pPr>
      <w:contextualSpacing w:val="0"/>
    </w:pPr>
    <w:rPr>
      <w:rFonts w:ascii="Calibri" w:hAnsi="Calibri" w:cs="Calibri"/>
      <w:sz w:val="22"/>
      <w:lang w:eastAsia="en-GB"/>
    </w:rPr>
  </w:style>
  <w:style w:type="paragraph" w:customStyle="1" w:styleId="xmsolistparagraph">
    <w:name w:val="x_msolistparagraph"/>
    <w:basedOn w:val="Normal"/>
    <w:rsid w:val="00EC294A"/>
    <w:pPr>
      <w:spacing w:before="100" w:beforeAutospacing="1" w:after="100" w:afterAutospacing="1"/>
      <w:contextualSpacing w:val="0"/>
    </w:pPr>
    <w:rPr>
      <w:rFonts w:ascii="Times New Roman" w:eastAsia="Times New Roman" w:hAnsi="Times New Roman" w:cs="Times New Roman"/>
      <w:szCs w:val="24"/>
      <w:lang w:eastAsia="en-GB"/>
    </w:rPr>
  </w:style>
  <w:style w:type="character" w:customStyle="1" w:styleId="Heading5Char">
    <w:name w:val="Heading 5 Char"/>
    <w:basedOn w:val="DefaultParagraphFont"/>
    <w:link w:val="Heading5"/>
    <w:uiPriority w:val="9"/>
    <w:rsid w:val="00D92398"/>
    <w:rPr>
      <w:rFonts w:ascii="Arial" w:eastAsiaTheme="majorEastAsia" w:hAnsi="Arial" w:cstheme="majorBidi"/>
      <w:sz w:val="24"/>
    </w:rPr>
  </w:style>
  <w:style w:type="character" w:customStyle="1" w:styleId="Heading6Char">
    <w:name w:val="Heading 6 Char"/>
    <w:basedOn w:val="DefaultParagraphFont"/>
    <w:link w:val="Heading6"/>
    <w:uiPriority w:val="9"/>
    <w:rsid w:val="002848C9"/>
    <w:rPr>
      <w:rFonts w:asciiTheme="majorHAnsi" w:eastAsiaTheme="majorEastAsia" w:hAnsiTheme="majorHAnsi" w:cstheme="majorBidi"/>
      <w:i/>
      <w:iCs/>
      <w:color w:val="1F3763" w:themeColor="accent1" w:themeShade="7F"/>
      <w:sz w:val="24"/>
    </w:rPr>
  </w:style>
  <w:style w:type="character" w:customStyle="1" w:styleId="Heading7Char">
    <w:name w:val="Heading 7 Char"/>
    <w:aliases w:val="Appendix Char"/>
    <w:basedOn w:val="DefaultParagraphFont"/>
    <w:link w:val="Heading7"/>
    <w:uiPriority w:val="9"/>
    <w:rsid w:val="002848C9"/>
    <w:rPr>
      <w:rFonts w:ascii="Arial" w:eastAsiaTheme="majorEastAsia" w:hAnsi="Arial" w:cstheme="majorBidi"/>
      <w:i/>
      <w:iCs/>
      <w:sz w:val="28"/>
    </w:rPr>
  </w:style>
  <w:style w:type="character" w:customStyle="1" w:styleId="Heading8Char">
    <w:name w:val="Heading 8 Char"/>
    <w:basedOn w:val="DefaultParagraphFont"/>
    <w:link w:val="Heading8"/>
    <w:uiPriority w:val="9"/>
    <w:rsid w:val="002848C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848C9"/>
    <w:rPr>
      <w:rFonts w:asciiTheme="majorHAnsi" w:eastAsiaTheme="majorEastAsia" w:hAnsiTheme="majorHAnsi" w:cstheme="majorBidi"/>
      <w:i/>
      <w:iCs/>
      <w:color w:val="404040" w:themeColor="text1" w:themeTint="BF"/>
      <w:sz w:val="20"/>
      <w:szCs w:val="20"/>
    </w:rPr>
  </w:style>
  <w:style w:type="character" w:customStyle="1" w:styleId="current-selection">
    <w:name w:val="current-selection"/>
    <w:basedOn w:val="DefaultParagraphFont"/>
    <w:rsid w:val="002848C9"/>
  </w:style>
  <w:style w:type="character" w:customStyle="1" w:styleId="ff6">
    <w:name w:val="ff6"/>
    <w:basedOn w:val="DefaultParagraphFont"/>
    <w:rsid w:val="002848C9"/>
  </w:style>
  <w:style w:type="character" w:customStyle="1" w:styleId="ff5">
    <w:name w:val="ff5"/>
    <w:basedOn w:val="DefaultParagraphFont"/>
    <w:rsid w:val="002848C9"/>
  </w:style>
  <w:style w:type="character" w:customStyle="1" w:styleId="ff7">
    <w:name w:val="ff7"/>
    <w:basedOn w:val="DefaultParagraphFont"/>
    <w:rsid w:val="002848C9"/>
  </w:style>
  <w:style w:type="character" w:customStyle="1" w:styleId="enhanced-reference">
    <w:name w:val="enhanced-reference"/>
    <w:basedOn w:val="DefaultParagraphFont"/>
    <w:rsid w:val="002848C9"/>
  </w:style>
  <w:style w:type="paragraph" w:customStyle="1" w:styleId="smalltext">
    <w:name w:val="smalltext"/>
    <w:basedOn w:val="Normal"/>
    <w:rsid w:val="002848C9"/>
    <w:pPr>
      <w:spacing w:before="100" w:beforeAutospacing="1" w:after="100" w:afterAutospacing="1"/>
      <w:contextualSpacing w:val="0"/>
    </w:pPr>
    <w:rPr>
      <w:rFonts w:ascii="Times New Roman" w:eastAsia="Times New Roman" w:hAnsi="Times New Roman" w:cs="Times New Roman"/>
      <w:szCs w:val="24"/>
      <w:lang w:eastAsia="en-GB"/>
    </w:rPr>
  </w:style>
  <w:style w:type="paragraph" w:customStyle="1" w:styleId="Default">
    <w:name w:val="Default"/>
    <w:rsid w:val="002848C9"/>
    <w:pPr>
      <w:autoSpaceDE w:val="0"/>
      <w:autoSpaceDN w:val="0"/>
      <w:adjustRightInd w:val="0"/>
      <w:spacing w:after="0" w:line="240" w:lineRule="auto"/>
    </w:pPr>
    <w:rPr>
      <w:rFonts w:ascii="Arial" w:hAnsi="Arial" w:cs="Arial"/>
      <w:color w:val="000000"/>
      <w:sz w:val="24"/>
      <w:szCs w:val="24"/>
    </w:rPr>
  </w:style>
  <w:style w:type="paragraph" w:customStyle="1" w:styleId="p">
    <w:name w:val="p"/>
    <w:basedOn w:val="Normal"/>
    <w:rsid w:val="002848C9"/>
    <w:pPr>
      <w:spacing w:before="100" w:beforeAutospacing="1" w:after="100" w:afterAutospacing="1"/>
      <w:contextualSpacing w:val="0"/>
    </w:pPr>
    <w:rPr>
      <w:rFonts w:ascii="Times New Roman" w:eastAsia="Times New Roman" w:hAnsi="Times New Roman" w:cs="Times New Roman"/>
      <w:szCs w:val="24"/>
      <w:lang w:eastAsia="en-GB"/>
    </w:rPr>
  </w:style>
  <w:style w:type="character" w:customStyle="1" w:styleId="text-tip">
    <w:name w:val="text-tip"/>
    <w:basedOn w:val="DefaultParagraphFont"/>
    <w:rsid w:val="002848C9"/>
  </w:style>
  <w:style w:type="paragraph" w:customStyle="1" w:styleId="para">
    <w:name w:val="para"/>
    <w:basedOn w:val="Normal"/>
    <w:rsid w:val="002848C9"/>
    <w:pPr>
      <w:spacing w:before="100" w:beforeAutospacing="1" w:after="100" w:afterAutospacing="1"/>
      <w:contextualSpacing w:val="0"/>
    </w:pPr>
    <w:rPr>
      <w:rFonts w:ascii="Times New Roman" w:eastAsia="Times New Roman" w:hAnsi="Times New Roman" w:cs="Times New Roman"/>
      <w:szCs w:val="24"/>
      <w:lang w:eastAsia="en-GB"/>
    </w:rPr>
  </w:style>
  <w:style w:type="character" w:customStyle="1" w:styleId="title-text">
    <w:name w:val="title-text"/>
    <w:basedOn w:val="DefaultParagraphFont"/>
    <w:rsid w:val="002848C9"/>
  </w:style>
  <w:style w:type="character" w:customStyle="1" w:styleId="ref-lnk">
    <w:name w:val="ref-lnk"/>
    <w:basedOn w:val="DefaultParagraphFont"/>
    <w:rsid w:val="002848C9"/>
  </w:style>
  <w:style w:type="character" w:customStyle="1" w:styleId="ref-overlay">
    <w:name w:val="ref-overlay"/>
    <w:basedOn w:val="DefaultParagraphFont"/>
    <w:rsid w:val="002848C9"/>
  </w:style>
  <w:style w:type="character" w:customStyle="1" w:styleId="hlfld-contribauthor">
    <w:name w:val="hlfld-contribauthor"/>
    <w:basedOn w:val="DefaultParagraphFont"/>
    <w:rsid w:val="002848C9"/>
  </w:style>
  <w:style w:type="character" w:customStyle="1" w:styleId="nlmgiven-names">
    <w:name w:val="nlm_given-names"/>
    <w:basedOn w:val="DefaultParagraphFont"/>
    <w:rsid w:val="002848C9"/>
  </w:style>
  <w:style w:type="character" w:customStyle="1" w:styleId="nlmyear">
    <w:name w:val="nlm_year"/>
    <w:basedOn w:val="DefaultParagraphFont"/>
    <w:rsid w:val="002848C9"/>
  </w:style>
  <w:style w:type="character" w:customStyle="1" w:styleId="nlmarticle-title">
    <w:name w:val="nlm_article-title"/>
    <w:basedOn w:val="DefaultParagraphFont"/>
    <w:rsid w:val="002848C9"/>
  </w:style>
  <w:style w:type="character" w:customStyle="1" w:styleId="nlmfpage">
    <w:name w:val="nlm_fpage"/>
    <w:basedOn w:val="DefaultParagraphFont"/>
    <w:rsid w:val="002848C9"/>
  </w:style>
  <w:style w:type="character" w:customStyle="1" w:styleId="nlmlpage">
    <w:name w:val="nlm_lpage"/>
    <w:basedOn w:val="DefaultParagraphFont"/>
    <w:rsid w:val="002848C9"/>
  </w:style>
  <w:style w:type="character" w:customStyle="1" w:styleId="ref-links">
    <w:name w:val="ref-links"/>
    <w:basedOn w:val="DefaultParagraphFont"/>
    <w:rsid w:val="002848C9"/>
  </w:style>
  <w:style w:type="character" w:customStyle="1" w:styleId="xlinks-container">
    <w:name w:val="xlinks-container"/>
    <w:basedOn w:val="DefaultParagraphFont"/>
    <w:rsid w:val="002848C9"/>
  </w:style>
  <w:style w:type="character" w:customStyle="1" w:styleId="googlescholar-container">
    <w:name w:val="googlescholar-container"/>
    <w:basedOn w:val="DefaultParagraphFont"/>
    <w:rsid w:val="002848C9"/>
  </w:style>
  <w:style w:type="character" w:customStyle="1" w:styleId="nlmpublisher-loc">
    <w:name w:val="nlm_publisher-loc"/>
    <w:basedOn w:val="DefaultParagraphFont"/>
    <w:rsid w:val="002848C9"/>
  </w:style>
  <w:style w:type="character" w:customStyle="1" w:styleId="nlmpublisher-name">
    <w:name w:val="nlm_publisher-name"/>
    <w:basedOn w:val="DefaultParagraphFont"/>
    <w:rsid w:val="002848C9"/>
  </w:style>
  <w:style w:type="character" w:customStyle="1" w:styleId="internalref">
    <w:name w:val="internalref"/>
    <w:basedOn w:val="DefaultParagraphFont"/>
    <w:rsid w:val="002848C9"/>
  </w:style>
  <w:style w:type="character" w:customStyle="1" w:styleId="label">
    <w:name w:val="label"/>
    <w:basedOn w:val="DefaultParagraphFont"/>
    <w:rsid w:val="002848C9"/>
  </w:style>
  <w:style w:type="character" w:customStyle="1" w:styleId="lt-line-clampline">
    <w:name w:val="lt-line-clamp__line"/>
    <w:basedOn w:val="DefaultParagraphFont"/>
    <w:rsid w:val="002848C9"/>
  </w:style>
  <w:style w:type="numbering" w:customStyle="1" w:styleId="NoList1">
    <w:name w:val="No List1"/>
    <w:next w:val="NoList"/>
    <w:uiPriority w:val="99"/>
    <w:semiHidden/>
    <w:unhideWhenUsed/>
    <w:rsid w:val="002848C9"/>
  </w:style>
  <w:style w:type="paragraph" w:customStyle="1" w:styleId="head1">
    <w:name w:val="head1"/>
    <w:basedOn w:val="Normal"/>
    <w:next w:val="Normal"/>
    <w:autoRedefine/>
    <w:rsid w:val="002848C9"/>
    <w:pPr>
      <w:pageBreakBefore/>
      <w:numPr>
        <w:numId w:val="14"/>
      </w:numPr>
      <w:spacing w:before="120" w:after="120"/>
      <w:contextualSpacing w:val="0"/>
      <w:outlineLvl w:val="0"/>
    </w:pPr>
    <w:rPr>
      <w:rFonts w:ascii="Calibri" w:eastAsia="Times New Roman" w:hAnsi="Calibri" w:cs="Times New Roman"/>
      <w:b/>
      <w:caps/>
      <w:sz w:val="22"/>
    </w:rPr>
  </w:style>
  <w:style w:type="paragraph" w:customStyle="1" w:styleId="head2">
    <w:name w:val="head2"/>
    <w:basedOn w:val="head1"/>
    <w:next w:val="Normal"/>
    <w:rsid w:val="002848C9"/>
    <w:pPr>
      <w:keepNext/>
      <w:pageBreakBefore w:val="0"/>
      <w:numPr>
        <w:ilvl w:val="1"/>
      </w:numPr>
      <w:outlineLvl w:val="1"/>
    </w:pPr>
  </w:style>
  <w:style w:type="paragraph" w:customStyle="1" w:styleId="head1a">
    <w:name w:val="head1a"/>
    <w:basedOn w:val="Normal"/>
    <w:next w:val="Normal"/>
    <w:link w:val="head1aChar"/>
    <w:autoRedefine/>
    <w:rsid w:val="002848C9"/>
    <w:pPr>
      <w:keepLines/>
      <w:pageBreakBefore/>
      <w:spacing w:before="240" w:after="360"/>
      <w:ind w:left="567"/>
      <w:contextualSpacing w:val="0"/>
      <w:jc w:val="center"/>
    </w:pPr>
    <w:rPr>
      <w:rFonts w:ascii="Calibri" w:eastAsia="Times New Roman" w:hAnsi="Calibri" w:cs="Times New Roman"/>
      <w:b/>
      <w:caps/>
    </w:rPr>
  </w:style>
  <w:style w:type="paragraph" w:customStyle="1" w:styleId="head3">
    <w:name w:val="head3"/>
    <w:basedOn w:val="head2"/>
    <w:next w:val="Normal"/>
    <w:autoRedefine/>
    <w:rsid w:val="002848C9"/>
    <w:pPr>
      <w:widowControl w:val="0"/>
      <w:numPr>
        <w:ilvl w:val="0"/>
        <w:numId w:val="0"/>
      </w:numPr>
      <w:spacing w:before="0" w:after="0"/>
      <w:ind w:left="567"/>
      <w:outlineLvl w:val="2"/>
    </w:pPr>
    <w:rPr>
      <w:caps w:val="0"/>
    </w:rPr>
  </w:style>
  <w:style w:type="paragraph" w:customStyle="1" w:styleId="Binocarpara">
    <w:name w:val="Binocar para"/>
    <w:basedOn w:val="Normal"/>
    <w:link w:val="BinocarparaChar"/>
    <w:qFormat/>
    <w:rsid w:val="002848C9"/>
    <w:pPr>
      <w:keepLines/>
      <w:spacing w:after="200"/>
      <w:ind w:left="567"/>
      <w:contextualSpacing w:val="0"/>
      <w:jc w:val="both"/>
    </w:pPr>
    <w:rPr>
      <w:rFonts w:ascii="Calibri" w:eastAsia="Times New Roman" w:hAnsi="Calibri" w:cs="Times New Roman"/>
      <w:sz w:val="22"/>
    </w:rPr>
  </w:style>
  <w:style w:type="character" w:customStyle="1" w:styleId="head1aChar">
    <w:name w:val="head1a Char"/>
    <w:basedOn w:val="DefaultParagraphFont"/>
    <w:link w:val="head1a"/>
    <w:rsid w:val="002848C9"/>
    <w:rPr>
      <w:rFonts w:ascii="Calibri" w:eastAsia="Times New Roman" w:hAnsi="Calibri" w:cs="Times New Roman"/>
      <w:b/>
      <w:caps/>
      <w:sz w:val="24"/>
    </w:rPr>
  </w:style>
  <w:style w:type="paragraph" w:styleId="BodyTextIndent2">
    <w:name w:val="Body Text Indent 2"/>
    <w:basedOn w:val="Normal"/>
    <w:link w:val="BodyTextIndent2Char"/>
    <w:rsid w:val="002848C9"/>
    <w:pPr>
      <w:spacing w:line="480" w:lineRule="auto"/>
      <w:ind w:left="1440" w:firstLine="720"/>
      <w:contextualSpacing w:val="0"/>
    </w:pPr>
    <w:rPr>
      <w:rFonts w:eastAsia="Times New Roman" w:cs="Arial"/>
      <w:color w:val="000000"/>
      <w:szCs w:val="24"/>
    </w:rPr>
  </w:style>
  <w:style w:type="character" w:customStyle="1" w:styleId="BodyTextIndent2Char">
    <w:name w:val="Body Text Indent 2 Char"/>
    <w:basedOn w:val="DefaultParagraphFont"/>
    <w:link w:val="BodyTextIndent2"/>
    <w:rsid w:val="002848C9"/>
    <w:rPr>
      <w:rFonts w:ascii="Arial" w:eastAsia="Times New Roman" w:hAnsi="Arial" w:cs="Arial"/>
      <w:color w:val="000000"/>
      <w:sz w:val="24"/>
      <w:szCs w:val="24"/>
    </w:rPr>
  </w:style>
  <w:style w:type="paragraph" w:styleId="EndnoteText">
    <w:name w:val="endnote text"/>
    <w:basedOn w:val="Normal"/>
    <w:link w:val="EndnoteTextChar"/>
    <w:semiHidden/>
    <w:rsid w:val="002848C9"/>
    <w:pPr>
      <w:spacing w:line="360" w:lineRule="auto"/>
      <w:contextualSpacing w:val="0"/>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sid w:val="002848C9"/>
    <w:rPr>
      <w:rFonts w:ascii="Times New Roman" w:eastAsia="Times New Roman" w:hAnsi="Times New Roman" w:cs="Times New Roman"/>
      <w:sz w:val="20"/>
      <w:szCs w:val="20"/>
      <w:lang w:eastAsia="en-GB"/>
    </w:rPr>
  </w:style>
  <w:style w:type="character" w:styleId="EndnoteReference">
    <w:name w:val="endnote reference"/>
    <w:semiHidden/>
    <w:rsid w:val="002848C9"/>
    <w:rPr>
      <w:vertAlign w:val="superscript"/>
    </w:rPr>
  </w:style>
  <w:style w:type="paragraph" w:customStyle="1" w:styleId="subheading3">
    <w:name w:val="subheading3"/>
    <w:basedOn w:val="Normal"/>
    <w:rsid w:val="002848C9"/>
    <w:pPr>
      <w:numPr>
        <w:ilvl w:val="1"/>
        <w:numId w:val="5"/>
      </w:numPr>
      <w:spacing w:line="360" w:lineRule="auto"/>
      <w:contextualSpacing w:val="0"/>
      <w:jc w:val="both"/>
    </w:pPr>
    <w:rPr>
      <w:rFonts w:ascii="Times New Roman" w:eastAsia="Times New Roman" w:hAnsi="Times New Roman" w:cs="Times New Roman"/>
      <w:szCs w:val="20"/>
      <w:u w:val="single"/>
      <w:lang w:eastAsia="en-GB"/>
    </w:rPr>
  </w:style>
  <w:style w:type="paragraph" w:customStyle="1" w:styleId="subheading4">
    <w:name w:val="subheading 4"/>
    <w:basedOn w:val="subheading3"/>
    <w:rsid w:val="002848C9"/>
    <w:pPr>
      <w:numPr>
        <w:numId w:val="6"/>
      </w:numPr>
    </w:pPr>
  </w:style>
  <w:style w:type="character" w:styleId="PageNumber">
    <w:name w:val="page number"/>
    <w:basedOn w:val="DefaultParagraphFont"/>
    <w:rsid w:val="002848C9"/>
  </w:style>
  <w:style w:type="paragraph" w:customStyle="1" w:styleId="chapterheading">
    <w:name w:val="chapter heading"/>
    <w:basedOn w:val="Normal"/>
    <w:link w:val="chapterheadingChar"/>
    <w:rsid w:val="002848C9"/>
    <w:pPr>
      <w:numPr>
        <w:numId w:val="7"/>
      </w:numPr>
      <w:spacing w:line="360" w:lineRule="auto"/>
      <w:contextualSpacing w:val="0"/>
      <w:jc w:val="both"/>
    </w:pPr>
    <w:rPr>
      <w:rFonts w:ascii="Times New Roman" w:eastAsia="Times New Roman" w:hAnsi="Times New Roman" w:cs="Times New Roman"/>
      <w:b/>
      <w:sz w:val="28"/>
      <w:szCs w:val="20"/>
    </w:rPr>
  </w:style>
  <w:style w:type="paragraph" w:customStyle="1" w:styleId="subheading">
    <w:name w:val="subheading"/>
    <w:basedOn w:val="Normal"/>
    <w:rsid w:val="002848C9"/>
    <w:pPr>
      <w:spacing w:line="360" w:lineRule="auto"/>
      <w:contextualSpacing w:val="0"/>
      <w:jc w:val="both"/>
    </w:pPr>
    <w:rPr>
      <w:rFonts w:ascii="Times New Roman" w:eastAsia="Times New Roman" w:hAnsi="Times New Roman" w:cs="Times New Roman"/>
      <w:szCs w:val="20"/>
    </w:rPr>
  </w:style>
  <w:style w:type="paragraph" w:styleId="BodyText">
    <w:name w:val="Body Text"/>
    <w:basedOn w:val="Normal"/>
    <w:link w:val="BodyTextChar"/>
    <w:rsid w:val="002848C9"/>
    <w:pPr>
      <w:contextualSpacing w:val="0"/>
      <w:jc w:val="both"/>
    </w:pPr>
    <w:rPr>
      <w:rFonts w:eastAsia="Times New Roman" w:cs="Arial"/>
      <w:sz w:val="22"/>
      <w:lang w:eastAsia="en-GB"/>
    </w:rPr>
  </w:style>
  <w:style w:type="character" w:customStyle="1" w:styleId="BodyTextChar">
    <w:name w:val="Body Text Char"/>
    <w:basedOn w:val="DefaultParagraphFont"/>
    <w:link w:val="BodyText"/>
    <w:rsid w:val="002848C9"/>
    <w:rPr>
      <w:rFonts w:ascii="Arial" w:eastAsia="Times New Roman" w:hAnsi="Arial" w:cs="Arial"/>
      <w:lang w:eastAsia="en-GB"/>
    </w:rPr>
  </w:style>
  <w:style w:type="paragraph" w:styleId="BodyText2">
    <w:name w:val="Body Text 2"/>
    <w:basedOn w:val="Normal"/>
    <w:link w:val="BodyText2Char"/>
    <w:rsid w:val="002848C9"/>
    <w:pPr>
      <w:spacing w:after="120" w:line="480" w:lineRule="auto"/>
      <w:contextualSpacing w:val="0"/>
    </w:pPr>
    <w:rPr>
      <w:rFonts w:eastAsia="Times New Roman" w:cs="Arial"/>
      <w:sz w:val="22"/>
      <w:lang w:eastAsia="en-GB"/>
    </w:rPr>
  </w:style>
  <w:style w:type="character" w:customStyle="1" w:styleId="BodyText2Char">
    <w:name w:val="Body Text 2 Char"/>
    <w:basedOn w:val="DefaultParagraphFont"/>
    <w:link w:val="BodyText2"/>
    <w:rsid w:val="002848C9"/>
    <w:rPr>
      <w:rFonts w:ascii="Arial" w:eastAsia="Times New Roman" w:hAnsi="Arial" w:cs="Arial"/>
      <w:lang w:eastAsia="en-GB"/>
    </w:rPr>
  </w:style>
  <w:style w:type="paragraph" w:styleId="BodyTextIndent">
    <w:name w:val="Body Text Indent"/>
    <w:basedOn w:val="Normal"/>
    <w:link w:val="BodyTextIndentChar"/>
    <w:rsid w:val="002848C9"/>
    <w:pPr>
      <w:spacing w:after="120"/>
      <w:ind w:left="283"/>
      <w:contextualSpacing w:val="0"/>
    </w:pPr>
    <w:rPr>
      <w:rFonts w:eastAsia="Times New Roman" w:cs="Arial"/>
      <w:sz w:val="22"/>
      <w:lang w:eastAsia="en-GB"/>
    </w:rPr>
  </w:style>
  <w:style w:type="character" w:customStyle="1" w:styleId="BodyTextIndentChar">
    <w:name w:val="Body Text Indent Char"/>
    <w:basedOn w:val="DefaultParagraphFont"/>
    <w:link w:val="BodyTextIndent"/>
    <w:rsid w:val="002848C9"/>
    <w:rPr>
      <w:rFonts w:ascii="Arial" w:eastAsia="Times New Roman" w:hAnsi="Arial" w:cs="Arial"/>
      <w:lang w:eastAsia="en-GB"/>
    </w:rPr>
  </w:style>
  <w:style w:type="paragraph" w:customStyle="1" w:styleId="subheading5">
    <w:name w:val="subheading5"/>
    <w:basedOn w:val="subheading3"/>
    <w:rsid w:val="002848C9"/>
    <w:pPr>
      <w:numPr>
        <w:numId w:val="8"/>
      </w:numPr>
    </w:pPr>
  </w:style>
  <w:style w:type="paragraph" w:customStyle="1" w:styleId="subheading2">
    <w:name w:val="subheading2"/>
    <w:basedOn w:val="subheading3"/>
    <w:rsid w:val="002848C9"/>
    <w:pPr>
      <w:numPr>
        <w:numId w:val="9"/>
      </w:numPr>
    </w:pPr>
  </w:style>
  <w:style w:type="paragraph" w:styleId="BodyText3">
    <w:name w:val="Body Text 3"/>
    <w:basedOn w:val="Normal"/>
    <w:link w:val="BodyText3Char"/>
    <w:rsid w:val="002848C9"/>
    <w:pPr>
      <w:keepNext/>
      <w:keepLines/>
      <w:contextualSpacing w:val="0"/>
      <w:jc w:val="both"/>
    </w:pPr>
    <w:rPr>
      <w:rFonts w:eastAsia="Times New Roman" w:cs="Arial"/>
      <w:color w:val="000000"/>
      <w:sz w:val="22"/>
      <w:lang w:eastAsia="en-GB"/>
    </w:rPr>
  </w:style>
  <w:style w:type="character" w:customStyle="1" w:styleId="BodyText3Char">
    <w:name w:val="Body Text 3 Char"/>
    <w:basedOn w:val="DefaultParagraphFont"/>
    <w:link w:val="BodyText3"/>
    <w:rsid w:val="002848C9"/>
    <w:rPr>
      <w:rFonts w:ascii="Arial" w:eastAsia="Times New Roman" w:hAnsi="Arial" w:cs="Arial"/>
      <w:color w:val="000000"/>
      <w:lang w:eastAsia="en-GB"/>
    </w:rPr>
  </w:style>
  <w:style w:type="paragraph" w:styleId="BodyTextIndent3">
    <w:name w:val="Body Text Indent 3"/>
    <w:basedOn w:val="Normal"/>
    <w:link w:val="BodyTextIndent3Char"/>
    <w:rsid w:val="002848C9"/>
    <w:pPr>
      <w:ind w:left="225"/>
      <w:contextualSpacing w:val="0"/>
    </w:pPr>
    <w:rPr>
      <w:rFonts w:eastAsia="Times New Roman" w:cs="Arial"/>
      <w:color w:val="000000"/>
      <w:sz w:val="22"/>
      <w:lang w:eastAsia="en-GB"/>
    </w:rPr>
  </w:style>
  <w:style w:type="character" w:customStyle="1" w:styleId="BodyTextIndent3Char">
    <w:name w:val="Body Text Indent 3 Char"/>
    <w:basedOn w:val="DefaultParagraphFont"/>
    <w:link w:val="BodyTextIndent3"/>
    <w:rsid w:val="002848C9"/>
    <w:rPr>
      <w:rFonts w:ascii="Arial" w:eastAsia="Times New Roman" w:hAnsi="Arial" w:cs="Arial"/>
      <w:color w:val="000000"/>
      <w:lang w:eastAsia="en-GB"/>
    </w:rPr>
  </w:style>
  <w:style w:type="character" w:styleId="HTMLTypewriter">
    <w:name w:val="HTML Typewriter"/>
    <w:rsid w:val="002848C9"/>
    <w:rPr>
      <w:rFonts w:ascii="Courier New" w:eastAsia="Courier New" w:hAnsi="Courier New" w:cs="Courier New"/>
      <w:sz w:val="20"/>
      <w:szCs w:val="20"/>
    </w:rPr>
  </w:style>
  <w:style w:type="paragraph" w:customStyle="1" w:styleId="H5">
    <w:name w:val="H5"/>
    <w:basedOn w:val="Normal"/>
    <w:next w:val="Normal"/>
    <w:rsid w:val="002848C9"/>
    <w:pPr>
      <w:keepNext/>
      <w:spacing w:before="100" w:after="100"/>
      <w:contextualSpacing w:val="0"/>
      <w:outlineLvl w:val="5"/>
    </w:pPr>
    <w:rPr>
      <w:rFonts w:ascii="Times New Roman" w:eastAsia="Times New Roman" w:hAnsi="Times New Roman" w:cs="Times New Roman"/>
      <w:b/>
      <w:snapToGrid w:val="0"/>
      <w:sz w:val="20"/>
      <w:szCs w:val="20"/>
    </w:rPr>
  </w:style>
  <w:style w:type="paragraph" w:customStyle="1" w:styleId="appendix">
    <w:name w:val="appendix"/>
    <w:basedOn w:val="subheading3"/>
    <w:rsid w:val="002848C9"/>
    <w:pPr>
      <w:numPr>
        <w:ilvl w:val="0"/>
        <w:numId w:val="10"/>
      </w:numPr>
    </w:pPr>
  </w:style>
  <w:style w:type="paragraph" w:customStyle="1" w:styleId="subheading6">
    <w:name w:val="subheading6"/>
    <w:basedOn w:val="subheading3"/>
    <w:rsid w:val="002848C9"/>
    <w:pPr>
      <w:numPr>
        <w:numId w:val="11"/>
      </w:numPr>
    </w:pPr>
  </w:style>
  <w:style w:type="paragraph" w:styleId="BlockText">
    <w:name w:val="Block Text"/>
    <w:basedOn w:val="Normal"/>
    <w:rsid w:val="002848C9"/>
    <w:pPr>
      <w:keepNext/>
      <w:keepLines/>
      <w:ind w:left="1440" w:right="-1"/>
      <w:contextualSpacing w:val="0"/>
    </w:pPr>
    <w:rPr>
      <w:rFonts w:eastAsia="Times New Roman" w:cs="Arial"/>
      <w:snapToGrid w:val="0"/>
      <w:sz w:val="22"/>
    </w:rPr>
  </w:style>
  <w:style w:type="character" w:customStyle="1" w:styleId="ciude">
    <w:name w:val="ciude"/>
    <w:semiHidden/>
    <w:rsid w:val="002848C9"/>
    <w:rPr>
      <w:rFonts w:ascii="Arial" w:hAnsi="Arial" w:cs="Arial"/>
      <w:color w:val="auto"/>
      <w:sz w:val="20"/>
      <w:szCs w:val="20"/>
    </w:rPr>
  </w:style>
  <w:style w:type="paragraph" w:styleId="Subtitle">
    <w:name w:val="Subtitle"/>
    <w:basedOn w:val="Normal"/>
    <w:link w:val="SubtitleChar"/>
    <w:qFormat/>
    <w:rsid w:val="002848C9"/>
    <w:pPr>
      <w:contextualSpacing w:val="0"/>
    </w:pPr>
    <w:rPr>
      <w:rFonts w:ascii="Times New Roman" w:eastAsia="Times New Roman" w:hAnsi="Times New Roman" w:cs="Times New Roman"/>
      <w:b/>
      <w:sz w:val="20"/>
      <w:szCs w:val="20"/>
      <w:lang w:eastAsia="en-GB"/>
    </w:rPr>
  </w:style>
  <w:style w:type="character" w:customStyle="1" w:styleId="SubtitleChar">
    <w:name w:val="Subtitle Char"/>
    <w:basedOn w:val="DefaultParagraphFont"/>
    <w:link w:val="Subtitle"/>
    <w:rsid w:val="002848C9"/>
    <w:rPr>
      <w:rFonts w:ascii="Times New Roman" w:eastAsia="Times New Roman" w:hAnsi="Times New Roman" w:cs="Times New Roman"/>
      <w:b/>
      <w:sz w:val="20"/>
      <w:szCs w:val="20"/>
      <w:lang w:eastAsia="en-GB"/>
    </w:rPr>
  </w:style>
  <w:style w:type="paragraph" w:customStyle="1" w:styleId="Style1">
    <w:name w:val="Style1"/>
    <w:qFormat/>
    <w:rsid w:val="002848C9"/>
    <w:pPr>
      <w:autoSpaceDE w:val="0"/>
      <w:autoSpaceDN w:val="0"/>
      <w:adjustRightInd w:val="0"/>
      <w:spacing w:after="0" w:line="240" w:lineRule="auto"/>
    </w:pPr>
    <w:rPr>
      <w:rFonts w:ascii="Arial" w:eastAsia="Times New Roman" w:hAnsi="Arial" w:cs="Times New Roman"/>
      <w:sz w:val="24"/>
      <w:szCs w:val="24"/>
      <w:lang w:eastAsia="en-GB"/>
    </w:rPr>
  </w:style>
  <w:style w:type="paragraph" w:customStyle="1" w:styleId="CM36">
    <w:name w:val="CM36"/>
    <w:basedOn w:val="Default"/>
    <w:next w:val="Default"/>
    <w:rsid w:val="002848C9"/>
  </w:style>
  <w:style w:type="paragraph" w:customStyle="1" w:styleId="CM41">
    <w:name w:val="CM41"/>
    <w:basedOn w:val="Default"/>
    <w:next w:val="Default"/>
    <w:rsid w:val="002848C9"/>
  </w:style>
  <w:style w:type="paragraph" w:customStyle="1" w:styleId="H2">
    <w:name w:val="H2"/>
    <w:basedOn w:val="Normal"/>
    <w:next w:val="Normal"/>
    <w:rsid w:val="002848C9"/>
    <w:pPr>
      <w:keepNext/>
      <w:spacing w:before="100" w:after="100"/>
      <w:contextualSpacing w:val="0"/>
      <w:outlineLvl w:val="2"/>
    </w:pPr>
    <w:rPr>
      <w:rFonts w:ascii="Times New Roman" w:eastAsia="Times New Roman" w:hAnsi="Times New Roman" w:cs="Times New Roman"/>
      <w:b/>
      <w:snapToGrid w:val="0"/>
      <w:sz w:val="36"/>
      <w:szCs w:val="20"/>
    </w:rPr>
  </w:style>
  <w:style w:type="character" w:customStyle="1" w:styleId="highlightedsearchterm">
    <w:name w:val="highlightedsearchterm"/>
    <w:basedOn w:val="DefaultParagraphFont"/>
    <w:rsid w:val="002848C9"/>
  </w:style>
  <w:style w:type="paragraph" w:customStyle="1" w:styleId="HeaderArial">
    <w:name w:val="Header + Arial"/>
    <w:aliases w:val="Bold,Black"/>
    <w:basedOn w:val="Header"/>
    <w:rsid w:val="002848C9"/>
    <w:pPr>
      <w:tabs>
        <w:tab w:val="clear" w:pos="4513"/>
        <w:tab w:val="clear" w:pos="9026"/>
        <w:tab w:val="center" w:pos="4153"/>
        <w:tab w:val="right" w:pos="8306"/>
      </w:tabs>
      <w:spacing w:line="360" w:lineRule="auto"/>
      <w:contextualSpacing w:val="0"/>
      <w:jc w:val="both"/>
    </w:pPr>
    <w:rPr>
      <w:rFonts w:eastAsia="Times New Roman" w:cs="Times New Roman"/>
      <w:b/>
      <w:bCs/>
      <w:color w:val="000000"/>
      <w:szCs w:val="20"/>
      <w:u w:val="single"/>
      <w:lang w:eastAsia="en-GB"/>
    </w:rPr>
  </w:style>
  <w:style w:type="character" w:customStyle="1" w:styleId="chapterheadingChar">
    <w:name w:val="chapter heading Char"/>
    <w:link w:val="chapterheading"/>
    <w:rsid w:val="002848C9"/>
    <w:rPr>
      <w:rFonts w:ascii="Times New Roman" w:eastAsia="Times New Roman" w:hAnsi="Times New Roman" w:cs="Times New Roman"/>
      <w:b/>
      <w:sz w:val="28"/>
      <w:szCs w:val="20"/>
    </w:rPr>
  </w:style>
  <w:style w:type="paragraph" w:customStyle="1" w:styleId="Left">
    <w:name w:val="Left"/>
    <w:aliases w:val="Left:  6.35 cm,First line:  0 cm"/>
    <w:basedOn w:val="Heading2"/>
    <w:rsid w:val="002848C9"/>
    <w:pPr>
      <w:keepLines w:val="0"/>
      <w:tabs>
        <w:tab w:val="num" w:pos="576"/>
      </w:tabs>
      <w:spacing w:before="0"/>
      <w:ind w:left="3600"/>
      <w:contextualSpacing w:val="0"/>
    </w:pPr>
    <w:rPr>
      <w:rFonts w:eastAsia="Times New Roman"/>
      <w:bCs/>
      <w:color w:val="000000"/>
      <w:sz w:val="22"/>
      <w:szCs w:val="24"/>
    </w:rPr>
  </w:style>
  <w:style w:type="character" w:customStyle="1" w:styleId="HeaderChar1">
    <w:name w:val="Header Char1"/>
    <w:semiHidden/>
    <w:rsid w:val="002848C9"/>
    <w:rPr>
      <w:rFonts w:ascii="Arial" w:eastAsia="Calibri" w:hAnsi="Arial" w:cs="Arial"/>
      <w:sz w:val="24"/>
      <w:szCs w:val="24"/>
      <w:lang w:val="en-GB" w:eastAsia="en-GB" w:bidi="ar-SA"/>
    </w:rPr>
  </w:style>
  <w:style w:type="paragraph" w:customStyle="1" w:styleId="Title1">
    <w:name w:val="Title1"/>
    <w:basedOn w:val="Normal"/>
    <w:rsid w:val="002848C9"/>
    <w:pPr>
      <w:spacing w:before="120"/>
      <w:ind w:right="-44"/>
      <w:contextualSpacing w:val="0"/>
    </w:pPr>
    <w:rPr>
      <w:rFonts w:eastAsia="Calibri" w:cs="Arial"/>
      <w:sz w:val="20"/>
      <w:szCs w:val="20"/>
      <w:lang w:eastAsia="en-GB"/>
    </w:rPr>
  </w:style>
  <w:style w:type="paragraph" w:customStyle="1" w:styleId="ATlist">
    <w:name w:val="ATlist"/>
    <w:basedOn w:val="Binocarpara"/>
    <w:link w:val="ATlistChar"/>
    <w:qFormat/>
    <w:rsid w:val="002848C9"/>
    <w:pPr>
      <w:numPr>
        <w:numId w:val="15"/>
      </w:numPr>
      <w:spacing w:after="120"/>
    </w:pPr>
  </w:style>
  <w:style w:type="character" w:customStyle="1" w:styleId="BinocarparaChar">
    <w:name w:val="Binocar para Char"/>
    <w:basedOn w:val="DefaultParagraphFont"/>
    <w:link w:val="Binocarpara"/>
    <w:rsid w:val="002848C9"/>
    <w:rPr>
      <w:rFonts w:ascii="Calibri" w:eastAsia="Times New Roman" w:hAnsi="Calibri" w:cs="Times New Roman"/>
    </w:rPr>
  </w:style>
  <w:style w:type="character" w:customStyle="1" w:styleId="ATlistChar">
    <w:name w:val="ATlist Char"/>
    <w:basedOn w:val="BinocarparaChar"/>
    <w:link w:val="ATlist"/>
    <w:rsid w:val="002848C9"/>
    <w:rPr>
      <w:rFonts w:ascii="Calibri" w:eastAsia="Times New Roman" w:hAnsi="Calibri" w:cs="Times New Roman"/>
    </w:rPr>
  </w:style>
  <w:style w:type="table" w:customStyle="1" w:styleId="TableGrid1">
    <w:name w:val="Table Grid1"/>
    <w:basedOn w:val="TableNormal"/>
    <w:next w:val="TableGrid"/>
    <w:uiPriority w:val="59"/>
    <w:rsid w:val="002848C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2">
    <w:name w:val="table text2"/>
    <w:basedOn w:val="Normal"/>
    <w:autoRedefine/>
    <w:qFormat/>
    <w:rsid w:val="002848C9"/>
    <w:pPr>
      <w:keepLines/>
      <w:tabs>
        <w:tab w:val="left" w:pos="851"/>
      </w:tabs>
      <w:spacing w:after="60"/>
      <w:contextualSpacing w:val="0"/>
    </w:pPr>
    <w:rPr>
      <w:rFonts w:ascii="Calibri" w:eastAsia="Times New Roman" w:hAnsi="Calibri" w:cs="Times New Roman"/>
      <w:color w:val="FF0000"/>
      <w:sz w:val="20"/>
      <w:szCs w:val="20"/>
      <w:lang w:eastAsia="en-GB" w:bidi="pa-IN"/>
    </w:rPr>
  </w:style>
  <w:style w:type="character" w:customStyle="1" w:styleId="red">
    <w:name w:val="red"/>
    <w:basedOn w:val="DefaultParagraphFont"/>
    <w:rsid w:val="002848C9"/>
    <w:rPr>
      <w:color w:val="FF0000"/>
    </w:rPr>
  </w:style>
  <w:style w:type="paragraph" w:customStyle="1" w:styleId="ATlist0">
    <w:name w:val="AT#list"/>
    <w:basedOn w:val="ATlist"/>
    <w:link w:val="ATlistChar0"/>
    <w:qFormat/>
    <w:rsid w:val="002848C9"/>
    <w:pPr>
      <w:numPr>
        <w:numId w:val="12"/>
      </w:numPr>
    </w:pPr>
  </w:style>
  <w:style w:type="character" w:customStyle="1" w:styleId="ATlistChar0">
    <w:name w:val="AT#list Char"/>
    <w:basedOn w:val="ATlistChar"/>
    <w:link w:val="ATlist0"/>
    <w:rsid w:val="002848C9"/>
    <w:rPr>
      <w:rFonts w:ascii="Calibri" w:eastAsia="Times New Roman" w:hAnsi="Calibri" w:cs="Times New Roman"/>
    </w:rPr>
  </w:style>
  <w:style w:type="table" w:styleId="LightGrid-Accent1">
    <w:name w:val="Light Grid Accent 1"/>
    <w:basedOn w:val="TableNormal"/>
    <w:uiPriority w:val="62"/>
    <w:rsid w:val="002848C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Sectionheading">
    <w:name w:val="Section heading"/>
    <w:basedOn w:val="Normal"/>
    <w:rsid w:val="002848C9"/>
    <w:pPr>
      <w:keepNext/>
      <w:numPr>
        <w:numId w:val="13"/>
      </w:numPr>
      <w:tabs>
        <w:tab w:val="clear" w:pos="680"/>
        <w:tab w:val="num" w:pos="709"/>
      </w:tabs>
      <w:autoSpaceDE w:val="0"/>
      <w:autoSpaceDN w:val="0"/>
      <w:adjustRightInd w:val="0"/>
      <w:spacing w:before="440" w:after="220" w:line="280" w:lineRule="exact"/>
      <w:contextualSpacing w:val="0"/>
      <w:jc w:val="both"/>
    </w:pPr>
    <w:rPr>
      <w:rFonts w:eastAsia="Times New Roman" w:cs="Times New Roman"/>
      <w:b/>
      <w:bCs/>
      <w:caps/>
      <w:sz w:val="22"/>
      <w:szCs w:val="20"/>
      <w:lang w:eastAsia="en-GB"/>
    </w:rPr>
  </w:style>
  <w:style w:type="paragraph" w:customStyle="1" w:styleId="Outline11ai">
    <w:name w:val="Outline 1.1(a)(i)"/>
    <w:basedOn w:val="Normal"/>
    <w:rsid w:val="002848C9"/>
    <w:pPr>
      <w:tabs>
        <w:tab w:val="num" w:pos="680"/>
      </w:tabs>
      <w:autoSpaceDE w:val="0"/>
      <w:autoSpaceDN w:val="0"/>
      <w:adjustRightInd w:val="0"/>
      <w:spacing w:after="216"/>
      <w:ind w:left="680" w:hanging="680"/>
      <w:contextualSpacing w:val="0"/>
      <w:jc w:val="both"/>
    </w:pPr>
    <w:rPr>
      <w:rFonts w:eastAsia="Times New Roman" w:cs="Times New Roman"/>
      <w:sz w:val="22"/>
      <w:szCs w:val="20"/>
      <w:lang w:eastAsia="en-GB"/>
    </w:rPr>
  </w:style>
  <w:style w:type="character" w:customStyle="1" w:styleId="inner-wrap">
    <w:name w:val="inner-wrap"/>
    <w:basedOn w:val="DefaultParagraphFont"/>
    <w:rsid w:val="002848C9"/>
    <w:rPr>
      <w:sz w:val="24"/>
      <w:szCs w:val="24"/>
      <w:bdr w:val="none" w:sz="0" w:space="0" w:color="auto" w:frame="1"/>
      <w:vertAlign w:val="baseline"/>
    </w:rPr>
  </w:style>
  <w:style w:type="paragraph" w:styleId="TOC4">
    <w:name w:val="toc 4"/>
    <w:basedOn w:val="Normal"/>
    <w:next w:val="Normal"/>
    <w:autoRedefine/>
    <w:uiPriority w:val="39"/>
    <w:unhideWhenUsed/>
    <w:rsid w:val="002848C9"/>
    <w:pPr>
      <w:spacing w:after="100" w:line="276" w:lineRule="auto"/>
      <w:ind w:left="660"/>
      <w:contextualSpacing w:val="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2848C9"/>
    <w:pPr>
      <w:spacing w:after="100" w:line="276" w:lineRule="auto"/>
      <w:ind w:left="880"/>
      <w:contextualSpacing w:val="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2848C9"/>
    <w:pPr>
      <w:spacing w:after="100" w:line="276" w:lineRule="auto"/>
      <w:ind w:left="1100"/>
      <w:contextualSpacing w:val="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2848C9"/>
    <w:pPr>
      <w:spacing w:after="100" w:line="276" w:lineRule="auto"/>
      <w:ind w:left="1320"/>
      <w:contextualSpacing w:val="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2848C9"/>
    <w:pPr>
      <w:spacing w:after="100" w:line="276" w:lineRule="auto"/>
      <w:ind w:left="1540"/>
      <w:contextualSpacing w:val="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2848C9"/>
    <w:pPr>
      <w:spacing w:after="100" w:line="276" w:lineRule="auto"/>
      <w:ind w:left="1760"/>
      <w:contextualSpacing w:val="0"/>
    </w:pPr>
    <w:rPr>
      <w:rFonts w:asciiTheme="minorHAnsi" w:eastAsiaTheme="minorEastAsia" w:hAnsiTheme="minorHAnsi"/>
      <w:sz w:val="22"/>
      <w:lang w:eastAsia="en-GB"/>
    </w:rPr>
  </w:style>
  <w:style w:type="character" w:customStyle="1" w:styleId="apple-converted-space">
    <w:name w:val="apple-converted-space"/>
    <w:basedOn w:val="DefaultParagraphFont"/>
    <w:rsid w:val="002848C9"/>
  </w:style>
  <w:style w:type="character" w:customStyle="1" w:styleId="highlight">
    <w:name w:val="highlight"/>
    <w:basedOn w:val="DefaultParagraphFont"/>
    <w:rsid w:val="002848C9"/>
  </w:style>
  <w:style w:type="character" w:customStyle="1" w:styleId="Mention1">
    <w:name w:val="Mention1"/>
    <w:basedOn w:val="DefaultParagraphFont"/>
    <w:uiPriority w:val="99"/>
    <w:semiHidden/>
    <w:unhideWhenUsed/>
    <w:rsid w:val="002848C9"/>
    <w:rPr>
      <w:color w:val="2B579A"/>
      <w:shd w:val="clear" w:color="auto" w:fill="E6E6E6"/>
    </w:rPr>
  </w:style>
  <w:style w:type="character" w:styleId="SubtleEmphasis">
    <w:name w:val="Subtle Emphasis"/>
    <w:basedOn w:val="DefaultParagraphFont"/>
    <w:uiPriority w:val="19"/>
    <w:qFormat/>
    <w:rsid w:val="002273F9"/>
    <w:rPr>
      <w:i/>
      <w:iCs/>
      <w:color w:val="404040" w:themeColor="text1" w:themeTint="BF"/>
    </w:rPr>
  </w:style>
  <w:style w:type="paragraph" w:customStyle="1" w:styleId="ce-list--remove-bulletslist-item">
    <w:name w:val="ce-list--remove-bullets__list-item"/>
    <w:basedOn w:val="Normal"/>
    <w:rsid w:val="00C54F1C"/>
    <w:pPr>
      <w:spacing w:before="100" w:beforeAutospacing="1" w:after="100" w:afterAutospacing="1"/>
      <w:contextualSpacing w:val="0"/>
    </w:pPr>
    <w:rPr>
      <w:rFonts w:ascii="Times New Roman" w:eastAsia="Times New Roman" w:hAnsi="Times New Roman" w:cs="Times New Roman"/>
      <w:szCs w:val="24"/>
      <w:lang w:eastAsia="en-GB"/>
    </w:rPr>
  </w:style>
  <w:style w:type="character" w:customStyle="1" w:styleId="singlehighlightclass">
    <w:name w:val="single_highlight_class"/>
    <w:basedOn w:val="DefaultParagraphFont"/>
    <w:rsid w:val="00DB340F"/>
  </w:style>
  <w:style w:type="paragraph" w:customStyle="1" w:styleId="PHESecondaryHeadingOne">
    <w:name w:val="PHE Secondary Heading One"/>
    <w:basedOn w:val="Normal"/>
    <w:rsid w:val="007B309A"/>
    <w:pPr>
      <w:spacing w:after="320" w:line="360" w:lineRule="exact"/>
      <w:contextualSpacing w:val="0"/>
    </w:pPr>
    <w:rPr>
      <w:rFonts w:eastAsia="Times New Roman" w:cs="Times New Roman"/>
      <w:color w:val="98002E"/>
      <w:sz w:val="28"/>
      <w:szCs w:val="20"/>
    </w:rPr>
  </w:style>
  <w:style w:type="paragraph" w:customStyle="1" w:styleId="PHESecondaryHeadingTwo">
    <w:name w:val="PHE Secondary Heading Two"/>
    <w:basedOn w:val="PHESecondaryHeadingOne"/>
    <w:qFormat/>
    <w:rsid w:val="007B309A"/>
    <w:pPr>
      <w:spacing w:after="360"/>
    </w:pPr>
    <w:rPr>
      <w:sz w:val="26"/>
    </w:rPr>
  </w:style>
  <w:style w:type="paragraph" w:customStyle="1" w:styleId="pf0">
    <w:name w:val="pf0"/>
    <w:basedOn w:val="Normal"/>
    <w:rsid w:val="001B434B"/>
    <w:pPr>
      <w:spacing w:before="100" w:beforeAutospacing="1" w:after="100" w:afterAutospacing="1"/>
      <w:contextualSpacing w:val="0"/>
    </w:pPr>
    <w:rPr>
      <w:rFonts w:ascii="Times New Roman" w:eastAsia="Times New Roman" w:hAnsi="Times New Roman" w:cs="Times New Roman"/>
      <w:szCs w:val="24"/>
      <w:lang w:eastAsia="en-GB"/>
    </w:rPr>
  </w:style>
  <w:style w:type="paragraph" w:customStyle="1" w:styleId="Headingnonumber">
    <w:name w:val="Heading no number"/>
    <w:link w:val="HeadingnonumberChar"/>
    <w:qFormat/>
    <w:rsid w:val="00CF4416"/>
    <w:pPr>
      <w:numPr>
        <w:numId w:val="17"/>
      </w:numPr>
    </w:pPr>
    <w:rPr>
      <w:rFonts w:ascii="Arial" w:hAnsi="Arial"/>
      <w:b/>
      <w:sz w:val="32"/>
    </w:rPr>
  </w:style>
  <w:style w:type="character" w:customStyle="1" w:styleId="HeadingnonumberChar">
    <w:name w:val="Heading no number Char"/>
    <w:basedOn w:val="DefaultParagraphFont"/>
    <w:link w:val="Headingnonumber"/>
    <w:rsid w:val="00CF4416"/>
    <w:rPr>
      <w:rFonts w:ascii="Arial" w:hAnsi="Arial"/>
      <w:b/>
      <w:sz w:val="32"/>
    </w:rPr>
  </w:style>
  <w:style w:type="character" w:customStyle="1" w:styleId="off-screen">
    <w:name w:val="off-screen"/>
    <w:basedOn w:val="DefaultParagraphFont"/>
    <w:rsid w:val="001F78C5"/>
  </w:style>
  <w:style w:type="paragraph" w:customStyle="1" w:styleId="last">
    <w:name w:val="last"/>
    <w:basedOn w:val="Normal"/>
    <w:rsid w:val="001F78C5"/>
    <w:pPr>
      <w:spacing w:before="100" w:beforeAutospacing="1" w:after="100" w:afterAutospacing="1"/>
      <w:contextualSpacing w:val="0"/>
    </w:pPr>
    <w:rPr>
      <w:rFonts w:ascii="Times New Roman" w:eastAsia="Times New Roman" w:hAnsi="Times New Roman" w:cs="Times New Roman"/>
      <w:szCs w:val="24"/>
      <w:lang w:eastAsia="en-GB"/>
    </w:rPr>
  </w:style>
  <w:style w:type="character" w:customStyle="1" w:styleId="superscript">
    <w:name w:val="superscript"/>
    <w:basedOn w:val="DefaultParagraphFont"/>
    <w:rsid w:val="00852E3B"/>
  </w:style>
  <w:style w:type="paragraph" w:customStyle="1" w:styleId="msonormal0">
    <w:name w:val="msonormal"/>
    <w:basedOn w:val="Normal"/>
    <w:rsid w:val="00852E3B"/>
    <w:pPr>
      <w:spacing w:before="100" w:beforeAutospacing="1" w:after="100" w:afterAutospacing="1"/>
      <w:contextualSpacing w:val="0"/>
    </w:pPr>
    <w:rPr>
      <w:rFonts w:ascii="Times New Roman" w:eastAsia="Times New Roman" w:hAnsi="Times New Roman" w:cs="Times New Roman"/>
      <w:szCs w:val="24"/>
      <w:lang w:eastAsia="en-GB"/>
    </w:rPr>
  </w:style>
  <w:style w:type="paragraph" w:customStyle="1" w:styleId="xl65">
    <w:name w:val="xl65"/>
    <w:basedOn w:val="Normal"/>
    <w:rsid w:val="00852E3B"/>
    <w:pPr>
      <w:pBdr>
        <w:bottom w:val="single" w:sz="4" w:space="0" w:color="auto"/>
      </w:pBdr>
      <w:spacing w:before="100" w:beforeAutospacing="1" w:after="100" w:afterAutospacing="1"/>
      <w:contextualSpacing w:val="0"/>
      <w:textAlignment w:val="center"/>
    </w:pPr>
    <w:rPr>
      <w:rFonts w:eastAsia="Times New Roman" w:cs="Arial"/>
      <w:i/>
      <w:iCs/>
      <w:sz w:val="20"/>
      <w:szCs w:val="20"/>
      <w:lang w:eastAsia="en-GB"/>
    </w:rPr>
  </w:style>
  <w:style w:type="paragraph" w:customStyle="1" w:styleId="xl66">
    <w:name w:val="xl66"/>
    <w:basedOn w:val="Normal"/>
    <w:rsid w:val="00852E3B"/>
    <w:pPr>
      <w:spacing w:before="100" w:beforeAutospacing="1" w:after="100" w:afterAutospacing="1"/>
      <w:contextualSpacing w:val="0"/>
    </w:pPr>
    <w:rPr>
      <w:rFonts w:eastAsia="Times New Roman" w:cs="Arial"/>
      <w:color w:val="000000"/>
      <w:sz w:val="20"/>
      <w:szCs w:val="20"/>
      <w:lang w:eastAsia="en-GB"/>
    </w:rPr>
  </w:style>
  <w:style w:type="paragraph" w:customStyle="1" w:styleId="xl67">
    <w:name w:val="xl67"/>
    <w:basedOn w:val="Normal"/>
    <w:rsid w:val="00852E3B"/>
    <w:pPr>
      <w:spacing w:before="100" w:beforeAutospacing="1" w:after="100" w:afterAutospacing="1"/>
      <w:contextualSpacing w:val="0"/>
      <w:jc w:val="right"/>
    </w:pPr>
    <w:rPr>
      <w:rFonts w:eastAsia="Times New Roman" w:cs="Arial"/>
      <w:sz w:val="20"/>
      <w:szCs w:val="20"/>
      <w:lang w:eastAsia="en-GB"/>
    </w:rPr>
  </w:style>
  <w:style w:type="paragraph" w:customStyle="1" w:styleId="xl68">
    <w:name w:val="xl68"/>
    <w:basedOn w:val="Normal"/>
    <w:rsid w:val="00852E3B"/>
    <w:pPr>
      <w:spacing w:before="100" w:beforeAutospacing="1" w:after="100" w:afterAutospacing="1"/>
      <w:contextualSpacing w:val="0"/>
      <w:jc w:val="right"/>
    </w:pPr>
    <w:rPr>
      <w:rFonts w:eastAsia="Times New Roman" w:cs="Arial"/>
      <w:color w:val="000000"/>
      <w:sz w:val="20"/>
      <w:szCs w:val="20"/>
      <w:lang w:eastAsia="en-GB"/>
    </w:rPr>
  </w:style>
  <w:style w:type="paragraph" w:customStyle="1" w:styleId="xl69">
    <w:name w:val="xl69"/>
    <w:basedOn w:val="Normal"/>
    <w:rsid w:val="00852E3B"/>
    <w:pPr>
      <w:pBdr>
        <w:bottom w:val="single" w:sz="4" w:space="0" w:color="auto"/>
      </w:pBdr>
      <w:spacing w:before="100" w:beforeAutospacing="1" w:after="100" w:afterAutospacing="1"/>
      <w:contextualSpacing w:val="0"/>
      <w:jc w:val="right"/>
    </w:pPr>
    <w:rPr>
      <w:rFonts w:eastAsia="Times New Roman" w:cs="Arial"/>
      <w:sz w:val="20"/>
      <w:szCs w:val="20"/>
      <w:lang w:eastAsia="en-GB"/>
    </w:rPr>
  </w:style>
  <w:style w:type="paragraph" w:customStyle="1" w:styleId="xl70">
    <w:name w:val="xl70"/>
    <w:basedOn w:val="Normal"/>
    <w:rsid w:val="00852E3B"/>
    <w:pPr>
      <w:pBdr>
        <w:bottom w:val="single" w:sz="4" w:space="0" w:color="auto"/>
      </w:pBdr>
      <w:spacing w:before="100" w:beforeAutospacing="1" w:after="100" w:afterAutospacing="1"/>
      <w:contextualSpacing w:val="0"/>
      <w:jc w:val="right"/>
    </w:pPr>
    <w:rPr>
      <w:rFonts w:eastAsia="Times New Roman" w:cs="Arial"/>
      <w:color w:val="000000"/>
      <w:sz w:val="20"/>
      <w:szCs w:val="20"/>
      <w:lang w:eastAsia="en-GB"/>
    </w:rPr>
  </w:style>
  <w:style w:type="paragraph" w:customStyle="1" w:styleId="xl71">
    <w:name w:val="xl71"/>
    <w:basedOn w:val="Normal"/>
    <w:rsid w:val="00852E3B"/>
    <w:pPr>
      <w:pBdr>
        <w:top w:val="single" w:sz="4" w:space="0" w:color="auto"/>
      </w:pBdr>
      <w:spacing w:before="100" w:beforeAutospacing="1" w:after="100" w:afterAutospacing="1"/>
      <w:contextualSpacing w:val="0"/>
      <w:jc w:val="center"/>
      <w:textAlignment w:val="center"/>
    </w:pPr>
    <w:rPr>
      <w:rFonts w:eastAsia="Times New Roman" w:cs="Arial"/>
      <w:i/>
      <w:iCs/>
      <w:sz w:val="20"/>
      <w:szCs w:val="20"/>
      <w:lang w:eastAsia="en-GB"/>
    </w:rPr>
  </w:style>
  <w:style w:type="paragraph" w:customStyle="1" w:styleId="xl72">
    <w:name w:val="xl72"/>
    <w:basedOn w:val="Normal"/>
    <w:rsid w:val="00852E3B"/>
    <w:pPr>
      <w:pBdr>
        <w:bottom w:val="single" w:sz="4" w:space="0" w:color="auto"/>
      </w:pBdr>
      <w:spacing w:before="100" w:beforeAutospacing="1" w:after="100" w:afterAutospacing="1"/>
      <w:contextualSpacing w:val="0"/>
      <w:jc w:val="center"/>
    </w:pPr>
    <w:rPr>
      <w:rFonts w:eastAsia="Times New Roman" w:cs="Arial"/>
      <w:i/>
      <w:iCs/>
      <w:sz w:val="20"/>
      <w:szCs w:val="20"/>
      <w:lang w:eastAsia="en-GB"/>
    </w:rPr>
  </w:style>
  <w:style w:type="paragraph" w:customStyle="1" w:styleId="xl73">
    <w:name w:val="xl73"/>
    <w:basedOn w:val="Normal"/>
    <w:rsid w:val="00852E3B"/>
    <w:pPr>
      <w:pBdr>
        <w:top w:val="single" w:sz="4" w:space="0" w:color="auto"/>
        <w:right w:val="single" w:sz="4" w:space="0" w:color="auto"/>
      </w:pBdr>
      <w:spacing w:before="100" w:beforeAutospacing="1" w:after="100" w:afterAutospacing="1"/>
      <w:contextualSpacing w:val="0"/>
      <w:textAlignment w:val="center"/>
    </w:pPr>
    <w:rPr>
      <w:rFonts w:eastAsia="Times New Roman" w:cs="Arial"/>
      <w:i/>
      <w:iCs/>
      <w:color w:val="000000"/>
      <w:sz w:val="20"/>
      <w:szCs w:val="20"/>
      <w:lang w:eastAsia="en-GB"/>
    </w:rPr>
  </w:style>
  <w:style w:type="paragraph" w:customStyle="1" w:styleId="xl74">
    <w:name w:val="xl74"/>
    <w:basedOn w:val="Normal"/>
    <w:rsid w:val="00852E3B"/>
    <w:pPr>
      <w:pBdr>
        <w:right w:val="single" w:sz="4" w:space="0" w:color="auto"/>
      </w:pBdr>
      <w:spacing w:before="100" w:beforeAutospacing="1" w:after="100" w:afterAutospacing="1"/>
      <w:contextualSpacing w:val="0"/>
      <w:textAlignment w:val="center"/>
    </w:pPr>
    <w:rPr>
      <w:rFonts w:eastAsia="Times New Roman" w:cs="Arial"/>
      <w:i/>
      <w:iCs/>
      <w:color w:val="000000"/>
      <w:sz w:val="20"/>
      <w:szCs w:val="20"/>
      <w:lang w:eastAsia="en-GB"/>
    </w:rPr>
  </w:style>
  <w:style w:type="paragraph" w:customStyle="1" w:styleId="xl75">
    <w:name w:val="xl75"/>
    <w:basedOn w:val="Normal"/>
    <w:rsid w:val="00852E3B"/>
    <w:pPr>
      <w:pBdr>
        <w:bottom w:val="single" w:sz="4" w:space="0" w:color="auto"/>
        <w:right w:val="single" w:sz="4" w:space="0" w:color="auto"/>
      </w:pBdr>
      <w:spacing w:before="100" w:beforeAutospacing="1" w:after="100" w:afterAutospacing="1"/>
      <w:contextualSpacing w:val="0"/>
      <w:textAlignment w:val="center"/>
    </w:pPr>
    <w:rPr>
      <w:rFonts w:eastAsia="Times New Roman" w:cs="Arial"/>
      <w:color w:val="000000"/>
      <w:sz w:val="20"/>
      <w:szCs w:val="20"/>
      <w:lang w:eastAsia="en-GB"/>
    </w:rPr>
  </w:style>
  <w:style w:type="paragraph" w:customStyle="1" w:styleId="xl76">
    <w:name w:val="xl76"/>
    <w:basedOn w:val="Normal"/>
    <w:rsid w:val="00852E3B"/>
    <w:pPr>
      <w:pBdr>
        <w:right w:val="single" w:sz="4" w:space="0" w:color="auto"/>
      </w:pBdr>
      <w:spacing w:before="100" w:beforeAutospacing="1" w:after="100" w:afterAutospacing="1"/>
      <w:contextualSpacing w:val="0"/>
    </w:pPr>
    <w:rPr>
      <w:rFonts w:eastAsia="Times New Roman" w:cs="Arial"/>
      <w:i/>
      <w:iCs/>
      <w:color w:val="000000"/>
      <w:sz w:val="20"/>
      <w:szCs w:val="20"/>
      <w:lang w:eastAsia="en-GB"/>
    </w:rPr>
  </w:style>
  <w:style w:type="paragraph" w:customStyle="1" w:styleId="xl77">
    <w:name w:val="xl77"/>
    <w:basedOn w:val="Normal"/>
    <w:rsid w:val="00852E3B"/>
    <w:pPr>
      <w:pBdr>
        <w:right w:val="single" w:sz="4" w:space="0" w:color="auto"/>
      </w:pBdr>
      <w:spacing w:before="100" w:beforeAutospacing="1" w:after="100" w:afterAutospacing="1"/>
      <w:contextualSpacing w:val="0"/>
    </w:pPr>
    <w:rPr>
      <w:rFonts w:eastAsia="Times New Roman" w:cs="Arial"/>
      <w:color w:val="000000"/>
      <w:sz w:val="20"/>
      <w:szCs w:val="20"/>
      <w:lang w:eastAsia="en-GB"/>
    </w:rPr>
  </w:style>
  <w:style w:type="paragraph" w:customStyle="1" w:styleId="xl78">
    <w:name w:val="xl78"/>
    <w:basedOn w:val="Normal"/>
    <w:rsid w:val="00852E3B"/>
    <w:pPr>
      <w:pBdr>
        <w:right w:val="single" w:sz="4" w:space="0" w:color="auto"/>
      </w:pBdr>
      <w:spacing w:before="100" w:beforeAutospacing="1" w:after="100" w:afterAutospacing="1"/>
      <w:ind w:firstLineChars="200" w:firstLine="200"/>
      <w:contextualSpacing w:val="0"/>
    </w:pPr>
    <w:rPr>
      <w:rFonts w:eastAsia="Times New Roman" w:cs="Arial"/>
      <w:color w:val="000000"/>
      <w:sz w:val="20"/>
      <w:szCs w:val="20"/>
      <w:lang w:eastAsia="en-GB"/>
    </w:rPr>
  </w:style>
  <w:style w:type="paragraph" w:customStyle="1" w:styleId="xl79">
    <w:name w:val="xl79"/>
    <w:basedOn w:val="Normal"/>
    <w:rsid w:val="00852E3B"/>
    <w:pPr>
      <w:pBdr>
        <w:right w:val="single" w:sz="4" w:space="0" w:color="auto"/>
      </w:pBdr>
      <w:spacing w:before="100" w:beforeAutospacing="1" w:after="100" w:afterAutospacing="1"/>
      <w:contextualSpacing w:val="0"/>
    </w:pPr>
    <w:rPr>
      <w:rFonts w:eastAsia="Times New Roman" w:cs="Arial"/>
      <w:color w:val="000000"/>
      <w:sz w:val="20"/>
      <w:szCs w:val="20"/>
      <w:lang w:eastAsia="en-GB"/>
    </w:rPr>
  </w:style>
  <w:style w:type="paragraph" w:customStyle="1" w:styleId="xl80">
    <w:name w:val="xl80"/>
    <w:basedOn w:val="Normal"/>
    <w:rsid w:val="00852E3B"/>
    <w:pPr>
      <w:pBdr>
        <w:right w:val="single" w:sz="4" w:space="0" w:color="auto"/>
      </w:pBdr>
      <w:spacing w:before="100" w:beforeAutospacing="1" w:after="100" w:afterAutospacing="1"/>
      <w:contextualSpacing w:val="0"/>
    </w:pPr>
    <w:rPr>
      <w:rFonts w:eastAsia="Times New Roman" w:cs="Arial"/>
      <w:i/>
      <w:iCs/>
      <w:color w:val="000000"/>
      <w:sz w:val="20"/>
      <w:szCs w:val="20"/>
      <w:lang w:eastAsia="en-GB"/>
    </w:rPr>
  </w:style>
  <w:style w:type="paragraph" w:customStyle="1" w:styleId="xl81">
    <w:name w:val="xl81"/>
    <w:basedOn w:val="Normal"/>
    <w:rsid w:val="00852E3B"/>
    <w:pPr>
      <w:pBdr>
        <w:bottom w:val="single" w:sz="4" w:space="0" w:color="auto"/>
        <w:right w:val="single" w:sz="4" w:space="0" w:color="auto"/>
      </w:pBdr>
      <w:spacing w:before="100" w:beforeAutospacing="1" w:after="100" w:afterAutospacing="1"/>
      <w:ind w:firstLineChars="300" w:firstLine="300"/>
      <w:contextualSpacing w:val="0"/>
    </w:pPr>
    <w:rPr>
      <w:rFonts w:eastAsia="Times New Roman" w:cs="Arial"/>
      <w:color w:val="000000"/>
      <w:sz w:val="20"/>
      <w:szCs w:val="20"/>
      <w:lang w:eastAsia="en-GB"/>
    </w:rPr>
  </w:style>
  <w:style w:type="paragraph" w:customStyle="1" w:styleId="xl82">
    <w:name w:val="xl82"/>
    <w:basedOn w:val="Normal"/>
    <w:rsid w:val="00852E3B"/>
    <w:pPr>
      <w:pBdr>
        <w:top w:val="single" w:sz="4" w:space="0" w:color="auto"/>
        <w:left w:val="single" w:sz="4" w:space="0" w:color="auto"/>
      </w:pBdr>
      <w:spacing w:before="100" w:beforeAutospacing="1" w:after="100" w:afterAutospacing="1"/>
      <w:contextualSpacing w:val="0"/>
      <w:jc w:val="center"/>
      <w:textAlignment w:val="center"/>
    </w:pPr>
    <w:rPr>
      <w:rFonts w:eastAsia="Times New Roman" w:cs="Arial"/>
      <w:i/>
      <w:iCs/>
      <w:sz w:val="20"/>
      <w:szCs w:val="20"/>
      <w:lang w:eastAsia="en-GB"/>
    </w:rPr>
  </w:style>
  <w:style w:type="paragraph" w:customStyle="1" w:styleId="xl83">
    <w:name w:val="xl83"/>
    <w:basedOn w:val="Normal"/>
    <w:rsid w:val="00852E3B"/>
    <w:pPr>
      <w:pBdr>
        <w:top w:val="single" w:sz="4" w:space="0" w:color="auto"/>
        <w:right w:val="single" w:sz="4" w:space="0" w:color="auto"/>
      </w:pBdr>
      <w:spacing w:before="100" w:beforeAutospacing="1" w:after="100" w:afterAutospacing="1"/>
      <w:contextualSpacing w:val="0"/>
      <w:jc w:val="center"/>
      <w:textAlignment w:val="center"/>
    </w:pPr>
    <w:rPr>
      <w:rFonts w:eastAsia="Times New Roman" w:cs="Arial"/>
      <w:i/>
      <w:iCs/>
      <w:sz w:val="20"/>
      <w:szCs w:val="20"/>
      <w:lang w:eastAsia="en-GB"/>
    </w:rPr>
  </w:style>
  <w:style w:type="paragraph" w:customStyle="1" w:styleId="xl84">
    <w:name w:val="xl84"/>
    <w:basedOn w:val="Normal"/>
    <w:rsid w:val="00852E3B"/>
    <w:pPr>
      <w:pBdr>
        <w:left w:val="single" w:sz="4" w:space="0" w:color="auto"/>
        <w:bottom w:val="single" w:sz="4" w:space="0" w:color="auto"/>
      </w:pBdr>
      <w:spacing w:before="100" w:beforeAutospacing="1" w:after="100" w:afterAutospacing="1"/>
      <w:contextualSpacing w:val="0"/>
      <w:textAlignment w:val="center"/>
    </w:pPr>
    <w:rPr>
      <w:rFonts w:eastAsia="Times New Roman" w:cs="Arial"/>
      <w:i/>
      <w:iCs/>
      <w:sz w:val="20"/>
      <w:szCs w:val="20"/>
      <w:lang w:eastAsia="en-GB"/>
    </w:rPr>
  </w:style>
  <w:style w:type="paragraph" w:customStyle="1" w:styleId="xl85">
    <w:name w:val="xl85"/>
    <w:basedOn w:val="Normal"/>
    <w:rsid w:val="00852E3B"/>
    <w:pPr>
      <w:pBdr>
        <w:bottom w:val="single" w:sz="4" w:space="0" w:color="auto"/>
        <w:right w:val="single" w:sz="4" w:space="0" w:color="auto"/>
      </w:pBdr>
      <w:spacing w:before="100" w:beforeAutospacing="1" w:after="100" w:afterAutospacing="1"/>
      <w:contextualSpacing w:val="0"/>
      <w:textAlignment w:val="center"/>
    </w:pPr>
    <w:rPr>
      <w:rFonts w:eastAsia="Times New Roman" w:cs="Arial"/>
      <w:i/>
      <w:iCs/>
      <w:sz w:val="20"/>
      <w:szCs w:val="20"/>
      <w:lang w:eastAsia="en-GB"/>
    </w:rPr>
  </w:style>
  <w:style w:type="paragraph" w:customStyle="1" w:styleId="xl86">
    <w:name w:val="xl86"/>
    <w:basedOn w:val="Normal"/>
    <w:rsid w:val="00852E3B"/>
    <w:pPr>
      <w:pBdr>
        <w:left w:val="single" w:sz="4" w:space="0" w:color="auto"/>
        <w:bottom w:val="single" w:sz="4" w:space="0" w:color="auto"/>
      </w:pBdr>
      <w:spacing w:before="100" w:beforeAutospacing="1" w:after="100" w:afterAutospacing="1"/>
      <w:contextualSpacing w:val="0"/>
      <w:jc w:val="center"/>
    </w:pPr>
    <w:rPr>
      <w:rFonts w:eastAsia="Times New Roman" w:cs="Arial"/>
      <w:i/>
      <w:iCs/>
      <w:sz w:val="20"/>
      <w:szCs w:val="20"/>
      <w:lang w:eastAsia="en-GB"/>
    </w:rPr>
  </w:style>
  <w:style w:type="paragraph" w:customStyle="1" w:styleId="xl87">
    <w:name w:val="xl87"/>
    <w:basedOn w:val="Normal"/>
    <w:rsid w:val="00852E3B"/>
    <w:pPr>
      <w:pBdr>
        <w:bottom w:val="single" w:sz="4" w:space="0" w:color="auto"/>
        <w:right w:val="single" w:sz="4" w:space="0" w:color="auto"/>
      </w:pBdr>
      <w:spacing w:before="100" w:beforeAutospacing="1" w:after="100" w:afterAutospacing="1"/>
      <w:contextualSpacing w:val="0"/>
      <w:jc w:val="center"/>
    </w:pPr>
    <w:rPr>
      <w:rFonts w:eastAsia="Times New Roman" w:cs="Arial"/>
      <w:i/>
      <w:iCs/>
      <w:sz w:val="20"/>
      <w:szCs w:val="20"/>
      <w:lang w:eastAsia="en-GB"/>
    </w:rPr>
  </w:style>
  <w:style w:type="paragraph" w:customStyle="1" w:styleId="xl88">
    <w:name w:val="xl88"/>
    <w:basedOn w:val="Normal"/>
    <w:rsid w:val="00852E3B"/>
    <w:pPr>
      <w:pBdr>
        <w:left w:val="single" w:sz="4" w:space="0" w:color="auto"/>
      </w:pBdr>
      <w:spacing w:before="100" w:beforeAutospacing="1" w:after="100" w:afterAutospacing="1"/>
      <w:contextualSpacing w:val="0"/>
      <w:jc w:val="right"/>
    </w:pPr>
    <w:rPr>
      <w:rFonts w:eastAsia="Times New Roman" w:cs="Arial"/>
      <w:sz w:val="20"/>
      <w:szCs w:val="20"/>
      <w:lang w:eastAsia="en-GB"/>
    </w:rPr>
  </w:style>
  <w:style w:type="paragraph" w:customStyle="1" w:styleId="xl89">
    <w:name w:val="xl89"/>
    <w:basedOn w:val="Normal"/>
    <w:rsid w:val="00852E3B"/>
    <w:pPr>
      <w:pBdr>
        <w:right w:val="single" w:sz="4" w:space="0" w:color="auto"/>
      </w:pBdr>
      <w:spacing w:before="100" w:beforeAutospacing="1" w:after="100" w:afterAutospacing="1"/>
      <w:contextualSpacing w:val="0"/>
      <w:jc w:val="right"/>
    </w:pPr>
    <w:rPr>
      <w:rFonts w:eastAsia="Times New Roman" w:cs="Arial"/>
      <w:color w:val="000000"/>
      <w:sz w:val="20"/>
      <w:szCs w:val="20"/>
      <w:lang w:eastAsia="en-GB"/>
    </w:rPr>
  </w:style>
  <w:style w:type="paragraph" w:customStyle="1" w:styleId="xl90">
    <w:name w:val="xl90"/>
    <w:basedOn w:val="Normal"/>
    <w:rsid w:val="00852E3B"/>
    <w:pPr>
      <w:pBdr>
        <w:right w:val="single" w:sz="4" w:space="0" w:color="auto"/>
      </w:pBdr>
      <w:spacing w:before="100" w:beforeAutospacing="1" w:after="100" w:afterAutospacing="1"/>
      <w:contextualSpacing w:val="0"/>
      <w:jc w:val="right"/>
    </w:pPr>
    <w:rPr>
      <w:rFonts w:eastAsia="Times New Roman" w:cs="Arial"/>
      <w:sz w:val="20"/>
      <w:szCs w:val="20"/>
      <w:lang w:eastAsia="en-GB"/>
    </w:rPr>
  </w:style>
  <w:style w:type="paragraph" w:customStyle="1" w:styleId="xl91">
    <w:name w:val="xl91"/>
    <w:basedOn w:val="Normal"/>
    <w:rsid w:val="00852E3B"/>
    <w:pPr>
      <w:pBdr>
        <w:left w:val="single" w:sz="4" w:space="0" w:color="auto"/>
      </w:pBdr>
      <w:spacing w:before="100" w:beforeAutospacing="1" w:after="100" w:afterAutospacing="1"/>
      <w:contextualSpacing w:val="0"/>
      <w:jc w:val="right"/>
    </w:pPr>
    <w:rPr>
      <w:rFonts w:eastAsia="Times New Roman" w:cs="Arial"/>
      <w:color w:val="000000"/>
      <w:sz w:val="20"/>
      <w:szCs w:val="20"/>
      <w:lang w:eastAsia="en-GB"/>
    </w:rPr>
  </w:style>
  <w:style w:type="paragraph" w:customStyle="1" w:styleId="xl92">
    <w:name w:val="xl92"/>
    <w:basedOn w:val="Normal"/>
    <w:rsid w:val="00852E3B"/>
    <w:pPr>
      <w:spacing w:before="100" w:beforeAutospacing="1" w:after="100" w:afterAutospacing="1"/>
      <w:contextualSpacing w:val="0"/>
      <w:jc w:val="right"/>
    </w:pPr>
    <w:rPr>
      <w:rFonts w:eastAsia="Times New Roman" w:cs="Arial"/>
      <w:b/>
      <w:bCs/>
      <w:sz w:val="20"/>
      <w:szCs w:val="20"/>
      <w:lang w:eastAsia="en-GB"/>
    </w:rPr>
  </w:style>
  <w:style w:type="paragraph" w:customStyle="1" w:styleId="xl93">
    <w:name w:val="xl93"/>
    <w:basedOn w:val="Normal"/>
    <w:rsid w:val="00852E3B"/>
    <w:pPr>
      <w:pBdr>
        <w:right w:val="single" w:sz="4" w:space="0" w:color="auto"/>
      </w:pBdr>
      <w:spacing w:before="100" w:beforeAutospacing="1" w:after="100" w:afterAutospacing="1"/>
      <w:contextualSpacing w:val="0"/>
      <w:jc w:val="right"/>
    </w:pPr>
    <w:rPr>
      <w:rFonts w:eastAsia="Times New Roman" w:cs="Arial"/>
      <w:b/>
      <w:bCs/>
      <w:sz w:val="20"/>
      <w:szCs w:val="20"/>
      <w:lang w:eastAsia="en-GB"/>
    </w:rPr>
  </w:style>
  <w:style w:type="paragraph" w:customStyle="1" w:styleId="xl94">
    <w:name w:val="xl94"/>
    <w:basedOn w:val="Normal"/>
    <w:rsid w:val="00852E3B"/>
    <w:pPr>
      <w:pBdr>
        <w:left w:val="single" w:sz="4" w:space="0" w:color="auto"/>
      </w:pBdr>
      <w:spacing w:before="100" w:beforeAutospacing="1" w:after="100" w:afterAutospacing="1"/>
      <w:contextualSpacing w:val="0"/>
    </w:pPr>
    <w:rPr>
      <w:rFonts w:eastAsia="Times New Roman" w:cs="Arial"/>
      <w:color w:val="000000"/>
      <w:sz w:val="20"/>
      <w:szCs w:val="20"/>
      <w:lang w:eastAsia="en-GB"/>
    </w:rPr>
  </w:style>
  <w:style w:type="paragraph" w:customStyle="1" w:styleId="xl95">
    <w:name w:val="xl95"/>
    <w:basedOn w:val="Normal"/>
    <w:rsid w:val="00852E3B"/>
    <w:pPr>
      <w:pBdr>
        <w:left w:val="single" w:sz="4" w:space="0" w:color="auto"/>
        <w:bottom w:val="single" w:sz="4" w:space="0" w:color="auto"/>
      </w:pBdr>
      <w:spacing w:before="100" w:beforeAutospacing="1" w:after="100" w:afterAutospacing="1"/>
      <w:contextualSpacing w:val="0"/>
      <w:jc w:val="right"/>
    </w:pPr>
    <w:rPr>
      <w:rFonts w:eastAsia="Times New Roman" w:cs="Arial"/>
      <w:sz w:val="20"/>
      <w:szCs w:val="20"/>
      <w:lang w:eastAsia="en-GB"/>
    </w:rPr>
  </w:style>
  <w:style w:type="paragraph" w:customStyle="1" w:styleId="xl96">
    <w:name w:val="xl96"/>
    <w:basedOn w:val="Normal"/>
    <w:rsid w:val="00852E3B"/>
    <w:pPr>
      <w:pBdr>
        <w:bottom w:val="single" w:sz="4" w:space="0" w:color="auto"/>
        <w:right w:val="single" w:sz="4" w:space="0" w:color="auto"/>
      </w:pBdr>
      <w:spacing w:before="100" w:beforeAutospacing="1" w:after="100" w:afterAutospacing="1"/>
      <w:contextualSpacing w:val="0"/>
      <w:jc w:val="right"/>
    </w:pPr>
    <w:rPr>
      <w:rFonts w:eastAsia="Times New Roman" w:cs="Arial"/>
      <w:color w:val="000000"/>
      <w:sz w:val="20"/>
      <w:szCs w:val="20"/>
      <w:lang w:eastAsia="en-GB"/>
    </w:rPr>
  </w:style>
  <w:style w:type="paragraph" w:customStyle="1" w:styleId="xl97">
    <w:name w:val="xl97"/>
    <w:basedOn w:val="Normal"/>
    <w:rsid w:val="00852E3B"/>
    <w:pPr>
      <w:pBdr>
        <w:right w:val="single" w:sz="4" w:space="0" w:color="auto"/>
      </w:pBdr>
      <w:spacing w:before="100" w:beforeAutospacing="1" w:after="100" w:afterAutospacing="1"/>
      <w:contextualSpacing w:val="0"/>
    </w:pPr>
    <w:rPr>
      <w:rFonts w:ascii="Times New Roman" w:eastAsia="Times New Roman" w:hAnsi="Times New Roman" w:cs="Times New Roman"/>
      <w:szCs w:val="24"/>
      <w:lang w:eastAsia="en-GB"/>
    </w:rPr>
  </w:style>
  <w:style w:type="paragraph" w:customStyle="1" w:styleId="xl63">
    <w:name w:val="xl63"/>
    <w:basedOn w:val="Normal"/>
    <w:rsid w:val="00852E3B"/>
    <w:pPr>
      <w:spacing w:before="100" w:beforeAutospacing="1" w:after="100" w:afterAutospacing="1"/>
      <w:ind w:firstLineChars="100" w:firstLine="100"/>
      <w:contextualSpacing w:val="0"/>
    </w:pPr>
    <w:rPr>
      <w:rFonts w:ascii="Times New Roman" w:eastAsia="Times New Roman" w:hAnsi="Times New Roman" w:cs="Times New Roman"/>
      <w:szCs w:val="24"/>
      <w:lang w:eastAsia="en-GB"/>
    </w:rPr>
  </w:style>
  <w:style w:type="paragraph" w:customStyle="1" w:styleId="xl64">
    <w:name w:val="xl64"/>
    <w:basedOn w:val="Normal"/>
    <w:rsid w:val="00852E3B"/>
    <w:pPr>
      <w:spacing w:before="100" w:beforeAutospacing="1" w:after="100" w:afterAutospacing="1"/>
      <w:ind w:firstLineChars="300" w:firstLine="300"/>
      <w:contextualSpacing w:val="0"/>
    </w:pPr>
    <w:rPr>
      <w:rFonts w:ascii="Times New Roman" w:eastAsia="Times New Roman" w:hAnsi="Times New Roman" w:cs="Times New Roman"/>
      <w:szCs w:val="24"/>
      <w:lang w:eastAsia="en-GB"/>
    </w:rPr>
  </w:style>
  <w:style w:type="character" w:customStyle="1" w:styleId="figpopup-sensitive-area">
    <w:name w:val="figpopup-sensitive-area"/>
    <w:basedOn w:val="DefaultParagraphFont"/>
    <w:rsid w:val="00852E3B"/>
  </w:style>
  <w:style w:type="character" w:customStyle="1" w:styleId="textrun">
    <w:name w:val="textrun"/>
    <w:basedOn w:val="DefaultParagraphFont"/>
    <w:rsid w:val="00852E3B"/>
  </w:style>
  <w:style w:type="character" w:styleId="Mention">
    <w:name w:val="Mention"/>
    <w:basedOn w:val="DefaultParagraphFont"/>
    <w:uiPriority w:val="99"/>
    <w:unhideWhenUsed/>
    <w:rsid w:val="00852E3B"/>
    <w:rPr>
      <w:color w:val="2B579A"/>
      <w:shd w:val="clear" w:color="auto" w:fill="E1DFDD"/>
    </w:rPr>
  </w:style>
  <w:style w:type="paragraph" w:styleId="ListBullet">
    <w:name w:val="List Bullet"/>
    <w:basedOn w:val="Normal"/>
    <w:uiPriority w:val="99"/>
    <w:unhideWhenUsed/>
    <w:rsid w:val="00852E3B"/>
    <w:pPr>
      <w:numPr>
        <w:numId w:val="21"/>
      </w:numPr>
      <w:spacing w:after="160" w:line="259" w:lineRule="auto"/>
    </w:pPr>
  </w:style>
  <w:style w:type="character" w:customStyle="1" w:styleId="ui-provider">
    <w:name w:val="ui-provider"/>
    <w:basedOn w:val="DefaultParagraphFont"/>
    <w:rsid w:val="00C73D3A"/>
  </w:style>
  <w:style w:type="paragraph" w:customStyle="1" w:styleId="react-xocs-list-item">
    <w:name w:val="react-xocs-list-item"/>
    <w:basedOn w:val="Normal"/>
    <w:rsid w:val="007A53B3"/>
    <w:pPr>
      <w:spacing w:before="100" w:beforeAutospacing="1" w:after="100" w:afterAutospacing="1"/>
      <w:contextualSpacing w:val="0"/>
    </w:pPr>
    <w:rPr>
      <w:rFonts w:ascii="Times New Roman" w:eastAsia="Times New Roman" w:hAnsi="Times New Roman" w:cs="Times New Roman"/>
      <w:szCs w:val="24"/>
      <w:lang w:eastAsia="en-GB"/>
    </w:rPr>
  </w:style>
  <w:style w:type="character" w:customStyle="1" w:styleId="list-label">
    <w:name w:val="list-label"/>
    <w:basedOn w:val="DefaultParagraphFont"/>
    <w:rsid w:val="007A53B3"/>
  </w:style>
  <w:style w:type="paragraph" w:customStyle="1" w:styleId="Paragraphtext">
    <w:name w:val="Paragraph text"/>
    <w:link w:val="ParagraphtextChar"/>
    <w:autoRedefine/>
    <w:qFormat/>
    <w:rsid w:val="001A37CE"/>
    <w:pPr>
      <w:spacing w:after="284" w:line="288" w:lineRule="auto"/>
    </w:pPr>
    <w:rPr>
      <w:rFonts w:ascii="Arial" w:hAnsi="Arial"/>
      <w:sz w:val="24"/>
    </w:rPr>
  </w:style>
  <w:style w:type="character" w:customStyle="1" w:styleId="ParagraphtextChar">
    <w:name w:val="Paragraph text Char"/>
    <w:basedOn w:val="DefaultParagraphFont"/>
    <w:link w:val="Paragraphtext"/>
    <w:rsid w:val="001A37CE"/>
    <w:rPr>
      <w:rFonts w:ascii="Arial" w:hAnsi="Arial"/>
      <w:sz w:val="24"/>
    </w:rPr>
  </w:style>
  <w:style w:type="paragraph" w:customStyle="1" w:styleId="PHEBodycopy">
    <w:name w:val="PHE Body copy"/>
    <w:basedOn w:val="Normal"/>
    <w:rsid w:val="001A37CE"/>
    <w:pPr>
      <w:spacing w:after="240" w:line="320" w:lineRule="exact"/>
      <w:ind w:right="794"/>
      <w:contextualSpacing w:val="0"/>
    </w:pPr>
    <w:rPr>
      <w:rFonts w:eastAsia="Times New Roman" w:cs="Times New Roman"/>
      <w:sz w:val="22"/>
      <w:szCs w:val="24"/>
      <w:lang w:eastAsia="en-GB"/>
    </w:rPr>
  </w:style>
  <w:style w:type="paragraph" w:customStyle="1" w:styleId="chapter-para">
    <w:name w:val="chapter-para"/>
    <w:basedOn w:val="Normal"/>
    <w:rsid w:val="001A37CE"/>
    <w:pPr>
      <w:spacing w:before="100" w:beforeAutospacing="1" w:after="100" w:afterAutospacing="1"/>
      <w:contextualSpacing w:val="0"/>
    </w:pPr>
    <w:rPr>
      <w:rFonts w:ascii="Times New Roman" w:eastAsia="Times New Roman" w:hAnsi="Times New Roman" w:cs="Times New Roman"/>
      <w:szCs w:val="24"/>
      <w:lang w:eastAsia="en-GB"/>
    </w:rPr>
  </w:style>
  <w:style w:type="character" w:customStyle="1" w:styleId="inline-formula">
    <w:name w:val="inline-formula"/>
    <w:basedOn w:val="DefaultParagraphFont"/>
    <w:rsid w:val="001A37CE"/>
  </w:style>
  <w:style w:type="paragraph" w:styleId="HTMLPreformatted">
    <w:name w:val="HTML Preformatted"/>
    <w:basedOn w:val="Normal"/>
    <w:link w:val="HTMLPreformattedChar"/>
    <w:uiPriority w:val="99"/>
    <w:semiHidden/>
    <w:unhideWhenUsed/>
    <w:rsid w:val="000B4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B45AB"/>
    <w:rPr>
      <w:rFonts w:ascii="Courier New" w:eastAsia="Times New Roman" w:hAnsi="Courier New" w:cs="Courier New"/>
      <w:sz w:val="20"/>
      <w:szCs w:val="20"/>
      <w:lang w:eastAsia="en-GB"/>
    </w:rPr>
  </w:style>
  <w:style w:type="character" w:customStyle="1" w:styleId="cf11">
    <w:name w:val="cf11"/>
    <w:basedOn w:val="DefaultParagraphFont"/>
    <w:rsid w:val="00CC7A64"/>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5441">
      <w:bodyDiv w:val="1"/>
      <w:marLeft w:val="0"/>
      <w:marRight w:val="0"/>
      <w:marTop w:val="0"/>
      <w:marBottom w:val="0"/>
      <w:divBdr>
        <w:top w:val="none" w:sz="0" w:space="0" w:color="auto"/>
        <w:left w:val="none" w:sz="0" w:space="0" w:color="auto"/>
        <w:bottom w:val="none" w:sz="0" w:space="0" w:color="auto"/>
        <w:right w:val="none" w:sz="0" w:space="0" w:color="auto"/>
      </w:divBdr>
    </w:div>
    <w:div w:id="50930335">
      <w:bodyDiv w:val="1"/>
      <w:marLeft w:val="0"/>
      <w:marRight w:val="0"/>
      <w:marTop w:val="0"/>
      <w:marBottom w:val="0"/>
      <w:divBdr>
        <w:top w:val="none" w:sz="0" w:space="0" w:color="auto"/>
        <w:left w:val="none" w:sz="0" w:space="0" w:color="auto"/>
        <w:bottom w:val="none" w:sz="0" w:space="0" w:color="auto"/>
        <w:right w:val="none" w:sz="0" w:space="0" w:color="auto"/>
      </w:divBdr>
    </w:div>
    <w:div w:id="55981607">
      <w:bodyDiv w:val="1"/>
      <w:marLeft w:val="0"/>
      <w:marRight w:val="0"/>
      <w:marTop w:val="0"/>
      <w:marBottom w:val="0"/>
      <w:divBdr>
        <w:top w:val="none" w:sz="0" w:space="0" w:color="auto"/>
        <w:left w:val="none" w:sz="0" w:space="0" w:color="auto"/>
        <w:bottom w:val="none" w:sz="0" w:space="0" w:color="auto"/>
        <w:right w:val="none" w:sz="0" w:space="0" w:color="auto"/>
      </w:divBdr>
      <w:divsChild>
        <w:div w:id="341205588">
          <w:marLeft w:val="0"/>
          <w:marRight w:val="0"/>
          <w:marTop w:val="0"/>
          <w:marBottom w:val="0"/>
          <w:divBdr>
            <w:top w:val="none" w:sz="0" w:space="0" w:color="auto"/>
            <w:left w:val="none" w:sz="0" w:space="0" w:color="auto"/>
            <w:bottom w:val="none" w:sz="0" w:space="0" w:color="auto"/>
            <w:right w:val="none" w:sz="0" w:space="0" w:color="auto"/>
          </w:divBdr>
        </w:div>
        <w:div w:id="614211223">
          <w:marLeft w:val="0"/>
          <w:marRight w:val="0"/>
          <w:marTop w:val="0"/>
          <w:marBottom w:val="0"/>
          <w:divBdr>
            <w:top w:val="none" w:sz="0" w:space="0" w:color="auto"/>
            <w:left w:val="none" w:sz="0" w:space="0" w:color="auto"/>
            <w:bottom w:val="none" w:sz="0" w:space="0" w:color="auto"/>
            <w:right w:val="none" w:sz="0" w:space="0" w:color="auto"/>
          </w:divBdr>
        </w:div>
        <w:div w:id="614796698">
          <w:marLeft w:val="0"/>
          <w:marRight w:val="0"/>
          <w:marTop w:val="0"/>
          <w:marBottom w:val="0"/>
          <w:divBdr>
            <w:top w:val="none" w:sz="0" w:space="0" w:color="auto"/>
            <w:left w:val="none" w:sz="0" w:space="0" w:color="auto"/>
            <w:bottom w:val="none" w:sz="0" w:space="0" w:color="auto"/>
            <w:right w:val="none" w:sz="0" w:space="0" w:color="auto"/>
          </w:divBdr>
        </w:div>
        <w:div w:id="635600474">
          <w:marLeft w:val="0"/>
          <w:marRight w:val="0"/>
          <w:marTop w:val="0"/>
          <w:marBottom w:val="0"/>
          <w:divBdr>
            <w:top w:val="none" w:sz="0" w:space="0" w:color="auto"/>
            <w:left w:val="none" w:sz="0" w:space="0" w:color="auto"/>
            <w:bottom w:val="none" w:sz="0" w:space="0" w:color="auto"/>
            <w:right w:val="none" w:sz="0" w:space="0" w:color="auto"/>
          </w:divBdr>
        </w:div>
        <w:div w:id="674501174">
          <w:marLeft w:val="0"/>
          <w:marRight w:val="0"/>
          <w:marTop w:val="0"/>
          <w:marBottom w:val="0"/>
          <w:divBdr>
            <w:top w:val="none" w:sz="0" w:space="0" w:color="auto"/>
            <w:left w:val="none" w:sz="0" w:space="0" w:color="auto"/>
            <w:bottom w:val="none" w:sz="0" w:space="0" w:color="auto"/>
            <w:right w:val="none" w:sz="0" w:space="0" w:color="auto"/>
          </w:divBdr>
        </w:div>
        <w:div w:id="761611737">
          <w:marLeft w:val="0"/>
          <w:marRight w:val="0"/>
          <w:marTop w:val="0"/>
          <w:marBottom w:val="0"/>
          <w:divBdr>
            <w:top w:val="none" w:sz="0" w:space="0" w:color="auto"/>
            <w:left w:val="none" w:sz="0" w:space="0" w:color="auto"/>
            <w:bottom w:val="none" w:sz="0" w:space="0" w:color="auto"/>
            <w:right w:val="none" w:sz="0" w:space="0" w:color="auto"/>
          </w:divBdr>
        </w:div>
        <w:div w:id="807630567">
          <w:marLeft w:val="0"/>
          <w:marRight w:val="0"/>
          <w:marTop w:val="0"/>
          <w:marBottom w:val="0"/>
          <w:divBdr>
            <w:top w:val="none" w:sz="0" w:space="0" w:color="auto"/>
            <w:left w:val="none" w:sz="0" w:space="0" w:color="auto"/>
            <w:bottom w:val="none" w:sz="0" w:space="0" w:color="auto"/>
            <w:right w:val="none" w:sz="0" w:space="0" w:color="auto"/>
          </w:divBdr>
        </w:div>
        <w:div w:id="925190055">
          <w:marLeft w:val="0"/>
          <w:marRight w:val="0"/>
          <w:marTop w:val="0"/>
          <w:marBottom w:val="0"/>
          <w:divBdr>
            <w:top w:val="none" w:sz="0" w:space="0" w:color="auto"/>
            <w:left w:val="none" w:sz="0" w:space="0" w:color="auto"/>
            <w:bottom w:val="none" w:sz="0" w:space="0" w:color="auto"/>
            <w:right w:val="none" w:sz="0" w:space="0" w:color="auto"/>
          </w:divBdr>
        </w:div>
        <w:div w:id="1096293379">
          <w:marLeft w:val="0"/>
          <w:marRight w:val="0"/>
          <w:marTop w:val="0"/>
          <w:marBottom w:val="0"/>
          <w:divBdr>
            <w:top w:val="none" w:sz="0" w:space="0" w:color="auto"/>
            <w:left w:val="none" w:sz="0" w:space="0" w:color="auto"/>
            <w:bottom w:val="none" w:sz="0" w:space="0" w:color="auto"/>
            <w:right w:val="none" w:sz="0" w:space="0" w:color="auto"/>
          </w:divBdr>
        </w:div>
        <w:div w:id="1154377304">
          <w:marLeft w:val="0"/>
          <w:marRight w:val="0"/>
          <w:marTop w:val="0"/>
          <w:marBottom w:val="0"/>
          <w:divBdr>
            <w:top w:val="none" w:sz="0" w:space="0" w:color="auto"/>
            <w:left w:val="none" w:sz="0" w:space="0" w:color="auto"/>
            <w:bottom w:val="none" w:sz="0" w:space="0" w:color="auto"/>
            <w:right w:val="none" w:sz="0" w:space="0" w:color="auto"/>
          </w:divBdr>
        </w:div>
        <w:div w:id="1415277580">
          <w:marLeft w:val="0"/>
          <w:marRight w:val="0"/>
          <w:marTop w:val="0"/>
          <w:marBottom w:val="0"/>
          <w:divBdr>
            <w:top w:val="none" w:sz="0" w:space="0" w:color="auto"/>
            <w:left w:val="none" w:sz="0" w:space="0" w:color="auto"/>
            <w:bottom w:val="none" w:sz="0" w:space="0" w:color="auto"/>
            <w:right w:val="none" w:sz="0" w:space="0" w:color="auto"/>
          </w:divBdr>
        </w:div>
        <w:div w:id="1611351780">
          <w:marLeft w:val="0"/>
          <w:marRight w:val="0"/>
          <w:marTop w:val="0"/>
          <w:marBottom w:val="0"/>
          <w:divBdr>
            <w:top w:val="none" w:sz="0" w:space="0" w:color="auto"/>
            <w:left w:val="none" w:sz="0" w:space="0" w:color="auto"/>
            <w:bottom w:val="none" w:sz="0" w:space="0" w:color="auto"/>
            <w:right w:val="none" w:sz="0" w:space="0" w:color="auto"/>
          </w:divBdr>
        </w:div>
        <w:div w:id="1630434240">
          <w:marLeft w:val="0"/>
          <w:marRight w:val="0"/>
          <w:marTop w:val="0"/>
          <w:marBottom w:val="0"/>
          <w:divBdr>
            <w:top w:val="none" w:sz="0" w:space="0" w:color="auto"/>
            <w:left w:val="none" w:sz="0" w:space="0" w:color="auto"/>
            <w:bottom w:val="none" w:sz="0" w:space="0" w:color="auto"/>
            <w:right w:val="none" w:sz="0" w:space="0" w:color="auto"/>
          </w:divBdr>
        </w:div>
        <w:div w:id="1688824959">
          <w:marLeft w:val="0"/>
          <w:marRight w:val="0"/>
          <w:marTop w:val="0"/>
          <w:marBottom w:val="0"/>
          <w:divBdr>
            <w:top w:val="none" w:sz="0" w:space="0" w:color="auto"/>
            <w:left w:val="none" w:sz="0" w:space="0" w:color="auto"/>
            <w:bottom w:val="none" w:sz="0" w:space="0" w:color="auto"/>
            <w:right w:val="none" w:sz="0" w:space="0" w:color="auto"/>
          </w:divBdr>
        </w:div>
        <w:div w:id="1792018439">
          <w:marLeft w:val="0"/>
          <w:marRight w:val="0"/>
          <w:marTop w:val="0"/>
          <w:marBottom w:val="0"/>
          <w:divBdr>
            <w:top w:val="none" w:sz="0" w:space="0" w:color="auto"/>
            <w:left w:val="none" w:sz="0" w:space="0" w:color="auto"/>
            <w:bottom w:val="none" w:sz="0" w:space="0" w:color="auto"/>
            <w:right w:val="none" w:sz="0" w:space="0" w:color="auto"/>
          </w:divBdr>
        </w:div>
        <w:div w:id="1874414804">
          <w:marLeft w:val="0"/>
          <w:marRight w:val="0"/>
          <w:marTop w:val="0"/>
          <w:marBottom w:val="0"/>
          <w:divBdr>
            <w:top w:val="none" w:sz="0" w:space="0" w:color="auto"/>
            <w:left w:val="none" w:sz="0" w:space="0" w:color="auto"/>
            <w:bottom w:val="none" w:sz="0" w:space="0" w:color="auto"/>
            <w:right w:val="none" w:sz="0" w:space="0" w:color="auto"/>
          </w:divBdr>
        </w:div>
        <w:div w:id="2086028029">
          <w:marLeft w:val="0"/>
          <w:marRight w:val="0"/>
          <w:marTop w:val="0"/>
          <w:marBottom w:val="0"/>
          <w:divBdr>
            <w:top w:val="none" w:sz="0" w:space="0" w:color="auto"/>
            <w:left w:val="none" w:sz="0" w:space="0" w:color="auto"/>
            <w:bottom w:val="none" w:sz="0" w:space="0" w:color="auto"/>
            <w:right w:val="none" w:sz="0" w:space="0" w:color="auto"/>
          </w:divBdr>
        </w:div>
        <w:div w:id="2109690203">
          <w:marLeft w:val="0"/>
          <w:marRight w:val="0"/>
          <w:marTop w:val="0"/>
          <w:marBottom w:val="0"/>
          <w:divBdr>
            <w:top w:val="none" w:sz="0" w:space="0" w:color="auto"/>
            <w:left w:val="none" w:sz="0" w:space="0" w:color="auto"/>
            <w:bottom w:val="none" w:sz="0" w:space="0" w:color="auto"/>
            <w:right w:val="none" w:sz="0" w:space="0" w:color="auto"/>
          </w:divBdr>
        </w:div>
      </w:divsChild>
    </w:div>
    <w:div w:id="76484153">
      <w:bodyDiv w:val="1"/>
      <w:marLeft w:val="0"/>
      <w:marRight w:val="0"/>
      <w:marTop w:val="0"/>
      <w:marBottom w:val="0"/>
      <w:divBdr>
        <w:top w:val="none" w:sz="0" w:space="0" w:color="auto"/>
        <w:left w:val="none" w:sz="0" w:space="0" w:color="auto"/>
        <w:bottom w:val="none" w:sz="0" w:space="0" w:color="auto"/>
        <w:right w:val="none" w:sz="0" w:space="0" w:color="auto"/>
      </w:divBdr>
    </w:div>
    <w:div w:id="152377370">
      <w:bodyDiv w:val="1"/>
      <w:marLeft w:val="0"/>
      <w:marRight w:val="0"/>
      <w:marTop w:val="0"/>
      <w:marBottom w:val="0"/>
      <w:divBdr>
        <w:top w:val="none" w:sz="0" w:space="0" w:color="auto"/>
        <w:left w:val="none" w:sz="0" w:space="0" w:color="auto"/>
        <w:bottom w:val="none" w:sz="0" w:space="0" w:color="auto"/>
        <w:right w:val="none" w:sz="0" w:space="0" w:color="auto"/>
      </w:divBdr>
    </w:div>
    <w:div w:id="263269127">
      <w:bodyDiv w:val="1"/>
      <w:marLeft w:val="0"/>
      <w:marRight w:val="0"/>
      <w:marTop w:val="0"/>
      <w:marBottom w:val="0"/>
      <w:divBdr>
        <w:top w:val="none" w:sz="0" w:space="0" w:color="auto"/>
        <w:left w:val="none" w:sz="0" w:space="0" w:color="auto"/>
        <w:bottom w:val="none" w:sz="0" w:space="0" w:color="auto"/>
        <w:right w:val="none" w:sz="0" w:space="0" w:color="auto"/>
      </w:divBdr>
    </w:div>
    <w:div w:id="275061915">
      <w:bodyDiv w:val="1"/>
      <w:marLeft w:val="0"/>
      <w:marRight w:val="0"/>
      <w:marTop w:val="0"/>
      <w:marBottom w:val="0"/>
      <w:divBdr>
        <w:top w:val="none" w:sz="0" w:space="0" w:color="auto"/>
        <w:left w:val="none" w:sz="0" w:space="0" w:color="auto"/>
        <w:bottom w:val="none" w:sz="0" w:space="0" w:color="auto"/>
        <w:right w:val="none" w:sz="0" w:space="0" w:color="auto"/>
      </w:divBdr>
      <w:divsChild>
        <w:div w:id="1705211165">
          <w:marLeft w:val="547"/>
          <w:marRight w:val="0"/>
          <w:marTop w:val="0"/>
          <w:marBottom w:val="0"/>
          <w:divBdr>
            <w:top w:val="none" w:sz="0" w:space="0" w:color="auto"/>
            <w:left w:val="none" w:sz="0" w:space="0" w:color="auto"/>
            <w:bottom w:val="none" w:sz="0" w:space="0" w:color="auto"/>
            <w:right w:val="none" w:sz="0" w:space="0" w:color="auto"/>
          </w:divBdr>
        </w:div>
      </w:divsChild>
    </w:div>
    <w:div w:id="314844446">
      <w:bodyDiv w:val="1"/>
      <w:marLeft w:val="0"/>
      <w:marRight w:val="0"/>
      <w:marTop w:val="0"/>
      <w:marBottom w:val="0"/>
      <w:divBdr>
        <w:top w:val="none" w:sz="0" w:space="0" w:color="auto"/>
        <w:left w:val="none" w:sz="0" w:space="0" w:color="auto"/>
        <w:bottom w:val="none" w:sz="0" w:space="0" w:color="auto"/>
        <w:right w:val="none" w:sz="0" w:space="0" w:color="auto"/>
      </w:divBdr>
    </w:div>
    <w:div w:id="328487044">
      <w:bodyDiv w:val="1"/>
      <w:marLeft w:val="0"/>
      <w:marRight w:val="0"/>
      <w:marTop w:val="0"/>
      <w:marBottom w:val="0"/>
      <w:divBdr>
        <w:top w:val="none" w:sz="0" w:space="0" w:color="auto"/>
        <w:left w:val="none" w:sz="0" w:space="0" w:color="auto"/>
        <w:bottom w:val="none" w:sz="0" w:space="0" w:color="auto"/>
        <w:right w:val="none" w:sz="0" w:space="0" w:color="auto"/>
      </w:divBdr>
    </w:div>
    <w:div w:id="387533009">
      <w:bodyDiv w:val="1"/>
      <w:marLeft w:val="0"/>
      <w:marRight w:val="0"/>
      <w:marTop w:val="0"/>
      <w:marBottom w:val="0"/>
      <w:divBdr>
        <w:top w:val="none" w:sz="0" w:space="0" w:color="auto"/>
        <w:left w:val="none" w:sz="0" w:space="0" w:color="auto"/>
        <w:bottom w:val="none" w:sz="0" w:space="0" w:color="auto"/>
        <w:right w:val="none" w:sz="0" w:space="0" w:color="auto"/>
      </w:divBdr>
    </w:div>
    <w:div w:id="419910282">
      <w:bodyDiv w:val="1"/>
      <w:marLeft w:val="0"/>
      <w:marRight w:val="0"/>
      <w:marTop w:val="0"/>
      <w:marBottom w:val="0"/>
      <w:divBdr>
        <w:top w:val="none" w:sz="0" w:space="0" w:color="auto"/>
        <w:left w:val="none" w:sz="0" w:space="0" w:color="auto"/>
        <w:bottom w:val="none" w:sz="0" w:space="0" w:color="auto"/>
        <w:right w:val="none" w:sz="0" w:space="0" w:color="auto"/>
      </w:divBdr>
    </w:div>
    <w:div w:id="435639821">
      <w:bodyDiv w:val="1"/>
      <w:marLeft w:val="0"/>
      <w:marRight w:val="0"/>
      <w:marTop w:val="0"/>
      <w:marBottom w:val="0"/>
      <w:divBdr>
        <w:top w:val="none" w:sz="0" w:space="0" w:color="auto"/>
        <w:left w:val="none" w:sz="0" w:space="0" w:color="auto"/>
        <w:bottom w:val="none" w:sz="0" w:space="0" w:color="auto"/>
        <w:right w:val="none" w:sz="0" w:space="0" w:color="auto"/>
      </w:divBdr>
    </w:div>
    <w:div w:id="442072233">
      <w:bodyDiv w:val="1"/>
      <w:marLeft w:val="0"/>
      <w:marRight w:val="0"/>
      <w:marTop w:val="0"/>
      <w:marBottom w:val="0"/>
      <w:divBdr>
        <w:top w:val="none" w:sz="0" w:space="0" w:color="auto"/>
        <w:left w:val="none" w:sz="0" w:space="0" w:color="auto"/>
        <w:bottom w:val="none" w:sz="0" w:space="0" w:color="auto"/>
        <w:right w:val="none" w:sz="0" w:space="0" w:color="auto"/>
      </w:divBdr>
    </w:div>
    <w:div w:id="446237994">
      <w:bodyDiv w:val="1"/>
      <w:marLeft w:val="0"/>
      <w:marRight w:val="0"/>
      <w:marTop w:val="0"/>
      <w:marBottom w:val="0"/>
      <w:divBdr>
        <w:top w:val="none" w:sz="0" w:space="0" w:color="auto"/>
        <w:left w:val="none" w:sz="0" w:space="0" w:color="auto"/>
        <w:bottom w:val="none" w:sz="0" w:space="0" w:color="auto"/>
        <w:right w:val="none" w:sz="0" w:space="0" w:color="auto"/>
      </w:divBdr>
    </w:div>
    <w:div w:id="451479826">
      <w:bodyDiv w:val="1"/>
      <w:marLeft w:val="0"/>
      <w:marRight w:val="0"/>
      <w:marTop w:val="0"/>
      <w:marBottom w:val="0"/>
      <w:divBdr>
        <w:top w:val="none" w:sz="0" w:space="0" w:color="auto"/>
        <w:left w:val="none" w:sz="0" w:space="0" w:color="auto"/>
        <w:bottom w:val="none" w:sz="0" w:space="0" w:color="auto"/>
        <w:right w:val="none" w:sz="0" w:space="0" w:color="auto"/>
      </w:divBdr>
    </w:div>
    <w:div w:id="453133435">
      <w:bodyDiv w:val="1"/>
      <w:marLeft w:val="0"/>
      <w:marRight w:val="0"/>
      <w:marTop w:val="0"/>
      <w:marBottom w:val="0"/>
      <w:divBdr>
        <w:top w:val="none" w:sz="0" w:space="0" w:color="auto"/>
        <w:left w:val="none" w:sz="0" w:space="0" w:color="auto"/>
        <w:bottom w:val="none" w:sz="0" w:space="0" w:color="auto"/>
        <w:right w:val="none" w:sz="0" w:space="0" w:color="auto"/>
      </w:divBdr>
    </w:div>
    <w:div w:id="458962311">
      <w:bodyDiv w:val="1"/>
      <w:marLeft w:val="0"/>
      <w:marRight w:val="0"/>
      <w:marTop w:val="0"/>
      <w:marBottom w:val="0"/>
      <w:divBdr>
        <w:top w:val="none" w:sz="0" w:space="0" w:color="auto"/>
        <w:left w:val="none" w:sz="0" w:space="0" w:color="auto"/>
        <w:bottom w:val="none" w:sz="0" w:space="0" w:color="auto"/>
        <w:right w:val="none" w:sz="0" w:space="0" w:color="auto"/>
      </w:divBdr>
    </w:div>
    <w:div w:id="474415199">
      <w:bodyDiv w:val="1"/>
      <w:marLeft w:val="0"/>
      <w:marRight w:val="0"/>
      <w:marTop w:val="0"/>
      <w:marBottom w:val="0"/>
      <w:divBdr>
        <w:top w:val="none" w:sz="0" w:space="0" w:color="auto"/>
        <w:left w:val="none" w:sz="0" w:space="0" w:color="auto"/>
        <w:bottom w:val="none" w:sz="0" w:space="0" w:color="auto"/>
        <w:right w:val="none" w:sz="0" w:space="0" w:color="auto"/>
      </w:divBdr>
    </w:div>
    <w:div w:id="516583734">
      <w:bodyDiv w:val="1"/>
      <w:marLeft w:val="0"/>
      <w:marRight w:val="0"/>
      <w:marTop w:val="0"/>
      <w:marBottom w:val="0"/>
      <w:divBdr>
        <w:top w:val="none" w:sz="0" w:space="0" w:color="auto"/>
        <w:left w:val="none" w:sz="0" w:space="0" w:color="auto"/>
        <w:bottom w:val="none" w:sz="0" w:space="0" w:color="auto"/>
        <w:right w:val="none" w:sz="0" w:space="0" w:color="auto"/>
      </w:divBdr>
    </w:div>
    <w:div w:id="533886739">
      <w:bodyDiv w:val="1"/>
      <w:marLeft w:val="0"/>
      <w:marRight w:val="0"/>
      <w:marTop w:val="0"/>
      <w:marBottom w:val="0"/>
      <w:divBdr>
        <w:top w:val="none" w:sz="0" w:space="0" w:color="auto"/>
        <w:left w:val="none" w:sz="0" w:space="0" w:color="auto"/>
        <w:bottom w:val="none" w:sz="0" w:space="0" w:color="auto"/>
        <w:right w:val="none" w:sz="0" w:space="0" w:color="auto"/>
      </w:divBdr>
    </w:div>
    <w:div w:id="544634558">
      <w:bodyDiv w:val="1"/>
      <w:marLeft w:val="0"/>
      <w:marRight w:val="0"/>
      <w:marTop w:val="0"/>
      <w:marBottom w:val="0"/>
      <w:divBdr>
        <w:top w:val="none" w:sz="0" w:space="0" w:color="auto"/>
        <w:left w:val="none" w:sz="0" w:space="0" w:color="auto"/>
        <w:bottom w:val="none" w:sz="0" w:space="0" w:color="auto"/>
        <w:right w:val="none" w:sz="0" w:space="0" w:color="auto"/>
      </w:divBdr>
    </w:div>
    <w:div w:id="569391027">
      <w:bodyDiv w:val="1"/>
      <w:marLeft w:val="0"/>
      <w:marRight w:val="0"/>
      <w:marTop w:val="0"/>
      <w:marBottom w:val="0"/>
      <w:divBdr>
        <w:top w:val="none" w:sz="0" w:space="0" w:color="auto"/>
        <w:left w:val="none" w:sz="0" w:space="0" w:color="auto"/>
        <w:bottom w:val="none" w:sz="0" w:space="0" w:color="auto"/>
        <w:right w:val="none" w:sz="0" w:space="0" w:color="auto"/>
      </w:divBdr>
    </w:div>
    <w:div w:id="592201850">
      <w:bodyDiv w:val="1"/>
      <w:marLeft w:val="0"/>
      <w:marRight w:val="0"/>
      <w:marTop w:val="0"/>
      <w:marBottom w:val="0"/>
      <w:divBdr>
        <w:top w:val="none" w:sz="0" w:space="0" w:color="auto"/>
        <w:left w:val="none" w:sz="0" w:space="0" w:color="auto"/>
        <w:bottom w:val="none" w:sz="0" w:space="0" w:color="auto"/>
        <w:right w:val="none" w:sz="0" w:space="0" w:color="auto"/>
      </w:divBdr>
    </w:div>
    <w:div w:id="630013708">
      <w:bodyDiv w:val="1"/>
      <w:marLeft w:val="0"/>
      <w:marRight w:val="0"/>
      <w:marTop w:val="0"/>
      <w:marBottom w:val="0"/>
      <w:divBdr>
        <w:top w:val="none" w:sz="0" w:space="0" w:color="auto"/>
        <w:left w:val="none" w:sz="0" w:space="0" w:color="auto"/>
        <w:bottom w:val="none" w:sz="0" w:space="0" w:color="auto"/>
        <w:right w:val="none" w:sz="0" w:space="0" w:color="auto"/>
      </w:divBdr>
    </w:div>
    <w:div w:id="652373715">
      <w:bodyDiv w:val="1"/>
      <w:marLeft w:val="0"/>
      <w:marRight w:val="0"/>
      <w:marTop w:val="0"/>
      <w:marBottom w:val="0"/>
      <w:divBdr>
        <w:top w:val="none" w:sz="0" w:space="0" w:color="auto"/>
        <w:left w:val="none" w:sz="0" w:space="0" w:color="auto"/>
        <w:bottom w:val="none" w:sz="0" w:space="0" w:color="auto"/>
        <w:right w:val="none" w:sz="0" w:space="0" w:color="auto"/>
      </w:divBdr>
    </w:div>
    <w:div w:id="659845381">
      <w:bodyDiv w:val="1"/>
      <w:marLeft w:val="0"/>
      <w:marRight w:val="0"/>
      <w:marTop w:val="0"/>
      <w:marBottom w:val="0"/>
      <w:divBdr>
        <w:top w:val="none" w:sz="0" w:space="0" w:color="auto"/>
        <w:left w:val="none" w:sz="0" w:space="0" w:color="auto"/>
        <w:bottom w:val="none" w:sz="0" w:space="0" w:color="auto"/>
        <w:right w:val="none" w:sz="0" w:space="0" w:color="auto"/>
      </w:divBdr>
    </w:div>
    <w:div w:id="676151134">
      <w:bodyDiv w:val="1"/>
      <w:marLeft w:val="0"/>
      <w:marRight w:val="0"/>
      <w:marTop w:val="0"/>
      <w:marBottom w:val="0"/>
      <w:divBdr>
        <w:top w:val="none" w:sz="0" w:space="0" w:color="auto"/>
        <w:left w:val="none" w:sz="0" w:space="0" w:color="auto"/>
        <w:bottom w:val="none" w:sz="0" w:space="0" w:color="auto"/>
        <w:right w:val="none" w:sz="0" w:space="0" w:color="auto"/>
      </w:divBdr>
    </w:div>
    <w:div w:id="683286411">
      <w:bodyDiv w:val="1"/>
      <w:marLeft w:val="0"/>
      <w:marRight w:val="0"/>
      <w:marTop w:val="0"/>
      <w:marBottom w:val="0"/>
      <w:divBdr>
        <w:top w:val="none" w:sz="0" w:space="0" w:color="auto"/>
        <w:left w:val="none" w:sz="0" w:space="0" w:color="auto"/>
        <w:bottom w:val="none" w:sz="0" w:space="0" w:color="auto"/>
        <w:right w:val="none" w:sz="0" w:space="0" w:color="auto"/>
      </w:divBdr>
    </w:div>
    <w:div w:id="702438396">
      <w:bodyDiv w:val="1"/>
      <w:marLeft w:val="0"/>
      <w:marRight w:val="0"/>
      <w:marTop w:val="0"/>
      <w:marBottom w:val="0"/>
      <w:divBdr>
        <w:top w:val="none" w:sz="0" w:space="0" w:color="auto"/>
        <w:left w:val="none" w:sz="0" w:space="0" w:color="auto"/>
        <w:bottom w:val="none" w:sz="0" w:space="0" w:color="auto"/>
        <w:right w:val="none" w:sz="0" w:space="0" w:color="auto"/>
      </w:divBdr>
    </w:div>
    <w:div w:id="734399842">
      <w:bodyDiv w:val="1"/>
      <w:marLeft w:val="0"/>
      <w:marRight w:val="0"/>
      <w:marTop w:val="0"/>
      <w:marBottom w:val="0"/>
      <w:divBdr>
        <w:top w:val="none" w:sz="0" w:space="0" w:color="auto"/>
        <w:left w:val="none" w:sz="0" w:space="0" w:color="auto"/>
        <w:bottom w:val="none" w:sz="0" w:space="0" w:color="auto"/>
        <w:right w:val="none" w:sz="0" w:space="0" w:color="auto"/>
      </w:divBdr>
    </w:div>
    <w:div w:id="776339481">
      <w:bodyDiv w:val="1"/>
      <w:marLeft w:val="0"/>
      <w:marRight w:val="0"/>
      <w:marTop w:val="0"/>
      <w:marBottom w:val="0"/>
      <w:divBdr>
        <w:top w:val="none" w:sz="0" w:space="0" w:color="auto"/>
        <w:left w:val="none" w:sz="0" w:space="0" w:color="auto"/>
        <w:bottom w:val="none" w:sz="0" w:space="0" w:color="auto"/>
        <w:right w:val="none" w:sz="0" w:space="0" w:color="auto"/>
      </w:divBdr>
    </w:div>
    <w:div w:id="796142996">
      <w:bodyDiv w:val="1"/>
      <w:marLeft w:val="0"/>
      <w:marRight w:val="0"/>
      <w:marTop w:val="0"/>
      <w:marBottom w:val="0"/>
      <w:divBdr>
        <w:top w:val="none" w:sz="0" w:space="0" w:color="auto"/>
        <w:left w:val="none" w:sz="0" w:space="0" w:color="auto"/>
        <w:bottom w:val="none" w:sz="0" w:space="0" w:color="auto"/>
        <w:right w:val="none" w:sz="0" w:space="0" w:color="auto"/>
      </w:divBdr>
    </w:div>
    <w:div w:id="815102026">
      <w:bodyDiv w:val="1"/>
      <w:marLeft w:val="0"/>
      <w:marRight w:val="0"/>
      <w:marTop w:val="0"/>
      <w:marBottom w:val="0"/>
      <w:divBdr>
        <w:top w:val="none" w:sz="0" w:space="0" w:color="auto"/>
        <w:left w:val="none" w:sz="0" w:space="0" w:color="auto"/>
        <w:bottom w:val="none" w:sz="0" w:space="0" w:color="auto"/>
        <w:right w:val="none" w:sz="0" w:space="0" w:color="auto"/>
      </w:divBdr>
    </w:div>
    <w:div w:id="835416061">
      <w:bodyDiv w:val="1"/>
      <w:marLeft w:val="0"/>
      <w:marRight w:val="0"/>
      <w:marTop w:val="0"/>
      <w:marBottom w:val="0"/>
      <w:divBdr>
        <w:top w:val="none" w:sz="0" w:space="0" w:color="auto"/>
        <w:left w:val="none" w:sz="0" w:space="0" w:color="auto"/>
        <w:bottom w:val="none" w:sz="0" w:space="0" w:color="auto"/>
        <w:right w:val="none" w:sz="0" w:space="0" w:color="auto"/>
      </w:divBdr>
    </w:div>
    <w:div w:id="846601715">
      <w:bodyDiv w:val="1"/>
      <w:marLeft w:val="0"/>
      <w:marRight w:val="0"/>
      <w:marTop w:val="0"/>
      <w:marBottom w:val="0"/>
      <w:divBdr>
        <w:top w:val="none" w:sz="0" w:space="0" w:color="auto"/>
        <w:left w:val="none" w:sz="0" w:space="0" w:color="auto"/>
        <w:bottom w:val="none" w:sz="0" w:space="0" w:color="auto"/>
        <w:right w:val="none" w:sz="0" w:space="0" w:color="auto"/>
      </w:divBdr>
    </w:div>
    <w:div w:id="860239384">
      <w:bodyDiv w:val="1"/>
      <w:marLeft w:val="0"/>
      <w:marRight w:val="0"/>
      <w:marTop w:val="0"/>
      <w:marBottom w:val="0"/>
      <w:divBdr>
        <w:top w:val="none" w:sz="0" w:space="0" w:color="auto"/>
        <w:left w:val="none" w:sz="0" w:space="0" w:color="auto"/>
        <w:bottom w:val="none" w:sz="0" w:space="0" w:color="auto"/>
        <w:right w:val="none" w:sz="0" w:space="0" w:color="auto"/>
      </w:divBdr>
    </w:div>
    <w:div w:id="882906390">
      <w:bodyDiv w:val="1"/>
      <w:marLeft w:val="0"/>
      <w:marRight w:val="0"/>
      <w:marTop w:val="0"/>
      <w:marBottom w:val="0"/>
      <w:divBdr>
        <w:top w:val="none" w:sz="0" w:space="0" w:color="auto"/>
        <w:left w:val="none" w:sz="0" w:space="0" w:color="auto"/>
        <w:bottom w:val="none" w:sz="0" w:space="0" w:color="auto"/>
        <w:right w:val="none" w:sz="0" w:space="0" w:color="auto"/>
      </w:divBdr>
      <w:divsChild>
        <w:div w:id="1600406657">
          <w:marLeft w:val="0"/>
          <w:marRight w:val="0"/>
          <w:marTop w:val="0"/>
          <w:marBottom w:val="120"/>
          <w:divBdr>
            <w:top w:val="none" w:sz="0" w:space="0" w:color="auto"/>
            <w:left w:val="none" w:sz="0" w:space="0" w:color="auto"/>
            <w:bottom w:val="none" w:sz="0" w:space="0" w:color="auto"/>
            <w:right w:val="none" w:sz="0" w:space="0" w:color="auto"/>
          </w:divBdr>
        </w:div>
      </w:divsChild>
    </w:div>
    <w:div w:id="884027917">
      <w:bodyDiv w:val="1"/>
      <w:marLeft w:val="0"/>
      <w:marRight w:val="0"/>
      <w:marTop w:val="0"/>
      <w:marBottom w:val="0"/>
      <w:divBdr>
        <w:top w:val="none" w:sz="0" w:space="0" w:color="auto"/>
        <w:left w:val="none" w:sz="0" w:space="0" w:color="auto"/>
        <w:bottom w:val="none" w:sz="0" w:space="0" w:color="auto"/>
        <w:right w:val="none" w:sz="0" w:space="0" w:color="auto"/>
      </w:divBdr>
    </w:div>
    <w:div w:id="889533612">
      <w:bodyDiv w:val="1"/>
      <w:marLeft w:val="0"/>
      <w:marRight w:val="0"/>
      <w:marTop w:val="0"/>
      <w:marBottom w:val="0"/>
      <w:divBdr>
        <w:top w:val="none" w:sz="0" w:space="0" w:color="auto"/>
        <w:left w:val="none" w:sz="0" w:space="0" w:color="auto"/>
        <w:bottom w:val="none" w:sz="0" w:space="0" w:color="auto"/>
        <w:right w:val="none" w:sz="0" w:space="0" w:color="auto"/>
      </w:divBdr>
    </w:div>
    <w:div w:id="906187284">
      <w:bodyDiv w:val="1"/>
      <w:marLeft w:val="0"/>
      <w:marRight w:val="0"/>
      <w:marTop w:val="0"/>
      <w:marBottom w:val="0"/>
      <w:divBdr>
        <w:top w:val="none" w:sz="0" w:space="0" w:color="auto"/>
        <w:left w:val="none" w:sz="0" w:space="0" w:color="auto"/>
        <w:bottom w:val="none" w:sz="0" w:space="0" w:color="auto"/>
        <w:right w:val="none" w:sz="0" w:space="0" w:color="auto"/>
      </w:divBdr>
    </w:div>
    <w:div w:id="906961208">
      <w:bodyDiv w:val="1"/>
      <w:marLeft w:val="0"/>
      <w:marRight w:val="0"/>
      <w:marTop w:val="0"/>
      <w:marBottom w:val="0"/>
      <w:divBdr>
        <w:top w:val="none" w:sz="0" w:space="0" w:color="auto"/>
        <w:left w:val="none" w:sz="0" w:space="0" w:color="auto"/>
        <w:bottom w:val="none" w:sz="0" w:space="0" w:color="auto"/>
        <w:right w:val="none" w:sz="0" w:space="0" w:color="auto"/>
      </w:divBdr>
    </w:div>
    <w:div w:id="923876854">
      <w:bodyDiv w:val="1"/>
      <w:marLeft w:val="0"/>
      <w:marRight w:val="0"/>
      <w:marTop w:val="0"/>
      <w:marBottom w:val="0"/>
      <w:divBdr>
        <w:top w:val="none" w:sz="0" w:space="0" w:color="auto"/>
        <w:left w:val="none" w:sz="0" w:space="0" w:color="auto"/>
        <w:bottom w:val="none" w:sz="0" w:space="0" w:color="auto"/>
        <w:right w:val="none" w:sz="0" w:space="0" w:color="auto"/>
      </w:divBdr>
    </w:div>
    <w:div w:id="946497233">
      <w:bodyDiv w:val="1"/>
      <w:marLeft w:val="0"/>
      <w:marRight w:val="0"/>
      <w:marTop w:val="0"/>
      <w:marBottom w:val="0"/>
      <w:divBdr>
        <w:top w:val="none" w:sz="0" w:space="0" w:color="auto"/>
        <w:left w:val="none" w:sz="0" w:space="0" w:color="auto"/>
        <w:bottom w:val="none" w:sz="0" w:space="0" w:color="auto"/>
        <w:right w:val="none" w:sz="0" w:space="0" w:color="auto"/>
      </w:divBdr>
    </w:div>
    <w:div w:id="959530325">
      <w:bodyDiv w:val="1"/>
      <w:marLeft w:val="0"/>
      <w:marRight w:val="0"/>
      <w:marTop w:val="0"/>
      <w:marBottom w:val="0"/>
      <w:divBdr>
        <w:top w:val="none" w:sz="0" w:space="0" w:color="auto"/>
        <w:left w:val="none" w:sz="0" w:space="0" w:color="auto"/>
        <w:bottom w:val="none" w:sz="0" w:space="0" w:color="auto"/>
        <w:right w:val="none" w:sz="0" w:space="0" w:color="auto"/>
      </w:divBdr>
    </w:div>
    <w:div w:id="970331610">
      <w:bodyDiv w:val="1"/>
      <w:marLeft w:val="0"/>
      <w:marRight w:val="0"/>
      <w:marTop w:val="0"/>
      <w:marBottom w:val="0"/>
      <w:divBdr>
        <w:top w:val="none" w:sz="0" w:space="0" w:color="auto"/>
        <w:left w:val="none" w:sz="0" w:space="0" w:color="auto"/>
        <w:bottom w:val="none" w:sz="0" w:space="0" w:color="auto"/>
        <w:right w:val="none" w:sz="0" w:space="0" w:color="auto"/>
      </w:divBdr>
    </w:div>
    <w:div w:id="998313674">
      <w:bodyDiv w:val="1"/>
      <w:marLeft w:val="0"/>
      <w:marRight w:val="0"/>
      <w:marTop w:val="0"/>
      <w:marBottom w:val="0"/>
      <w:divBdr>
        <w:top w:val="none" w:sz="0" w:space="0" w:color="auto"/>
        <w:left w:val="none" w:sz="0" w:space="0" w:color="auto"/>
        <w:bottom w:val="none" w:sz="0" w:space="0" w:color="auto"/>
        <w:right w:val="none" w:sz="0" w:space="0" w:color="auto"/>
      </w:divBdr>
    </w:div>
    <w:div w:id="1007562698">
      <w:bodyDiv w:val="1"/>
      <w:marLeft w:val="0"/>
      <w:marRight w:val="0"/>
      <w:marTop w:val="0"/>
      <w:marBottom w:val="0"/>
      <w:divBdr>
        <w:top w:val="none" w:sz="0" w:space="0" w:color="auto"/>
        <w:left w:val="none" w:sz="0" w:space="0" w:color="auto"/>
        <w:bottom w:val="none" w:sz="0" w:space="0" w:color="auto"/>
        <w:right w:val="none" w:sz="0" w:space="0" w:color="auto"/>
      </w:divBdr>
    </w:div>
    <w:div w:id="1012534819">
      <w:bodyDiv w:val="1"/>
      <w:marLeft w:val="0"/>
      <w:marRight w:val="0"/>
      <w:marTop w:val="0"/>
      <w:marBottom w:val="0"/>
      <w:divBdr>
        <w:top w:val="none" w:sz="0" w:space="0" w:color="auto"/>
        <w:left w:val="none" w:sz="0" w:space="0" w:color="auto"/>
        <w:bottom w:val="none" w:sz="0" w:space="0" w:color="auto"/>
        <w:right w:val="none" w:sz="0" w:space="0" w:color="auto"/>
      </w:divBdr>
    </w:div>
    <w:div w:id="1012681593">
      <w:bodyDiv w:val="1"/>
      <w:marLeft w:val="0"/>
      <w:marRight w:val="0"/>
      <w:marTop w:val="0"/>
      <w:marBottom w:val="0"/>
      <w:divBdr>
        <w:top w:val="none" w:sz="0" w:space="0" w:color="auto"/>
        <w:left w:val="none" w:sz="0" w:space="0" w:color="auto"/>
        <w:bottom w:val="none" w:sz="0" w:space="0" w:color="auto"/>
        <w:right w:val="none" w:sz="0" w:space="0" w:color="auto"/>
      </w:divBdr>
    </w:div>
    <w:div w:id="1014838464">
      <w:bodyDiv w:val="1"/>
      <w:marLeft w:val="0"/>
      <w:marRight w:val="0"/>
      <w:marTop w:val="0"/>
      <w:marBottom w:val="0"/>
      <w:divBdr>
        <w:top w:val="none" w:sz="0" w:space="0" w:color="auto"/>
        <w:left w:val="none" w:sz="0" w:space="0" w:color="auto"/>
        <w:bottom w:val="none" w:sz="0" w:space="0" w:color="auto"/>
        <w:right w:val="none" w:sz="0" w:space="0" w:color="auto"/>
      </w:divBdr>
    </w:div>
    <w:div w:id="1032343626">
      <w:bodyDiv w:val="1"/>
      <w:marLeft w:val="0"/>
      <w:marRight w:val="0"/>
      <w:marTop w:val="0"/>
      <w:marBottom w:val="0"/>
      <w:divBdr>
        <w:top w:val="none" w:sz="0" w:space="0" w:color="auto"/>
        <w:left w:val="none" w:sz="0" w:space="0" w:color="auto"/>
        <w:bottom w:val="none" w:sz="0" w:space="0" w:color="auto"/>
        <w:right w:val="none" w:sz="0" w:space="0" w:color="auto"/>
      </w:divBdr>
    </w:div>
    <w:div w:id="1032920192">
      <w:bodyDiv w:val="1"/>
      <w:marLeft w:val="0"/>
      <w:marRight w:val="0"/>
      <w:marTop w:val="0"/>
      <w:marBottom w:val="0"/>
      <w:divBdr>
        <w:top w:val="none" w:sz="0" w:space="0" w:color="auto"/>
        <w:left w:val="none" w:sz="0" w:space="0" w:color="auto"/>
        <w:bottom w:val="none" w:sz="0" w:space="0" w:color="auto"/>
        <w:right w:val="none" w:sz="0" w:space="0" w:color="auto"/>
      </w:divBdr>
      <w:divsChild>
        <w:div w:id="721251694">
          <w:marLeft w:val="0"/>
          <w:marRight w:val="0"/>
          <w:marTop w:val="0"/>
          <w:marBottom w:val="0"/>
          <w:divBdr>
            <w:top w:val="none" w:sz="0" w:space="0" w:color="auto"/>
            <w:left w:val="none" w:sz="0" w:space="0" w:color="auto"/>
            <w:bottom w:val="none" w:sz="0" w:space="0" w:color="auto"/>
            <w:right w:val="none" w:sz="0" w:space="0" w:color="auto"/>
          </w:divBdr>
        </w:div>
        <w:div w:id="1092167464">
          <w:marLeft w:val="0"/>
          <w:marRight w:val="0"/>
          <w:marTop w:val="0"/>
          <w:marBottom w:val="0"/>
          <w:divBdr>
            <w:top w:val="none" w:sz="0" w:space="0" w:color="auto"/>
            <w:left w:val="none" w:sz="0" w:space="0" w:color="auto"/>
            <w:bottom w:val="none" w:sz="0" w:space="0" w:color="auto"/>
            <w:right w:val="none" w:sz="0" w:space="0" w:color="auto"/>
          </w:divBdr>
        </w:div>
      </w:divsChild>
    </w:div>
    <w:div w:id="1050107676">
      <w:bodyDiv w:val="1"/>
      <w:marLeft w:val="0"/>
      <w:marRight w:val="0"/>
      <w:marTop w:val="0"/>
      <w:marBottom w:val="0"/>
      <w:divBdr>
        <w:top w:val="none" w:sz="0" w:space="0" w:color="auto"/>
        <w:left w:val="none" w:sz="0" w:space="0" w:color="auto"/>
        <w:bottom w:val="none" w:sz="0" w:space="0" w:color="auto"/>
        <w:right w:val="none" w:sz="0" w:space="0" w:color="auto"/>
      </w:divBdr>
      <w:divsChild>
        <w:div w:id="579994612">
          <w:marLeft w:val="0"/>
          <w:marRight w:val="0"/>
          <w:marTop w:val="0"/>
          <w:marBottom w:val="0"/>
          <w:divBdr>
            <w:top w:val="none" w:sz="0" w:space="0" w:color="auto"/>
            <w:left w:val="none" w:sz="0" w:space="0" w:color="auto"/>
            <w:bottom w:val="none" w:sz="0" w:space="0" w:color="auto"/>
            <w:right w:val="none" w:sz="0" w:space="0" w:color="auto"/>
          </w:divBdr>
        </w:div>
      </w:divsChild>
    </w:div>
    <w:div w:id="1056508445">
      <w:bodyDiv w:val="1"/>
      <w:marLeft w:val="0"/>
      <w:marRight w:val="0"/>
      <w:marTop w:val="0"/>
      <w:marBottom w:val="0"/>
      <w:divBdr>
        <w:top w:val="none" w:sz="0" w:space="0" w:color="auto"/>
        <w:left w:val="none" w:sz="0" w:space="0" w:color="auto"/>
        <w:bottom w:val="none" w:sz="0" w:space="0" w:color="auto"/>
        <w:right w:val="none" w:sz="0" w:space="0" w:color="auto"/>
      </w:divBdr>
    </w:div>
    <w:div w:id="1146825217">
      <w:bodyDiv w:val="1"/>
      <w:marLeft w:val="0"/>
      <w:marRight w:val="0"/>
      <w:marTop w:val="0"/>
      <w:marBottom w:val="0"/>
      <w:divBdr>
        <w:top w:val="none" w:sz="0" w:space="0" w:color="auto"/>
        <w:left w:val="none" w:sz="0" w:space="0" w:color="auto"/>
        <w:bottom w:val="none" w:sz="0" w:space="0" w:color="auto"/>
        <w:right w:val="none" w:sz="0" w:space="0" w:color="auto"/>
      </w:divBdr>
    </w:div>
    <w:div w:id="1154030532">
      <w:bodyDiv w:val="1"/>
      <w:marLeft w:val="0"/>
      <w:marRight w:val="0"/>
      <w:marTop w:val="0"/>
      <w:marBottom w:val="0"/>
      <w:divBdr>
        <w:top w:val="none" w:sz="0" w:space="0" w:color="auto"/>
        <w:left w:val="none" w:sz="0" w:space="0" w:color="auto"/>
        <w:bottom w:val="none" w:sz="0" w:space="0" w:color="auto"/>
        <w:right w:val="none" w:sz="0" w:space="0" w:color="auto"/>
      </w:divBdr>
    </w:div>
    <w:div w:id="1171993310">
      <w:bodyDiv w:val="1"/>
      <w:marLeft w:val="0"/>
      <w:marRight w:val="0"/>
      <w:marTop w:val="0"/>
      <w:marBottom w:val="0"/>
      <w:divBdr>
        <w:top w:val="none" w:sz="0" w:space="0" w:color="auto"/>
        <w:left w:val="none" w:sz="0" w:space="0" w:color="auto"/>
        <w:bottom w:val="none" w:sz="0" w:space="0" w:color="auto"/>
        <w:right w:val="none" w:sz="0" w:space="0" w:color="auto"/>
      </w:divBdr>
    </w:div>
    <w:div w:id="1254777361">
      <w:bodyDiv w:val="1"/>
      <w:marLeft w:val="0"/>
      <w:marRight w:val="0"/>
      <w:marTop w:val="0"/>
      <w:marBottom w:val="0"/>
      <w:divBdr>
        <w:top w:val="none" w:sz="0" w:space="0" w:color="auto"/>
        <w:left w:val="none" w:sz="0" w:space="0" w:color="auto"/>
        <w:bottom w:val="none" w:sz="0" w:space="0" w:color="auto"/>
        <w:right w:val="none" w:sz="0" w:space="0" w:color="auto"/>
      </w:divBdr>
    </w:div>
    <w:div w:id="1266957026">
      <w:bodyDiv w:val="1"/>
      <w:marLeft w:val="0"/>
      <w:marRight w:val="0"/>
      <w:marTop w:val="0"/>
      <w:marBottom w:val="0"/>
      <w:divBdr>
        <w:top w:val="none" w:sz="0" w:space="0" w:color="auto"/>
        <w:left w:val="none" w:sz="0" w:space="0" w:color="auto"/>
        <w:bottom w:val="none" w:sz="0" w:space="0" w:color="auto"/>
        <w:right w:val="none" w:sz="0" w:space="0" w:color="auto"/>
      </w:divBdr>
    </w:div>
    <w:div w:id="1286962684">
      <w:bodyDiv w:val="1"/>
      <w:marLeft w:val="0"/>
      <w:marRight w:val="0"/>
      <w:marTop w:val="0"/>
      <w:marBottom w:val="0"/>
      <w:divBdr>
        <w:top w:val="none" w:sz="0" w:space="0" w:color="auto"/>
        <w:left w:val="none" w:sz="0" w:space="0" w:color="auto"/>
        <w:bottom w:val="none" w:sz="0" w:space="0" w:color="auto"/>
        <w:right w:val="none" w:sz="0" w:space="0" w:color="auto"/>
      </w:divBdr>
    </w:div>
    <w:div w:id="1293947996">
      <w:bodyDiv w:val="1"/>
      <w:marLeft w:val="0"/>
      <w:marRight w:val="0"/>
      <w:marTop w:val="0"/>
      <w:marBottom w:val="0"/>
      <w:divBdr>
        <w:top w:val="none" w:sz="0" w:space="0" w:color="auto"/>
        <w:left w:val="none" w:sz="0" w:space="0" w:color="auto"/>
        <w:bottom w:val="none" w:sz="0" w:space="0" w:color="auto"/>
        <w:right w:val="none" w:sz="0" w:space="0" w:color="auto"/>
      </w:divBdr>
    </w:div>
    <w:div w:id="1343361617">
      <w:bodyDiv w:val="1"/>
      <w:marLeft w:val="0"/>
      <w:marRight w:val="0"/>
      <w:marTop w:val="0"/>
      <w:marBottom w:val="0"/>
      <w:divBdr>
        <w:top w:val="none" w:sz="0" w:space="0" w:color="auto"/>
        <w:left w:val="none" w:sz="0" w:space="0" w:color="auto"/>
        <w:bottom w:val="none" w:sz="0" w:space="0" w:color="auto"/>
        <w:right w:val="none" w:sz="0" w:space="0" w:color="auto"/>
      </w:divBdr>
    </w:div>
    <w:div w:id="1383601778">
      <w:bodyDiv w:val="1"/>
      <w:marLeft w:val="0"/>
      <w:marRight w:val="0"/>
      <w:marTop w:val="0"/>
      <w:marBottom w:val="0"/>
      <w:divBdr>
        <w:top w:val="none" w:sz="0" w:space="0" w:color="auto"/>
        <w:left w:val="none" w:sz="0" w:space="0" w:color="auto"/>
        <w:bottom w:val="none" w:sz="0" w:space="0" w:color="auto"/>
        <w:right w:val="none" w:sz="0" w:space="0" w:color="auto"/>
      </w:divBdr>
    </w:div>
    <w:div w:id="1385060502">
      <w:bodyDiv w:val="1"/>
      <w:marLeft w:val="0"/>
      <w:marRight w:val="0"/>
      <w:marTop w:val="0"/>
      <w:marBottom w:val="0"/>
      <w:divBdr>
        <w:top w:val="none" w:sz="0" w:space="0" w:color="auto"/>
        <w:left w:val="none" w:sz="0" w:space="0" w:color="auto"/>
        <w:bottom w:val="none" w:sz="0" w:space="0" w:color="auto"/>
        <w:right w:val="none" w:sz="0" w:space="0" w:color="auto"/>
      </w:divBdr>
    </w:div>
    <w:div w:id="1386677536">
      <w:bodyDiv w:val="1"/>
      <w:marLeft w:val="0"/>
      <w:marRight w:val="0"/>
      <w:marTop w:val="0"/>
      <w:marBottom w:val="0"/>
      <w:divBdr>
        <w:top w:val="none" w:sz="0" w:space="0" w:color="auto"/>
        <w:left w:val="none" w:sz="0" w:space="0" w:color="auto"/>
        <w:bottom w:val="none" w:sz="0" w:space="0" w:color="auto"/>
        <w:right w:val="none" w:sz="0" w:space="0" w:color="auto"/>
      </w:divBdr>
    </w:div>
    <w:div w:id="1387334442">
      <w:bodyDiv w:val="1"/>
      <w:marLeft w:val="0"/>
      <w:marRight w:val="0"/>
      <w:marTop w:val="0"/>
      <w:marBottom w:val="0"/>
      <w:divBdr>
        <w:top w:val="none" w:sz="0" w:space="0" w:color="auto"/>
        <w:left w:val="none" w:sz="0" w:space="0" w:color="auto"/>
        <w:bottom w:val="none" w:sz="0" w:space="0" w:color="auto"/>
        <w:right w:val="none" w:sz="0" w:space="0" w:color="auto"/>
      </w:divBdr>
    </w:div>
    <w:div w:id="1416973989">
      <w:bodyDiv w:val="1"/>
      <w:marLeft w:val="0"/>
      <w:marRight w:val="0"/>
      <w:marTop w:val="0"/>
      <w:marBottom w:val="0"/>
      <w:divBdr>
        <w:top w:val="none" w:sz="0" w:space="0" w:color="auto"/>
        <w:left w:val="none" w:sz="0" w:space="0" w:color="auto"/>
        <w:bottom w:val="none" w:sz="0" w:space="0" w:color="auto"/>
        <w:right w:val="none" w:sz="0" w:space="0" w:color="auto"/>
      </w:divBdr>
    </w:div>
    <w:div w:id="1449008085">
      <w:bodyDiv w:val="1"/>
      <w:marLeft w:val="0"/>
      <w:marRight w:val="0"/>
      <w:marTop w:val="0"/>
      <w:marBottom w:val="0"/>
      <w:divBdr>
        <w:top w:val="none" w:sz="0" w:space="0" w:color="auto"/>
        <w:left w:val="none" w:sz="0" w:space="0" w:color="auto"/>
        <w:bottom w:val="none" w:sz="0" w:space="0" w:color="auto"/>
        <w:right w:val="none" w:sz="0" w:space="0" w:color="auto"/>
      </w:divBdr>
    </w:div>
    <w:div w:id="1459105303">
      <w:bodyDiv w:val="1"/>
      <w:marLeft w:val="0"/>
      <w:marRight w:val="0"/>
      <w:marTop w:val="0"/>
      <w:marBottom w:val="0"/>
      <w:divBdr>
        <w:top w:val="none" w:sz="0" w:space="0" w:color="auto"/>
        <w:left w:val="none" w:sz="0" w:space="0" w:color="auto"/>
        <w:bottom w:val="none" w:sz="0" w:space="0" w:color="auto"/>
        <w:right w:val="none" w:sz="0" w:space="0" w:color="auto"/>
      </w:divBdr>
    </w:div>
    <w:div w:id="1459642503">
      <w:bodyDiv w:val="1"/>
      <w:marLeft w:val="0"/>
      <w:marRight w:val="0"/>
      <w:marTop w:val="0"/>
      <w:marBottom w:val="0"/>
      <w:divBdr>
        <w:top w:val="none" w:sz="0" w:space="0" w:color="auto"/>
        <w:left w:val="none" w:sz="0" w:space="0" w:color="auto"/>
        <w:bottom w:val="none" w:sz="0" w:space="0" w:color="auto"/>
        <w:right w:val="none" w:sz="0" w:space="0" w:color="auto"/>
      </w:divBdr>
    </w:div>
    <w:div w:id="1464538153">
      <w:bodyDiv w:val="1"/>
      <w:marLeft w:val="0"/>
      <w:marRight w:val="0"/>
      <w:marTop w:val="0"/>
      <w:marBottom w:val="0"/>
      <w:divBdr>
        <w:top w:val="none" w:sz="0" w:space="0" w:color="auto"/>
        <w:left w:val="none" w:sz="0" w:space="0" w:color="auto"/>
        <w:bottom w:val="none" w:sz="0" w:space="0" w:color="auto"/>
        <w:right w:val="none" w:sz="0" w:space="0" w:color="auto"/>
      </w:divBdr>
    </w:div>
    <w:div w:id="1575316841">
      <w:bodyDiv w:val="1"/>
      <w:marLeft w:val="0"/>
      <w:marRight w:val="0"/>
      <w:marTop w:val="0"/>
      <w:marBottom w:val="0"/>
      <w:divBdr>
        <w:top w:val="none" w:sz="0" w:space="0" w:color="auto"/>
        <w:left w:val="none" w:sz="0" w:space="0" w:color="auto"/>
        <w:bottom w:val="none" w:sz="0" w:space="0" w:color="auto"/>
        <w:right w:val="none" w:sz="0" w:space="0" w:color="auto"/>
      </w:divBdr>
    </w:div>
    <w:div w:id="1585676161">
      <w:bodyDiv w:val="1"/>
      <w:marLeft w:val="0"/>
      <w:marRight w:val="0"/>
      <w:marTop w:val="0"/>
      <w:marBottom w:val="0"/>
      <w:divBdr>
        <w:top w:val="none" w:sz="0" w:space="0" w:color="auto"/>
        <w:left w:val="none" w:sz="0" w:space="0" w:color="auto"/>
        <w:bottom w:val="none" w:sz="0" w:space="0" w:color="auto"/>
        <w:right w:val="none" w:sz="0" w:space="0" w:color="auto"/>
      </w:divBdr>
    </w:div>
    <w:div w:id="1670013594">
      <w:bodyDiv w:val="1"/>
      <w:marLeft w:val="0"/>
      <w:marRight w:val="0"/>
      <w:marTop w:val="0"/>
      <w:marBottom w:val="0"/>
      <w:divBdr>
        <w:top w:val="none" w:sz="0" w:space="0" w:color="auto"/>
        <w:left w:val="none" w:sz="0" w:space="0" w:color="auto"/>
        <w:bottom w:val="none" w:sz="0" w:space="0" w:color="auto"/>
        <w:right w:val="none" w:sz="0" w:space="0" w:color="auto"/>
      </w:divBdr>
    </w:div>
    <w:div w:id="1676108236">
      <w:bodyDiv w:val="1"/>
      <w:marLeft w:val="0"/>
      <w:marRight w:val="0"/>
      <w:marTop w:val="0"/>
      <w:marBottom w:val="0"/>
      <w:divBdr>
        <w:top w:val="none" w:sz="0" w:space="0" w:color="auto"/>
        <w:left w:val="none" w:sz="0" w:space="0" w:color="auto"/>
        <w:bottom w:val="none" w:sz="0" w:space="0" w:color="auto"/>
        <w:right w:val="none" w:sz="0" w:space="0" w:color="auto"/>
      </w:divBdr>
    </w:div>
    <w:div w:id="1677491313">
      <w:bodyDiv w:val="1"/>
      <w:marLeft w:val="0"/>
      <w:marRight w:val="0"/>
      <w:marTop w:val="0"/>
      <w:marBottom w:val="0"/>
      <w:divBdr>
        <w:top w:val="none" w:sz="0" w:space="0" w:color="auto"/>
        <w:left w:val="none" w:sz="0" w:space="0" w:color="auto"/>
        <w:bottom w:val="none" w:sz="0" w:space="0" w:color="auto"/>
        <w:right w:val="none" w:sz="0" w:space="0" w:color="auto"/>
      </w:divBdr>
    </w:div>
    <w:div w:id="1687100617">
      <w:bodyDiv w:val="1"/>
      <w:marLeft w:val="0"/>
      <w:marRight w:val="0"/>
      <w:marTop w:val="0"/>
      <w:marBottom w:val="0"/>
      <w:divBdr>
        <w:top w:val="none" w:sz="0" w:space="0" w:color="auto"/>
        <w:left w:val="none" w:sz="0" w:space="0" w:color="auto"/>
        <w:bottom w:val="none" w:sz="0" w:space="0" w:color="auto"/>
        <w:right w:val="none" w:sz="0" w:space="0" w:color="auto"/>
      </w:divBdr>
      <w:divsChild>
        <w:div w:id="515457992">
          <w:marLeft w:val="547"/>
          <w:marRight w:val="0"/>
          <w:marTop w:val="0"/>
          <w:marBottom w:val="0"/>
          <w:divBdr>
            <w:top w:val="none" w:sz="0" w:space="0" w:color="auto"/>
            <w:left w:val="none" w:sz="0" w:space="0" w:color="auto"/>
            <w:bottom w:val="none" w:sz="0" w:space="0" w:color="auto"/>
            <w:right w:val="none" w:sz="0" w:space="0" w:color="auto"/>
          </w:divBdr>
        </w:div>
      </w:divsChild>
    </w:div>
    <w:div w:id="1700936126">
      <w:bodyDiv w:val="1"/>
      <w:marLeft w:val="0"/>
      <w:marRight w:val="0"/>
      <w:marTop w:val="0"/>
      <w:marBottom w:val="0"/>
      <w:divBdr>
        <w:top w:val="none" w:sz="0" w:space="0" w:color="auto"/>
        <w:left w:val="none" w:sz="0" w:space="0" w:color="auto"/>
        <w:bottom w:val="none" w:sz="0" w:space="0" w:color="auto"/>
        <w:right w:val="none" w:sz="0" w:space="0" w:color="auto"/>
      </w:divBdr>
    </w:div>
    <w:div w:id="1751198673">
      <w:bodyDiv w:val="1"/>
      <w:marLeft w:val="0"/>
      <w:marRight w:val="0"/>
      <w:marTop w:val="0"/>
      <w:marBottom w:val="0"/>
      <w:divBdr>
        <w:top w:val="none" w:sz="0" w:space="0" w:color="auto"/>
        <w:left w:val="none" w:sz="0" w:space="0" w:color="auto"/>
        <w:bottom w:val="none" w:sz="0" w:space="0" w:color="auto"/>
        <w:right w:val="none" w:sz="0" w:space="0" w:color="auto"/>
      </w:divBdr>
    </w:div>
    <w:div w:id="1793398163">
      <w:bodyDiv w:val="1"/>
      <w:marLeft w:val="0"/>
      <w:marRight w:val="0"/>
      <w:marTop w:val="0"/>
      <w:marBottom w:val="0"/>
      <w:divBdr>
        <w:top w:val="none" w:sz="0" w:space="0" w:color="auto"/>
        <w:left w:val="none" w:sz="0" w:space="0" w:color="auto"/>
        <w:bottom w:val="none" w:sz="0" w:space="0" w:color="auto"/>
        <w:right w:val="none" w:sz="0" w:space="0" w:color="auto"/>
      </w:divBdr>
    </w:div>
    <w:div w:id="1823233980">
      <w:bodyDiv w:val="1"/>
      <w:marLeft w:val="0"/>
      <w:marRight w:val="0"/>
      <w:marTop w:val="0"/>
      <w:marBottom w:val="0"/>
      <w:divBdr>
        <w:top w:val="none" w:sz="0" w:space="0" w:color="auto"/>
        <w:left w:val="none" w:sz="0" w:space="0" w:color="auto"/>
        <w:bottom w:val="none" w:sz="0" w:space="0" w:color="auto"/>
        <w:right w:val="none" w:sz="0" w:space="0" w:color="auto"/>
      </w:divBdr>
    </w:div>
    <w:div w:id="1824350422">
      <w:bodyDiv w:val="1"/>
      <w:marLeft w:val="0"/>
      <w:marRight w:val="0"/>
      <w:marTop w:val="0"/>
      <w:marBottom w:val="0"/>
      <w:divBdr>
        <w:top w:val="none" w:sz="0" w:space="0" w:color="auto"/>
        <w:left w:val="none" w:sz="0" w:space="0" w:color="auto"/>
        <w:bottom w:val="none" w:sz="0" w:space="0" w:color="auto"/>
        <w:right w:val="none" w:sz="0" w:space="0" w:color="auto"/>
      </w:divBdr>
    </w:div>
    <w:div w:id="1835291274">
      <w:bodyDiv w:val="1"/>
      <w:marLeft w:val="0"/>
      <w:marRight w:val="0"/>
      <w:marTop w:val="0"/>
      <w:marBottom w:val="0"/>
      <w:divBdr>
        <w:top w:val="none" w:sz="0" w:space="0" w:color="auto"/>
        <w:left w:val="none" w:sz="0" w:space="0" w:color="auto"/>
        <w:bottom w:val="none" w:sz="0" w:space="0" w:color="auto"/>
        <w:right w:val="none" w:sz="0" w:space="0" w:color="auto"/>
      </w:divBdr>
    </w:div>
    <w:div w:id="1840533700">
      <w:bodyDiv w:val="1"/>
      <w:marLeft w:val="0"/>
      <w:marRight w:val="0"/>
      <w:marTop w:val="0"/>
      <w:marBottom w:val="0"/>
      <w:divBdr>
        <w:top w:val="none" w:sz="0" w:space="0" w:color="auto"/>
        <w:left w:val="none" w:sz="0" w:space="0" w:color="auto"/>
        <w:bottom w:val="none" w:sz="0" w:space="0" w:color="auto"/>
        <w:right w:val="none" w:sz="0" w:space="0" w:color="auto"/>
      </w:divBdr>
    </w:div>
    <w:div w:id="1853957871">
      <w:bodyDiv w:val="1"/>
      <w:marLeft w:val="0"/>
      <w:marRight w:val="0"/>
      <w:marTop w:val="0"/>
      <w:marBottom w:val="0"/>
      <w:divBdr>
        <w:top w:val="none" w:sz="0" w:space="0" w:color="auto"/>
        <w:left w:val="none" w:sz="0" w:space="0" w:color="auto"/>
        <w:bottom w:val="none" w:sz="0" w:space="0" w:color="auto"/>
        <w:right w:val="none" w:sz="0" w:space="0" w:color="auto"/>
      </w:divBdr>
    </w:div>
    <w:div w:id="1881623023">
      <w:bodyDiv w:val="1"/>
      <w:marLeft w:val="0"/>
      <w:marRight w:val="0"/>
      <w:marTop w:val="0"/>
      <w:marBottom w:val="0"/>
      <w:divBdr>
        <w:top w:val="none" w:sz="0" w:space="0" w:color="auto"/>
        <w:left w:val="none" w:sz="0" w:space="0" w:color="auto"/>
        <w:bottom w:val="none" w:sz="0" w:space="0" w:color="auto"/>
        <w:right w:val="none" w:sz="0" w:space="0" w:color="auto"/>
      </w:divBdr>
    </w:div>
    <w:div w:id="1889872657">
      <w:bodyDiv w:val="1"/>
      <w:marLeft w:val="0"/>
      <w:marRight w:val="0"/>
      <w:marTop w:val="0"/>
      <w:marBottom w:val="0"/>
      <w:divBdr>
        <w:top w:val="none" w:sz="0" w:space="0" w:color="auto"/>
        <w:left w:val="none" w:sz="0" w:space="0" w:color="auto"/>
        <w:bottom w:val="none" w:sz="0" w:space="0" w:color="auto"/>
        <w:right w:val="none" w:sz="0" w:space="0" w:color="auto"/>
      </w:divBdr>
      <w:divsChild>
        <w:div w:id="301621738">
          <w:marLeft w:val="0"/>
          <w:marRight w:val="0"/>
          <w:marTop w:val="0"/>
          <w:marBottom w:val="0"/>
          <w:divBdr>
            <w:top w:val="none" w:sz="0" w:space="0" w:color="auto"/>
            <w:left w:val="none" w:sz="0" w:space="0" w:color="auto"/>
            <w:bottom w:val="none" w:sz="0" w:space="0" w:color="auto"/>
            <w:right w:val="none" w:sz="0" w:space="0" w:color="auto"/>
          </w:divBdr>
        </w:div>
        <w:div w:id="386345015">
          <w:marLeft w:val="0"/>
          <w:marRight w:val="0"/>
          <w:marTop w:val="0"/>
          <w:marBottom w:val="0"/>
          <w:divBdr>
            <w:top w:val="none" w:sz="0" w:space="0" w:color="auto"/>
            <w:left w:val="none" w:sz="0" w:space="0" w:color="auto"/>
            <w:bottom w:val="none" w:sz="0" w:space="0" w:color="auto"/>
            <w:right w:val="none" w:sz="0" w:space="0" w:color="auto"/>
          </w:divBdr>
        </w:div>
        <w:div w:id="1278944766">
          <w:marLeft w:val="0"/>
          <w:marRight w:val="0"/>
          <w:marTop w:val="0"/>
          <w:marBottom w:val="0"/>
          <w:divBdr>
            <w:top w:val="none" w:sz="0" w:space="0" w:color="auto"/>
            <w:left w:val="none" w:sz="0" w:space="0" w:color="auto"/>
            <w:bottom w:val="none" w:sz="0" w:space="0" w:color="auto"/>
            <w:right w:val="none" w:sz="0" w:space="0" w:color="auto"/>
          </w:divBdr>
        </w:div>
        <w:div w:id="1500927379">
          <w:marLeft w:val="0"/>
          <w:marRight w:val="0"/>
          <w:marTop w:val="0"/>
          <w:marBottom w:val="0"/>
          <w:divBdr>
            <w:top w:val="none" w:sz="0" w:space="0" w:color="auto"/>
            <w:left w:val="none" w:sz="0" w:space="0" w:color="auto"/>
            <w:bottom w:val="none" w:sz="0" w:space="0" w:color="auto"/>
            <w:right w:val="none" w:sz="0" w:space="0" w:color="auto"/>
          </w:divBdr>
        </w:div>
      </w:divsChild>
    </w:div>
    <w:div w:id="1898740095">
      <w:bodyDiv w:val="1"/>
      <w:marLeft w:val="0"/>
      <w:marRight w:val="0"/>
      <w:marTop w:val="0"/>
      <w:marBottom w:val="0"/>
      <w:divBdr>
        <w:top w:val="none" w:sz="0" w:space="0" w:color="auto"/>
        <w:left w:val="none" w:sz="0" w:space="0" w:color="auto"/>
        <w:bottom w:val="none" w:sz="0" w:space="0" w:color="auto"/>
        <w:right w:val="none" w:sz="0" w:space="0" w:color="auto"/>
      </w:divBdr>
    </w:div>
    <w:div w:id="1905067221">
      <w:bodyDiv w:val="1"/>
      <w:marLeft w:val="0"/>
      <w:marRight w:val="0"/>
      <w:marTop w:val="0"/>
      <w:marBottom w:val="0"/>
      <w:divBdr>
        <w:top w:val="none" w:sz="0" w:space="0" w:color="auto"/>
        <w:left w:val="none" w:sz="0" w:space="0" w:color="auto"/>
        <w:bottom w:val="none" w:sz="0" w:space="0" w:color="auto"/>
        <w:right w:val="none" w:sz="0" w:space="0" w:color="auto"/>
      </w:divBdr>
    </w:div>
    <w:div w:id="1919558099">
      <w:bodyDiv w:val="1"/>
      <w:marLeft w:val="0"/>
      <w:marRight w:val="0"/>
      <w:marTop w:val="0"/>
      <w:marBottom w:val="0"/>
      <w:divBdr>
        <w:top w:val="none" w:sz="0" w:space="0" w:color="auto"/>
        <w:left w:val="none" w:sz="0" w:space="0" w:color="auto"/>
        <w:bottom w:val="none" w:sz="0" w:space="0" w:color="auto"/>
        <w:right w:val="none" w:sz="0" w:space="0" w:color="auto"/>
      </w:divBdr>
    </w:div>
    <w:div w:id="1932658915">
      <w:bodyDiv w:val="1"/>
      <w:marLeft w:val="0"/>
      <w:marRight w:val="0"/>
      <w:marTop w:val="0"/>
      <w:marBottom w:val="0"/>
      <w:divBdr>
        <w:top w:val="none" w:sz="0" w:space="0" w:color="auto"/>
        <w:left w:val="none" w:sz="0" w:space="0" w:color="auto"/>
        <w:bottom w:val="none" w:sz="0" w:space="0" w:color="auto"/>
        <w:right w:val="none" w:sz="0" w:space="0" w:color="auto"/>
      </w:divBdr>
    </w:div>
    <w:div w:id="1945191317">
      <w:bodyDiv w:val="1"/>
      <w:marLeft w:val="0"/>
      <w:marRight w:val="0"/>
      <w:marTop w:val="0"/>
      <w:marBottom w:val="0"/>
      <w:divBdr>
        <w:top w:val="none" w:sz="0" w:space="0" w:color="auto"/>
        <w:left w:val="none" w:sz="0" w:space="0" w:color="auto"/>
        <w:bottom w:val="none" w:sz="0" w:space="0" w:color="auto"/>
        <w:right w:val="none" w:sz="0" w:space="0" w:color="auto"/>
      </w:divBdr>
    </w:div>
    <w:div w:id="2082171110">
      <w:bodyDiv w:val="1"/>
      <w:marLeft w:val="0"/>
      <w:marRight w:val="0"/>
      <w:marTop w:val="0"/>
      <w:marBottom w:val="0"/>
      <w:divBdr>
        <w:top w:val="none" w:sz="0" w:space="0" w:color="auto"/>
        <w:left w:val="none" w:sz="0" w:space="0" w:color="auto"/>
        <w:bottom w:val="none" w:sz="0" w:space="0" w:color="auto"/>
        <w:right w:val="none" w:sz="0" w:space="0" w:color="auto"/>
      </w:divBdr>
    </w:div>
    <w:div w:id="2114786757">
      <w:bodyDiv w:val="1"/>
      <w:marLeft w:val="0"/>
      <w:marRight w:val="0"/>
      <w:marTop w:val="0"/>
      <w:marBottom w:val="0"/>
      <w:divBdr>
        <w:top w:val="none" w:sz="0" w:space="0" w:color="auto"/>
        <w:left w:val="none" w:sz="0" w:space="0" w:color="auto"/>
        <w:bottom w:val="none" w:sz="0" w:space="0" w:color="auto"/>
        <w:right w:val="none" w:sz="0" w:space="0" w:color="auto"/>
      </w:divBdr>
    </w:div>
    <w:div w:id="212241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7/11782218221118462" TargetMode="External"/><Relationship Id="rId299" Type="http://schemas.openxmlformats.org/officeDocument/2006/relationships/hyperlink" Target="https://doi.org/10.1177/0091450920941267" TargetMode="External"/><Relationship Id="rId21" Type="http://schemas.microsoft.com/office/2007/relationships/diagramDrawing" Target="diagrams/drawing1.xml"/><Relationship Id="rId63" Type="http://schemas.openxmlformats.org/officeDocument/2006/relationships/hyperlink" Target="https://doi.org/10.1093/pubmed/fdt038" TargetMode="External"/><Relationship Id="rId159" Type="http://schemas.openxmlformats.org/officeDocument/2006/relationships/hyperlink" Target="https://doi.org/https://doi.org/10.1016/j.neubiorev.2021.09.001" TargetMode="External"/><Relationship Id="rId170" Type="http://schemas.openxmlformats.org/officeDocument/2006/relationships/hyperlink" Target="https://assets.publishing.service.gov.uk/government/uploads/system/uploads/attachment_data/file/752993/AdultSubstanceMisuseStatisticsfromNDTMS2017-18.pdf" TargetMode="External"/><Relationship Id="rId226" Type="http://schemas.openxmlformats.org/officeDocument/2006/relationships/hyperlink" Target="https://assets.publishing.service.gov.uk/media/657050863831ec000dc7496d/Adult-substance-misuse-treatment-statistics-2022-2023_data-tables.ods" TargetMode="External"/><Relationship Id="rId268" Type="http://schemas.openxmlformats.org/officeDocument/2006/relationships/hyperlink" Target="https://doi.org/https://doi.org/10.1016/j.avb.2006.03.006" TargetMode="External"/><Relationship Id="rId32" Type="http://schemas.microsoft.com/office/2007/relationships/diagramDrawing" Target="diagrams/drawing3.xml"/><Relationship Id="rId74" Type="http://schemas.openxmlformats.org/officeDocument/2006/relationships/hyperlink" Target="https://doi.org/10.1177/1077559512454216" TargetMode="External"/><Relationship Id="rId128" Type="http://schemas.openxmlformats.org/officeDocument/2006/relationships/hyperlink" Target="https://doi.org/https://doi.org/10.1016/j.drugalcdep.2005.01.023" TargetMode="External"/><Relationship Id="rId5" Type="http://schemas.openxmlformats.org/officeDocument/2006/relationships/numbering" Target="numbering.xml"/><Relationship Id="rId181" Type="http://schemas.openxmlformats.org/officeDocument/2006/relationships/hyperlink" Target="https://doi.org/10.7326/M17-1485" TargetMode="External"/><Relationship Id="rId237" Type="http://schemas.openxmlformats.org/officeDocument/2006/relationships/hyperlink" Target="https://doi.org/10.1177/10443894221145751" TargetMode="External"/><Relationship Id="rId279" Type="http://schemas.openxmlformats.org/officeDocument/2006/relationships/hyperlink" Target="https://www.tavinstitute.org/news/life-during-covid-times/" TargetMode="External"/><Relationship Id="rId43" Type="http://schemas.microsoft.com/office/2007/relationships/diagramDrawing" Target="diagrams/drawing5.xml"/><Relationship Id="rId139" Type="http://schemas.openxmlformats.org/officeDocument/2006/relationships/hyperlink" Target="https://doi.org/10.1016/S0140-6736(18)31310-2" TargetMode="External"/><Relationship Id="rId290" Type="http://schemas.openxmlformats.org/officeDocument/2006/relationships/hyperlink" Target="https://doi.org/10.1136/bmj.331.7516.544" TargetMode="External"/><Relationship Id="rId304" Type="http://schemas.openxmlformats.org/officeDocument/2006/relationships/hyperlink" Target="https://doi.org/10.1016/j.jsat.2007.09.006" TargetMode="External"/><Relationship Id="rId85" Type="http://schemas.openxmlformats.org/officeDocument/2006/relationships/hyperlink" Target="https://doi.org/https://doi.org/10.1016/j.childyouth.2012.06.001" TargetMode="External"/><Relationship Id="rId150" Type="http://schemas.openxmlformats.org/officeDocument/2006/relationships/hyperlink" Target="https://assets.publishing.service.gov.uk/media/5e96c443e90e071a13b0892e/Magenta_Book_supplementary_guide._Government_Analytical_Evaluation_Capabilities_Framework.pdf" TargetMode="External"/><Relationship Id="rId192" Type="http://schemas.openxmlformats.org/officeDocument/2006/relationships/hyperlink" Target="https://doi.org/10.1111/j.1365-2206.2012.00827.x" TargetMode="External"/><Relationship Id="rId206" Type="http://schemas.openxmlformats.org/officeDocument/2006/relationships/hyperlink" Target="https://doi.org/10.1002/14651858.CD006318.pub4" TargetMode="External"/><Relationship Id="rId248" Type="http://schemas.openxmlformats.org/officeDocument/2006/relationships/hyperlink" Target="https://doi.org/https://doi.org/10.1093/swr/30.2.95" TargetMode="External"/><Relationship Id="rId12" Type="http://schemas.openxmlformats.org/officeDocument/2006/relationships/hyperlink" Target="http://www.sheffield.ac.uk/ssid/unfair-means" TargetMode="External"/><Relationship Id="rId108" Type="http://schemas.openxmlformats.org/officeDocument/2006/relationships/hyperlink" Target="https://doi.org/10.1007/s00127-007-0264-2" TargetMode="External"/><Relationship Id="rId315" Type="http://schemas.openxmlformats.org/officeDocument/2006/relationships/footer" Target="footer9.xml"/><Relationship Id="rId54" Type="http://schemas.openxmlformats.org/officeDocument/2006/relationships/hyperlink" Target="https://doi.org/10.1176/appi.books.9780890425787.x16_Substance_Related_Disorders" TargetMode="External"/><Relationship Id="rId96" Type="http://schemas.openxmlformats.org/officeDocument/2006/relationships/hyperlink" Target="https://doi.org/10.1093/jpepsy/jsn097" TargetMode="External"/><Relationship Id="rId161" Type="http://schemas.openxmlformats.org/officeDocument/2006/relationships/hyperlink" Target="https://doi.org/10.3109/16066359.2014.892930" TargetMode="External"/><Relationship Id="rId217" Type="http://schemas.openxmlformats.org/officeDocument/2006/relationships/hyperlink" Target="https://www.nice.org.uk/guidance/cg115" TargetMode="External"/><Relationship Id="rId259" Type="http://schemas.openxmlformats.org/officeDocument/2006/relationships/hyperlink" Target="https://doi.org/10.1016/j.jval.2012.06.014" TargetMode="External"/><Relationship Id="rId23" Type="http://schemas.openxmlformats.org/officeDocument/2006/relationships/diagramData" Target="diagrams/data2.xml"/><Relationship Id="rId119" Type="http://schemas.openxmlformats.org/officeDocument/2006/relationships/hyperlink" Target="https://doi.org/http://dx.doi.org/10.1111/j.1360-0443.2006.01321.x" TargetMode="External"/><Relationship Id="rId270" Type="http://schemas.openxmlformats.org/officeDocument/2006/relationships/hyperlink" Target="https://doi.org/10.1002/car.2528" TargetMode="External"/><Relationship Id="rId65" Type="http://schemas.openxmlformats.org/officeDocument/2006/relationships/hyperlink" Target="https://doi.org/https://doi.org/10.1111/add.15732" TargetMode="External"/><Relationship Id="rId130" Type="http://schemas.openxmlformats.org/officeDocument/2006/relationships/hyperlink" Target="https://doi.org/10.1081/JA-100106963" TargetMode="External"/><Relationship Id="rId172" Type="http://schemas.openxmlformats.org/officeDocument/2006/relationships/hyperlink" Target="https://doi.org/10.3109/10826084.2013.824478" TargetMode="External"/><Relationship Id="rId228" Type="http://schemas.openxmlformats.org/officeDocument/2006/relationships/hyperlink" Target="https://www.ndtms.net/" TargetMode="External"/><Relationship Id="rId13" Type="http://schemas.openxmlformats.org/officeDocument/2006/relationships/hyperlink" Target="https://www.sciencedirect.com/topics/neuroscience/face" TargetMode="External"/><Relationship Id="rId109" Type="http://schemas.openxmlformats.org/officeDocument/2006/relationships/hyperlink" Target="https://doi.org/10.1037/a0036920" TargetMode="External"/><Relationship Id="rId260" Type="http://schemas.openxmlformats.org/officeDocument/2006/relationships/hyperlink" Target="https://doi.org/10.1016/j.jsat.2013.05.008" TargetMode="External"/><Relationship Id="rId281" Type="http://schemas.openxmlformats.org/officeDocument/2006/relationships/hyperlink" Target="http://www.jstor.org/stable/23720534" TargetMode="External"/><Relationship Id="rId316" Type="http://schemas.openxmlformats.org/officeDocument/2006/relationships/fontTable" Target="fontTable.xml"/><Relationship Id="rId34" Type="http://schemas.openxmlformats.org/officeDocument/2006/relationships/diagramData" Target="diagrams/data4.xml"/><Relationship Id="rId55" Type="http://schemas.openxmlformats.org/officeDocument/2006/relationships/hyperlink" Target="https://doi.org/https://doi.org/10.1002/mpr.306" TargetMode="External"/><Relationship Id="rId76" Type="http://schemas.openxmlformats.org/officeDocument/2006/relationships/hyperlink" Target="https://www.gov.uk/government/uploads/system/uploads/attachment_data/file/586111/PHE_Evidence_review_of_drug_treatment_outcomes.pdf" TargetMode="External"/><Relationship Id="rId97" Type="http://schemas.openxmlformats.org/officeDocument/2006/relationships/hyperlink" Target="https://doi.org/https://doi.org/10.1016/j.drugalcdep.2023.110944" TargetMode="External"/><Relationship Id="rId120" Type="http://schemas.openxmlformats.org/officeDocument/2006/relationships/hyperlink" Target="https://doi.org/10.1002/car.1048" TargetMode="External"/><Relationship Id="rId141" Type="http://schemas.openxmlformats.org/officeDocument/2006/relationships/hyperlink" Target="https://doi.org/10.1016/j.jclinepi.2010.09.011" TargetMode="External"/><Relationship Id="rId7" Type="http://schemas.openxmlformats.org/officeDocument/2006/relationships/settings" Target="settings.xml"/><Relationship Id="rId162" Type="http://schemas.openxmlformats.org/officeDocument/2006/relationships/hyperlink" Target="https://doi.org/10.3109/16066359.2015.1127358" TargetMode="External"/><Relationship Id="rId183" Type="http://schemas.openxmlformats.org/officeDocument/2006/relationships/hyperlink" Target="https://doi.org/10.1007/s40653-021-00433-2" TargetMode="External"/><Relationship Id="rId218" Type="http://schemas.openxmlformats.org/officeDocument/2006/relationships/hyperlink" Target="https://www.nice.org.uk/guidance/qs23" TargetMode="External"/><Relationship Id="rId239" Type="http://schemas.openxmlformats.org/officeDocument/2006/relationships/hyperlink" Target="https://assets.publishing.service.gov.uk/government/uploads/system/uploads/attachment_data/file/785198/NDTMS_adult_drug_and_alcohol_treatment_business_definitions_CDS-O.pdf" TargetMode="External"/><Relationship Id="rId250" Type="http://schemas.openxmlformats.org/officeDocument/2006/relationships/hyperlink" Target="https://doi.org/https://doi.org/10.1016/j.chiabu.2013.04.004" TargetMode="External"/><Relationship Id="rId271" Type="http://schemas.openxmlformats.org/officeDocument/2006/relationships/hyperlink" Target="https://doi.org/10.1016/j.jsat.2019.07.003" TargetMode="External"/><Relationship Id="rId292" Type="http://schemas.openxmlformats.org/officeDocument/2006/relationships/hyperlink" Target="https://doi.org/https://www.acpjournals.org/doi/10.7326/M16-2607" TargetMode="External"/><Relationship Id="rId306" Type="http://schemas.openxmlformats.org/officeDocument/2006/relationships/hyperlink" Target="https://doi.org/doi:10.1002/car.1045" TargetMode="External"/><Relationship Id="rId24" Type="http://schemas.openxmlformats.org/officeDocument/2006/relationships/diagramLayout" Target="diagrams/layout2.xml"/><Relationship Id="rId45" Type="http://schemas.openxmlformats.org/officeDocument/2006/relationships/chart" Target="charts/chart1.xml"/><Relationship Id="rId66" Type="http://schemas.openxmlformats.org/officeDocument/2006/relationships/hyperlink" Target="https://doi.org/10.1093/oso/9780192896087.005.0006" TargetMode="External"/><Relationship Id="rId87" Type="http://schemas.openxmlformats.org/officeDocument/2006/relationships/hyperlink" Target="https://doi.org/10.1080/10826080802289762" TargetMode="External"/><Relationship Id="rId110" Type="http://schemas.openxmlformats.org/officeDocument/2006/relationships/hyperlink" Target="https://doi.org/http://dx.doi.org/10.1016/j.jsat.2013.05.010" TargetMode="External"/><Relationship Id="rId131" Type="http://schemas.openxmlformats.org/officeDocument/2006/relationships/hyperlink" Target="https://doi.org/10.1081/ADA-200056813" TargetMode="External"/><Relationship Id="rId152" Type="http://schemas.openxmlformats.org/officeDocument/2006/relationships/hyperlink" Target="https://doi.org/https://doi.org/10.1016/j.pedhc.2016.09.005" TargetMode="External"/><Relationship Id="rId173" Type="http://schemas.openxmlformats.org/officeDocument/2006/relationships/hyperlink" Target="https://doi.org/10.1111/j.1365-2206.2004.00325.x" TargetMode="External"/><Relationship Id="rId194" Type="http://schemas.openxmlformats.org/officeDocument/2006/relationships/hyperlink" Target="https://doi.org/10.1002/sim.5753" TargetMode="External"/><Relationship Id="rId208" Type="http://schemas.openxmlformats.org/officeDocument/2006/relationships/hyperlink" Target="https://doi.org/https://doi.org/10.1016/j.childyouth.2021.106021" TargetMode="External"/><Relationship Id="rId229" Type="http://schemas.openxmlformats.org/officeDocument/2006/relationships/hyperlink" Target="https://doi.org/10.1207/s15374424jccp3402_9" TargetMode="External"/><Relationship Id="rId240" Type="http://schemas.openxmlformats.org/officeDocument/2006/relationships/hyperlink" Target="https://www.ndtms.net/resources/public/NDTMS_annual_report-Quality_methodology.pdf" TargetMode="External"/><Relationship Id="rId261" Type="http://schemas.openxmlformats.org/officeDocument/2006/relationships/hyperlink" Target="https://doi.org/https://doi.org/10.1016/j.addbeh.2014.02.003" TargetMode="External"/><Relationship Id="rId14" Type="http://schemas.openxmlformats.org/officeDocument/2006/relationships/hyperlink" Target="https://www.sciencedirect.com/topics/neuroscience/sensation-of-hearing" TargetMode="External"/><Relationship Id="rId35" Type="http://schemas.openxmlformats.org/officeDocument/2006/relationships/diagramLayout" Target="diagrams/layout4.xml"/><Relationship Id="rId56" Type="http://schemas.openxmlformats.org/officeDocument/2006/relationships/hyperlink" Target="https://doi.org/10.1016/j.drugalcdep.2018.08.044" TargetMode="External"/><Relationship Id="rId77" Type="http://schemas.openxmlformats.org/officeDocument/2006/relationships/hyperlink" Target="https://doi.org/10.1016/S0140-6736(16)32420-5" TargetMode="External"/><Relationship Id="rId100" Type="http://schemas.openxmlformats.org/officeDocument/2006/relationships/hyperlink" Target="https://doi.org/10.1007/s10896-016-9821-3" TargetMode="External"/><Relationship Id="rId282" Type="http://schemas.openxmlformats.org/officeDocument/2006/relationships/hyperlink" Target="https://doi.org/10.1093/bjsw/bcl374" TargetMode="External"/><Relationship Id="rId317"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hyperlink" Target="https://doi.org/http://dx.doi.org/10.1016/j.childyouth.2012.03.020" TargetMode="External"/><Relationship Id="rId121" Type="http://schemas.openxmlformats.org/officeDocument/2006/relationships/hyperlink" Target="https://doi.org/https://doi.org/10.1111/j.1365-2206.2006.00415.x" TargetMode="External"/><Relationship Id="rId142" Type="http://schemas.openxmlformats.org/officeDocument/2006/relationships/hyperlink" Target="https://doi.org/10.1136/bmj.39489.470347.AD" TargetMode="External"/><Relationship Id="rId163" Type="http://schemas.openxmlformats.org/officeDocument/2006/relationships/hyperlink" Target="https://doi.org/10.18637/jss.v038.i08" TargetMode="External"/><Relationship Id="rId184" Type="http://schemas.openxmlformats.org/officeDocument/2006/relationships/hyperlink" Target="https://doi.org/10.1017/S0954579407070137" TargetMode="External"/><Relationship Id="rId219" Type="http://schemas.openxmlformats.org/officeDocument/2006/relationships/hyperlink" Target="https://www.nice.org.uk/process/pmg4/chapter/incorporating-health-economics" TargetMode="External"/><Relationship Id="rId230" Type="http://schemas.openxmlformats.org/officeDocument/2006/relationships/hyperlink" Target="https://doi.org/https://doi.org/10.1016/j.jsat.2017.02.003" TargetMode="External"/><Relationship Id="rId251" Type="http://schemas.openxmlformats.org/officeDocument/2006/relationships/hyperlink" Target="https://doi.org/10.1136/archdischild-2020-320435" TargetMode="External"/><Relationship Id="rId25" Type="http://schemas.openxmlformats.org/officeDocument/2006/relationships/diagramQuickStyle" Target="diagrams/quickStyle2.xml"/><Relationship Id="rId46" Type="http://schemas.openxmlformats.org/officeDocument/2006/relationships/chart" Target="charts/chart2.xml"/><Relationship Id="rId67" Type="http://schemas.openxmlformats.org/officeDocument/2006/relationships/hyperlink" Target="https://www.gov.uk/government/publications/review-of-drugs-phase-two-report" TargetMode="External"/><Relationship Id="rId272" Type="http://schemas.openxmlformats.org/officeDocument/2006/relationships/hyperlink" Target="https://doi.org/10.1016/j.jsat.2019.07.003" TargetMode="External"/><Relationship Id="rId293" Type="http://schemas.openxmlformats.org/officeDocument/2006/relationships/hyperlink" Target="https://doi.org/https://doi.org/10.4324/9780203727690" TargetMode="External"/><Relationship Id="rId307" Type="http://schemas.openxmlformats.org/officeDocument/2006/relationships/hyperlink" Target="https://doi.org/10.1186/s12913-015-1091-x" TargetMode="External"/><Relationship Id="rId88" Type="http://schemas.openxmlformats.org/officeDocument/2006/relationships/hyperlink" Target="https://doi.org/10.1186/s12874-020-01053-4" TargetMode="External"/><Relationship Id="rId111" Type="http://schemas.openxmlformats.org/officeDocument/2006/relationships/hyperlink" Target="https://kclpure.kcl.ac.uk/portal/en/studentTheses/the-long-term-impact-of-treatment-for-individuals-presenting-to-s" TargetMode="External"/><Relationship Id="rId132" Type="http://schemas.openxmlformats.org/officeDocument/2006/relationships/hyperlink" Target="https://doi.org/10.1177/1077559506296317" TargetMode="External"/><Relationship Id="rId153" Type="http://schemas.openxmlformats.org/officeDocument/2006/relationships/hyperlink" Target="https://EconPapers.repec.org/RePEc:eee:cysrev:v:33:y:2011:i:2:p:322-329" TargetMode="External"/><Relationship Id="rId174" Type="http://schemas.openxmlformats.org/officeDocument/2006/relationships/hyperlink" Target="https://www.addaction.org.uk/sites/default/files/public/attachments/the_breaking_the_cycle_commission_2mb_0.pdf" TargetMode="External"/><Relationship Id="rId195" Type="http://schemas.openxmlformats.org/officeDocument/2006/relationships/hyperlink" Target="https://doi.org/https://doi.org/10.1016/j.jpsychires.2024.01.024" TargetMode="External"/><Relationship Id="rId209" Type="http://schemas.openxmlformats.org/officeDocument/2006/relationships/hyperlink" Target="https://doi.org/10.1016/j.jsat.2018.03.005" TargetMode="External"/><Relationship Id="rId220" Type="http://schemas.openxmlformats.org/officeDocument/2006/relationships/hyperlink" Target="https://learning.nspcc.org.uk/media/2241/impact-of-coronavirus-pandemic-on-child-welfare-domestic-abuse.pdf" TargetMode="External"/><Relationship Id="rId241" Type="http://schemas.openxmlformats.org/officeDocument/2006/relationships/hyperlink" Target="https://www.gov.uk/government/statistics/substance-misuse-treatment-for-adults-statistics-2019-to-2020/adult-substance-misuse-treatment-statistics-2019-to-2020-report" TargetMode="External"/><Relationship Id="rId15" Type="http://schemas.openxmlformats.org/officeDocument/2006/relationships/footer" Target="footer1.xml"/><Relationship Id="rId36" Type="http://schemas.openxmlformats.org/officeDocument/2006/relationships/diagramQuickStyle" Target="diagrams/quickStyle4.xml"/><Relationship Id="rId57" Type="http://schemas.openxmlformats.org/officeDocument/2006/relationships/hyperlink" Target="https://doi.org/10.1111/j.1360-0443.2003.00664.x" TargetMode="External"/><Relationship Id="rId262" Type="http://schemas.openxmlformats.org/officeDocument/2006/relationships/hyperlink" Target="https://doi.org/10.1037/adb0000199" TargetMode="External"/><Relationship Id="rId283" Type="http://schemas.openxmlformats.org/officeDocument/2006/relationships/hyperlink" Target="https://www.actiononaddiction.org.uk/media/112/m-pact-evaluation-report-2006-18-draft-v7b.pdf?1563200966" TargetMode="External"/><Relationship Id="rId78" Type="http://schemas.openxmlformats.org/officeDocument/2006/relationships/hyperlink" Target="https://assets.publishing.service.gov.uk/media/5b6c5703ed915d3119112af6/alcohol_public_health_burden_evidence_review_update_2018.pdf" TargetMode="External"/><Relationship Id="rId99" Type="http://schemas.openxmlformats.org/officeDocument/2006/relationships/hyperlink" Target="https://doi.org/10.1016/j.jsat.2006.10.003" TargetMode="External"/><Relationship Id="rId101" Type="http://schemas.openxmlformats.org/officeDocument/2006/relationships/hyperlink" Target="https://doi.org/https://doi.org/10.1111/j.1530-0277.2007.00536.x" TargetMode="External"/><Relationship Id="rId122" Type="http://schemas.openxmlformats.org/officeDocument/2006/relationships/hyperlink" Target="https://doi.org/doi:10.1111/cfs.12111" TargetMode="External"/><Relationship Id="rId143" Type="http://schemas.openxmlformats.org/officeDocument/2006/relationships/hyperlink" Target="https://doi.org/10.1080/16066350701651214" TargetMode="External"/><Relationship Id="rId164" Type="http://schemas.openxmlformats.org/officeDocument/2006/relationships/hyperlink" Target="https://doi.org/10.1300/J200v03n04_04" TargetMode="External"/><Relationship Id="rId185" Type="http://schemas.openxmlformats.org/officeDocument/2006/relationships/hyperlink" Target="https://doi.org/10.1093/bjsw/bcr184" TargetMode="External"/><Relationship Id="rId9" Type="http://schemas.openxmlformats.org/officeDocument/2006/relationships/footnotes" Target="footnotes.xml"/><Relationship Id="rId210" Type="http://schemas.openxmlformats.org/officeDocument/2006/relationships/hyperlink" Target="https://doi.org/10.2105/AJPH.2005.076380" TargetMode="External"/><Relationship Id="rId26" Type="http://schemas.openxmlformats.org/officeDocument/2006/relationships/diagramColors" Target="diagrams/colors2.xml"/><Relationship Id="rId231" Type="http://schemas.openxmlformats.org/officeDocument/2006/relationships/hyperlink" Target="https://www.mdpi.com/1660-4601/21/1/63" TargetMode="External"/><Relationship Id="rId252" Type="http://schemas.openxmlformats.org/officeDocument/2006/relationships/hyperlink" Target="https://doi.org/10.1016/j.drugalcdep.2011.02.019" TargetMode="External"/><Relationship Id="rId273" Type="http://schemas.openxmlformats.org/officeDocument/2006/relationships/hyperlink" Target="https://doi.org/https://doi.org/10.1111/add.12904" TargetMode="External"/><Relationship Id="rId294" Type="http://schemas.openxmlformats.org/officeDocument/2006/relationships/hyperlink" Target="https://doi.org/10.1192/apt.bp.106.002386" TargetMode="External"/><Relationship Id="rId308" Type="http://schemas.openxmlformats.org/officeDocument/2006/relationships/hyperlink" Target="https://doi.org/https://dx.doi.org/10.1186/s12884-017-1260-5" TargetMode="External"/><Relationship Id="rId47" Type="http://schemas.openxmlformats.org/officeDocument/2006/relationships/image" Target="media/image3.png"/><Relationship Id="rId68" Type="http://schemas.openxmlformats.org/officeDocument/2006/relationships/hyperlink" Target="https://doi.org/10.1177/1077559507300643" TargetMode="External"/><Relationship Id="rId89" Type="http://schemas.openxmlformats.org/officeDocument/2006/relationships/hyperlink" Target="https://doi.org/10.1037/emo0000504" TargetMode="External"/><Relationship Id="rId112" Type="http://schemas.openxmlformats.org/officeDocument/2006/relationships/hyperlink" Target="https://doi.org/10.1016/j.jsat.2018.02.001" TargetMode="External"/><Relationship Id="rId133" Type="http://schemas.openxmlformats.org/officeDocument/2006/relationships/hyperlink" Target="https://doi.org/10.1037/a0036515" TargetMode="External"/><Relationship Id="rId154" Type="http://schemas.openxmlformats.org/officeDocument/2006/relationships/hyperlink" Target="https://doi.org/10.1606/1044-3894.4223" TargetMode="External"/><Relationship Id="rId175" Type="http://schemas.openxmlformats.org/officeDocument/2006/relationships/hyperlink" Target="https://doi.org/http://dx.doi.org/10.1177/1077559509334091" TargetMode="External"/><Relationship Id="rId196" Type="http://schemas.openxmlformats.org/officeDocument/2006/relationships/hyperlink" Target="https://doi.org/10.1002/14651858.CD012823" TargetMode="External"/><Relationship Id="rId200" Type="http://schemas.openxmlformats.org/officeDocument/2006/relationships/hyperlink" Target="https://doi.org/10.1002/14651858.CD012823.pub2" TargetMode="External"/><Relationship Id="rId16" Type="http://schemas.openxmlformats.org/officeDocument/2006/relationships/footer" Target="footer2.xml"/><Relationship Id="rId221" Type="http://schemas.openxmlformats.org/officeDocument/2006/relationships/hyperlink" Target="https://www.nspcc.org.uk/about-us/news-opinion/2021/parents-drug-and-alcohol-misuse-raises-concerns-as-reports-to-nspcc--soars-during-the-pandemic/?utm_source=Adestra&amp;utm_medium=email&amp;utm_content=Contacts%20to%20the%20NSPCC%20about%20drug%20and%20alcohol%20misuse%20among%20parents%20soar%20during%20the%20pandemic&amp;utm_campaign=20210222_KIS_CASPAR_February22" TargetMode="External"/><Relationship Id="rId242" Type="http://schemas.openxmlformats.org/officeDocument/2006/relationships/hyperlink" Target="https://assets.publishing.service.gov.uk/government/uploads/system/uploads/attachment_data/file/785198/NDTMS_adult_drug_and_alcohol_treatment_business_definitions_CDS-O.pdf" TargetMode="External"/><Relationship Id="rId263" Type="http://schemas.openxmlformats.org/officeDocument/2006/relationships/hyperlink" Target="https://doi.org/10.1002/14651858.CD007361.pub2" TargetMode="External"/><Relationship Id="rId284" Type="http://schemas.openxmlformats.org/officeDocument/2006/relationships/hyperlink" Target="https://doi.org/https://dx.doi.org/10.1007/s10488-014-0537-5" TargetMode="External"/><Relationship Id="rId37" Type="http://schemas.openxmlformats.org/officeDocument/2006/relationships/diagramColors" Target="diagrams/colors4.xml"/><Relationship Id="rId58" Type="http://schemas.openxmlformats.org/officeDocument/2006/relationships/hyperlink" Target="https://doi.org/https://doi.org/10.1111/dar.12504" TargetMode="External"/><Relationship Id="rId79" Type="http://schemas.openxmlformats.org/officeDocument/2006/relationships/hyperlink" Target="https://assets.publishing.service.gov.uk/government/uploads/system/uploads/attachment_data/file/190984/Magenta_Book_quality_in_policy_impact_evaluation__QPIE_.pdf" TargetMode="External"/><Relationship Id="rId102" Type="http://schemas.openxmlformats.org/officeDocument/2006/relationships/hyperlink" Target="https://doi.org/10.3310/hta24140" TargetMode="External"/><Relationship Id="rId123" Type="http://schemas.openxmlformats.org/officeDocument/2006/relationships/hyperlink" Target="https://researchbriefings.files.parliament.uk/documents/CBP-7585/CBP-7585.pdf" TargetMode="External"/><Relationship Id="rId144" Type="http://schemas.openxmlformats.org/officeDocument/2006/relationships/hyperlink" Target="https://doi.org/10.1093/lawfam/eby006" TargetMode="External"/><Relationship Id="rId90" Type="http://schemas.openxmlformats.org/officeDocument/2006/relationships/hyperlink" Target="https://doi.org/https://doi.org/10.1080/09595230500302356" TargetMode="External"/><Relationship Id="rId165" Type="http://schemas.openxmlformats.org/officeDocument/2006/relationships/hyperlink" Target="https://doi.org/10.1016/j.drugalcdep.2004.11.013" TargetMode="External"/><Relationship Id="rId186" Type="http://schemas.openxmlformats.org/officeDocument/2006/relationships/hyperlink" Target="https://doi.org/10.1017/S0954579418001700" TargetMode="External"/><Relationship Id="rId211" Type="http://schemas.openxmlformats.org/officeDocument/2006/relationships/hyperlink" Target="https://doi.org/http://dx.doi.org/10.1080/15548732.2017.1340221" TargetMode="External"/><Relationship Id="rId232" Type="http://schemas.openxmlformats.org/officeDocument/2006/relationships/hyperlink" Target="https://doi.org/10.1002/imhj.20100" TargetMode="External"/><Relationship Id="rId253" Type="http://schemas.openxmlformats.org/officeDocument/2006/relationships/hyperlink" Target="https://doi.org/10.1177/1077559520913638" TargetMode="External"/><Relationship Id="rId274" Type="http://schemas.openxmlformats.org/officeDocument/2006/relationships/hyperlink" Target="https://doi.org/https://doi.org/10.1016/j.jsat.2017.11.006" TargetMode="External"/><Relationship Id="rId295" Type="http://schemas.openxmlformats.org/officeDocument/2006/relationships/hyperlink" Target="https://doi.org/10.1192/apt.bp.114.014449" TargetMode="External"/><Relationship Id="rId309" Type="http://schemas.openxmlformats.org/officeDocument/2006/relationships/hyperlink" Target="https://doi.org/10.1016/j.genhosppsych.2012.06.002" TargetMode="External"/><Relationship Id="rId27" Type="http://schemas.microsoft.com/office/2007/relationships/diagramDrawing" Target="diagrams/drawing2.xml"/><Relationship Id="rId48" Type="http://schemas.openxmlformats.org/officeDocument/2006/relationships/hyperlink" Target="https://assets.publishing.service.gov.uk/media/5a756e6be5274a3edd9a4dcb/hidden-harm-full.pdf" TargetMode="External"/><Relationship Id="rId69" Type="http://schemas.openxmlformats.org/officeDocument/2006/relationships/hyperlink" Target="https://doi.org/10.1186/1471-2458-11-803" TargetMode="External"/><Relationship Id="rId113" Type="http://schemas.openxmlformats.org/officeDocument/2006/relationships/hyperlink" Target="https://doi.org/10.1016/j.drugalcdep.2017.03.013" TargetMode="External"/><Relationship Id="rId134" Type="http://schemas.openxmlformats.org/officeDocument/2006/relationships/hyperlink" Target="https://doi.org/10.1097/ADM.0000000000000438" TargetMode="External"/><Relationship Id="rId80" Type="http://schemas.openxmlformats.org/officeDocument/2006/relationships/hyperlink" Target="https://doi.org/https://doi.org/10.1016/j.jsat.2021.108365" TargetMode="External"/><Relationship Id="rId155" Type="http://schemas.openxmlformats.org/officeDocument/2006/relationships/hyperlink" Target="https://doi.org/10.1016/s2468-2667(17)30118-4" TargetMode="External"/><Relationship Id="rId176" Type="http://schemas.openxmlformats.org/officeDocument/2006/relationships/hyperlink" Target="https://doi.org/10.1093/alcalc/agt004" TargetMode="External"/><Relationship Id="rId197" Type="http://schemas.openxmlformats.org/officeDocument/2006/relationships/hyperlink" Target="https://doi.org/https://doi.org/10.1111/add.16127" TargetMode="External"/><Relationship Id="rId201" Type="http://schemas.openxmlformats.org/officeDocument/2006/relationships/hyperlink" Target="https://doi.org/https://doi.org/10.1016/0740-5472(92)90062-S" TargetMode="External"/><Relationship Id="rId222" Type="http://schemas.openxmlformats.org/officeDocument/2006/relationships/hyperlink" Target="https://learning.nspcc.org.uk/media/w2eh34r1/learning-from-case-reviews-parents-substance-use.pdf" TargetMode="External"/><Relationship Id="rId243" Type="http://schemas.openxmlformats.org/officeDocument/2006/relationships/hyperlink" Target="https://doi.org/10.1177/1455072520968343" TargetMode="External"/><Relationship Id="rId264" Type="http://schemas.openxmlformats.org/officeDocument/2006/relationships/hyperlink" Target="https://doi.org/10.1007/s10198-019-01157-9" TargetMode="External"/><Relationship Id="rId285" Type="http://schemas.openxmlformats.org/officeDocument/2006/relationships/hyperlink" Target="https://assets.publishing.service.gov.uk/government/uploads/system/uploads/attachment_data/file/1017944/The_myth_of_invisible_men_safeguarding_children_under_1_from_non-accidental_injury_caused_by_male_carers.pdf" TargetMode="External"/><Relationship Id="rId17" Type="http://schemas.openxmlformats.org/officeDocument/2006/relationships/diagramData" Target="diagrams/data1.xml"/><Relationship Id="rId38" Type="http://schemas.microsoft.com/office/2007/relationships/diagramDrawing" Target="diagrams/drawing4.xml"/><Relationship Id="rId59" Type="http://schemas.openxmlformats.org/officeDocument/2006/relationships/hyperlink" Target="https://doi.org/https://doi.org/10.1016/j.jsat.2005.10.008" TargetMode="External"/><Relationship Id="rId103" Type="http://schemas.openxmlformats.org/officeDocument/2006/relationships/hyperlink" Target="https://assets.publishing.service.gov.uk/government/uploads/system/uploads/attachment_data/file/66113/121214_Working_with_troubled_families_FINAL_v2.pdf" TargetMode="External"/><Relationship Id="rId124" Type="http://schemas.openxmlformats.org/officeDocument/2006/relationships/hyperlink" Target="https://www.probonoeconomics.com/Handlers/Download.ashx?IDMF=64274c2e-73c3-4364-b995-4b31b6825dd8" TargetMode="External"/><Relationship Id="rId310" Type="http://schemas.openxmlformats.org/officeDocument/2006/relationships/hyperlink" Target="http://www.euro.who.int/__data/assets/pdf_file/0005/351284/resilience-report-20171004-h1635.pdf" TargetMode="External"/><Relationship Id="rId70" Type="http://schemas.openxmlformats.org/officeDocument/2006/relationships/hyperlink" Target="https://assets.publishing.service.gov.uk/government/uploads/system/uploads/attachment_data/file/869586/TRIENNIAL_SCR_REPORT_2014_to_2017.pdf" TargetMode="External"/><Relationship Id="rId91" Type="http://schemas.openxmlformats.org/officeDocument/2006/relationships/hyperlink" Target="https://doi.org/10.1111/add.13842" TargetMode="External"/><Relationship Id="rId145" Type="http://schemas.openxmlformats.org/officeDocument/2006/relationships/hyperlink" Target="https://doi.org/10.1177/1178221817694038" TargetMode="External"/><Relationship Id="rId166" Type="http://schemas.openxmlformats.org/officeDocument/2006/relationships/hyperlink" Target="https://doi.org/doi:10.1111/j.1521-0391.2011.00119.x" TargetMode="External"/><Relationship Id="rId187" Type="http://schemas.openxmlformats.org/officeDocument/2006/relationships/hyperlink" Target="https://doi.org/10.1186/1471-2458-9-377" TargetMode="External"/><Relationship Id="rId1" Type="http://schemas.openxmlformats.org/officeDocument/2006/relationships/customXml" Target="../customXml/item1.xml"/><Relationship Id="rId212" Type="http://schemas.openxmlformats.org/officeDocument/2006/relationships/hyperlink" Target="https://doi.org/10.1017/S0047279421000507" TargetMode="External"/><Relationship Id="rId233" Type="http://schemas.openxmlformats.org/officeDocument/2006/relationships/hyperlink" Target="https://doi.org/http://dx.doi.org/10.1007/s10826-014-9930-7" TargetMode="External"/><Relationship Id="rId254" Type="http://schemas.openxmlformats.org/officeDocument/2006/relationships/hyperlink" Target="https://www.ncjrs.gov/pdffiles/171676.pdf" TargetMode="External"/><Relationship Id="rId28" Type="http://schemas.openxmlformats.org/officeDocument/2006/relationships/diagramData" Target="diagrams/data3.xml"/><Relationship Id="rId49" Type="http://schemas.openxmlformats.org/officeDocument/2006/relationships/hyperlink" Target="https://doi.org/https://doi.org/10.1002/nop2.2219" TargetMode="External"/><Relationship Id="rId114" Type="http://schemas.openxmlformats.org/officeDocument/2006/relationships/hyperlink" Target="https://doi.org/10.1108/JCS-02-2015-0005" TargetMode="External"/><Relationship Id="rId275" Type="http://schemas.openxmlformats.org/officeDocument/2006/relationships/hyperlink" Target="https://doi.org/10.1080/14616734.2010.501983" TargetMode="External"/><Relationship Id="rId296" Type="http://schemas.openxmlformats.org/officeDocument/2006/relationships/hyperlink" Target="https://doi.org/10.1177/0049124117747303" TargetMode="External"/><Relationship Id="rId300" Type="http://schemas.openxmlformats.org/officeDocument/2006/relationships/hyperlink" Target="https://www.who.int/en/news-room/fact-sheets/detail/child-maltreatment" TargetMode="External"/><Relationship Id="rId60" Type="http://schemas.openxmlformats.org/officeDocument/2006/relationships/hyperlink" Target="https://doi.org/10.1111/j.1479-828X.2006.00628.x" TargetMode="External"/><Relationship Id="rId81" Type="http://schemas.openxmlformats.org/officeDocument/2006/relationships/hyperlink" Target="https://doi.org/https://doi.org/10.1016/j.chiabu.2017.05.005" TargetMode="External"/><Relationship Id="rId135" Type="http://schemas.openxmlformats.org/officeDocument/2006/relationships/hyperlink" Target="https://doi.org/10.48550/arxiv.2106.10577" TargetMode="External"/><Relationship Id="rId156" Type="http://schemas.openxmlformats.org/officeDocument/2006/relationships/hyperlink" Target="https://doi.org/10.1136/bmjopen-2019-036374" TargetMode="External"/><Relationship Id="rId177" Type="http://schemas.openxmlformats.org/officeDocument/2006/relationships/hyperlink" Target="https://doi.org/https://doi.org/10.1016/j.etdah.2021.100015" TargetMode="External"/><Relationship Id="rId198" Type="http://schemas.openxmlformats.org/officeDocument/2006/relationships/hyperlink" Target="https://doi.org/10.1177/1524838018772850" TargetMode="External"/><Relationship Id="rId202" Type="http://schemas.openxmlformats.org/officeDocument/2006/relationships/hyperlink" Target="https://doi.org/10.1111/j.1360-0443.2004.00786.x" TargetMode="External"/><Relationship Id="rId223" Type="http://schemas.openxmlformats.org/officeDocument/2006/relationships/hyperlink" Target="https://www.childrenscommissioner.gov.uk/resource/childhood-vulnerability-in-england-2019/" TargetMode="External"/><Relationship Id="rId244" Type="http://schemas.openxmlformats.org/officeDocument/2006/relationships/hyperlink" Target="https://www.mdpi.com/2076-0817/9/6/432" TargetMode="External"/><Relationship Id="rId18" Type="http://schemas.openxmlformats.org/officeDocument/2006/relationships/diagramLayout" Target="diagrams/layout1.xml"/><Relationship Id="rId39" Type="http://schemas.openxmlformats.org/officeDocument/2006/relationships/diagramData" Target="diagrams/data5.xml"/><Relationship Id="rId265" Type="http://schemas.openxmlformats.org/officeDocument/2006/relationships/hyperlink" Target="https://doi.org/10.1007/s10198-021-01313-0" TargetMode="External"/><Relationship Id="rId286" Type="http://schemas.openxmlformats.org/officeDocument/2006/relationships/hyperlink" Target="https://doi.org/10.1080/1533256x.2013.812909" TargetMode="External"/><Relationship Id="rId50" Type="http://schemas.openxmlformats.org/officeDocument/2006/relationships/hyperlink" Target="https://doi.org/10.1177/1077559517702743" TargetMode="External"/><Relationship Id="rId104" Type="http://schemas.openxmlformats.org/officeDocument/2006/relationships/hyperlink" Target="https://doi.org/https://doi.org/10.1016/S2215-0366(18)30337-7" TargetMode="External"/><Relationship Id="rId125" Type="http://schemas.openxmlformats.org/officeDocument/2006/relationships/hyperlink" Target="http://www.gov.scot/Publications/2011/03/18085806/0" TargetMode="External"/><Relationship Id="rId146" Type="http://schemas.openxmlformats.org/officeDocument/2006/relationships/hyperlink" Target="https://hmprg.org/wp-content/uploads/2018/07/ILARC_Parent-Child-Dyad-Report.pdf" TargetMode="External"/><Relationship Id="rId167" Type="http://schemas.openxmlformats.org/officeDocument/2006/relationships/hyperlink" Target="https://assets.publishing.service.gov.uk/government/uploads/system/uploads/attachment_data/file/181692/DFE-RR046.pdf" TargetMode="External"/><Relationship Id="rId188" Type="http://schemas.openxmlformats.org/officeDocument/2006/relationships/hyperlink" Target="https://doi.org/10.1007/s40273-021-01031-8" TargetMode="External"/><Relationship Id="rId311" Type="http://schemas.openxmlformats.org/officeDocument/2006/relationships/footer" Target="footer5.xml"/><Relationship Id="rId71" Type="http://schemas.openxmlformats.org/officeDocument/2006/relationships/hyperlink" Target="https://doi.org/10.1177/0272989x03255922" TargetMode="External"/><Relationship Id="rId92" Type="http://schemas.openxmlformats.org/officeDocument/2006/relationships/hyperlink" Target="https://doi.org/https://doi.org/10.1111/j.1360-0443.2012.04040.x" TargetMode="External"/><Relationship Id="rId213" Type="http://schemas.openxmlformats.org/officeDocument/2006/relationships/hyperlink" Target="https://www.ndtms.net/VFM" TargetMode="External"/><Relationship Id="rId234" Type="http://schemas.openxmlformats.org/officeDocument/2006/relationships/hyperlink" Target="https://doi.org/10.1007/s40273-015-0295-6" TargetMode="External"/><Relationship Id="rId2" Type="http://schemas.openxmlformats.org/officeDocument/2006/relationships/customXml" Target="../customXml/item2.xml"/><Relationship Id="rId29" Type="http://schemas.openxmlformats.org/officeDocument/2006/relationships/diagramLayout" Target="diagrams/layout3.xml"/><Relationship Id="rId255" Type="http://schemas.openxmlformats.org/officeDocument/2006/relationships/hyperlink" Target="https://doi.org/10.2188/jea.JE20210145" TargetMode="External"/><Relationship Id="rId276" Type="http://schemas.openxmlformats.org/officeDocument/2006/relationships/hyperlink" Target="https://doi.org/10.1017/S0954579417000220" TargetMode="External"/><Relationship Id="rId297" Type="http://schemas.openxmlformats.org/officeDocument/2006/relationships/hyperlink" Target="https://doi.org/10.1002/car.1050" TargetMode="External"/><Relationship Id="rId40" Type="http://schemas.openxmlformats.org/officeDocument/2006/relationships/diagramLayout" Target="diagrams/layout5.xml"/><Relationship Id="rId115" Type="http://schemas.openxmlformats.org/officeDocument/2006/relationships/hyperlink" Target="https://doi.org/https://doi.org/10.1016/j.childyouth.2020.105864" TargetMode="External"/><Relationship Id="rId136" Type="http://schemas.openxmlformats.org/officeDocument/2006/relationships/hyperlink" Target="http://ovidsp.ovid.com/ovidweb.cgi?T=JS&amp;PAGE=reference&amp;D=med5&amp;NEWS=N&amp;AN=16406024" TargetMode="External"/><Relationship Id="rId157" Type="http://schemas.openxmlformats.org/officeDocument/2006/relationships/hyperlink" Target="https://doi.org/10.1093/ije/dyz032" TargetMode="External"/><Relationship Id="rId178" Type="http://schemas.openxmlformats.org/officeDocument/2006/relationships/hyperlink" Target="https://doi.org/10.1177/1536867X1301300407" TargetMode="External"/><Relationship Id="rId301" Type="http://schemas.openxmlformats.org/officeDocument/2006/relationships/hyperlink" Target="https://www.who.int/news/item/27-04-2020-who-timeline---covid-19" TargetMode="External"/><Relationship Id="rId61" Type="http://schemas.openxmlformats.org/officeDocument/2006/relationships/hyperlink" Target="https://doi.org/http://dx.doi.org/10.2471/BLT.13.129247" TargetMode="External"/><Relationship Id="rId82" Type="http://schemas.openxmlformats.org/officeDocument/2006/relationships/hyperlink" Target="https://cran.r-project.org/web/packages/twang" TargetMode="External"/><Relationship Id="rId199" Type="http://schemas.openxmlformats.org/officeDocument/2006/relationships/hyperlink" Target="https://doi.org/https://doi.org/10.1111/add.15846" TargetMode="External"/><Relationship Id="rId203" Type="http://schemas.openxmlformats.org/officeDocument/2006/relationships/hyperlink" Target="https://doi.org/10.1111/add.15357" TargetMode="External"/><Relationship Id="rId19" Type="http://schemas.openxmlformats.org/officeDocument/2006/relationships/diagramQuickStyle" Target="diagrams/quickStyle1.xml"/><Relationship Id="rId224" Type="http://schemas.openxmlformats.org/officeDocument/2006/relationships/hyperlink" Target="https://assets.publishing.service.gov.uk/government/uploads/system/uploads/attachment_data/file/722740/Older_children_neglect_FINAL_060718.pdf" TargetMode="External"/><Relationship Id="rId245" Type="http://schemas.openxmlformats.org/officeDocument/2006/relationships/hyperlink" Target="https://doi.org/10.1186/s12889-021-12219-0" TargetMode="External"/><Relationship Id="rId266" Type="http://schemas.openxmlformats.org/officeDocument/2006/relationships/hyperlink" Target="https://doi.org/10.1080/1533256X.2013.752272" TargetMode="External"/><Relationship Id="rId287" Type="http://schemas.openxmlformats.org/officeDocument/2006/relationships/hyperlink" Target="https://doi.org/10.1186/1471-2458-11-706" TargetMode="External"/><Relationship Id="rId30" Type="http://schemas.openxmlformats.org/officeDocument/2006/relationships/diagramQuickStyle" Target="diagrams/quickStyle3.xml"/><Relationship Id="rId105" Type="http://schemas.openxmlformats.org/officeDocument/2006/relationships/hyperlink" Target="https://assets.publishing.service.gov.uk/government/uploads/system/uploads/attachment_data/file/673978/clinical_guidelines_2017.pdf" TargetMode="External"/><Relationship Id="rId126" Type="http://schemas.openxmlformats.org/officeDocument/2006/relationships/hyperlink" Target="https://doi.org/https://doi.org/10.1016/j.chiabu.2014.03.010" TargetMode="External"/><Relationship Id="rId147" Type="http://schemas.openxmlformats.org/officeDocument/2006/relationships/hyperlink" Target="https://doi.org/10.1136/adc.2005.085639" TargetMode="External"/><Relationship Id="rId168" Type="http://schemas.openxmlformats.org/officeDocument/2006/relationships/hyperlink" Target="https://doi.org/https://doi.org/10.1111/acer.12196" TargetMode="External"/><Relationship Id="rId312" Type="http://schemas.openxmlformats.org/officeDocument/2006/relationships/footer" Target="footer6.xml"/><Relationship Id="rId51" Type="http://schemas.openxmlformats.org/officeDocument/2006/relationships/hyperlink" Target="https://www.nuffieldfjo.org.uk/wp-content/uploads/2022/11/nfjo_eng_report_newborn_recurrence_20221111_final-1.pdf" TargetMode="External"/><Relationship Id="rId72" Type="http://schemas.openxmlformats.org/officeDocument/2006/relationships/hyperlink" Target="https://doi.org/10.1177/1473325019893412" TargetMode="External"/><Relationship Id="rId93" Type="http://schemas.openxmlformats.org/officeDocument/2006/relationships/hyperlink" Target="https://www.oasisproject.org.uk/wp-content/uploads/2020/12/Brighton-Oasis-evaluation-FINAL.pdf" TargetMode="External"/><Relationship Id="rId189" Type="http://schemas.openxmlformats.org/officeDocument/2006/relationships/hyperlink" Target="https://doi.org/10.1016/s0140-6736(09)61420-3" TargetMode="External"/><Relationship Id="rId3" Type="http://schemas.openxmlformats.org/officeDocument/2006/relationships/customXml" Target="../customXml/item3.xml"/><Relationship Id="rId214" Type="http://schemas.openxmlformats.org/officeDocument/2006/relationships/hyperlink" Target="https://www.nao.org.uk/wp-content/uploads/2013/12/10331-001-Evaluation-in-government_NEW.pdf" TargetMode="External"/><Relationship Id="rId235" Type="http://schemas.openxmlformats.org/officeDocument/2006/relationships/hyperlink" Target="https://doi.org/10.1016/j.drugalcdep.2018.01.019" TargetMode="External"/><Relationship Id="rId256" Type="http://schemas.openxmlformats.org/officeDocument/2006/relationships/hyperlink" Target="https://doi.org/10.1007/s11469-023-01065-3" TargetMode="External"/><Relationship Id="rId277" Type="http://schemas.openxmlformats.org/officeDocument/2006/relationships/hyperlink" Target="https://doi.org/10.1080/10826080701212121" TargetMode="External"/><Relationship Id="rId298" Type="http://schemas.openxmlformats.org/officeDocument/2006/relationships/hyperlink" Target="https://doi.org/10.3310/YOWK7214" TargetMode="External"/><Relationship Id="rId116" Type="http://schemas.openxmlformats.org/officeDocument/2006/relationships/hyperlink" Target="https://doi.org/https://doi.org/10.1016/j.puhe.2020.08.027" TargetMode="External"/><Relationship Id="rId137" Type="http://schemas.openxmlformats.org/officeDocument/2006/relationships/hyperlink" Target="https://doi.org/10.1515/jci-2015-0026" TargetMode="External"/><Relationship Id="rId158" Type="http://schemas.openxmlformats.org/officeDocument/2006/relationships/hyperlink" Target="https://doi.org/10.1007/s10578-020-01112-3" TargetMode="External"/><Relationship Id="rId302" Type="http://schemas.openxmlformats.org/officeDocument/2006/relationships/hyperlink" Target="https://doi.org/https://doi.org/10.1016/j.drugalcdep.2016.01.020" TargetMode="External"/><Relationship Id="rId20" Type="http://schemas.openxmlformats.org/officeDocument/2006/relationships/diagramColors" Target="diagrams/colors1.xml"/><Relationship Id="rId41" Type="http://schemas.openxmlformats.org/officeDocument/2006/relationships/diagramQuickStyle" Target="diagrams/quickStyle5.xml"/><Relationship Id="rId62" Type="http://schemas.openxmlformats.org/officeDocument/2006/relationships/hyperlink" Target="https://doi.org/http://dx.doi.org/10.1186/1741-7015-12-72" TargetMode="External"/><Relationship Id="rId83" Type="http://schemas.openxmlformats.org/officeDocument/2006/relationships/hyperlink" Target="https://assets.childrenscommissioner.gov.uk/wpuploads/2024/03/Childreninneedreport.pdf" TargetMode="External"/><Relationship Id="rId179" Type="http://schemas.openxmlformats.org/officeDocument/2006/relationships/hyperlink" Target="https://doi.org/10.1177/1536867x20909696" TargetMode="External"/><Relationship Id="rId190" Type="http://schemas.openxmlformats.org/officeDocument/2006/relationships/hyperlink" Target="https://doi.org/https://doi.org/10.1111/j.1360-0443.2012.03971.x" TargetMode="External"/><Relationship Id="rId204" Type="http://schemas.openxmlformats.org/officeDocument/2006/relationships/hyperlink" Target="https://doi.org/10.1016/j.jpsychires.2016.06.001" TargetMode="External"/><Relationship Id="rId225" Type="http://schemas.openxmlformats.org/officeDocument/2006/relationships/hyperlink" Target="https://doi.org/https://doi.org/10.1111/j.1532-7795.2012.00791.x" TargetMode="External"/><Relationship Id="rId246" Type="http://schemas.openxmlformats.org/officeDocument/2006/relationships/hyperlink" Target="https://doi.org/10.1111/dar.12319" TargetMode="External"/><Relationship Id="rId267" Type="http://schemas.openxmlformats.org/officeDocument/2006/relationships/hyperlink" Target="https://doi.org/https://doi.org/10.1111/j.1365-2206.2012.00888.x" TargetMode="External"/><Relationship Id="rId288" Type="http://schemas.openxmlformats.org/officeDocument/2006/relationships/hyperlink" Target="https://doi.org/https://doi.org/10.1016/j.drugalcdep.2014.03.035" TargetMode="External"/><Relationship Id="rId106" Type="http://schemas.openxmlformats.org/officeDocument/2006/relationships/hyperlink" Target="https://assets.publishing.service.gov.uk/government/uploads/system/uploads/attachment_data/file/957499/Vulnerable_children_and_young_people_survey_-_waves_1_to_17_-_Feb_2021.pdf" TargetMode="External"/><Relationship Id="rId127" Type="http://schemas.openxmlformats.org/officeDocument/2006/relationships/hyperlink" Target="https://doi.org/10.1037/ort0000087" TargetMode="External"/><Relationship Id="rId313"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diagramColors" Target="diagrams/colors3.xml"/><Relationship Id="rId52" Type="http://schemas.openxmlformats.org/officeDocument/2006/relationships/hyperlink" Target="https://doi.org/10.1176/appi.ps.53.8.1001" TargetMode="External"/><Relationship Id="rId73" Type="http://schemas.openxmlformats.org/officeDocument/2006/relationships/hyperlink" Target="https://doi.org/10.1007/s12671-018-1025-x" TargetMode="External"/><Relationship Id="rId94" Type="http://schemas.openxmlformats.org/officeDocument/2006/relationships/hyperlink" Target="https://doi.org/10.1017/S0954579409000546" TargetMode="External"/><Relationship Id="rId148" Type="http://schemas.openxmlformats.org/officeDocument/2006/relationships/hyperlink" Target="https://assets.publishing.service.gov.uk/government/uploads/system/uploads/attachment_data/file/779401/Working_Together_to_Safeguard-Children.pdf" TargetMode="External"/><Relationship Id="rId169" Type="http://schemas.openxmlformats.org/officeDocument/2006/relationships/hyperlink" Target="https://doi.org/https://doi.org/10.1016/j.chiabu.2017.09.015" TargetMode="External"/><Relationship Id="rId4" Type="http://schemas.openxmlformats.org/officeDocument/2006/relationships/customXml" Target="../customXml/item4.xml"/><Relationship Id="rId180" Type="http://schemas.openxmlformats.org/officeDocument/2006/relationships/hyperlink" Target="https://doi.org/10.1080/01621459.1988.10478722" TargetMode="External"/><Relationship Id="rId215" Type="http://schemas.openxmlformats.org/officeDocument/2006/relationships/hyperlink" Target="https://doi.org/10.1007/s10826-021-02099-8" TargetMode="External"/><Relationship Id="rId236" Type="http://schemas.openxmlformats.org/officeDocument/2006/relationships/hyperlink" Target="https://doi.org/10.1007/s10826-018-1061-0" TargetMode="External"/><Relationship Id="rId257" Type="http://schemas.openxmlformats.org/officeDocument/2006/relationships/hyperlink" Target="https://seriouscasereviews.rip.org.uk/wp-content/uploads/Triennial_Analysis_of_SCRs_2011-2014_Pathways_to_harm_and_protection_299616.pdf" TargetMode="External"/><Relationship Id="rId278" Type="http://schemas.openxmlformats.org/officeDocument/2006/relationships/hyperlink" Target="https://doi.org/https://doi.org/10.1016/j.chiabu.2013.01.003" TargetMode="External"/><Relationship Id="rId303" Type="http://schemas.openxmlformats.org/officeDocument/2006/relationships/hyperlink" Target="https://doi.org/10.1111/acer.13638" TargetMode="External"/><Relationship Id="rId42" Type="http://schemas.openxmlformats.org/officeDocument/2006/relationships/diagramColors" Target="diagrams/colors5.xml"/><Relationship Id="rId84" Type="http://schemas.openxmlformats.org/officeDocument/2006/relationships/hyperlink" Target="https://doi.org/10.1097/adm.0000000000000909" TargetMode="External"/><Relationship Id="rId138" Type="http://schemas.openxmlformats.org/officeDocument/2006/relationships/hyperlink" Target="https://doi.org/10.7249/TLA570-1" TargetMode="External"/><Relationship Id="rId191" Type="http://schemas.openxmlformats.org/officeDocument/2006/relationships/hyperlink" Target="https://doi.org/10.1097/ede.0000000000000864" TargetMode="External"/><Relationship Id="rId205" Type="http://schemas.openxmlformats.org/officeDocument/2006/relationships/hyperlink" Target="https://doi.org/https://doi.org/10.1016/j.drugalcdep.2012.03.020" TargetMode="External"/><Relationship Id="rId247" Type="http://schemas.openxmlformats.org/officeDocument/2006/relationships/hyperlink" Target="https://doi.org/DOI:10.1002/9780470316696" TargetMode="External"/><Relationship Id="rId107" Type="http://schemas.openxmlformats.org/officeDocument/2006/relationships/hyperlink" Target="https://explore-education-statistics.service.gov.uk/find-statistics/characteristics-of-children-in-need/2023#explore-data-and-files" TargetMode="External"/><Relationship Id="rId289" Type="http://schemas.openxmlformats.org/officeDocument/2006/relationships/hyperlink" Target="https://doi.org/10.3109/00952990.2011.643977" TargetMode="External"/><Relationship Id="rId11" Type="http://schemas.openxmlformats.org/officeDocument/2006/relationships/image" Target="media/image1.png"/><Relationship Id="rId53" Type="http://schemas.openxmlformats.org/officeDocument/2006/relationships/hyperlink" Target="https://doi.org/10.1016/j.drugalcdep.2023.109793" TargetMode="External"/><Relationship Id="rId149" Type="http://schemas.openxmlformats.org/officeDocument/2006/relationships/hyperlink" Target="https://assets.publishing.service.gov.uk/media/65cb4349a7ded0000c79e4e1/Working_together_to_safeguard_children_2023_-_statutory_guidance.pdf" TargetMode="External"/><Relationship Id="rId314" Type="http://schemas.openxmlformats.org/officeDocument/2006/relationships/footer" Target="footer8.xml"/><Relationship Id="rId95" Type="http://schemas.openxmlformats.org/officeDocument/2006/relationships/hyperlink" Target="https://doi.org/https://doi.org/10.1016/j.jsat.2010.01.002" TargetMode="External"/><Relationship Id="rId160" Type="http://schemas.openxmlformats.org/officeDocument/2006/relationships/hyperlink" Target="https://www.instituteforgovernment.org.uk/sites/default/files/2022-12/timeline-coronavirus-lockdown-december-2021.pdf" TargetMode="External"/><Relationship Id="rId216" Type="http://schemas.openxmlformats.org/officeDocument/2006/relationships/hyperlink" Target="https://doi.org/10.1037/adb0000551" TargetMode="External"/><Relationship Id="rId258" Type="http://schemas.openxmlformats.org/officeDocument/2006/relationships/hyperlink" Target="https://assets.publishing.service.gov.uk/government/uploads/system/uploads/attachment_data/file/533826/Triennial_Analysis_of_SCRs_2011-2014_-__Pathways_to_harm_and_protection.pdf" TargetMode="External"/><Relationship Id="rId22" Type="http://schemas.openxmlformats.org/officeDocument/2006/relationships/image" Target="media/image2.png"/><Relationship Id="rId64" Type="http://schemas.openxmlformats.org/officeDocument/2006/relationships/hyperlink" Target="https://doi.org/https://doi.org/10.1002/imhj.21348" TargetMode="External"/><Relationship Id="rId118" Type="http://schemas.openxmlformats.org/officeDocument/2006/relationships/hyperlink" Target="https://doi.org/https://doi.org/10.1111/j.1610-0387.2011.07699.x" TargetMode="External"/><Relationship Id="rId171" Type="http://schemas.openxmlformats.org/officeDocument/2006/relationships/hyperlink" Target="https://assets.publishing.service.gov.uk/government/uploads/system/uploads/attachment_data/file/658056/Adult-statistics-from-the-national-drug-treatment-monitoring-system-2016-2017.pdf" TargetMode="External"/><Relationship Id="rId227" Type="http://schemas.openxmlformats.org/officeDocument/2006/relationships/hyperlink" Target="https://www.gov.uk/government/consultations/uk-clinical-guidelines-for-alcohol-treatment/uk-clinical-guidelines-for-alcohol-treatment-core-elements-of-alcohol-treatment#pharmacological-interventions-1" TargetMode="External"/><Relationship Id="rId269" Type="http://schemas.openxmlformats.org/officeDocument/2006/relationships/hyperlink" Target="https://doi.org/10.1111/famp.12136" TargetMode="External"/><Relationship Id="rId33" Type="http://schemas.openxmlformats.org/officeDocument/2006/relationships/footer" Target="footer3.xml"/><Relationship Id="rId129" Type="http://schemas.openxmlformats.org/officeDocument/2006/relationships/hyperlink" Target="https://doi.org/10.1007/s11121-007-0070-9" TargetMode="External"/><Relationship Id="rId280" Type="http://schemas.openxmlformats.org/officeDocument/2006/relationships/hyperlink" Target="https://www.gov.uk/government/publications/evaluation-of-the-children-of-alcohol-dependent-parents-programme-innovation-fund/evaluation-of-the-children-of-alcohol-dependent-parents-programme-innovation-fund-full-report#conclusions-and-reflections" TargetMode="External"/><Relationship Id="rId75" Type="http://schemas.openxmlformats.org/officeDocument/2006/relationships/hyperlink" Target="https://cran.r-project.org/web/packages/twang/vignettes/mnps.pdf" TargetMode="External"/><Relationship Id="rId140" Type="http://schemas.openxmlformats.org/officeDocument/2006/relationships/hyperlink" Target="https://doi.org/https://doi.org/10.1111/famp.12413" TargetMode="External"/><Relationship Id="rId182" Type="http://schemas.openxmlformats.org/officeDocument/2006/relationships/hyperlink" Target="https://www.mdpi.com/1660-4601/20/19/6894" TargetMode="External"/><Relationship Id="rId6" Type="http://schemas.openxmlformats.org/officeDocument/2006/relationships/styles" Target="styles.xml"/><Relationship Id="rId238" Type="http://schemas.openxmlformats.org/officeDocument/2006/relationships/hyperlink" Target="https://www.pssru.ac.uk/unitcostsreport/" TargetMode="External"/><Relationship Id="rId291" Type="http://schemas.openxmlformats.org/officeDocument/2006/relationships/hyperlink" Target="https://doi.org/10.1136/bmj.331.7516.541" TargetMode="External"/><Relationship Id="rId305" Type="http://schemas.openxmlformats.org/officeDocument/2006/relationships/hyperlink" Target="https://doi.org/10.1002/hup.2275" TargetMode="External"/><Relationship Id="rId44" Type="http://schemas.openxmlformats.org/officeDocument/2006/relationships/footer" Target="footer4.xml"/><Relationship Id="rId86" Type="http://schemas.openxmlformats.org/officeDocument/2006/relationships/hyperlink" Target="https://doi.org/10.1097/adm.0000000000000790" TargetMode="External"/><Relationship Id="rId151" Type="http://schemas.openxmlformats.org/officeDocument/2006/relationships/hyperlink" Target="https://doi.org/10.1093/bjsw/bcae070" TargetMode="External"/><Relationship Id="rId193" Type="http://schemas.openxmlformats.org/officeDocument/2006/relationships/hyperlink" Target="https://childrenssocialcare.independent-review.uk/final-report/" TargetMode="External"/><Relationship Id="rId207" Type="http://schemas.openxmlformats.org/officeDocument/2006/relationships/hyperlink" Target="https://learning.nspcc.org.uk/media/2488/still-here-for-children-sharing-experiences-nspcc-staff-during-covid-19.pdf" TargetMode="External"/><Relationship Id="rId249" Type="http://schemas.openxmlformats.org/officeDocument/2006/relationships/hyperlink" Target="https://doi.org/10.1007/s00787-022-01969-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collections/family-hubs-and-start-for-life-programme" TargetMode="External"/><Relationship Id="rId1" Type="http://schemas.openxmlformats.org/officeDocument/2006/relationships/hyperlink" Target="http://www.ndtms.ne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ealthsharedservice.sharepoint.com/sites/ORGVirginiasPhD14214/Shared%20Documents/Paper%203/PSA.xlsm"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sharedservice.sharepoint.com/sites/ORGVirginiasPhD14214/Shared%20Documents/Paper%203/PSA.xlsm"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lt1"/>
              </a:solidFill>
              <a:ln w="3175">
                <a:solidFill>
                  <a:schemeClr val="tx1"/>
                </a:solidFill>
              </a:ln>
              <a:effectLst/>
            </c:spPr>
          </c:marker>
          <c:xVal>
            <c:numRef>
              <c:f>'Health Simulation'!$C$6:$C$1005</c:f>
              <c:numCache>
                <c:formatCode>_-* #,##0.0000_-;\-* #,##0.0000_-;_-* "-"??_-;_-@_-</c:formatCode>
                <c:ptCount val="1000"/>
                <c:pt idx="0">
                  <c:v>-4.3269329937018597E-2</c:v>
                </c:pt>
                <c:pt idx="1">
                  <c:v>-4.7224728589737808E-2</c:v>
                </c:pt>
                <c:pt idx="2">
                  <c:v>8.8654350263069226E-2</c:v>
                </c:pt>
                <c:pt idx="3">
                  <c:v>4.9258203099454612E-2</c:v>
                </c:pt>
                <c:pt idx="4">
                  <c:v>0.13529091262549731</c:v>
                </c:pt>
                <c:pt idx="5">
                  <c:v>2.5447853546562982E-3</c:v>
                </c:pt>
                <c:pt idx="6">
                  <c:v>8.4240304311942182E-2</c:v>
                </c:pt>
                <c:pt idx="7">
                  <c:v>-4.0026922533811238E-2</c:v>
                </c:pt>
                <c:pt idx="8">
                  <c:v>5.6093354014459251E-2</c:v>
                </c:pt>
                <c:pt idx="9">
                  <c:v>3.0415526540276794E-2</c:v>
                </c:pt>
                <c:pt idx="10">
                  <c:v>7.3965483271710042E-2</c:v>
                </c:pt>
                <c:pt idx="11">
                  <c:v>4.865704401939297E-2</c:v>
                </c:pt>
                <c:pt idx="12">
                  <c:v>8.9971145924722329E-2</c:v>
                </c:pt>
                <c:pt idx="13">
                  <c:v>2.6239025427141627E-2</c:v>
                </c:pt>
                <c:pt idx="14">
                  <c:v>-7.7263608406044071E-3</c:v>
                </c:pt>
                <c:pt idx="15">
                  <c:v>5.9976416491454465E-2</c:v>
                </c:pt>
                <c:pt idx="16">
                  <c:v>3.7927262862691435E-3</c:v>
                </c:pt>
                <c:pt idx="17">
                  <c:v>0.10299864873553055</c:v>
                </c:pt>
                <c:pt idx="18">
                  <c:v>-0.14687944853099655</c:v>
                </c:pt>
                <c:pt idx="19">
                  <c:v>0.18540742025276291</c:v>
                </c:pt>
                <c:pt idx="20">
                  <c:v>-5.4859011405206104E-3</c:v>
                </c:pt>
                <c:pt idx="21">
                  <c:v>0.12138230446607334</c:v>
                </c:pt>
                <c:pt idx="22">
                  <c:v>0.12070169672785269</c:v>
                </c:pt>
                <c:pt idx="23">
                  <c:v>-7.2180806456831448E-2</c:v>
                </c:pt>
                <c:pt idx="24">
                  <c:v>9.9127368197898136E-2</c:v>
                </c:pt>
                <c:pt idx="25">
                  <c:v>5.8875659692396276E-2</c:v>
                </c:pt>
                <c:pt idx="26">
                  <c:v>8.8808521682457453E-3</c:v>
                </c:pt>
                <c:pt idx="27">
                  <c:v>3.4958790622791724E-2</c:v>
                </c:pt>
                <c:pt idx="28">
                  <c:v>7.2658007176835682E-3</c:v>
                </c:pt>
                <c:pt idx="29">
                  <c:v>-6.1469781724234451E-2</c:v>
                </c:pt>
                <c:pt idx="30">
                  <c:v>9.3652178569545441E-2</c:v>
                </c:pt>
                <c:pt idx="31">
                  <c:v>0.22507555375472066</c:v>
                </c:pt>
                <c:pt idx="32">
                  <c:v>0.10412326272268224</c:v>
                </c:pt>
                <c:pt idx="33">
                  <c:v>0.15383705934002379</c:v>
                </c:pt>
                <c:pt idx="34">
                  <c:v>-4.5766012460555672E-2</c:v>
                </c:pt>
                <c:pt idx="35">
                  <c:v>3.9770645722556175E-2</c:v>
                </c:pt>
                <c:pt idx="36">
                  <c:v>-6.2916703281517883E-2</c:v>
                </c:pt>
                <c:pt idx="37">
                  <c:v>-8.6553719715741551E-2</c:v>
                </c:pt>
                <c:pt idx="38">
                  <c:v>0.14540472123613846</c:v>
                </c:pt>
                <c:pt idx="39">
                  <c:v>5.5221131236648624E-2</c:v>
                </c:pt>
                <c:pt idx="40">
                  <c:v>2.9734852968490877E-2</c:v>
                </c:pt>
                <c:pt idx="41">
                  <c:v>0.14943913565536793</c:v>
                </c:pt>
                <c:pt idx="42">
                  <c:v>0.14473396031923791</c:v>
                </c:pt>
                <c:pt idx="43">
                  <c:v>2.1579009153044559E-2</c:v>
                </c:pt>
                <c:pt idx="44">
                  <c:v>6.4329172894226794E-2</c:v>
                </c:pt>
                <c:pt idx="45">
                  <c:v>0.10415872166336193</c:v>
                </c:pt>
                <c:pt idx="46">
                  <c:v>-2.0184875765970389E-2</c:v>
                </c:pt>
                <c:pt idx="47">
                  <c:v>2.2351814595791275E-2</c:v>
                </c:pt>
                <c:pt idx="48">
                  <c:v>0.12888856396330972</c:v>
                </c:pt>
                <c:pt idx="49">
                  <c:v>0.20087467080339483</c:v>
                </c:pt>
                <c:pt idx="50">
                  <c:v>9.4993790452333471E-2</c:v>
                </c:pt>
                <c:pt idx="51">
                  <c:v>9.8820748763797539E-2</c:v>
                </c:pt>
                <c:pt idx="52">
                  <c:v>-4.4491056056864764E-2</c:v>
                </c:pt>
                <c:pt idx="53">
                  <c:v>6.3508722176218058E-2</c:v>
                </c:pt>
                <c:pt idx="54">
                  <c:v>-1.6445268769776256E-2</c:v>
                </c:pt>
                <c:pt idx="55">
                  <c:v>5.2688862268759351E-2</c:v>
                </c:pt>
                <c:pt idx="56">
                  <c:v>-9.5041794121222267E-3</c:v>
                </c:pt>
                <c:pt idx="57">
                  <c:v>5.7147745828786789E-2</c:v>
                </c:pt>
                <c:pt idx="58">
                  <c:v>-1.9217733283111826E-2</c:v>
                </c:pt>
                <c:pt idx="59">
                  <c:v>0.17226725088298167</c:v>
                </c:pt>
                <c:pt idx="60">
                  <c:v>0.12532559491536599</c:v>
                </c:pt>
                <c:pt idx="61">
                  <c:v>5.5880248732390392E-2</c:v>
                </c:pt>
                <c:pt idx="62">
                  <c:v>0.13277982701937319</c:v>
                </c:pt>
                <c:pt idx="63">
                  <c:v>-7.1825016775746597E-2</c:v>
                </c:pt>
                <c:pt idx="64">
                  <c:v>5.7154164793789874E-2</c:v>
                </c:pt>
                <c:pt idx="65">
                  <c:v>0.12195978020994414</c:v>
                </c:pt>
                <c:pt idx="66">
                  <c:v>6.0196980215420304E-2</c:v>
                </c:pt>
                <c:pt idx="67">
                  <c:v>-1.8718332370430524E-2</c:v>
                </c:pt>
                <c:pt idx="68">
                  <c:v>8.9992207356103471E-2</c:v>
                </c:pt>
                <c:pt idx="69">
                  <c:v>6.1719685289411963E-2</c:v>
                </c:pt>
                <c:pt idx="70">
                  <c:v>2.370529004962485E-3</c:v>
                </c:pt>
                <c:pt idx="71">
                  <c:v>5.5689746031148069E-2</c:v>
                </c:pt>
                <c:pt idx="72">
                  <c:v>3.0469634072982643E-2</c:v>
                </c:pt>
                <c:pt idx="73">
                  <c:v>5.0556292309971163E-2</c:v>
                </c:pt>
                <c:pt idx="74">
                  <c:v>-5.6695525267167923E-2</c:v>
                </c:pt>
                <c:pt idx="75">
                  <c:v>-0.13192564349697733</c:v>
                </c:pt>
                <c:pt idx="76">
                  <c:v>0.10521656976701177</c:v>
                </c:pt>
                <c:pt idx="77">
                  <c:v>0.13598847055505381</c:v>
                </c:pt>
                <c:pt idx="78">
                  <c:v>-8.2666681530366048E-2</c:v>
                </c:pt>
                <c:pt idx="79">
                  <c:v>3.8639972402769729E-2</c:v>
                </c:pt>
                <c:pt idx="80">
                  <c:v>-1.3786638978192656E-2</c:v>
                </c:pt>
                <c:pt idx="81">
                  <c:v>1.902516324476089E-2</c:v>
                </c:pt>
                <c:pt idx="82">
                  <c:v>8.0990917931036854E-2</c:v>
                </c:pt>
                <c:pt idx="83">
                  <c:v>0.13989123606632514</c:v>
                </c:pt>
                <c:pt idx="84">
                  <c:v>3.5563189703469611E-2</c:v>
                </c:pt>
                <c:pt idx="85">
                  <c:v>0.11441394027651608</c:v>
                </c:pt>
                <c:pt idx="86">
                  <c:v>6.7063586335155634E-2</c:v>
                </c:pt>
                <c:pt idx="87">
                  <c:v>-3.5062729221674083E-2</c:v>
                </c:pt>
                <c:pt idx="88">
                  <c:v>-4.7898897545572972E-2</c:v>
                </c:pt>
                <c:pt idx="89">
                  <c:v>4.5447772514597418E-2</c:v>
                </c:pt>
                <c:pt idx="90">
                  <c:v>4.6127399064625152E-2</c:v>
                </c:pt>
                <c:pt idx="91">
                  <c:v>0.13110426867552682</c:v>
                </c:pt>
                <c:pt idx="92">
                  <c:v>5.3625921935069876E-2</c:v>
                </c:pt>
                <c:pt idx="93">
                  <c:v>-1.931749373897329E-2</c:v>
                </c:pt>
                <c:pt idx="94">
                  <c:v>-1.4979118932517466E-2</c:v>
                </c:pt>
                <c:pt idx="95">
                  <c:v>7.5666702618840453E-2</c:v>
                </c:pt>
                <c:pt idx="96">
                  <c:v>0.10969030431711868</c:v>
                </c:pt>
                <c:pt idx="97">
                  <c:v>-7.0779408994881443E-2</c:v>
                </c:pt>
                <c:pt idx="98">
                  <c:v>3.1425247096918518E-2</c:v>
                </c:pt>
                <c:pt idx="99">
                  <c:v>2.1950386934276978E-2</c:v>
                </c:pt>
                <c:pt idx="100">
                  <c:v>-4.5548957895344522E-2</c:v>
                </c:pt>
                <c:pt idx="101">
                  <c:v>6.1751969687426467E-2</c:v>
                </c:pt>
                <c:pt idx="102">
                  <c:v>-8.8104432662865051E-2</c:v>
                </c:pt>
                <c:pt idx="103">
                  <c:v>9.3281876016103382E-2</c:v>
                </c:pt>
                <c:pt idx="104">
                  <c:v>8.9663081931510291E-3</c:v>
                </c:pt>
                <c:pt idx="105">
                  <c:v>6.818043916157368E-2</c:v>
                </c:pt>
                <c:pt idx="106">
                  <c:v>0.12570841623703544</c:v>
                </c:pt>
                <c:pt idx="107">
                  <c:v>0.15848915071310454</c:v>
                </c:pt>
                <c:pt idx="108">
                  <c:v>3.8991399044115305E-2</c:v>
                </c:pt>
                <c:pt idx="109">
                  <c:v>0.13655203560889007</c:v>
                </c:pt>
                <c:pt idx="110">
                  <c:v>0.19763074691447091</c:v>
                </c:pt>
                <c:pt idx="111">
                  <c:v>0.10586198228076249</c:v>
                </c:pt>
                <c:pt idx="112">
                  <c:v>0.10901259587356282</c:v>
                </c:pt>
                <c:pt idx="113">
                  <c:v>-3.4660759227894467E-2</c:v>
                </c:pt>
                <c:pt idx="114">
                  <c:v>5.9045751461265894E-2</c:v>
                </c:pt>
                <c:pt idx="115">
                  <c:v>-2.7830043641491997E-2</c:v>
                </c:pt>
                <c:pt idx="116">
                  <c:v>0.13406779941266667</c:v>
                </c:pt>
                <c:pt idx="117">
                  <c:v>0.12288402713637492</c:v>
                </c:pt>
                <c:pt idx="118">
                  <c:v>2.4553200072017667E-2</c:v>
                </c:pt>
                <c:pt idx="119">
                  <c:v>4.9478195615292542E-2</c:v>
                </c:pt>
                <c:pt idx="120">
                  <c:v>4.6807864096514606E-2</c:v>
                </c:pt>
                <c:pt idx="121">
                  <c:v>8.1198582082421034E-2</c:v>
                </c:pt>
                <c:pt idx="122">
                  <c:v>6.7646003398282417E-2</c:v>
                </c:pt>
                <c:pt idx="123">
                  <c:v>-1.5686878769396451E-2</c:v>
                </c:pt>
                <c:pt idx="124">
                  <c:v>7.6476551915401814E-2</c:v>
                </c:pt>
                <c:pt idx="125">
                  <c:v>5.24368768116803E-2</c:v>
                </c:pt>
                <c:pt idx="126">
                  <c:v>8.1573355964481564E-2</c:v>
                </c:pt>
                <c:pt idx="127">
                  <c:v>4.8922432348367906E-2</c:v>
                </c:pt>
                <c:pt idx="128">
                  <c:v>0.15044096105465421</c:v>
                </c:pt>
                <c:pt idx="129">
                  <c:v>7.1870818117177215E-2</c:v>
                </c:pt>
                <c:pt idx="130">
                  <c:v>1.127342838873524E-2</c:v>
                </c:pt>
                <c:pt idx="131">
                  <c:v>0.13120993666568825</c:v>
                </c:pt>
                <c:pt idx="132">
                  <c:v>5.6371520924285434E-3</c:v>
                </c:pt>
                <c:pt idx="133">
                  <c:v>6.8689118213365319E-3</c:v>
                </c:pt>
                <c:pt idx="134">
                  <c:v>5.0851761018131825E-2</c:v>
                </c:pt>
                <c:pt idx="135">
                  <c:v>1.6957658323102365E-2</c:v>
                </c:pt>
                <c:pt idx="136">
                  <c:v>4.690890127261671E-2</c:v>
                </c:pt>
                <c:pt idx="137">
                  <c:v>0.1194131103015037</c:v>
                </c:pt>
                <c:pt idx="138">
                  <c:v>1.5678311806013312E-3</c:v>
                </c:pt>
                <c:pt idx="139">
                  <c:v>9.4673393251966331E-2</c:v>
                </c:pt>
                <c:pt idx="140">
                  <c:v>-2.3764102217063154E-3</c:v>
                </c:pt>
                <c:pt idx="141">
                  <c:v>1.7444983896449884E-2</c:v>
                </c:pt>
                <c:pt idx="142">
                  <c:v>0.14046426217130037</c:v>
                </c:pt>
                <c:pt idx="143">
                  <c:v>5.45665666513937E-2</c:v>
                </c:pt>
                <c:pt idx="144">
                  <c:v>-3.6297028150524824E-3</c:v>
                </c:pt>
                <c:pt idx="145">
                  <c:v>0.10377355629533369</c:v>
                </c:pt>
                <c:pt idx="146">
                  <c:v>-8.8928587403849235E-2</c:v>
                </c:pt>
                <c:pt idx="147">
                  <c:v>0.1603237471123613</c:v>
                </c:pt>
                <c:pt idx="148">
                  <c:v>-4.4233499953630684E-2</c:v>
                </c:pt>
                <c:pt idx="149">
                  <c:v>-4.1134552062294993E-2</c:v>
                </c:pt>
                <c:pt idx="150">
                  <c:v>0.10756366608730428</c:v>
                </c:pt>
                <c:pt idx="151">
                  <c:v>3.1699403899200007E-2</c:v>
                </c:pt>
                <c:pt idx="152">
                  <c:v>3.3746508371373274E-2</c:v>
                </c:pt>
                <c:pt idx="153">
                  <c:v>8.6252041995197537E-2</c:v>
                </c:pt>
                <c:pt idx="154">
                  <c:v>3.5365179683118697E-2</c:v>
                </c:pt>
                <c:pt idx="155">
                  <c:v>8.8137340985826818E-2</c:v>
                </c:pt>
                <c:pt idx="156">
                  <c:v>-4.470392602523976E-2</c:v>
                </c:pt>
                <c:pt idx="157">
                  <c:v>-3.0035444575631232E-3</c:v>
                </c:pt>
                <c:pt idx="158">
                  <c:v>8.4483536933049663E-2</c:v>
                </c:pt>
                <c:pt idx="159">
                  <c:v>0.11817017613662628</c:v>
                </c:pt>
                <c:pt idx="160">
                  <c:v>-6.7356286386466735E-2</c:v>
                </c:pt>
                <c:pt idx="161">
                  <c:v>0.11702638164235957</c:v>
                </c:pt>
                <c:pt idx="162">
                  <c:v>-2.7874728895880274E-2</c:v>
                </c:pt>
                <c:pt idx="163">
                  <c:v>6.9454220830182933E-2</c:v>
                </c:pt>
                <c:pt idx="164">
                  <c:v>0.11129550351451734</c:v>
                </c:pt>
                <c:pt idx="165">
                  <c:v>4.7781333288223315E-2</c:v>
                </c:pt>
                <c:pt idx="166">
                  <c:v>6.6129537675658767E-2</c:v>
                </c:pt>
                <c:pt idx="167">
                  <c:v>-1.2376016003549317E-2</c:v>
                </c:pt>
                <c:pt idx="168">
                  <c:v>0.13560723154437415</c:v>
                </c:pt>
                <c:pt idx="169">
                  <c:v>5.4318001764335655E-2</c:v>
                </c:pt>
                <c:pt idx="170">
                  <c:v>0.14048826029345829</c:v>
                </c:pt>
                <c:pt idx="171">
                  <c:v>0.13876154408198715</c:v>
                </c:pt>
                <c:pt idx="172">
                  <c:v>8.8219347145058968E-2</c:v>
                </c:pt>
                <c:pt idx="173">
                  <c:v>8.7620788304108466E-2</c:v>
                </c:pt>
                <c:pt idx="174">
                  <c:v>3.1025217363656488E-2</c:v>
                </c:pt>
                <c:pt idx="175">
                  <c:v>5.9637181926276206E-2</c:v>
                </c:pt>
                <c:pt idx="176">
                  <c:v>0.14636323160458087</c:v>
                </c:pt>
                <c:pt idx="177">
                  <c:v>6.2248650595551069E-3</c:v>
                </c:pt>
                <c:pt idx="178">
                  <c:v>0.14135471681199618</c:v>
                </c:pt>
                <c:pt idx="179">
                  <c:v>-9.6962121684670777E-2</c:v>
                </c:pt>
                <c:pt idx="180">
                  <c:v>1.6864650954139471E-2</c:v>
                </c:pt>
                <c:pt idx="181">
                  <c:v>7.1798106640351911E-2</c:v>
                </c:pt>
                <c:pt idx="182">
                  <c:v>-0.10798142528445354</c:v>
                </c:pt>
                <c:pt idx="183">
                  <c:v>5.0670021970535828E-3</c:v>
                </c:pt>
                <c:pt idx="184">
                  <c:v>5.645809182339967E-2</c:v>
                </c:pt>
                <c:pt idx="185">
                  <c:v>8.447749623641343E-2</c:v>
                </c:pt>
                <c:pt idx="186">
                  <c:v>2.3763317717754973E-2</c:v>
                </c:pt>
                <c:pt idx="187">
                  <c:v>6.8310338472541865E-2</c:v>
                </c:pt>
                <c:pt idx="188">
                  <c:v>6.4338859032819329E-2</c:v>
                </c:pt>
                <c:pt idx="189">
                  <c:v>0.16969616337193294</c:v>
                </c:pt>
                <c:pt idx="190">
                  <c:v>1.8977573507149792E-2</c:v>
                </c:pt>
                <c:pt idx="191">
                  <c:v>0.10437933017895329</c:v>
                </c:pt>
                <c:pt idx="192">
                  <c:v>-1.427643826515812E-2</c:v>
                </c:pt>
                <c:pt idx="193">
                  <c:v>6.8537958192099069E-2</c:v>
                </c:pt>
                <c:pt idx="194">
                  <c:v>-7.9233951995419716E-2</c:v>
                </c:pt>
                <c:pt idx="195">
                  <c:v>2.5182085421040945E-2</c:v>
                </c:pt>
                <c:pt idx="196">
                  <c:v>0.21499240013309961</c:v>
                </c:pt>
                <c:pt idx="197">
                  <c:v>0.10338339728449508</c:v>
                </c:pt>
                <c:pt idx="198">
                  <c:v>3.7225636677889362E-2</c:v>
                </c:pt>
                <c:pt idx="199">
                  <c:v>0.23724825240722502</c:v>
                </c:pt>
                <c:pt idx="200">
                  <c:v>8.3834484222764516E-3</c:v>
                </c:pt>
                <c:pt idx="201">
                  <c:v>4.7491242433491898E-2</c:v>
                </c:pt>
                <c:pt idx="202">
                  <c:v>0.13196076882558305</c:v>
                </c:pt>
                <c:pt idx="203">
                  <c:v>0.16500931052525569</c:v>
                </c:pt>
                <c:pt idx="204">
                  <c:v>-1.8432314706391395E-3</c:v>
                </c:pt>
                <c:pt idx="205">
                  <c:v>7.9313691644580686E-2</c:v>
                </c:pt>
                <c:pt idx="206">
                  <c:v>-1.6187830771056788E-2</c:v>
                </c:pt>
                <c:pt idx="207">
                  <c:v>6.4267145169861983E-2</c:v>
                </c:pt>
                <c:pt idx="208">
                  <c:v>0.11356534800216167</c:v>
                </c:pt>
                <c:pt idx="209">
                  <c:v>5.480736184482371E-2</c:v>
                </c:pt>
                <c:pt idx="210">
                  <c:v>1.4758794155355304E-2</c:v>
                </c:pt>
                <c:pt idx="211">
                  <c:v>7.5400784597297488E-2</c:v>
                </c:pt>
                <c:pt idx="212">
                  <c:v>0.15792279183121494</c:v>
                </c:pt>
                <c:pt idx="213">
                  <c:v>0.10093529467653806</c:v>
                </c:pt>
                <c:pt idx="214">
                  <c:v>6.5533713456783715E-2</c:v>
                </c:pt>
                <c:pt idx="215">
                  <c:v>6.0376805887350393E-2</c:v>
                </c:pt>
                <c:pt idx="216">
                  <c:v>-2.1504451738936226E-3</c:v>
                </c:pt>
                <c:pt idx="217">
                  <c:v>6.7914647239469161E-2</c:v>
                </c:pt>
                <c:pt idx="218">
                  <c:v>-1.0981074632165466E-2</c:v>
                </c:pt>
                <c:pt idx="219">
                  <c:v>-4.5078133280380683E-3</c:v>
                </c:pt>
                <c:pt idx="220">
                  <c:v>2.898250425318416E-2</c:v>
                </c:pt>
                <c:pt idx="221">
                  <c:v>3.000873367252499E-2</c:v>
                </c:pt>
                <c:pt idx="222">
                  <c:v>-3.9838628694107925E-2</c:v>
                </c:pt>
                <c:pt idx="223">
                  <c:v>6.3527837731215619E-2</c:v>
                </c:pt>
                <c:pt idx="224">
                  <c:v>6.1671737143019101E-2</c:v>
                </c:pt>
                <c:pt idx="225">
                  <c:v>0.11988248918675293</c:v>
                </c:pt>
                <c:pt idx="226">
                  <c:v>-7.4842884358173656E-2</c:v>
                </c:pt>
                <c:pt idx="227">
                  <c:v>-4.9050882108474525E-3</c:v>
                </c:pt>
                <c:pt idx="228">
                  <c:v>4.6903598804579616E-3</c:v>
                </c:pt>
                <c:pt idx="229">
                  <c:v>-1.6638640188796572E-2</c:v>
                </c:pt>
                <c:pt idx="230">
                  <c:v>4.9431695233339568E-2</c:v>
                </c:pt>
                <c:pt idx="231">
                  <c:v>-0.14148501522840284</c:v>
                </c:pt>
                <c:pt idx="232">
                  <c:v>2.7522459845553016E-2</c:v>
                </c:pt>
                <c:pt idx="233">
                  <c:v>0.22109894247967254</c:v>
                </c:pt>
                <c:pt idx="234">
                  <c:v>9.3962217052288466E-2</c:v>
                </c:pt>
                <c:pt idx="235">
                  <c:v>0.11939638636694383</c:v>
                </c:pt>
                <c:pt idx="236">
                  <c:v>-1.1017950608928295E-2</c:v>
                </c:pt>
                <c:pt idx="237">
                  <c:v>4.0339063890952431E-2</c:v>
                </c:pt>
                <c:pt idx="238">
                  <c:v>0.24638015541608116</c:v>
                </c:pt>
                <c:pt idx="239">
                  <c:v>0.142085292483352</c:v>
                </c:pt>
                <c:pt idx="240">
                  <c:v>4.7520941670152972E-2</c:v>
                </c:pt>
                <c:pt idx="241">
                  <c:v>0.10772022527095704</c:v>
                </c:pt>
                <c:pt idx="242">
                  <c:v>9.277243545863989E-2</c:v>
                </c:pt>
                <c:pt idx="243">
                  <c:v>2.5271300737515823E-2</c:v>
                </c:pt>
                <c:pt idx="244">
                  <c:v>-1.548058302468025E-2</c:v>
                </c:pt>
                <c:pt idx="245">
                  <c:v>2.7803616010271703E-2</c:v>
                </c:pt>
                <c:pt idx="246">
                  <c:v>1.2933332747449455E-2</c:v>
                </c:pt>
                <c:pt idx="247">
                  <c:v>-1.4188357137991048E-2</c:v>
                </c:pt>
                <c:pt idx="248">
                  <c:v>-6.6991497855338977E-2</c:v>
                </c:pt>
                <c:pt idx="249">
                  <c:v>6.7008118219469281E-3</c:v>
                </c:pt>
                <c:pt idx="250">
                  <c:v>4.9492150000918222E-2</c:v>
                </c:pt>
                <c:pt idx="251">
                  <c:v>2.620474324217259E-2</c:v>
                </c:pt>
                <c:pt idx="252">
                  <c:v>5.803008460989556E-2</c:v>
                </c:pt>
                <c:pt idx="253">
                  <c:v>-3.0809449354411989E-2</c:v>
                </c:pt>
                <c:pt idx="254">
                  <c:v>0.10907006484100012</c:v>
                </c:pt>
                <c:pt idx="255">
                  <c:v>-8.3701521232121934E-2</c:v>
                </c:pt>
                <c:pt idx="256">
                  <c:v>3.3971762706915598E-2</c:v>
                </c:pt>
                <c:pt idx="257">
                  <c:v>4.6308839174906247E-2</c:v>
                </c:pt>
                <c:pt idx="258">
                  <c:v>8.6430112623743227E-3</c:v>
                </c:pt>
                <c:pt idx="259">
                  <c:v>8.1020627644597276E-2</c:v>
                </c:pt>
                <c:pt idx="260">
                  <c:v>0.12032024303665612</c:v>
                </c:pt>
                <c:pt idx="261">
                  <c:v>0.1155856202460912</c:v>
                </c:pt>
                <c:pt idx="262">
                  <c:v>4.9659583607532198E-2</c:v>
                </c:pt>
                <c:pt idx="263">
                  <c:v>8.4723218993791427E-2</c:v>
                </c:pt>
                <c:pt idx="264">
                  <c:v>0.11455512826598735</c:v>
                </c:pt>
                <c:pt idx="265">
                  <c:v>0.13871340071589877</c:v>
                </c:pt>
                <c:pt idx="266">
                  <c:v>2.0975529825971506E-2</c:v>
                </c:pt>
                <c:pt idx="267">
                  <c:v>3.7228218338845487E-2</c:v>
                </c:pt>
                <c:pt idx="268">
                  <c:v>4.5377628907252721E-2</c:v>
                </c:pt>
                <c:pt idx="269">
                  <c:v>7.8001178594658604E-2</c:v>
                </c:pt>
                <c:pt idx="270">
                  <c:v>-2.0292326120578963E-2</c:v>
                </c:pt>
                <c:pt idx="271">
                  <c:v>0.10268142299315208</c:v>
                </c:pt>
                <c:pt idx="272">
                  <c:v>-2.6829208301313301E-3</c:v>
                </c:pt>
                <c:pt idx="273">
                  <c:v>6.8666300399671698E-2</c:v>
                </c:pt>
                <c:pt idx="274">
                  <c:v>-6.8050030889928337E-2</c:v>
                </c:pt>
                <c:pt idx="275">
                  <c:v>0.10791791053322353</c:v>
                </c:pt>
                <c:pt idx="276">
                  <c:v>7.7166687919081767E-2</c:v>
                </c:pt>
                <c:pt idx="277">
                  <c:v>0.10023064626199485</c:v>
                </c:pt>
                <c:pt idx="278">
                  <c:v>5.4577921795217144E-2</c:v>
                </c:pt>
                <c:pt idx="279">
                  <c:v>0.11469601370604199</c:v>
                </c:pt>
                <c:pt idx="280">
                  <c:v>-5.447238289875056E-2</c:v>
                </c:pt>
                <c:pt idx="281">
                  <c:v>7.9294406188230582E-2</c:v>
                </c:pt>
                <c:pt idx="282">
                  <c:v>-8.8827108143962441E-2</c:v>
                </c:pt>
                <c:pt idx="283">
                  <c:v>8.5534113030773185E-2</c:v>
                </c:pt>
                <c:pt idx="284">
                  <c:v>8.4131833939070866E-2</c:v>
                </c:pt>
                <c:pt idx="285">
                  <c:v>0.13683918112380855</c:v>
                </c:pt>
                <c:pt idx="286">
                  <c:v>0.11089632373339864</c:v>
                </c:pt>
                <c:pt idx="287">
                  <c:v>-4.202047272845455E-3</c:v>
                </c:pt>
                <c:pt idx="288">
                  <c:v>5.9965441767729999E-2</c:v>
                </c:pt>
                <c:pt idx="289">
                  <c:v>5.8039711600659238E-2</c:v>
                </c:pt>
                <c:pt idx="290">
                  <c:v>0.193478629199066</c:v>
                </c:pt>
                <c:pt idx="291">
                  <c:v>3.5525059545405746E-2</c:v>
                </c:pt>
                <c:pt idx="292">
                  <c:v>5.460216261210693E-2</c:v>
                </c:pt>
                <c:pt idx="293">
                  <c:v>6.5122295680402509E-2</c:v>
                </c:pt>
                <c:pt idx="294">
                  <c:v>1.879613048177653E-2</c:v>
                </c:pt>
                <c:pt idx="295">
                  <c:v>6.1653305863917929E-2</c:v>
                </c:pt>
                <c:pt idx="296">
                  <c:v>1.4183011275246571E-2</c:v>
                </c:pt>
                <c:pt idx="297">
                  <c:v>0.1212578349371114</c:v>
                </c:pt>
                <c:pt idx="298">
                  <c:v>3.1736692500741626E-2</c:v>
                </c:pt>
                <c:pt idx="299">
                  <c:v>4.9797388699826861E-2</c:v>
                </c:pt>
                <c:pt idx="300">
                  <c:v>0.12412657689534257</c:v>
                </c:pt>
                <c:pt idx="301">
                  <c:v>0.11035469921927099</c:v>
                </c:pt>
                <c:pt idx="302">
                  <c:v>0.10748132979681824</c:v>
                </c:pt>
                <c:pt idx="303">
                  <c:v>-1.0712125375775372E-2</c:v>
                </c:pt>
                <c:pt idx="304">
                  <c:v>4.0013614130192998E-2</c:v>
                </c:pt>
                <c:pt idx="305">
                  <c:v>6.5084951005608183E-2</c:v>
                </c:pt>
                <c:pt idx="306">
                  <c:v>-6.4051543968036917E-2</c:v>
                </c:pt>
                <c:pt idx="307">
                  <c:v>-3.8013626794592525E-2</c:v>
                </c:pt>
                <c:pt idx="308">
                  <c:v>-5.0311871927231522E-2</c:v>
                </c:pt>
                <c:pt idx="309">
                  <c:v>4.9038757253309306E-2</c:v>
                </c:pt>
                <c:pt idx="310">
                  <c:v>1.9141966327533844E-2</c:v>
                </c:pt>
                <c:pt idx="311">
                  <c:v>-4.4660457697124123E-2</c:v>
                </c:pt>
                <c:pt idx="312">
                  <c:v>9.7356901544989327E-3</c:v>
                </c:pt>
                <c:pt idx="313">
                  <c:v>8.155979380765821E-2</c:v>
                </c:pt>
                <c:pt idx="314">
                  <c:v>-1.4189777726124397E-2</c:v>
                </c:pt>
                <c:pt idx="315">
                  <c:v>-9.7853435032704716E-2</c:v>
                </c:pt>
                <c:pt idx="316">
                  <c:v>7.8046643847528685E-2</c:v>
                </c:pt>
                <c:pt idx="317">
                  <c:v>-2.0371943329679176E-2</c:v>
                </c:pt>
                <c:pt idx="318">
                  <c:v>0.20076210721505117</c:v>
                </c:pt>
                <c:pt idx="319">
                  <c:v>1.9844450712270145E-2</c:v>
                </c:pt>
                <c:pt idx="320">
                  <c:v>-6.6560543709674569E-2</c:v>
                </c:pt>
                <c:pt idx="321">
                  <c:v>0.12126554665536915</c:v>
                </c:pt>
                <c:pt idx="322">
                  <c:v>4.643415525738348E-2</c:v>
                </c:pt>
                <c:pt idx="323">
                  <c:v>3.822962146897968E-2</c:v>
                </c:pt>
                <c:pt idx="324">
                  <c:v>3.6839298310891166E-2</c:v>
                </c:pt>
                <c:pt idx="325">
                  <c:v>-1.7973623076551704E-2</c:v>
                </c:pt>
                <c:pt idx="326">
                  <c:v>2.8130855491283135E-2</c:v>
                </c:pt>
                <c:pt idx="327">
                  <c:v>5.4289686973252316E-2</c:v>
                </c:pt>
                <c:pt idx="328">
                  <c:v>7.3181014958120905E-2</c:v>
                </c:pt>
                <c:pt idx="329">
                  <c:v>6.0252056831779477E-2</c:v>
                </c:pt>
                <c:pt idx="330">
                  <c:v>0.11422474240651326</c:v>
                </c:pt>
                <c:pt idx="331">
                  <c:v>-5.7777198316683709E-2</c:v>
                </c:pt>
                <c:pt idx="332">
                  <c:v>0.19681669343328778</c:v>
                </c:pt>
                <c:pt idx="333">
                  <c:v>4.1134498642758643E-3</c:v>
                </c:pt>
                <c:pt idx="334">
                  <c:v>1.0723923428455961E-2</c:v>
                </c:pt>
                <c:pt idx="335">
                  <c:v>5.1233742916387826E-3</c:v>
                </c:pt>
                <c:pt idx="336">
                  <c:v>4.4181281506660675E-2</c:v>
                </c:pt>
                <c:pt idx="337">
                  <c:v>-3.0227703129509287E-2</c:v>
                </c:pt>
                <c:pt idx="338">
                  <c:v>0.26132603754836836</c:v>
                </c:pt>
                <c:pt idx="339">
                  <c:v>0.1140447372557869</c:v>
                </c:pt>
                <c:pt idx="340">
                  <c:v>0.17023825648889002</c:v>
                </c:pt>
                <c:pt idx="341">
                  <c:v>-6.0491298093694468E-3</c:v>
                </c:pt>
                <c:pt idx="342">
                  <c:v>0.10846635960089568</c:v>
                </c:pt>
                <c:pt idx="343">
                  <c:v>0.1367738351614749</c:v>
                </c:pt>
                <c:pt idx="344">
                  <c:v>0.11392074853851053</c:v>
                </c:pt>
                <c:pt idx="345">
                  <c:v>0.19691777258351628</c:v>
                </c:pt>
                <c:pt idx="346">
                  <c:v>8.6978812301916619E-2</c:v>
                </c:pt>
                <c:pt idx="347">
                  <c:v>9.9408229082761146E-2</c:v>
                </c:pt>
                <c:pt idx="348">
                  <c:v>4.7527011883045311E-2</c:v>
                </c:pt>
                <c:pt idx="349">
                  <c:v>-3.8623394165134606E-2</c:v>
                </c:pt>
                <c:pt idx="350">
                  <c:v>9.985604613011656E-2</c:v>
                </c:pt>
                <c:pt idx="351">
                  <c:v>0.10450616988958128</c:v>
                </c:pt>
                <c:pt idx="352">
                  <c:v>-5.2866534795692033E-2</c:v>
                </c:pt>
                <c:pt idx="353">
                  <c:v>3.6603854292817317E-2</c:v>
                </c:pt>
                <c:pt idx="354">
                  <c:v>5.0806701684509292E-2</c:v>
                </c:pt>
                <c:pt idx="355">
                  <c:v>5.2455319338641893E-2</c:v>
                </c:pt>
                <c:pt idx="356">
                  <c:v>4.0871539841637272E-2</c:v>
                </c:pt>
                <c:pt idx="357">
                  <c:v>-9.6791239476705648E-2</c:v>
                </c:pt>
                <c:pt idx="358">
                  <c:v>-7.1332158756694852E-2</c:v>
                </c:pt>
                <c:pt idx="359">
                  <c:v>6.7155770741865517E-2</c:v>
                </c:pt>
                <c:pt idx="360">
                  <c:v>5.2398630348398534E-2</c:v>
                </c:pt>
                <c:pt idx="361">
                  <c:v>0.14012209237424944</c:v>
                </c:pt>
                <c:pt idx="362">
                  <c:v>7.8184826663122209E-2</c:v>
                </c:pt>
                <c:pt idx="363">
                  <c:v>7.4583676941341714E-2</c:v>
                </c:pt>
                <c:pt idx="364">
                  <c:v>8.7584633350337171E-3</c:v>
                </c:pt>
                <c:pt idx="365">
                  <c:v>6.9581493082893076E-6</c:v>
                </c:pt>
                <c:pt idx="366">
                  <c:v>1.3814057969652183E-2</c:v>
                </c:pt>
                <c:pt idx="367">
                  <c:v>0.16769101259808572</c:v>
                </c:pt>
                <c:pt idx="368">
                  <c:v>2.7707654935882786E-2</c:v>
                </c:pt>
                <c:pt idx="369">
                  <c:v>-5.0200948947336954E-2</c:v>
                </c:pt>
                <c:pt idx="370">
                  <c:v>3.977141138451401E-2</c:v>
                </c:pt>
                <c:pt idx="371">
                  <c:v>-8.6214020244982592E-2</c:v>
                </c:pt>
                <c:pt idx="372">
                  <c:v>0.1912624772127467</c:v>
                </c:pt>
                <c:pt idx="373">
                  <c:v>-4.0147714932932566E-2</c:v>
                </c:pt>
                <c:pt idx="374">
                  <c:v>0.1334373365265149</c:v>
                </c:pt>
                <c:pt idx="375">
                  <c:v>2.8942957606055586E-2</c:v>
                </c:pt>
                <c:pt idx="376">
                  <c:v>0.24604977578147125</c:v>
                </c:pt>
                <c:pt idx="377">
                  <c:v>0.10624031465281369</c:v>
                </c:pt>
                <c:pt idx="378">
                  <c:v>0.21811443685963283</c:v>
                </c:pt>
                <c:pt idx="379">
                  <c:v>0.19005350031507628</c:v>
                </c:pt>
                <c:pt idx="380">
                  <c:v>0.10135317510960729</c:v>
                </c:pt>
                <c:pt idx="381">
                  <c:v>6.9621823461734067E-3</c:v>
                </c:pt>
                <c:pt idx="382">
                  <c:v>3.4550323799440008E-2</c:v>
                </c:pt>
                <c:pt idx="383">
                  <c:v>0.18122975627939297</c:v>
                </c:pt>
                <c:pt idx="384">
                  <c:v>2.7314024111237956E-3</c:v>
                </c:pt>
                <c:pt idx="385">
                  <c:v>8.3631765890639365E-2</c:v>
                </c:pt>
                <c:pt idx="386">
                  <c:v>0.13791823196013464</c:v>
                </c:pt>
                <c:pt idx="387">
                  <c:v>6.2623999115456463E-2</c:v>
                </c:pt>
                <c:pt idx="388">
                  <c:v>-8.2638140604625043E-2</c:v>
                </c:pt>
                <c:pt idx="389">
                  <c:v>5.3541578151580005E-2</c:v>
                </c:pt>
                <c:pt idx="390">
                  <c:v>0.15501112753774926</c:v>
                </c:pt>
                <c:pt idx="391">
                  <c:v>-1.1484013949957905E-2</c:v>
                </c:pt>
                <c:pt idx="392">
                  <c:v>0.11792580343711112</c:v>
                </c:pt>
                <c:pt idx="393">
                  <c:v>3.9193472131424656E-2</c:v>
                </c:pt>
                <c:pt idx="394">
                  <c:v>0.15067188632025008</c:v>
                </c:pt>
                <c:pt idx="395">
                  <c:v>-3.0825107915714689E-2</c:v>
                </c:pt>
                <c:pt idx="396">
                  <c:v>3.5292597833211481E-2</c:v>
                </c:pt>
                <c:pt idx="397">
                  <c:v>2.9686667566569902E-2</c:v>
                </c:pt>
                <c:pt idx="398">
                  <c:v>0.16886430796806007</c:v>
                </c:pt>
                <c:pt idx="399">
                  <c:v>7.9569785147794114E-2</c:v>
                </c:pt>
                <c:pt idx="400">
                  <c:v>-1.6760065872736263E-2</c:v>
                </c:pt>
                <c:pt idx="401">
                  <c:v>-2.4999943692875171E-2</c:v>
                </c:pt>
                <c:pt idx="402">
                  <c:v>-4.8945148382362191E-4</c:v>
                </c:pt>
                <c:pt idx="403">
                  <c:v>7.2291198875682028E-2</c:v>
                </c:pt>
                <c:pt idx="404">
                  <c:v>6.5285434351801896E-2</c:v>
                </c:pt>
                <c:pt idx="405">
                  <c:v>2.3582382715768624E-2</c:v>
                </c:pt>
                <c:pt idx="406">
                  <c:v>-5.5442939815168124E-2</c:v>
                </c:pt>
                <c:pt idx="407">
                  <c:v>2.9596260148212927E-2</c:v>
                </c:pt>
                <c:pt idx="408">
                  <c:v>0.21163638804949958</c:v>
                </c:pt>
                <c:pt idx="409">
                  <c:v>2.0256728389055567E-2</c:v>
                </c:pt>
                <c:pt idx="410">
                  <c:v>2.0080666989399809E-2</c:v>
                </c:pt>
                <c:pt idx="411">
                  <c:v>-2.3081008152076699E-2</c:v>
                </c:pt>
                <c:pt idx="412">
                  <c:v>-8.7647392130228319E-2</c:v>
                </c:pt>
                <c:pt idx="413">
                  <c:v>-8.2666797108599255E-3</c:v>
                </c:pt>
                <c:pt idx="414">
                  <c:v>1.0163970436808611E-2</c:v>
                </c:pt>
                <c:pt idx="415">
                  <c:v>0.1020772085717816</c:v>
                </c:pt>
                <c:pt idx="416">
                  <c:v>7.7262831692951117E-2</c:v>
                </c:pt>
                <c:pt idx="417">
                  <c:v>1.7675982884552077E-2</c:v>
                </c:pt>
                <c:pt idx="418">
                  <c:v>0.1324210427322825</c:v>
                </c:pt>
                <c:pt idx="419">
                  <c:v>-1.2652181106558302E-2</c:v>
                </c:pt>
                <c:pt idx="420">
                  <c:v>-1.5200834196313906E-2</c:v>
                </c:pt>
                <c:pt idx="421">
                  <c:v>0.10042835810495099</c:v>
                </c:pt>
                <c:pt idx="422">
                  <c:v>6.8724849899796325E-2</c:v>
                </c:pt>
                <c:pt idx="423">
                  <c:v>6.0207351379559348E-2</c:v>
                </c:pt>
                <c:pt idx="424">
                  <c:v>0.13842531585218598</c:v>
                </c:pt>
                <c:pt idx="425">
                  <c:v>8.8232971483805045E-2</c:v>
                </c:pt>
                <c:pt idx="426">
                  <c:v>0.15450764700468689</c:v>
                </c:pt>
                <c:pt idx="427">
                  <c:v>8.6059464331151858E-2</c:v>
                </c:pt>
                <c:pt idx="428">
                  <c:v>8.5694469608630364E-2</c:v>
                </c:pt>
                <c:pt idx="429">
                  <c:v>7.9095496038616098E-2</c:v>
                </c:pt>
                <c:pt idx="430">
                  <c:v>-0.10556176110485183</c:v>
                </c:pt>
                <c:pt idx="431">
                  <c:v>1.1953475816046222E-2</c:v>
                </c:pt>
                <c:pt idx="432">
                  <c:v>4.3366996319475604E-2</c:v>
                </c:pt>
                <c:pt idx="433">
                  <c:v>0.11401075981000375</c:v>
                </c:pt>
                <c:pt idx="434">
                  <c:v>6.9867727545261715E-2</c:v>
                </c:pt>
                <c:pt idx="435">
                  <c:v>3.7407094577728728E-2</c:v>
                </c:pt>
                <c:pt idx="436">
                  <c:v>0.14715028731891522</c:v>
                </c:pt>
                <c:pt idx="437">
                  <c:v>-5.7196648912023029E-2</c:v>
                </c:pt>
                <c:pt idx="438">
                  <c:v>7.372700340321181E-2</c:v>
                </c:pt>
                <c:pt idx="439">
                  <c:v>2.3215060219062167E-2</c:v>
                </c:pt>
                <c:pt idx="440">
                  <c:v>0.12267159975736508</c:v>
                </c:pt>
                <c:pt idx="441">
                  <c:v>0.17363062113558403</c:v>
                </c:pt>
                <c:pt idx="442">
                  <c:v>-2.3811997560395426E-2</c:v>
                </c:pt>
                <c:pt idx="443">
                  <c:v>9.2104424063518486E-2</c:v>
                </c:pt>
                <c:pt idx="444">
                  <c:v>-4.6043237024163908E-2</c:v>
                </c:pt>
                <c:pt idx="445">
                  <c:v>0.12270189983034285</c:v>
                </c:pt>
                <c:pt idx="446">
                  <c:v>1.1437132194824784E-4</c:v>
                </c:pt>
                <c:pt idx="447">
                  <c:v>0.13812799280902155</c:v>
                </c:pt>
                <c:pt idx="448">
                  <c:v>8.9520449352686882E-3</c:v>
                </c:pt>
                <c:pt idx="449">
                  <c:v>-4.5095473201304692E-2</c:v>
                </c:pt>
                <c:pt idx="450">
                  <c:v>2.8214556539403191E-2</c:v>
                </c:pt>
                <c:pt idx="451">
                  <c:v>5.5854081722146454E-2</c:v>
                </c:pt>
                <c:pt idx="452">
                  <c:v>-3.2074169320140733E-2</c:v>
                </c:pt>
                <c:pt idx="453">
                  <c:v>9.1938983582381617E-2</c:v>
                </c:pt>
                <c:pt idx="454">
                  <c:v>0.11915256869895519</c:v>
                </c:pt>
                <c:pt idx="455">
                  <c:v>-2.0682324466260837E-2</c:v>
                </c:pt>
                <c:pt idx="456">
                  <c:v>7.1511350820218311E-2</c:v>
                </c:pt>
                <c:pt idx="457">
                  <c:v>3.9923521305349929E-2</c:v>
                </c:pt>
                <c:pt idx="458">
                  <c:v>-8.6743478378486394E-2</c:v>
                </c:pt>
                <c:pt idx="459">
                  <c:v>0.10785631900717352</c:v>
                </c:pt>
                <c:pt idx="460">
                  <c:v>1.2854971643361246E-2</c:v>
                </c:pt>
                <c:pt idx="461">
                  <c:v>8.3368508805296671E-2</c:v>
                </c:pt>
                <c:pt idx="462">
                  <c:v>0.13395046781665965</c:v>
                </c:pt>
                <c:pt idx="463">
                  <c:v>0.15914904526831286</c:v>
                </c:pt>
                <c:pt idx="464">
                  <c:v>0.1142021719855375</c:v>
                </c:pt>
                <c:pt idx="465">
                  <c:v>1.2201116069153528E-2</c:v>
                </c:pt>
                <c:pt idx="466">
                  <c:v>2.1597549370561353E-2</c:v>
                </c:pt>
                <c:pt idx="467">
                  <c:v>6.6913501308976997E-2</c:v>
                </c:pt>
                <c:pt idx="468">
                  <c:v>8.9439645565843939E-2</c:v>
                </c:pt>
                <c:pt idx="469">
                  <c:v>5.9004838168647211E-2</c:v>
                </c:pt>
                <c:pt idx="470">
                  <c:v>3.4607666841979245E-2</c:v>
                </c:pt>
                <c:pt idx="471">
                  <c:v>0.1529088261899485</c:v>
                </c:pt>
                <c:pt idx="472">
                  <c:v>6.5330649472020497E-2</c:v>
                </c:pt>
                <c:pt idx="473">
                  <c:v>6.0564624671600953E-2</c:v>
                </c:pt>
                <c:pt idx="474">
                  <c:v>7.522540639962827E-2</c:v>
                </c:pt>
                <c:pt idx="475">
                  <c:v>0.11231125091183358</c:v>
                </c:pt>
                <c:pt idx="476">
                  <c:v>7.1940183382140255E-2</c:v>
                </c:pt>
                <c:pt idx="477">
                  <c:v>7.6816318964343822E-2</c:v>
                </c:pt>
                <c:pt idx="478">
                  <c:v>-6.1499331476097652E-2</c:v>
                </c:pt>
                <c:pt idx="479">
                  <c:v>1.5050012452973327E-2</c:v>
                </c:pt>
                <c:pt idx="480">
                  <c:v>0.10730528988793253</c:v>
                </c:pt>
                <c:pt idx="481">
                  <c:v>-4.967806956304166E-3</c:v>
                </c:pt>
                <c:pt idx="482">
                  <c:v>9.3272774430275263E-4</c:v>
                </c:pt>
                <c:pt idx="483">
                  <c:v>-2.5293907249221093E-2</c:v>
                </c:pt>
                <c:pt idx="484">
                  <c:v>4.2058644309942217E-2</c:v>
                </c:pt>
                <c:pt idx="485">
                  <c:v>-1.984937309072965E-2</c:v>
                </c:pt>
                <c:pt idx="486">
                  <c:v>6.8146632567611221E-2</c:v>
                </c:pt>
                <c:pt idx="487">
                  <c:v>0.12947069808345812</c:v>
                </c:pt>
                <c:pt idx="488">
                  <c:v>3.2496756434680307E-2</c:v>
                </c:pt>
                <c:pt idx="489">
                  <c:v>-1.2367989584944006E-2</c:v>
                </c:pt>
                <c:pt idx="490">
                  <c:v>5.5460758196925752E-3</c:v>
                </c:pt>
                <c:pt idx="491">
                  <c:v>3.1956436468434823E-2</c:v>
                </c:pt>
                <c:pt idx="492">
                  <c:v>5.0736969106901952E-2</c:v>
                </c:pt>
                <c:pt idx="493">
                  <c:v>1.6179435649732454E-2</c:v>
                </c:pt>
                <c:pt idx="494">
                  <c:v>4.8445119593257147E-2</c:v>
                </c:pt>
                <c:pt idx="495">
                  <c:v>0.13967764037045249</c:v>
                </c:pt>
                <c:pt idx="496">
                  <c:v>8.0044339029221589E-2</c:v>
                </c:pt>
                <c:pt idx="497">
                  <c:v>-9.1039870388319954E-2</c:v>
                </c:pt>
                <c:pt idx="498">
                  <c:v>6.9126249954269525E-2</c:v>
                </c:pt>
                <c:pt idx="499">
                  <c:v>7.4976415841510047E-2</c:v>
                </c:pt>
                <c:pt idx="500">
                  <c:v>-0.14837090892268279</c:v>
                </c:pt>
                <c:pt idx="501">
                  <c:v>1.3143816806251429E-2</c:v>
                </c:pt>
                <c:pt idx="502">
                  <c:v>0.10022690206489226</c:v>
                </c:pt>
                <c:pt idx="503">
                  <c:v>0.16714802704593446</c:v>
                </c:pt>
                <c:pt idx="504">
                  <c:v>5.1434868370932918E-2</c:v>
                </c:pt>
                <c:pt idx="505">
                  <c:v>3.1886191747645398E-3</c:v>
                </c:pt>
                <c:pt idx="506">
                  <c:v>9.6748628289887506E-2</c:v>
                </c:pt>
                <c:pt idx="507">
                  <c:v>-3.3845788144732936E-3</c:v>
                </c:pt>
                <c:pt idx="508">
                  <c:v>0.12338780161624996</c:v>
                </c:pt>
                <c:pt idx="509">
                  <c:v>-6.0401719292295653E-3</c:v>
                </c:pt>
                <c:pt idx="510">
                  <c:v>8.1888597922257667E-2</c:v>
                </c:pt>
                <c:pt idx="511">
                  <c:v>7.8413892729744639E-2</c:v>
                </c:pt>
                <c:pt idx="512">
                  <c:v>6.7413581685100255E-2</c:v>
                </c:pt>
                <c:pt idx="513">
                  <c:v>0.11613875887196823</c:v>
                </c:pt>
                <c:pt idx="514">
                  <c:v>0.1310125252670904</c:v>
                </c:pt>
                <c:pt idx="515">
                  <c:v>-2.7051929078879766E-2</c:v>
                </c:pt>
                <c:pt idx="516">
                  <c:v>7.584286513338423E-2</c:v>
                </c:pt>
                <c:pt idx="517">
                  <c:v>3.9545099823965479E-2</c:v>
                </c:pt>
                <c:pt idx="518">
                  <c:v>0.15325053953947432</c:v>
                </c:pt>
                <c:pt idx="519">
                  <c:v>6.1046727699693548E-2</c:v>
                </c:pt>
                <c:pt idx="520">
                  <c:v>0.13620661040255744</c:v>
                </c:pt>
                <c:pt idx="521">
                  <c:v>7.0137586750929515E-2</c:v>
                </c:pt>
                <c:pt idx="522">
                  <c:v>0.12230564684455469</c:v>
                </c:pt>
                <c:pt idx="523">
                  <c:v>6.5727087969558617E-2</c:v>
                </c:pt>
                <c:pt idx="524">
                  <c:v>1.6575587377617218E-2</c:v>
                </c:pt>
                <c:pt idx="525">
                  <c:v>-2.2739855317537305E-2</c:v>
                </c:pt>
                <c:pt idx="526">
                  <c:v>6.8710314058687771E-2</c:v>
                </c:pt>
                <c:pt idx="527">
                  <c:v>-5.7559953023311294E-2</c:v>
                </c:pt>
                <c:pt idx="528">
                  <c:v>2.4463785972609564E-2</c:v>
                </c:pt>
                <c:pt idx="529">
                  <c:v>6.9481719146420318E-2</c:v>
                </c:pt>
                <c:pt idx="530">
                  <c:v>-1.8315531730575429E-2</c:v>
                </c:pt>
                <c:pt idx="531">
                  <c:v>9.8809103543095134E-2</c:v>
                </c:pt>
                <c:pt idx="532">
                  <c:v>9.7225235498112461E-2</c:v>
                </c:pt>
                <c:pt idx="533">
                  <c:v>6.2551161393038512E-2</c:v>
                </c:pt>
                <c:pt idx="534">
                  <c:v>-8.3734908027049748E-2</c:v>
                </c:pt>
                <c:pt idx="535">
                  <c:v>3.9370052347933893E-2</c:v>
                </c:pt>
                <c:pt idx="536">
                  <c:v>3.7287201865638053E-2</c:v>
                </c:pt>
                <c:pt idx="537">
                  <c:v>2.9417220436469549E-2</c:v>
                </c:pt>
                <c:pt idx="538">
                  <c:v>1.6100200380931184E-2</c:v>
                </c:pt>
                <c:pt idx="539">
                  <c:v>-1.6980412532944023E-2</c:v>
                </c:pt>
                <c:pt idx="540">
                  <c:v>4.0740764953993036E-2</c:v>
                </c:pt>
                <c:pt idx="541">
                  <c:v>-9.3643261843672221E-2</c:v>
                </c:pt>
                <c:pt idx="542">
                  <c:v>4.3685333462189391E-2</c:v>
                </c:pt>
                <c:pt idx="543">
                  <c:v>8.2171191548971123E-2</c:v>
                </c:pt>
                <c:pt idx="544">
                  <c:v>0.10410549829658322</c:v>
                </c:pt>
                <c:pt idx="545">
                  <c:v>0.12707417901559115</c:v>
                </c:pt>
                <c:pt idx="546">
                  <c:v>0.17494855057753345</c:v>
                </c:pt>
                <c:pt idx="547">
                  <c:v>-6.787510762282789E-2</c:v>
                </c:pt>
                <c:pt idx="548">
                  <c:v>-1.7583800983115516E-2</c:v>
                </c:pt>
                <c:pt idx="549">
                  <c:v>-3.2595632215477899E-2</c:v>
                </c:pt>
                <c:pt idx="550">
                  <c:v>-7.2280745209809538E-3</c:v>
                </c:pt>
                <c:pt idx="551">
                  <c:v>-2.9842350037721843E-2</c:v>
                </c:pt>
                <c:pt idx="552">
                  <c:v>8.5387730538213802E-2</c:v>
                </c:pt>
                <c:pt idx="553">
                  <c:v>4.2553168956898091E-2</c:v>
                </c:pt>
                <c:pt idx="554">
                  <c:v>-0.13478638999326886</c:v>
                </c:pt>
                <c:pt idx="555">
                  <c:v>4.4126132135945184E-2</c:v>
                </c:pt>
                <c:pt idx="556">
                  <c:v>0.22264726327498607</c:v>
                </c:pt>
                <c:pt idx="557">
                  <c:v>6.8795532236237023E-2</c:v>
                </c:pt>
                <c:pt idx="558">
                  <c:v>1.1690155387739765E-2</c:v>
                </c:pt>
                <c:pt idx="559">
                  <c:v>5.2627546370544565E-2</c:v>
                </c:pt>
                <c:pt idx="560">
                  <c:v>5.208191239734461E-2</c:v>
                </c:pt>
                <c:pt idx="561">
                  <c:v>0.1155968592222969</c:v>
                </c:pt>
                <c:pt idx="562">
                  <c:v>6.058501725444998E-2</c:v>
                </c:pt>
                <c:pt idx="563">
                  <c:v>3.6767690060035996E-2</c:v>
                </c:pt>
                <c:pt idx="564">
                  <c:v>3.3725818465900836E-2</c:v>
                </c:pt>
                <c:pt idx="565">
                  <c:v>0.17448659564879776</c:v>
                </c:pt>
                <c:pt idx="566">
                  <c:v>0.10523679383390672</c:v>
                </c:pt>
                <c:pt idx="567">
                  <c:v>1.1833738369793068E-2</c:v>
                </c:pt>
                <c:pt idx="568">
                  <c:v>0.10445312699426612</c:v>
                </c:pt>
                <c:pt idx="569">
                  <c:v>0.11539556798108919</c:v>
                </c:pt>
                <c:pt idx="570">
                  <c:v>-1.2340856910295628E-3</c:v>
                </c:pt>
                <c:pt idx="571">
                  <c:v>0.10443802872683872</c:v>
                </c:pt>
                <c:pt idx="572">
                  <c:v>0.14218450524815562</c:v>
                </c:pt>
                <c:pt idx="573">
                  <c:v>0.11214808200340975</c:v>
                </c:pt>
                <c:pt idx="574">
                  <c:v>0.11051777841347032</c:v>
                </c:pt>
                <c:pt idx="575">
                  <c:v>0.13724546345512678</c:v>
                </c:pt>
                <c:pt idx="576">
                  <c:v>0.12395510737505777</c:v>
                </c:pt>
                <c:pt idx="577">
                  <c:v>5.6229000337047808E-2</c:v>
                </c:pt>
                <c:pt idx="578">
                  <c:v>2.6559254153948331E-3</c:v>
                </c:pt>
                <c:pt idx="579">
                  <c:v>-6.6226316543219532E-2</c:v>
                </c:pt>
                <c:pt idx="580">
                  <c:v>-5.1786731151490351E-2</c:v>
                </c:pt>
                <c:pt idx="581">
                  <c:v>0.14186787652803101</c:v>
                </c:pt>
                <c:pt idx="582">
                  <c:v>1.1196545631735333E-2</c:v>
                </c:pt>
                <c:pt idx="583">
                  <c:v>4.8625367044823342E-2</c:v>
                </c:pt>
                <c:pt idx="584">
                  <c:v>0.15431373012372784</c:v>
                </c:pt>
                <c:pt idx="585">
                  <c:v>-2.6629709428219073E-2</c:v>
                </c:pt>
                <c:pt idx="586">
                  <c:v>-1.7596230507682442E-2</c:v>
                </c:pt>
                <c:pt idx="587">
                  <c:v>6.7015566434778684E-2</c:v>
                </c:pt>
                <c:pt idx="588">
                  <c:v>-8.7499925703975023E-2</c:v>
                </c:pt>
                <c:pt idx="589">
                  <c:v>5.705210805401606E-2</c:v>
                </c:pt>
                <c:pt idx="590">
                  <c:v>2.8091931564775408E-3</c:v>
                </c:pt>
                <c:pt idx="591">
                  <c:v>-6.1806034437108082E-2</c:v>
                </c:pt>
                <c:pt idx="592">
                  <c:v>0.10468723252677403</c:v>
                </c:pt>
                <c:pt idx="593">
                  <c:v>1.0867006658124012E-2</c:v>
                </c:pt>
                <c:pt idx="594">
                  <c:v>0.14225697387845404</c:v>
                </c:pt>
                <c:pt idx="595">
                  <c:v>-2.3292245458989669E-2</c:v>
                </c:pt>
                <c:pt idx="596">
                  <c:v>2.0711840337099829E-3</c:v>
                </c:pt>
                <c:pt idx="597">
                  <c:v>4.1236293152245196E-2</c:v>
                </c:pt>
                <c:pt idx="598">
                  <c:v>-9.4116596589225665E-2</c:v>
                </c:pt>
                <c:pt idx="599">
                  <c:v>3.3046277140766911E-2</c:v>
                </c:pt>
                <c:pt idx="600">
                  <c:v>6.0245668727235469E-2</c:v>
                </c:pt>
                <c:pt idx="601">
                  <c:v>-3.3423923516525456E-2</c:v>
                </c:pt>
                <c:pt idx="602">
                  <c:v>7.7652044352138461E-2</c:v>
                </c:pt>
                <c:pt idx="603">
                  <c:v>-1.6265515072057646E-2</c:v>
                </c:pt>
                <c:pt idx="604">
                  <c:v>6.040338315328686E-2</c:v>
                </c:pt>
                <c:pt idx="605">
                  <c:v>0.21287242057773081</c:v>
                </c:pt>
                <c:pt idx="606">
                  <c:v>9.9984656933660432E-4</c:v>
                </c:pt>
                <c:pt idx="607">
                  <c:v>-8.1753662750966072E-2</c:v>
                </c:pt>
                <c:pt idx="608">
                  <c:v>-0.10499522794579352</c:v>
                </c:pt>
                <c:pt idx="609">
                  <c:v>0.13765115374982795</c:v>
                </c:pt>
                <c:pt idx="610">
                  <c:v>5.5883612627690482E-2</c:v>
                </c:pt>
                <c:pt idx="611">
                  <c:v>8.8592936007794165E-3</c:v>
                </c:pt>
                <c:pt idx="612">
                  <c:v>-2.51214163152369E-3</c:v>
                </c:pt>
                <c:pt idx="613">
                  <c:v>9.4472532455139202E-2</c:v>
                </c:pt>
                <c:pt idx="614">
                  <c:v>-1.9596617343109024E-2</c:v>
                </c:pt>
                <c:pt idx="615">
                  <c:v>-7.7129848356748631E-2</c:v>
                </c:pt>
                <c:pt idx="616">
                  <c:v>4.6224755059038891E-2</c:v>
                </c:pt>
                <c:pt idx="617">
                  <c:v>3.6628106246170411E-2</c:v>
                </c:pt>
                <c:pt idx="618">
                  <c:v>7.1221377903340155E-2</c:v>
                </c:pt>
                <c:pt idx="619">
                  <c:v>4.2307596961001614E-2</c:v>
                </c:pt>
                <c:pt idx="620">
                  <c:v>-1.4218389729492742E-2</c:v>
                </c:pt>
                <c:pt idx="621">
                  <c:v>3.9295482685556493E-2</c:v>
                </c:pt>
                <c:pt idx="622">
                  <c:v>3.8970691756310849E-2</c:v>
                </c:pt>
                <c:pt idx="623">
                  <c:v>2.7807362164389282E-2</c:v>
                </c:pt>
                <c:pt idx="624">
                  <c:v>2.5176599071512484E-2</c:v>
                </c:pt>
                <c:pt idx="625">
                  <c:v>-8.1133035161260025E-2</c:v>
                </c:pt>
                <c:pt idx="626">
                  <c:v>8.6847770938495827E-2</c:v>
                </c:pt>
                <c:pt idx="627">
                  <c:v>-2.2556151569823157E-2</c:v>
                </c:pt>
                <c:pt idx="628">
                  <c:v>3.5871352971035719E-2</c:v>
                </c:pt>
                <c:pt idx="629">
                  <c:v>0.15819758983565624</c:v>
                </c:pt>
                <c:pt idx="630">
                  <c:v>5.1884814922925848E-2</c:v>
                </c:pt>
                <c:pt idx="631">
                  <c:v>1.662573348460672E-2</c:v>
                </c:pt>
                <c:pt idx="632">
                  <c:v>4.4488515846994758E-2</c:v>
                </c:pt>
                <c:pt idx="633">
                  <c:v>0.16554827540466377</c:v>
                </c:pt>
                <c:pt idx="634">
                  <c:v>-9.9192267510418652E-2</c:v>
                </c:pt>
                <c:pt idx="635">
                  <c:v>3.31601823584462E-2</c:v>
                </c:pt>
                <c:pt idx="636">
                  <c:v>0.11585105136998486</c:v>
                </c:pt>
                <c:pt idx="637">
                  <c:v>9.462746698469271E-2</c:v>
                </c:pt>
                <c:pt idx="638">
                  <c:v>-1.9528049767040478E-2</c:v>
                </c:pt>
                <c:pt idx="639">
                  <c:v>8.5119857846012614E-2</c:v>
                </c:pt>
                <c:pt idx="640">
                  <c:v>0.11427190144221555</c:v>
                </c:pt>
                <c:pt idx="641">
                  <c:v>7.7050109364117603E-2</c:v>
                </c:pt>
                <c:pt idx="642">
                  <c:v>-5.9289703166700569E-2</c:v>
                </c:pt>
                <c:pt idx="643">
                  <c:v>4.8205772413759895E-2</c:v>
                </c:pt>
                <c:pt idx="644">
                  <c:v>4.404192459412748E-2</c:v>
                </c:pt>
                <c:pt idx="645">
                  <c:v>-8.5729694334813367E-2</c:v>
                </c:pt>
                <c:pt idx="646">
                  <c:v>8.6488830589672716E-2</c:v>
                </c:pt>
                <c:pt idx="647">
                  <c:v>9.4455937415689029E-2</c:v>
                </c:pt>
                <c:pt idx="648">
                  <c:v>0.15367281472450767</c:v>
                </c:pt>
                <c:pt idx="649">
                  <c:v>0.11999364251830613</c:v>
                </c:pt>
                <c:pt idx="650">
                  <c:v>1.568241606392462E-2</c:v>
                </c:pt>
                <c:pt idx="651">
                  <c:v>3.2732694576242061E-2</c:v>
                </c:pt>
                <c:pt idx="652">
                  <c:v>5.2668218908014097E-3</c:v>
                </c:pt>
                <c:pt idx="653">
                  <c:v>-3.3012373285166596E-2</c:v>
                </c:pt>
                <c:pt idx="654">
                  <c:v>1.2163201242946009E-2</c:v>
                </c:pt>
                <c:pt idx="655">
                  <c:v>8.4744121181623555E-2</c:v>
                </c:pt>
                <c:pt idx="656">
                  <c:v>-8.1168319529112409E-3</c:v>
                </c:pt>
                <c:pt idx="657">
                  <c:v>6.6752578444456034E-2</c:v>
                </c:pt>
                <c:pt idx="658">
                  <c:v>5.9821942192101574E-2</c:v>
                </c:pt>
                <c:pt idx="659">
                  <c:v>-2.9772009216933348E-2</c:v>
                </c:pt>
                <c:pt idx="660">
                  <c:v>-7.9084634643389329E-2</c:v>
                </c:pt>
                <c:pt idx="661">
                  <c:v>1.219669311243532E-2</c:v>
                </c:pt>
                <c:pt idx="662">
                  <c:v>8.1354580743339788E-2</c:v>
                </c:pt>
                <c:pt idx="663">
                  <c:v>-4.3735983850523574E-2</c:v>
                </c:pt>
                <c:pt idx="664">
                  <c:v>6.1105185954257735E-2</c:v>
                </c:pt>
                <c:pt idx="665">
                  <c:v>0.17799583246788941</c:v>
                </c:pt>
                <c:pt idx="666">
                  <c:v>6.685045582624749E-2</c:v>
                </c:pt>
                <c:pt idx="667">
                  <c:v>2.1361699167537829E-2</c:v>
                </c:pt>
                <c:pt idx="668">
                  <c:v>0.12726435908789924</c:v>
                </c:pt>
                <c:pt idx="669">
                  <c:v>2.8390636025154237E-2</c:v>
                </c:pt>
                <c:pt idx="670">
                  <c:v>-9.5253664361529822E-2</c:v>
                </c:pt>
                <c:pt idx="671">
                  <c:v>4.1095320766636689E-2</c:v>
                </c:pt>
                <c:pt idx="672">
                  <c:v>-2.8993632695318183E-2</c:v>
                </c:pt>
                <c:pt idx="673">
                  <c:v>7.2717621094811058E-2</c:v>
                </c:pt>
                <c:pt idx="674">
                  <c:v>0.1137794853418681</c:v>
                </c:pt>
                <c:pt idx="675">
                  <c:v>0.18605460742149393</c:v>
                </c:pt>
                <c:pt idx="676">
                  <c:v>0.11586726570091432</c:v>
                </c:pt>
                <c:pt idx="677">
                  <c:v>2.149863151967768E-2</c:v>
                </c:pt>
                <c:pt idx="678">
                  <c:v>0.14567989470611931</c:v>
                </c:pt>
                <c:pt idx="679">
                  <c:v>0.14111500887208273</c:v>
                </c:pt>
                <c:pt idx="680">
                  <c:v>1.4528691363079993E-2</c:v>
                </c:pt>
                <c:pt idx="681">
                  <c:v>-8.4141894652068672E-2</c:v>
                </c:pt>
                <c:pt idx="682">
                  <c:v>8.2175020173266944E-2</c:v>
                </c:pt>
                <c:pt idx="683">
                  <c:v>-1.7533177510914655E-2</c:v>
                </c:pt>
                <c:pt idx="684">
                  <c:v>7.006392730708555E-2</c:v>
                </c:pt>
                <c:pt idx="685">
                  <c:v>9.844975335007522E-2</c:v>
                </c:pt>
                <c:pt idx="686">
                  <c:v>1.7403648171251618E-2</c:v>
                </c:pt>
                <c:pt idx="687">
                  <c:v>5.0057167968658334E-2</c:v>
                </c:pt>
                <c:pt idx="688">
                  <c:v>7.1607675521895509E-2</c:v>
                </c:pt>
                <c:pt idx="689">
                  <c:v>4.2759532998582372E-2</c:v>
                </c:pt>
                <c:pt idx="690">
                  <c:v>-1.5743637140420041E-2</c:v>
                </c:pt>
                <c:pt idx="691">
                  <c:v>8.6093108427474085E-2</c:v>
                </c:pt>
                <c:pt idx="692">
                  <c:v>0.10912636149266053</c:v>
                </c:pt>
                <c:pt idx="693">
                  <c:v>1.2929241834075178E-2</c:v>
                </c:pt>
                <c:pt idx="694">
                  <c:v>0.10066489977881243</c:v>
                </c:pt>
                <c:pt idx="695">
                  <c:v>5.8440290921942584E-2</c:v>
                </c:pt>
                <c:pt idx="696">
                  <c:v>0.25094311437149308</c:v>
                </c:pt>
                <c:pt idx="697">
                  <c:v>7.1751364735104239E-2</c:v>
                </c:pt>
                <c:pt idx="698">
                  <c:v>2.8785530885693689E-2</c:v>
                </c:pt>
                <c:pt idx="699">
                  <c:v>3.3763922507924704E-2</c:v>
                </c:pt>
                <c:pt idx="700">
                  <c:v>-2.2793358936623598E-2</c:v>
                </c:pt>
                <c:pt idx="701">
                  <c:v>-3.1910798446248556E-2</c:v>
                </c:pt>
                <c:pt idx="702">
                  <c:v>0.20590223285217579</c:v>
                </c:pt>
                <c:pt idx="703">
                  <c:v>-6.4734710180962551E-3</c:v>
                </c:pt>
                <c:pt idx="704">
                  <c:v>0.15275996924636637</c:v>
                </c:pt>
                <c:pt idx="705">
                  <c:v>0.11330932876346544</c:v>
                </c:pt>
                <c:pt idx="706">
                  <c:v>-6.0659005229585006E-2</c:v>
                </c:pt>
                <c:pt idx="707">
                  <c:v>5.2996260427177866E-2</c:v>
                </c:pt>
                <c:pt idx="708">
                  <c:v>2.4549683224259766E-3</c:v>
                </c:pt>
                <c:pt idx="709">
                  <c:v>6.4907383549357434E-2</c:v>
                </c:pt>
                <c:pt idx="710">
                  <c:v>2.583867650686944E-2</c:v>
                </c:pt>
                <c:pt idx="711">
                  <c:v>0.14313015365918869</c:v>
                </c:pt>
                <c:pt idx="712">
                  <c:v>0.12458654046464179</c:v>
                </c:pt>
                <c:pt idx="713">
                  <c:v>0.14634188294527739</c:v>
                </c:pt>
                <c:pt idx="714">
                  <c:v>9.9768280727188241E-3</c:v>
                </c:pt>
                <c:pt idx="715">
                  <c:v>2.5366502539129421E-2</c:v>
                </c:pt>
                <c:pt idx="716">
                  <c:v>-3.806960099541179E-2</c:v>
                </c:pt>
                <c:pt idx="717">
                  <c:v>-3.4244380412401298E-2</c:v>
                </c:pt>
                <c:pt idx="718">
                  <c:v>0.23999536437063274</c:v>
                </c:pt>
                <c:pt idx="719">
                  <c:v>2.3570550833568404E-2</c:v>
                </c:pt>
                <c:pt idx="720">
                  <c:v>-2.7237520441663499E-2</c:v>
                </c:pt>
                <c:pt idx="721">
                  <c:v>6.3667148758596248E-2</c:v>
                </c:pt>
                <c:pt idx="722">
                  <c:v>9.8525282512171408E-2</c:v>
                </c:pt>
                <c:pt idx="723">
                  <c:v>9.5775760408312038E-2</c:v>
                </c:pt>
                <c:pt idx="724">
                  <c:v>7.9318915346777707E-2</c:v>
                </c:pt>
                <c:pt idx="725">
                  <c:v>1.8240414822641604E-2</c:v>
                </c:pt>
                <c:pt idx="726">
                  <c:v>4.0155313552883598E-2</c:v>
                </c:pt>
                <c:pt idx="727">
                  <c:v>0.13403308157917682</c:v>
                </c:pt>
                <c:pt idx="728">
                  <c:v>6.0534723399219281E-2</c:v>
                </c:pt>
                <c:pt idx="729">
                  <c:v>2.5253918206386672E-2</c:v>
                </c:pt>
                <c:pt idx="730">
                  <c:v>7.1185408794293359E-2</c:v>
                </c:pt>
                <c:pt idx="731">
                  <c:v>-1.8559724756574525E-2</c:v>
                </c:pt>
                <c:pt idx="732">
                  <c:v>7.2966655473210018E-2</c:v>
                </c:pt>
                <c:pt idx="733">
                  <c:v>2.8982803587937589E-2</c:v>
                </c:pt>
                <c:pt idx="734">
                  <c:v>-3.320287469085148E-2</c:v>
                </c:pt>
                <c:pt idx="735">
                  <c:v>0.25632408859470068</c:v>
                </c:pt>
                <c:pt idx="736">
                  <c:v>-2.0935594518901368E-2</c:v>
                </c:pt>
                <c:pt idx="737">
                  <c:v>-8.8783259930275804E-2</c:v>
                </c:pt>
                <c:pt idx="738">
                  <c:v>0.10650511683569341</c:v>
                </c:pt>
                <c:pt idx="739">
                  <c:v>-4.1346202336404403E-2</c:v>
                </c:pt>
                <c:pt idx="740">
                  <c:v>9.3302277630474606E-2</c:v>
                </c:pt>
                <c:pt idx="741">
                  <c:v>8.3205001065622675E-2</c:v>
                </c:pt>
                <c:pt idx="742">
                  <c:v>3.8128180993206584E-3</c:v>
                </c:pt>
                <c:pt idx="743">
                  <c:v>-0.1231769196385315</c:v>
                </c:pt>
                <c:pt idx="744">
                  <c:v>4.5346591340433839E-2</c:v>
                </c:pt>
                <c:pt idx="745">
                  <c:v>-3.7874393419662589E-2</c:v>
                </c:pt>
                <c:pt idx="746">
                  <c:v>-4.558148532661388E-2</c:v>
                </c:pt>
                <c:pt idx="747">
                  <c:v>0.12507387030689721</c:v>
                </c:pt>
                <c:pt idx="748">
                  <c:v>2.8958651501749699E-2</c:v>
                </c:pt>
                <c:pt idx="749">
                  <c:v>8.3906042894108523E-3</c:v>
                </c:pt>
                <c:pt idx="750">
                  <c:v>8.6774600443050964E-2</c:v>
                </c:pt>
                <c:pt idx="751">
                  <c:v>1.5640301111156774E-2</c:v>
                </c:pt>
                <c:pt idx="752">
                  <c:v>2.2807961768748442E-2</c:v>
                </c:pt>
                <c:pt idx="753">
                  <c:v>5.1331923690690395E-2</c:v>
                </c:pt>
                <c:pt idx="754">
                  <c:v>-4.8018399394330835E-2</c:v>
                </c:pt>
                <c:pt idx="755">
                  <c:v>-1.9239691703317519E-2</c:v>
                </c:pt>
                <c:pt idx="756">
                  <c:v>0.12107050054527235</c:v>
                </c:pt>
                <c:pt idx="757">
                  <c:v>-3.6161479294790411E-2</c:v>
                </c:pt>
                <c:pt idx="758">
                  <c:v>-4.3547551452638444E-2</c:v>
                </c:pt>
                <c:pt idx="759">
                  <c:v>0.1115729790953619</c:v>
                </c:pt>
                <c:pt idx="760">
                  <c:v>-2.6601185083548806E-2</c:v>
                </c:pt>
                <c:pt idx="761">
                  <c:v>-2.7847355495604909E-2</c:v>
                </c:pt>
                <c:pt idx="762">
                  <c:v>0.12938490680992043</c:v>
                </c:pt>
                <c:pt idx="763">
                  <c:v>2.1956247073990021E-2</c:v>
                </c:pt>
                <c:pt idx="764">
                  <c:v>0.11453016554978923</c:v>
                </c:pt>
                <c:pt idx="765">
                  <c:v>-1.8841719092135278E-3</c:v>
                </c:pt>
                <c:pt idx="766">
                  <c:v>3.9201963360078196E-3</c:v>
                </c:pt>
                <c:pt idx="767">
                  <c:v>0.18697347026513622</c:v>
                </c:pt>
                <c:pt idx="768">
                  <c:v>0.22686589012188652</c:v>
                </c:pt>
                <c:pt idx="769">
                  <c:v>1.3673370463668455E-2</c:v>
                </c:pt>
                <c:pt idx="770">
                  <c:v>9.3912810229060284E-2</c:v>
                </c:pt>
                <c:pt idx="771">
                  <c:v>-7.2492514458240898E-2</c:v>
                </c:pt>
                <c:pt idx="772">
                  <c:v>3.6843250957639739E-2</c:v>
                </c:pt>
                <c:pt idx="773">
                  <c:v>8.4970463954006981E-2</c:v>
                </c:pt>
                <c:pt idx="774">
                  <c:v>6.6513633223834745E-2</c:v>
                </c:pt>
                <c:pt idx="775">
                  <c:v>3.4395592760780858E-2</c:v>
                </c:pt>
                <c:pt idx="776">
                  <c:v>-5.8091299156521004E-2</c:v>
                </c:pt>
                <c:pt idx="777">
                  <c:v>-2.7316327781929495E-2</c:v>
                </c:pt>
                <c:pt idx="778">
                  <c:v>4.9130612466027124E-2</c:v>
                </c:pt>
                <c:pt idx="779">
                  <c:v>4.8943791348198928E-2</c:v>
                </c:pt>
                <c:pt idx="780">
                  <c:v>8.9920514315943834E-2</c:v>
                </c:pt>
                <c:pt idx="781">
                  <c:v>-2.0863301256402345E-2</c:v>
                </c:pt>
                <c:pt idx="782">
                  <c:v>0.15738951138442037</c:v>
                </c:pt>
                <c:pt idx="783">
                  <c:v>-0.16488440889728828</c:v>
                </c:pt>
                <c:pt idx="784">
                  <c:v>2.520041114817051E-2</c:v>
                </c:pt>
                <c:pt idx="785">
                  <c:v>-4.0562517625778227E-2</c:v>
                </c:pt>
                <c:pt idx="786">
                  <c:v>1.4626587704973382E-2</c:v>
                </c:pt>
                <c:pt idx="787">
                  <c:v>0.12273390331465261</c:v>
                </c:pt>
                <c:pt idx="788">
                  <c:v>0.10342490089376799</c:v>
                </c:pt>
                <c:pt idx="789">
                  <c:v>1.7722735174141135E-2</c:v>
                </c:pt>
                <c:pt idx="790">
                  <c:v>1.6386486098612707E-2</c:v>
                </c:pt>
                <c:pt idx="791">
                  <c:v>6.9720358109741198E-2</c:v>
                </c:pt>
                <c:pt idx="792">
                  <c:v>4.2678807405834185E-2</c:v>
                </c:pt>
                <c:pt idx="793">
                  <c:v>1.4720677519962422E-2</c:v>
                </c:pt>
                <c:pt idx="794">
                  <c:v>4.0809603195103961E-2</c:v>
                </c:pt>
                <c:pt idx="795">
                  <c:v>-4.7278890684141039E-2</c:v>
                </c:pt>
                <c:pt idx="796">
                  <c:v>8.8982947850615446E-2</c:v>
                </c:pt>
                <c:pt idx="797">
                  <c:v>-9.9973876993818322E-2</c:v>
                </c:pt>
                <c:pt idx="798">
                  <c:v>9.2123981504920849E-2</c:v>
                </c:pt>
                <c:pt idx="799">
                  <c:v>0.17473356638063553</c:v>
                </c:pt>
                <c:pt idx="800">
                  <c:v>-2.1409932038995549E-2</c:v>
                </c:pt>
                <c:pt idx="801">
                  <c:v>-4.4410765478215986E-2</c:v>
                </c:pt>
                <c:pt idx="802">
                  <c:v>2.8350772719597295E-2</c:v>
                </c:pt>
                <c:pt idx="803">
                  <c:v>5.4325967519337048E-2</c:v>
                </c:pt>
                <c:pt idx="804">
                  <c:v>3.0258123439024232E-3</c:v>
                </c:pt>
                <c:pt idx="805">
                  <c:v>2.5657728003568359E-2</c:v>
                </c:pt>
                <c:pt idx="806">
                  <c:v>-6.4459119607131576E-2</c:v>
                </c:pt>
                <c:pt idx="807">
                  <c:v>0.22275544670888081</c:v>
                </c:pt>
                <c:pt idx="808">
                  <c:v>3.9345267725603428E-2</c:v>
                </c:pt>
                <c:pt idx="809">
                  <c:v>-3.2482688503181478E-2</c:v>
                </c:pt>
                <c:pt idx="810">
                  <c:v>5.4989412022813156E-2</c:v>
                </c:pt>
                <c:pt idx="811">
                  <c:v>2.4339096830910734E-2</c:v>
                </c:pt>
                <c:pt idx="812">
                  <c:v>-2.2984119531611391E-2</c:v>
                </c:pt>
                <c:pt idx="813">
                  <c:v>5.7169652373000979E-2</c:v>
                </c:pt>
                <c:pt idx="814">
                  <c:v>0.13207539076777941</c:v>
                </c:pt>
                <c:pt idx="815">
                  <c:v>7.7707046210475639E-2</c:v>
                </c:pt>
                <c:pt idx="816">
                  <c:v>9.1934771917791203E-2</c:v>
                </c:pt>
                <c:pt idx="817">
                  <c:v>-4.1459501415171296E-2</c:v>
                </c:pt>
                <c:pt idx="818">
                  <c:v>6.7331284238137279E-2</c:v>
                </c:pt>
                <c:pt idx="819">
                  <c:v>2.8252340948462518E-3</c:v>
                </c:pt>
                <c:pt idx="820">
                  <c:v>3.2349211454977045E-2</c:v>
                </c:pt>
                <c:pt idx="821">
                  <c:v>-0.20620214410267224</c:v>
                </c:pt>
                <c:pt idx="822">
                  <c:v>4.4825478420319698E-2</c:v>
                </c:pt>
                <c:pt idx="823">
                  <c:v>5.1086713597005229E-2</c:v>
                </c:pt>
                <c:pt idx="824">
                  <c:v>1.6665322461779652E-3</c:v>
                </c:pt>
                <c:pt idx="825">
                  <c:v>5.2606304392248227E-2</c:v>
                </c:pt>
                <c:pt idx="826">
                  <c:v>-3.362455967326472E-2</c:v>
                </c:pt>
                <c:pt idx="827">
                  <c:v>5.3819379492452413E-3</c:v>
                </c:pt>
                <c:pt idx="828">
                  <c:v>0.16960865115028056</c:v>
                </c:pt>
                <c:pt idx="829">
                  <c:v>0.12686110508508719</c:v>
                </c:pt>
                <c:pt idx="830">
                  <c:v>0.11258814911919757</c:v>
                </c:pt>
                <c:pt idx="831">
                  <c:v>-5.4985942531414089E-2</c:v>
                </c:pt>
                <c:pt idx="832">
                  <c:v>5.0001189333077178E-2</c:v>
                </c:pt>
                <c:pt idx="833">
                  <c:v>4.1491098141425375E-2</c:v>
                </c:pt>
                <c:pt idx="834">
                  <c:v>8.5627284338070098E-3</c:v>
                </c:pt>
                <c:pt idx="835">
                  <c:v>-4.7867206950305885E-2</c:v>
                </c:pt>
                <c:pt idx="836">
                  <c:v>-4.697402830515518E-2</c:v>
                </c:pt>
                <c:pt idx="837">
                  <c:v>-4.7669019197793538E-2</c:v>
                </c:pt>
                <c:pt idx="838">
                  <c:v>2.7777614360628533E-2</c:v>
                </c:pt>
                <c:pt idx="839">
                  <c:v>3.0670142720152782E-2</c:v>
                </c:pt>
                <c:pt idx="840">
                  <c:v>7.8271099723049353E-2</c:v>
                </c:pt>
                <c:pt idx="841">
                  <c:v>7.4826667638194344E-2</c:v>
                </c:pt>
                <c:pt idx="842">
                  <c:v>3.6936889626487002E-2</c:v>
                </c:pt>
                <c:pt idx="843">
                  <c:v>-2.0874937071241106E-2</c:v>
                </c:pt>
                <c:pt idx="844">
                  <c:v>3.3613413733809772E-2</c:v>
                </c:pt>
                <c:pt idx="845">
                  <c:v>6.2369585021751384E-2</c:v>
                </c:pt>
                <c:pt idx="846">
                  <c:v>5.107083210059038E-3</c:v>
                </c:pt>
                <c:pt idx="847">
                  <c:v>0.11911040298430731</c:v>
                </c:pt>
                <c:pt idx="848">
                  <c:v>0.21108799988419413</c:v>
                </c:pt>
                <c:pt idx="849">
                  <c:v>-6.7890170356225354E-2</c:v>
                </c:pt>
                <c:pt idx="850">
                  <c:v>0.12023140896111517</c:v>
                </c:pt>
                <c:pt idx="851">
                  <c:v>2.4083947126512406E-2</c:v>
                </c:pt>
                <c:pt idx="852">
                  <c:v>0.15612067382565264</c:v>
                </c:pt>
                <c:pt idx="853">
                  <c:v>3.6727102108926601E-2</c:v>
                </c:pt>
                <c:pt idx="854">
                  <c:v>-7.5721344107479993E-3</c:v>
                </c:pt>
                <c:pt idx="855">
                  <c:v>-4.0685777009716872E-3</c:v>
                </c:pt>
                <c:pt idx="856">
                  <c:v>-5.6543982593588282E-2</c:v>
                </c:pt>
                <c:pt idx="857">
                  <c:v>2.0975023915968727E-2</c:v>
                </c:pt>
                <c:pt idx="858">
                  <c:v>3.5803326508612621E-2</c:v>
                </c:pt>
                <c:pt idx="859">
                  <c:v>-6.2728342664192027E-2</c:v>
                </c:pt>
                <c:pt idx="860">
                  <c:v>3.7886617589638405E-2</c:v>
                </c:pt>
                <c:pt idx="861">
                  <c:v>0.20180169668281511</c:v>
                </c:pt>
                <c:pt idx="862">
                  <c:v>5.0452690355548668E-2</c:v>
                </c:pt>
                <c:pt idx="863">
                  <c:v>6.7650893553151903E-2</c:v>
                </c:pt>
                <c:pt idx="864">
                  <c:v>-2.3730422779536298E-2</c:v>
                </c:pt>
                <c:pt idx="865">
                  <c:v>2.3284346819839818E-2</c:v>
                </c:pt>
                <c:pt idx="866">
                  <c:v>1.208699832518878E-2</c:v>
                </c:pt>
                <c:pt idx="867">
                  <c:v>8.0339064373868396E-2</c:v>
                </c:pt>
                <c:pt idx="868">
                  <c:v>-5.4189511610172048E-3</c:v>
                </c:pt>
                <c:pt idx="869">
                  <c:v>0.12124262020099597</c:v>
                </c:pt>
                <c:pt idx="870">
                  <c:v>9.3510364919731082E-2</c:v>
                </c:pt>
                <c:pt idx="871">
                  <c:v>-1.1164750724188544E-2</c:v>
                </c:pt>
                <c:pt idx="872">
                  <c:v>2.2630695702726911E-2</c:v>
                </c:pt>
                <c:pt idx="873">
                  <c:v>-2.6734443297183219E-2</c:v>
                </c:pt>
                <c:pt idx="874">
                  <c:v>2.4030468903689872E-2</c:v>
                </c:pt>
                <c:pt idx="875">
                  <c:v>6.1944185151787678E-3</c:v>
                </c:pt>
                <c:pt idx="876">
                  <c:v>6.3537994933112074E-2</c:v>
                </c:pt>
                <c:pt idx="877">
                  <c:v>-4.2340441563546882E-2</c:v>
                </c:pt>
                <c:pt idx="878">
                  <c:v>7.0393973899136597E-3</c:v>
                </c:pt>
                <c:pt idx="879">
                  <c:v>-2.9965035983472887E-2</c:v>
                </c:pt>
                <c:pt idx="880">
                  <c:v>0.22664482829054933</c:v>
                </c:pt>
                <c:pt idx="881">
                  <c:v>6.184442832480741E-2</c:v>
                </c:pt>
                <c:pt idx="882">
                  <c:v>-1.9108247755879049E-3</c:v>
                </c:pt>
                <c:pt idx="883">
                  <c:v>6.0934178220472646E-2</c:v>
                </c:pt>
                <c:pt idx="884">
                  <c:v>-6.3243131309812739E-2</c:v>
                </c:pt>
                <c:pt idx="885">
                  <c:v>2.7930075447285319E-2</c:v>
                </c:pt>
                <c:pt idx="886">
                  <c:v>9.2697620315528084E-2</c:v>
                </c:pt>
                <c:pt idx="887">
                  <c:v>6.4808355238171522E-2</c:v>
                </c:pt>
                <c:pt idx="888">
                  <c:v>-2.4381607807280936E-2</c:v>
                </c:pt>
                <c:pt idx="889">
                  <c:v>-9.7508694127945716E-4</c:v>
                </c:pt>
                <c:pt idx="890">
                  <c:v>7.0079582455109701E-2</c:v>
                </c:pt>
                <c:pt idx="891">
                  <c:v>8.9181587308035937E-2</c:v>
                </c:pt>
                <c:pt idx="892">
                  <c:v>7.4202099076893013E-2</c:v>
                </c:pt>
                <c:pt idx="893">
                  <c:v>-2.7458313953140134E-2</c:v>
                </c:pt>
                <c:pt idx="894">
                  <c:v>-5.7748545493109482E-2</c:v>
                </c:pt>
                <c:pt idx="895">
                  <c:v>0.11143196742821271</c:v>
                </c:pt>
                <c:pt idx="896">
                  <c:v>2.5513638840791941E-2</c:v>
                </c:pt>
                <c:pt idx="897">
                  <c:v>-3.1830078709703002E-2</c:v>
                </c:pt>
                <c:pt idx="898">
                  <c:v>0.16547054095677094</c:v>
                </c:pt>
                <c:pt idx="899">
                  <c:v>1.3906814324862182E-3</c:v>
                </c:pt>
                <c:pt idx="900">
                  <c:v>3.4450231729696412E-2</c:v>
                </c:pt>
                <c:pt idx="901">
                  <c:v>-3.8970052958130275E-2</c:v>
                </c:pt>
                <c:pt idx="902">
                  <c:v>8.6413976427452077E-2</c:v>
                </c:pt>
                <c:pt idx="903">
                  <c:v>0.16984353492769344</c:v>
                </c:pt>
                <c:pt idx="904">
                  <c:v>4.2348433059498092E-3</c:v>
                </c:pt>
                <c:pt idx="905">
                  <c:v>3.3668328564321115E-2</c:v>
                </c:pt>
                <c:pt idx="906">
                  <c:v>7.4236234083026709E-2</c:v>
                </c:pt>
                <c:pt idx="907">
                  <c:v>-3.9235032123896119E-2</c:v>
                </c:pt>
                <c:pt idx="908">
                  <c:v>9.2449381750973281E-2</c:v>
                </c:pt>
                <c:pt idx="909">
                  <c:v>0.11765734522819304</c:v>
                </c:pt>
                <c:pt idx="910">
                  <c:v>1.6910982630643723E-2</c:v>
                </c:pt>
                <c:pt idx="911">
                  <c:v>-5.8313945403675405E-2</c:v>
                </c:pt>
                <c:pt idx="912">
                  <c:v>1.499828499510425E-2</c:v>
                </c:pt>
                <c:pt idx="913">
                  <c:v>3.5698050119623126E-2</c:v>
                </c:pt>
                <c:pt idx="914">
                  <c:v>1.8835178323044488E-2</c:v>
                </c:pt>
                <c:pt idx="915">
                  <c:v>2.6125602606015264E-2</c:v>
                </c:pt>
                <c:pt idx="916">
                  <c:v>5.1236727742997701E-2</c:v>
                </c:pt>
                <c:pt idx="917">
                  <c:v>7.6184936352050592E-2</c:v>
                </c:pt>
                <c:pt idx="918">
                  <c:v>7.1851588573212943E-2</c:v>
                </c:pt>
                <c:pt idx="919">
                  <c:v>5.5630601198608964E-2</c:v>
                </c:pt>
                <c:pt idx="920">
                  <c:v>0.1761554281607749</c:v>
                </c:pt>
                <c:pt idx="921">
                  <c:v>6.481131736539858E-3</c:v>
                </c:pt>
                <c:pt idx="922">
                  <c:v>0.16970593864905226</c:v>
                </c:pt>
                <c:pt idx="923">
                  <c:v>0.1134857132063738</c:v>
                </c:pt>
                <c:pt idx="924">
                  <c:v>7.7064498024127737E-2</c:v>
                </c:pt>
                <c:pt idx="925">
                  <c:v>0.18331248732494032</c:v>
                </c:pt>
                <c:pt idx="926">
                  <c:v>0.14022583382685827</c:v>
                </c:pt>
                <c:pt idx="927">
                  <c:v>0.14659629218949011</c:v>
                </c:pt>
                <c:pt idx="928">
                  <c:v>3.7552691821121975E-2</c:v>
                </c:pt>
                <c:pt idx="929">
                  <c:v>-9.2330387229655031E-2</c:v>
                </c:pt>
                <c:pt idx="930">
                  <c:v>-3.504011400088114E-2</c:v>
                </c:pt>
                <c:pt idx="931">
                  <c:v>5.2758954578141726E-2</c:v>
                </c:pt>
                <c:pt idx="932">
                  <c:v>-6.3040879295401808E-2</c:v>
                </c:pt>
                <c:pt idx="933">
                  <c:v>-2.1637901466916354E-2</c:v>
                </c:pt>
                <c:pt idx="934">
                  <c:v>5.2021215163980727E-2</c:v>
                </c:pt>
                <c:pt idx="935">
                  <c:v>1.2386881556404106E-2</c:v>
                </c:pt>
                <c:pt idx="936">
                  <c:v>0.11178877482681582</c:v>
                </c:pt>
                <c:pt idx="937">
                  <c:v>4.8324623983110548E-2</c:v>
                </c:pt>
                <c:pt idx="938">
                  <c:v>4.5758848088540027E-2</c:v>
                </c:pt>
                <c:pt idx="939">
                  <c:v>-5.4236355074879228E-2</c:v>
                </c:pt>
                <c:pt idx="940">
                  <c:v>2.9212705722877708E-2</c:v>
                </c:pt>
                <c:pt idx="941">
                  <c:v>-1.8820151175678923E-2</c:v>
                </c:pt>
                <c:pt idx="942">
                  <c:v>4.4333690386704205E-3</c:v>
                </c:pt>
                <c:pt idx="943">
                  <c:v>-4.0989420404201837E-2</c:v>
                </c:pt>
                <c:pt idx="944">
                  <c:v>0.13941379206003646</c:v>
                </c:pt>
                <c:pt idx="945">
                  <c:v>3.8189478687310263E-2</c:v>
                </c:pt>
                <c:pt idx="946">
                  <c:v>-1.7882766808403616E-2</c:v>
                </c:pt>
                <c:pt idx="947">
                  <c:v>1.9615759271788491E-2</c:v>
                </c:pt>
                <c:pt idx="948">
                  <c:v>-2.1807358926351661E-2</c:v>
                </c:pt>
                <c:pt idx="949">
                  <c:v>-1.2019967217320904E-2</c:v>
                </c:pt>
                <c:pt idx="950">
                  <c:v>9.4768153142181788E-2</c:v>
                </c:pt>
                <c:pt idx="951">
                  <c:v>5.6256766039314066E-2</c:v>
                </c:pt>
                <c:pt idx="952">
                  <c:v>5.667015139158682E-2</c:v>
                </c:pt>
                <c:pt idx="953">
                  <c:v>-2.7142700789297258E-2</c:v>
                </c:pt>
                <c:pt idx="954">
                  <c:v>2.7942195010957072E-2</c:v>
                </c:pt>
                <c:pt idx="955">
                  <c:v>1.5727066544830137E-2</c:v>
                </c:pt>
                <c:pt idx="956">
                  <c:v>5.2411489746632789E-2</c:v>
                </c:pt>
                <c:pt idx="957">
                  <c:v>0.10334674096206165</c:v>
                </c:pt>
                <c:pt idx="958">
                  <c:v>-9.8217717954717898E-2</c:v>
                </c:pt>
                <c:pt idx="959">
                  <c:v>0.10591074633456721</c:v>
                </c:pt>
                <c:pt idx="960">
                  <c:v>3.7277336891390789E-2</c:v>
                </c:pt>
                <c:pt idx="961">
                  <c:v>2.7375168978792885E-2</c:v>
                </c:pt>
                <c:pt idx="962">
                  <c:v>2.1554103463920171E-2</c:v>
                </c:pt>
                <c:pt idx="963">
                  <c:v>3.1574845619295466E-2</c:v>
                </c:pt>
                <c:pt idx="964">
                  <c:v>-4.3334608158140497E-2</c:v>
                </c:pt>
                <c:pt idx="965">
                  <c:v>4.6608516771380337E-2</c:v>
                </c:pt>
                <c:pt idx="966">
                  <c:v>0.21214361216534172</c:v>
                </c:pt>
                <c:pt idx="967">
                  <c:v>7.975764290494336E-2</c:v>
                </c:pt>
                <c:pt idx="968">
                  <c:v>6.6142825584449838E-2</c:v>
                </c:pt>
                <c:pt idx="969">
                  <c:v>3.4862172777049949E-2</c:v>
                </c:pt>
                <c:pt idx="970">
                  <c:v>1.9007873407872466E-3</c:v>
                </c:pt>
                <c:pt idx="971">
                  <c:v>1.60004953018964E-2</c:v>
                </c:pt>
                <c:pt idx="972">
                  <c:v>0.14732983817621026</c:v>
                </c:pt>
                <c:pt idx="973">
                  <c:v>0.13872653962823644</c:v>
                </c:pt>
                <c:pt idx="974">
                  <c:v>-3.5749039717495101E-2</c:v>
                </c:pt>
                <c:pt idx="975">
                  <c:v>-8.6613200890417019E-2</c:v>
                </c:pt>
                <c:pt idx="976">
                  <c:v>1.6978359406181198E-3</c:v>
                </c:pt>
                <c:pt idx="977">
                  <c:v>0.14451228836857055</c:v>
                </c:pt>
                <c:pt idx="978">
                  <c:v>-6.0701061760711994E-2</c:v>
                </c:pt>
                <c:pt idx="979">
                  <c:v>7.1383927786268231E-2</c:v>
                </c:pt>
                <c:pt idx="980">
                  <c:v>7.5725967512909165E-2</c:v>
                </c:pt>
                <c:pt idx="981">
                  <c:v>6.7647778066674213E-2</c:v>
                </c:pt>
                <c:pt idx="982">
                  <c:v>6.2739741750172939E-2</c:v>
                </c:pt>
                <c:pt idx="983">
                  <c:v>6.9677955715024886E-2</c:v>
                </c:pt>
                <c:pt idx="984">
                  <c:v>-8.8374884056053205E-2</c:v>
                </c:pt>
                <c:pt idx="985">
                  <c:v>-0.12445091498180538</c:v>
                </c:pt>
                <c:pt idx="986">
                  <c:v>5.7131074961647599E-2</c:v>
                </c:pt>
                <c:pt idx="987">
                  <c:v>6.530566692443962E-2</c:v>
                </c:pt>
                <c:pt idx="988">
                  <c:v>-0.10613376173125655</c:v>
                </c:pt>
                <c:pt idx="989">
                  <c:v>8.7240233749309226E-2</c:v>
                </c:pt>
                <c:pt idx="990">
                  <c:v>-5.8915927063196705E-3</c:v>
                </c:pt>
                <c:pt idx="991">
                  <c:v>1.271804803881782E-2</c:v>
                </c:pt>
                <c:pt idx="992">
                  <c:v>-9.2201468906106143E-2</c:v>
                </c:pt>
                <c:pt idx="993">
                  <c:v>9.4897168431309353E-2</c:v>
                </c:pt>
                <c:pt idx="994">
                  <c:v>9.9721685659269532E-2</c:v>
                </c:pt>
                <c:pt idx="995">
                  <c:v>2.5255430798507561E-2</c:v>
                </c:pt>
                <c:pt idx="996">
                  <c:v>8.5938061678010769E-2</c:v>
                </c:pt>
                <c:pt idx="997">
                  <c:v>-3.5472371303025163E-2</c:v>
                </c:pt>
                <c:pt idx="998">
                  <c:v>2.1954880024965817E-2</c:v>
                </c:pt>
                <c:pt idx="999">
                  <c:v>-9.5157417659415877E-2</c:v>
                </c:pt>
              </c:numCache>
            </c:numRef>
          </c:xVal>
          <c:yVal>
            <c:numRef>
              <c:f>'Health Simulation'!$B$6:$B$1005</c:f>
              <c:numCache>
                <c:formatCode>0.00000</c:formatCode>
                <c:ptCount val="1000"/>
                <c:pt idx="0">
                  <c:v>1173.0945957623796</c:v>
                </c:pt>
                <c:pt idx="1">
                  <c:v>1273.6672979502739</c:v>
                </c:pt>
                <c:pt idx="2">
                  <c:v>1195.5061130309591</c:v>
                </c:pt>
                <c:pt idx="3">
                  <c:v>1204.9384937575928</c:v>
                </c:pt>
                <c:pt idx="4">
                  <c:v>1252.0877346816494</c:v>
                </c:pt>
                <c:pt idx="5">
                  <c:v>1185.5185669349726</c:v>
                </c:pt>
                <c:pt idx="6">
                  <c:v>1182.9547802752293</c:v>
                </c:pt>
                <c:pt idx="7">
                  <c:v>1150.8547197635351</c:v>
                </c:pt>
                <c:pt idx="8">
                  <c:v>1104.3288284589569</c:v>
                </c:pt>
                <c:pt idx="9">
                  <c:v>1204.3794880970215</c:v>
                </c:pt>
                <c:pt idx="10">
                  <c:v>1266.5224333717536</c:v>
                </c:pt>
                <c:pt idx="11">
                  <c:v>1169.2047399715443</c:v>
                </c:pt>
                <c:pt idx="12">
                  <c:v>1199.2136526902095</c:v>
                </c:pt>
                <c:pt idx="13">
                  <c:v>1286.1936229226765</c:v>
                </c:pt>
                <c:pt idx="14">
                  <c:v>1225.2062225887003</c:v>
                </c:pt>
                <c:pt idx="15">
                  <c:v>1193.995863900999</c:v>
                </c:pt>
                <c:pt idx="16">
                  <c:v>1199.5822935357824</c:v>
                </c:pt>
                <c:pt idx="17">
                  <c:v>1236.8341938358919</c:v>
                </c:pt>
                <c:pt idx="18">
                  <c:v>1280.7371426378006</c:v>
                </c:pt>
                <c:pt idx="19">
                  <c:v>1356.5930975591275</c:v>
                </c:pt>
                <c:pt idx="20">
                  <c:v>1206.9867215585516</c:v>
                </c:pt>
                <c:pt idx="21">
                  <c:v>1230.0803524015625</c:v>
                </c:pt>
                <c:pt idx="22">
                  <c:v>1091.6568138429345</c:v>
                </c:pt>
                <c:pt idx="23">
                  <c:v>1240.740804202213</c:v>
                </c:pt>
                <c:pt idx="24">
                  <c:v>1208.6055961857505</c:v>
                </c:pt>
                <c:pt idx="25">
                  <c:v>1109.9219614419651</c:v>
                </c:pt>
                <c:pt idx="26">
                  <c:v>1254.0288717701358</c:v>
                </c:pt>
                <c:pt idx="27">
                  <c:v>1216.3392171963794</c:v>
                </c:pt>
                <c:pt idx="28">
                  <c:v>1194.2181282331192</c:v>
                </c:pt>
                <c:pt idx="29">
                  <c:v>1087.435301286215</c:v>
                </c:pt>
                <c:pt idx="30">
                  <c:v>1252.9908726681488</c:v>
                </c:pt>
                <c:pt idx="31">
                  <c:v>1084.8749052101828</c:v>
                </c:pt>
                <c:pt idx="32">
                  <c:v>1324.9442564861847</c:v>
                </c:pt>
                <c:pt idx="33">
                  <c:v>1208.2709100745387</c:v>
                </c:pt>
                <c:pt idx="34">
                  <c:v>1151.0467184478625</c:v>
                </c:pt>
                <c:pt idx="35">
                  <c:v>1246.0124821086599</c:v>
                </c:pt>
                <c:pt idx="36">
                  <c:v>1190.5955078865736</c:v>
                </c:pt>
                <c:pt idx="37">
                  <c:v>1259.2363084333826</c:v>
                </c:pt>
                <c:pt idx="38">
                  <c:v>1233.7579113386262</c:v>
                </c:pt>
                <c:pt idx="39">
                  <c:v>1218.4912188193791</c:v>
                </c:pt>
                <c:pt idx="40">
                  <c:v>1250.7454885582711</c:v>
                </c:pt>
                <c:pt idx="41">
                  <c:v>1137.6638546079896</c:v>
                </c:pt>
                <c:pt idx="42">
                  <c:v>1064.1133418887337</c:v>
                </c:pt>
                <c:pt idx="43">
                  <c:v>1258.2267603301325</c:v>
                </c:pt>
                <c:pt idx="44">
                  <c:v>1266.4590629333318</c:v>
                </c:pt>
                <c:pt idx="45">
                  <c:v>1234.1950352896927</c:v>
                </c:pt>
                <c:pt idx="46">
                  <c:v>1083.8832185666938</c:v>
                </c:pt>
                <c:pt idx="47">
                  <c:v>1117.8896441444331</c:v>
                </c:pt>
                <c:pt idx="48">
                  <c:v>1195.6544833431874</c:v>
                </c:pt>
                <c:pt idx="49">
                  <c:v>1123.247133539086</c:v>
                </c:pt>
                <c:pt idx="50">
                  <c:v>1276.7671365780964</c:v>
                </c:pt>
                <c:pt idx="51">
                  <c:v>1216.4396313873763</c:v>
                </c:pt>
                <c:pt idx="52">
                  <c:v>1197.0706395986097</c:v>
                </c:pt>
                <c:pt idx="53">
                  <c:v>1212.9013501187569</c:v>
                </c:pt>
                <c:pt idx="54">
                  <c:v>1115.6390023040942</c:v>
                </c:pt>
                <c:pt idx="55">
                  <c:v>1099.6393585692151</c:v>
                </c:pt>
                <c:pt idx="56">
                  <c:v>1168.7286558686189</c:v>
                </c:pt>
                <c:pt idx="57">
                  <c:v>1036.7031756026831</c:v>
                </c:pt>
                <c:pt idx="58">
                  <c:v>1301.0789284932243</c:v>
                </c:pt>
                <c:pt idx="59">
                  <c:v>1158.5657213345335</c:v>
                </c:pt>
                <c:pt idx="60">
                  <c:v>1188.3910376841147</c:v>
                </c:pt>
                <c:pt idx="61">
                  <c:v>1184.5887302955825</c:v>
                </c:pt>
                <c:pt idx="62">
                  <c:v>1170.8604927394763</c:v>
                </c:pt>
                <c:pt idx="63">
                  <c:v>1231.9426253067741</c:v>
                </c:pt>
                <c:pt idx="64">
                  <c:v>1101.655607056874</c:v>
                </c:pt>
                <c:pt idx="65">
                  <c:v>1154.7025130252539</c:v>
                </c:pt>
                <c:pt idx="66">
                  <c:v>1192.3338535265723</c:v>
                </c:pt>
                <c:pt idx="67">
                  <c:v>1165.0698261519417</c:v>
                </c:pt>
                <c:pt idx="68">
                  <c:v>1220.7811854743711</c:v>
                </c:pt>
                <c:pt idx="69">
                  <c:v>1322.452827130548</c:v>
                </c:pt>
                <c:pt idx="70">
                  <c:v>1035.5066705711306</c:v>
                </c:pt>
                <c:pt idx="71">
                  <c:v>1136.710193390421</c:v>
                </c:pt>
                <c:pt idx="72">
                  <c:v>1197.4437135858095</c:v>
                </c:pt>
                <c:pt idx="73">
                  <c:v>1274.7043225767434</c:v>
                </c:pt>
                <c:pt idx="74">
                  <c:v>1242.5603734522615</c:v>
                </c:pt>
                <c:pt idx="75">
                  <c:v>1159.8122582526025</c:v>
                </c:pt>
                <c:pt idx="76">
                  <c:v>1080.3721229642067</c:v>
                </c:pt>
                <c:pt idx="77">
                  <c:v>1149.8285018999395</c:v>
                </c:pt>
                <c:pt idx="78">
                  <c:v>1169.2303870302674</c:v>
                </c:pt>
                <c:pt idx="79">
                  <c:v>1224.9424165167138</c:v>
                </c:pt>
                <c:pt idx="80">
                  <c:v>1195.2695043416738</c:v>
                </c:pt>
                <c:pt idx="81">
                  <c:v>1140.7758698707444</c:v>
                </c:pt>
                <c:pt idx="82">
                  <c:v>1101.1168154521852</c:v>
                </c:pt>
                <c:pt idx="83">
                  <c:v>1233.0227372237373</c:v>
                </c:pt>
                <c:pt idx="84">
                  <c:v>1234.7201663412145</c:v>
                </c:pt>
                <c:pt idx="85">
                  <c:v>1156.8209958125992</c:v>
                </c:pt>
                <c:pt idx="86">
                  <c:v>1202.6715964737607</c:v>
                </c:pt>
                <c:pt idx="87">
                  <c:v>1190.9306141038153</c:v>
                </c:pt>
                <c:pt idx="88">
                  <c:v>1200.3611347453532</c:v>
                </c:pt>
                <c:pt idx="89">
                  <c:v>1176.537244885141</c:v>
                </c:pt>
                <c:pt idx="90">
                  <c:v>1144.737461432416</c:v>
                </c:pt>
                <c:pt idx="91">
                  <c:v>1132.2156031428813</c:v>
                </c:pt>
                <c:pt idx="92">
                  <c:v>1155.1572251507419</c:v>
                </c:pt>
                <c:pt idx="93">
                  <c:v>1323.4885456303052</c:v>
                </c:pt>
                <c:pt idx="94">
                  <c:v>1245.3330714781182</c:v>
                </c:pt>
                <c:pt idx="95">
                  <c:v>1154.2191859166317</c:v>
                </c:pt>
                <c:pt idx="96">
                  <c:v>1215.4632348168063</c:v>
                </c:pt>
                <c:pt idx="97">
                  <c:v>1227.4341172500908</c:v>
                </c:pt>
                <c:pt idx="98">
                  <c:v>1169.9269309079455</c:v>
                </c:pt>
                <c:pt idx="99">
                  <c:v>1184.5411732832401</c:v>
                </c:pt>
                <c:pt idx="100">
                  <c:v>1269.673746791691</c:v>
                </c:pt>
                <c:pt idx="101">
                  <c:v>1231.2257727714107</c:v>
                </c:pt>
                <c:pt idx="102">
                  <c:v>1278.4755459722837</c:v>
                </c:pt>
                <c:pt idx="103">
                  <c:v>1171.9933547309738</c:v>
                </c:pt>
                <c:pt idx="104">
                  <c:v>1297.4337690124573</c:v>
                </c:pt>
                <c:pt idx="105">
                  <c:v>1214.9386722175423</c:v>
                </c:pt>
                <c:pt idx="106">
                  <c:v>1146.2742188699797</c:v>
                </c:pt>
                <c:pt idx="107">
                  <c:v>1235.9409044221406</c:v>
                </c:pt>
                <c:pt idx="108">
                  <c:v>1165.8527144726222</c:v>
                </c:pt>
                <c:pt idx="109">
                  <c:v>1296.9502206449624</c:v>
                </c:pt>
                <c:pt idx="110">
                  <c:v>1262.9540272452412</c:v>
                </c:pt>
                <c:pt idx="111">
                  <c:v>1120.0871310844655</c:v>
                </c:pt>
                <c:pt idx="112">
                  <c:v>1214.8775362917961</c:v>
                </c:pt>
                <c:pt idx="113">
                  <c:v>1179.7378980306873</c:v>
                </c:pt>
                <c:pt idx="114">
                  <c:v>1251.5877572881086</c:v>
                </c:pt>
                <c:pt idx="115">
                  <c:v>1277.0828387438858</c:v>
                </c:pt>
                <c:pt idx="116">
                  <c:v>1232.1403693705201</c:v>
                </c:pt>
                <c:pt idx="117">
                  <c:v>1210.6309725186627</c:v>
                </c:pt>
                <c:pt idx="118">
                  <c:v>1239.5901926297536</c:v>
                </c:pt>
                <c:pt idx="119">
                  <c:v>1312.5169997496903</c:v>
                </c:pt>
                <c:pt idx="120">
                  <c:v>1242.6059054172692</c:v>
                </c:pt>
                <c:pt idx="121">
                  <c:v>1244.3815836961141</c:v>
                </c:pt>
                <c:pt idx="122">
                  <c:v>1154.2944318287327</c:v>
                </c:pt>
                <c:pt idx="123">
                  <c:v>1176.7802261697552</c:v>
                </c:pt>
                <c:pt idx="124">
                  <c:v>1152.3179084586109</c:v>
                </c:pt>
                <c:pt idx="125">
                  <c:v>1194.2116618465093</c:v>
                </c:pt>
                <c:pt idx="126">
                  <c:v>1111.4533403681653</c:v>
                </c:pt>
                <c:pt idx="127">
                  <c:v>1172.6148660824028</c:v>
                </c:pt>
                <c:pt idx="128">
                  <c:v>1248.9146352682203</c:v>
                </c:pt>
                <c:pt idx="129">
                  <c:v>1222.2244390181206</c:v>
                </c:pt>
                <c:pt idx="130">
                  <c:v>1172.2018050243912</c:v>
                </c:pt>
                <c:pt idx="131">
                  <c:v>1190.4778655075386</c:v>
                </c:pt>
                <c:pt idx="132">
                  <c:v>1159.2786356055258</c:v>
                </c:pt>
                <c:pt idx="133">
                  <c:v>1180.3857005326629</c:v>
                </c:pt>
                <c:pt idx="134">
                  <c:v>1159.305355232395</c:v>
                </c:pt>
                <c:pt idx="135">
                  <c:v>1034.0159002295227</c:v>
                </c:pt>
                <c:pt idx="136">
                  <c:v>1204.2097584963917</c:v>
                </c:pt>
                <c:pt idx="137">
                  <c:v>1141.6208722777958</c:v>
                </c:pt>
                <c:pt idx="138">
                  <c:v>1102.1821199082474</c:v>
                </c:pt>
                <c:pt idx="139">
                  <c:v>1215.1848315586988</c:v>
                </c:pt>
                <c:pt idx="140">
                  <c:v>1255.2326386623249</c:v>
                </c:pt>
                <c:pt idx="141">
                  <c:v>1143.316509217075</c:v>
                </c:pt>
                <c:pt idx="142">
                  <c:v>1167.2246598377058</c:v>
                </c:pt>
                <c:pt idx="143">
                  <c:v>1275.3708356413129</c:v>
                </c:pt>
                <c:pt idx="144">
                  <c:v>1232.3757665349087</c:v>
                </c:pt>
                <c:pt idx="145">
                  <c:v>1224.4802540706339</c:v>
                </c:pt>
                <c:pt idx="146">
                  <c:v>1113.5903463466175</c:v>
                </c:pt>
                <c:pt idx="147">
                  <c:v>1255.1657633855541</c:v>
                </c:pt>
                <c:pt idx="148">
                  <c:v>1158.8844258485669</c:v>
                </c:pt>
                <c:pt idx="149">
                  <c:v>1195.998262332296</c:v>
                </c:pt>
                <c:pt idx="150">
                  <c:v>1266.7787522699662</c:v>
                </c:pt>
                <c:pt idx="151">
                  <c:v>1214.1294356525807</c:v>
                </c:pt>
                <c:pt idx="152">
                  <c:v>1148.4268053124908</c:v>
                </c:pt>
                <c:pt idx="153">
                  <c:v>1182.4802537031517</c:v>
                </c:pt>
                <c:pt idx="154">
                  <c:v>1263.9786643917569</c:v>
                </c:pt>
                <c:pt idx="155">
                  <c:v>1135.8149675708955</c:v>
                </c:pt>
                <c:pt idx="156">
                  <c:v>1215.6395048244656</c:v>
                </c:pt>
                <c:pt idx="157">
                  <c:v>1098.3767434270574</c:v>
                </c:pt>
                <c:pt idx="158">
                  <c:v>1177.7180182470349</c:v>
                </c:pt>
                <c:pt idx="159">
                  <c:v>1146.1976468259766</c:v>
                </c:pt>
                <c:pt idx="160">
                  <c:v>1168.2754611901642</c:v>
                </c:pt>
                <c:pt idx="161">
                  <c:v>1002.229821617475</c:v>
                </c:pt>
                <c:pt idx="162">
                  <c:v>1249.6551845305212</c:v>
                </c:pt>
                <c:pt idx="163">
                  <c:v>1049.653000046867</c:v>
                </c:pt>
                <c:pt idx="164">
                  <c:v>1016.969697202376</c:v>
                </c:pt>
                <c:pt idx="165">
                  <c:v>1255.4747441281797</c:v>
                </c:pt>
                <c:pt idx="166">
                  <c:v>1285.8489280498779</c:v>
                </c:pt>
                <c:pt idx="167">
                  <c:v>1174.1197191449535</c:v>
                </c:pt>
                <c:pt idx="168">
                  <c:v>1169.4859777552529</c:v>
                </c:pt>
                <c:pt idx="169">
                  <c:v>1410.4993759334095</c:v>
                </c:pt>
                <c:pt idx="170">
                  <c:v>1124.6669391210298</c:v>
                </c:pt>
                <c:pt idx="171">
                  <c:v>1299.2296211823775</c:v>
                </c:pt>
                <c:pt idx="172">
                  <c:v>1221.4118810530217</c:v>
                </c:pt>
                <c:pt idx="173">
                  <c:v>1150.6054414208195</c:v>
                </c:pt>
                <c:pt idx="174">
                  <c:v>1258.3339350408987</c:v>
                </c:pt>
                <c:pt idx="175">
                  <c:v>1247.3727390004965</c:v>
                </c:pt>
                <c:pt idx="176">
                  <c:v>1223.5165770621779</c:v>
                </c:pt>
                <c:pt idx="177">
                  <c:v>1213.6553044793677</c:v>
                </c:pt>
                <c:pt idx="178">
                  <c:v>1267.0216310935464</c:v>
                </c:pt>
                <c:pt idx="179">
                  <c:v>1175.3124911945042</c:v>
                </c:pt>
                <c:pt idx="180">
                  <c:v>1272.973020295786</c:v>
                </c:pt>
                <c:pt idx="181">
                  <c:v>1061.2179313213253</c:v>
                </c:pt>
                <c:pt idx="182">
                  <c:v>1148.9306819199687</c:v>
                </c:pt>
                <c:pt idx="183">
                  <c:v>1268.5082956968956</c:v>
                </c:pt>
                <c:pt idx="184">
                  <c:v>1153.524757317304</c:v>
                </c:pt>
                <c:pt idx="185">
                  <c:v>1141.0628355485296</c:v>
                </c:pt>
                <c:pt idx="186">
                  <c:v>1123.2564757842833</c:v>
                </c:pt>
                <c:pt idx="187">
                  <c:v>1144.1175636874507</c:v>
                </c:pt>
                <c:pt idx="188">
                  <c:v>1166.3691708947554</c:v>
                </c:pt>
                <c:pt idx="189">
                  <c:v>1202.5526384643185</c:v>
                </c:pt>
                <c:pt idx="190">
                  <c:v>1201.5126281065711</c:v>
                </c:pt>
                <c:pt idx="191">
                  <c:v>1176.2203820489722</c:v>
                </c:pt>
                <c:pt idx="192">
                  <c:v>1170.0125392693642</c:v>
                </c:pt>
                <c:pt idx="193">
                  <c:v>1174.4149933054759</c:v>
                </c:pt>
                <c:pt idx="194">
                  <c:v>1044.6470530498279</c:v>
                </c:pt>
                <c:pt idx="195">
                  <c:v>1163.3749798208826</c:v>
                </c:pt>
                <c:pt idx="196">
                  <c:v>1218.3375371818693</c:v>
                </c:pt>
                <c:pt idx="197">
                  <c:v>1139.2429734773827</c:v>
                </c:pt>
                <c:pt idx="198">
                  <c:v>1117.7515419588181</c:v>
                </c:pt>
                <c:pt idx="199">
                  <c:v>1290.5197435931243</c:v>
                </c:pt>
                <c:pt idx="200">
                  <c:v>1242.1749045145423</c:v>
                </c:pt>
                <c:pt idx="201">
                  <c:v>1241.8536593918514</c:v>
                </c:pt>
                <c:pt idx="202">
                  <c:v>1176.2850233502252</c:v>
                </c:pt>
                <c:pt idx="203">
                  <c:v>1200.2303757773382</c:v>
                </c:pt>
                <c:pt idx="204">
                  <c:v>1313.4882074360264</c:v>
                </c:pt>
                <c:pt idx="205">
                  <c:v>1222.1968401161073</c:v>
                </c:pt>
                <c:pt idx="206">
                  <c:v>1144.1666102724366</c:v>
                </c:pt>
                <c:pt idx="207">
                  <c:v>1097.4131784787041</c:v>
                </c:pt>
                <c:pt idx="208">
                  <c:v>1298.4687446237704</c:v>
                </c:pt>
                <c:pt idx="209">
                  <c:v>1244.3392737000941</c:v>
                </c:pt>
                <c:pt idx="210">
                  <c:v>1030.332922660918</c:v>
                </c:pt>
                <c:pt idx="211">
                  <c:v>1185.886713700753</c:v>
                </c:pt>
                <c:pt idx="212">
                  <c:v>1204.5486971746682</c:v>
                </c:pt>
                <c:pt idx="213">
                  <c:v>1129.0653802661475</c:v>
                </c:pt>
                <c:pt idx="214">
                  <c:v>1240.2139211906178</c:v>
                </c:pt>
                <c:pt idx="215">
                  <c:v>1212.3844865878714</c:v>
                </c:pt>
                <c:pt idx="216">
                  <c:v>1334.9691204004346</c:v>
                </c:pt>
                <c:pt idx="217">
                  <c:v>1194.1695530616107</c:v>
                </c:pt>
                <c:pt idx="218">
                  <c:v>1118.8527570158728</c:v>
                </c:pt>
                <c:pt idx="219">
                  <c:v>1155.1565880084979</c:v>
                </c:pt>
                <c:pt idx="220">
                  <c:v>1188.521356900882</c:v>
                </c:pt>
                <c:pt idx="221">
                  <c:v>1133.487788733549</c:v>
                </c:pt>
                <c:pt idx="222">
                  <c:v>1254.116461999251</c:v>
                </c:pt>
                <c:pt idx="223">
                  <c:v>1231.9505813892174</c:v>
                </c:pt>
                <c:pt idx="224">
                  <c:v>1116.5997640663195</c:v>
                </c:pt>
                <c:pt idx="225">
                  <c:v>1196.7744769511473</c:v>
                </c:pt>
                <c:pt idx="226">
                  <c:v>1117.6077997680372</c:v>
                </c:pt>
                <c:pt idx="227">
                  <c:v>1264.6200305493021</c:v>
                </c:pt>
                <c:pt idx="228">
                  <c:v>1144.8503037644123</c:v>
                </c:pt>
                <c:pt idx="229">
                  <c:v>1223.5087945544394</c:v>
                </c:pt>
                <c:pt idx="230">
                  <c:v>1131.7333078905851</c:v>
                </c:pt>
                <c:pt idx="231">
                  <c:v>1275.3226931996501</c:v>
                </c:pt>
                <c:pt idx="232">
                  <c:v>1270.8185864106763</c:v>
                </c:pt>
                <c:pt idx="233">
                  <c:v>1177.3672545985476</c:v>
                </c:pt>
                <c:pt idx="234">
                  <c:v>1187.6570623634025</c:v>
                </c:pt>
                <c:pt idx="235">
                  <c:v>1140.7090898929521</c:v>
                </c:pt>
                <c:pt idx="236">
                  <c:v>1153.0489686527262</c:v>
                </c:pt>
                <c:pt idx="237">
                  <c:v>1318.764754938612</c:v>
                </c:pt>
                <c:pt idx="238">
                  <c:v>1282.251362296591</c:v>
                </c:pt>
                <c:pt idx="239">
                  <c:v>1191.1667706244323</c:v>
                </c:pt>
                <c:pt idx="240">
                  <c:v>1156.465988035397</c:v>
                </c:pt>
                <c:pt idx="241">
                  <c:v>1235.1017088844619</c:v>
                </c:pt>
                <c:pt idx="242">
                  <c:v>1228.8329302893942</c:v>
                </c:pt>
                <c:pt idx="243">
                  <c:v>1207.8476402638303</c:v>
                </c:pt>
                <c:pt idx="244">
                  <c:v>1298.5569508191002</c:v>
                </c:pt>
                <c:pt idx="245">
                  <c:v>1270.2831626284706</c:v>
                </c:pt>
                <c:pt idx="246">
                  <c:v>1161.2944810870233</c:v>
                </c:pt>
                <c:pt idx="247">
                  <c:v>1234.1588731513293</c:v>
                </c:pt>
                <c:pt idx="248">
                  <c:v>1043.4876347969489</c:v>
                </c:pt>
                <c:pt idx="249">
                  <c:v>998.11696718374697</c:v>
                </c:pt>
                <c:pt idx="250">
                  <c:v>1190.5774005796736</c:v>
                </c:pt>
                <c:pt idx="251">
                  <c:v>1169.3087433908308</c:v>
                </c:pt>
                <c:pt idx="252">
                  <c:v>1217.2796323093376</c:v>
                </c:pt>
                <c:pt idx="253">
                  <c:v>1155.4235238064757</c:v>
                </c:pt>
                <c:pt idx="254">
                  <c:v>1112.4776498185124</c:v>
                </c:pt>
                <c:pt idx="255">
                  <c:v>1123.388387724355</c:v>
                </c:pt>
                <c:pt idx="256">
                  <c:v>1262.2497107927272</c:v>
                </c:pt>
                <c:pt idx="257">
                  <c:v>1152.1791961991148</c:v>
                </c:pt>
                <c:pt idx="258">
                  <c:v>1214.0127441051886</c:v>
                </c:pt>
                <c:pt idx="259">
                  <c:v>1320.0635208506726</c:v>
                </c:pt>
                <c:pt idx="260">
                  <c:v>1263.4114292495744</c:v>
                </c:pt>
                <c:pt idx="261">
                  <c:v>1142.6728913701008</c:v>
                </c:pt>
                <c:pt idx="262">
                  <c:v>1192.1420624623247</c:v>
                </c:pt>
                <c:pt idx="263">
                  <c:v>1190.8187513938119</c:v>
                </c:pt>
                <c:pt idx="264">
                  <c:v>1223.3467719684941</c:v>
                </c:pt>
                <c:pt idx="265">
                  <c:v>1174.5291049607681</c:v>
                </c:pt>
                <c:pt idx="266">
                  <c:v>1224.0257285312773</c:v>
                </c:pt>
                <c:pt idx="267">
                  <c:v>1218.8356718934772</c:v>
                </c:pt>
                <c:pt idx="268">
                  <c:v>1228.3929262610252</c:v>
                </c:pt>
                <c:pt idx="269">
                  <c:v>1096.0721193218433</c:v>
                </c:pt>
                <c:pt idx="270">
                  <c:v>1166.5331934763362</c:v>
                </c:pt>
                <c:pt idx="271">
                  <c:v>1210.5978519351424</c:v>
                </c:pt>
                <c:pt idx="272">
                  <c:v>1087.3826064781254</c:v>
                </c:pt>
                <c:pt idx="273">
                  <c:v>1254.1260471296937</c:v>
                </c:pt>
                <c:pt idx="274">
                  <c:v>1065.4898106285964</c:v>
                </c:pt>
                <c:pt idx="275">
                  <c:v>1290.157219758245</c:v>
                </c:pt>
                <c:pt idx="276">
                  <c:v>1339.725863816522</c:v>
                </c:pt>
                <c:pt idx="277">
                  <c:v>1122.1202413123542</c:v>
                </c:pt>
                <c:pt idx="278">
                  <c:v>1293.9032535931503</c:v>
                </c:pt>
                <c:pt idx="279">
                  <c:v>1297.6338538188677</c:v>
                </c:pt>
                <c:pt idx="280">
                  <c:v>1273.2253879957332</c:v>
                </c:pt>
                <c:pt idx="281">
                  <c:v>1189.0752983890918</c:v>
                </c:pt>
                <c:pt idx="282">
                  <c:v>1177.1568837838167</c:v>
                </c:pt>
                <c:pt idx="283">
                  <c:v>1208.0438779966987</c:v>
                </c:pt>
                <c:pt idx="284">
                  <c:v>1121.2642020020189</c:v>
                </c:pt>
                <c:pt idx="285">
                  <c:v>1178.6310134924274</c:v>
                </c:pt>
                <c:pt idx="286">
                  <c:v>1252.7098877314077</c:v>
                </c:pt>
                <c:pt idx="287">
                  <c:v>1316.7582960277798</c:v>
                </c:pt>
                <c:pt idx="288">
                  <c:v>1200.2303619195729</c:v>
                </c:pt>
                <c:pt idx="289">
                  <c:v>1010.309063893211</c:v>
                </c:pt>
                <c:pt idx="290">
                  <c:v>1147.8939614563053</c:v>
                </c:pt>
                <c:pt idx="291">
                  <c:v>1259.8942675286137</c:v>
                </c:pt>
                <c:pt idx="292">
                  <c:v>1213.6920818884323</c:v>
                </c:pt>
                <c:pt idx="293">
                  <c:v>1233.3238668090953</c:v>
                </c:pt>
                <c:pt idx="294">
                  <c:v>1196.9759374341643</c:v>
                </c:pt>
                <c:pt idx="295">
                  <c:v>1333.6372965309392</c:v>
                </c:pt>
                <c:pt idx="296">
                  <c:v>1225.7987389088339</c:v>
                </c:pt>
                <c:pt idx="297">
                  <c:v>1287.7697769613128</c:v>
                </c:pt>
                <c:pt idx="298">
                  <c:v>1223.9638877393058</c:v>
                </c:pt>
                <c:pt idx="299">
                  <c:v>1226.9578375321028</c:v>
                </c:pt>
                <c:pt idx="300">
                  <c:v>1211.8143183826492</c:v>
                </c:pt>
                <c:pt idx="301">
                  <c:v>1195.9646873528689</c:v>
                </c:pt>
                <c:pt idx="302">
                  <c:v>1220.9755551027683</c:v>
                </c:pt>
                <c:pt idx="303">
                  <c:v>1215.0848653488947</c:v>
                </c:pt>
                <c:pt idx="304">
                  <c:v>1132.9155870592899</c:v>
                </c:pt>
                <c:pt idx="305">
                  <c:v>1265.0932075813962</c:v>
                </c:pt>
                <c:pt idx="306">
                  <c:v>1140.5132484798942</c:v>
                </c:pt>
                <c:pt idx="307">
                  <c:v>1178.3031752101042</c:v>
                </c:pt>
                <c:pt idx="308">
                  <c:v>1217.5485121456038</c:v>
                </c:pt>
                <c:pt idx="309">
                  <c:v>1240.4873233105957</c:v>
                </c:pt>
                <c:pt idx="310">
                  <c:v>1298.2203045540509</c:v>
                </c:pt>
                <c:pt idx="311">
                  <c:v>1232.8938085448178</c:v>
                </c:pt>
                <c:pt idx="312">
                  <c:v>1153.7036859329851</c:v>
                </c:pt>
                <c:pt idx="313">
                  <c:v>1175.0833827094925</c:v>
                </c:pt>
                <c:pt idx="314">
                  <c:v>1269.9262368285144</c:v>
                </c:pt>
                <c:pt idx="315">
                  <c:v>1134.5777517062352</c:v>
                </c:pt>
                <c:pt idx="316">
                  <c:v>1214.6683063977234</c:v>
                </c:pt>
                <c:pt idx="317">
                  <c:v>1083.0956153273066</c:v>
                </c:pt>
                <c:pt idx="318">
                  <c:v>1187.5984700860665</c:v>
                </c:pt>
                <c:pt idx="319">
                  <c:v>1134.3361460458198</c:v>
                </c:pt>
                <c:pt idx="320">
                  <c:v>1160.6697249525228</c:v>
                </c:pt>
                <c:pt idx="321">
                  <c:v>1202.3400271651067</c:v>
                </c:pt>
                <c:pt idx="322">
                  <c:v>1211.7478162006241</c:v>
                </c:pt>
                <c:pt idx="323">
                  <c:v>1093.3056783731204</c:v>
                </c:pt>
                <c:pt idx="324">
                  <c:v>1288.8072708924356</c:v>
                </c:pt>
                <c:pt idx="325">
                  <c:v>1226.8220544628787</c:v>
                </c:pt>
                <c:pt idx="326">
                  <c:v>1207.4457267380308</c:v>
                </c:pt>
                <c:pt idx="327">
                  <c:v>1300.0384027181244</c:v>
                </c:pt>
                <c:pt idx="328">
                  <c:v>1183.9496615370508</c:v>
                </c:pt>
                <c:pt idx="329">
                  <c:v>1178.8164609237742</c:v>
                </c:pt>
                <c:pt idx="330">
                  <c:v>1192.7710721186568</c:v>
                </c:pt>
                <c:pt idx="331">
                  <c:v>1174.9697486626337</c:v>
                </c:pt>
                <c:pt idx="332">
                  <c:v>1132.3795404167258</c:v>
                </c:pt>
                <c:pt idx="333">
                  <c:v>1193.6140140312395</c:v>
                </c:pt>
                <c:pt idx="334">
                  <c:v>1115.7793314105395</c:v>
                </c:pt>
                <c:pt idx="335">
                  <c:v>1127.6746263350753</c:v>
                </c:pt>
                <c:pt idx="336">
                  <c:v>1231.3295451238728</c:v>
                </c:pt>
                <c:pt idx="337">
                  <c:v>1104.9240640033174</c:v>
                </c:pt>
                <c:pt idx="338">
                  <c:v>1099.3546231422451</c:v>
                </c:pt>
                <c:pt idx="339">
                  <c:v>1289.3096353807889</c:v>
                </c:pt>
                <c:pt idx="340">
                  <c:v>1206.5928678574014</c:v>
                </c:pt>
                <c:pt idx="341">
                  <c:v>1139.2514769123477</c:v>
                </c:pt>
                <c:pt idx="342">
                  <c:v>1047.7763134884819</c:v>
                </c:pt>
                <c:pt idx="343">
                  <c:v>1168.8672102199284</c:v>
                </c:pt>
                <c:pt idx="344">
                  <c:v>1224.7822139866157</c:v>
                </c:pt>
                <c:pt idx="345">
                  <c:v>1093.6386226553579</c:v>
                </c:pt>
                <c:pt idx="346">
                  <c:v>1331.0029741005685</c:v>
                </c:pt>
                <c:pt idx="347">
                  <c:v>1313.7958968066039</c:v>
                </c:pt>
                <c:pt idx="348">
                  <c:v>1138.1163860238514</c:v>
                </c:pt>
                <c:pt idx="349">
                  <c:v>1150.381813557761</c:v>
                </c:pt>
                <c:pt idx="350">
                  <c:v>1252.016377031289</c:v>
                </c:pt>
                <c:pt idx="351">
                  <c:v>1306.5267488436523</c:v>
                </c:pt>
                <c:pt idx="352">
                  <c:v>1185.9180665011595</c:v>
                </c:pt>
                <c:pt idx="353">
                  <c:v>1223.9368856510418</c:v>
                </c:pt>
                <c:pt idx="354">
                  <c:v>1194.6359941950586</c:v>
                </c:pt>
                <c:pt idx="355">
                  <c:v>1168.1704625706996</c:v>
                </c:pt>
                <c:pt idx="356">
                  <c:v>1118.4281307045001</c:v>
                </c:pt>
                <c:pt idx="357">
                  <c:v>1168.8733790464983</c:v>
                </c:pt>
                <c:pt idx="358">
                  <c:v>1132.3888236511416</c:v>
                </c:pt>
                <c:pt idx="359">
                  <c:v>1184.7534376949866</c:v>
                </c:pt>
                <c:pt idx="360">
                  <c:v>1187.4524104572324</c:v>
                </c:pt>
                <c:pt idx="361">
                  <c:v>1198.115766066664</c:v>
                </c:pt>
                <c:pt idx="362">
                  <c:v>1342.05117759423</c:v>
                </c:pt>
                <c:pt idx="363">
                  <c:v>1241.0672484263359</c:v>
                </c:pt>
                <c:pt idx="364">
                  <c:v>1142.2378853876321</c:v>
                </c:pt>
                <c:pt idx="365">
                  <c:v>1166.0998119894816</c:v>
                </c:pt>
                <c:pt idx="366">
                  <c:v>1280.435956342473</c:v>
                </c:pt>
                <c:pt idx="367">
                  <c:v>1119.5515722005334</c:v>
                </c:pt>
                <c:pt idx="368">
                  <c:v>1137.2479327388169</c:v>
                </c:pt>
                <c:pt idx="369">
                  <c:v>1150.4533900201932</c:v>
                </c:pt>
                <c:pt idx="370">
                  <c:v>1176.9154492798655</c:v>
                </c:pt>
                <c:pt idx="371">
                  <c:v>1263.2650535822086</c:v>
                </c:pt>
                <c:pt idx="372">
                  <c:v>1226.0023384794565</c:v>
                </c:pt>
                <c:pt idx="373">
                  <c:v>1169.6840244866892</c:v>
                </c:pt>
                <c:pt idx="374">
                  <c:v>1187.1002692837674</c:v>
                </c:pt>
                <c:pt idx="375">
                  <c:v>1179.219578532422</c:v>
                </c:pt>
                <c:pt idx="376">
                  <c:v>1235.2977477646189</c:v>
                </c:pt>
                <c:pt idx="377">
                  <c:v>1212.6753367161464</c:v>
                </c:pt>
                <c:pt idx="378">
                  <c:v>1190.3800552470234</c:v>
                </c:pt>
                <c:pt idx="379">
                  <c:v>1266.7147207973967</c:v>
                </c:pt>
                <c:pt idx="380">
                  <c:v>1207.4615182947857</c:v>
                </c:pt>
                <c:pt idx="381">
                  <c:v>1222.5705969974276</c:v>
                </c:pt>
                <c:pt idx="382">
                  <c:v>1145.2800199431772</c:v>
                </c:pt>
                <c:pt idx="383">
                  <c:v>1219.4422384803124</c:v>
                </c:pt>
                <c:pt idx="384">
                  <c:v>1282.1575803715357</c:v>
                </c:pt>
                <c:pt idx="385">
                  <c:v>1121.0124750693437</c:v>
                </c:pt>
                <c:pt idx="386">
                  <c:v>1189.1926844925099</c:v>
                </c:pt>
                <c:pt idx="387">
                  <c:v>1169.0748048718096</c:v>
                </c:pt>
                <c:pt idx="388">
                  <c:v>1111.9347891309694</c:v>
                </c:pt>
                <c:pt idx="389">
                  <c:v>1270.7460923671651</c:v>
                </c:pt>
                <c:pt idx="390">
                  <c:v>1157.4259797433663</c:v>
                </c:pt>
                <c:pt idx="391">
                  <c:v>1110.6356857554833</c:v>
                </c:pt>
                <c:pt idx="392">
                  <c:v>1204.4033962727285</c:v>
                </c:pt>
                <c:pt idx="393">
                  <c:v>1111.5940416860976</c:v>
                </c:pt>
                <c:pt idx="394">
                  <c:v>1241.0589236494809</c:v>
                </c:pt>
                <c:pt idx="395">
                  <c:v>1108.3191804425446</c:v>
                </c:pt>
                <c:pt idx="396">
                  <c:v>1160.9183032268413</c:v>
                </c:pt>
                <c:pt idx="397">
                  <c:v>1115.3123946456601</c:v>
                </c:pt>
                <c:pt idx="398">
                  <c:v>1185.467262011329</c:v>
                </c:pt>
                <c:pt idx="399">
                  <c:v>1193.3652776088436</c:v>
                </c:pt>
                <c:pt idx="400">
                  <c:v>1167.132544730566</c:v>
                </c:pt>
                <c:pt idx="401">
                  <c:v>1200.5050082667003</c:v>
                </c:pt>
                <c:pt idx="402">
                  <c:v>1135.4076951372319</c:v>
                </c:pt>
                <c:pt idx="403">
                  <c:v>1159.9479563846091</c:v>
                </c:pt>
                <c:pt idx="404">
                  <c:v>1224.7092534881488</c:v>
                </c:pt>
                <c:pt idx="405">
                  <c:v>1058.1829988479101</c:v>
                </c:pt>
                <c:pt idx="406">
                  <c:v>1152.4007961630973</c:v>
                </c:pt>
                <c:pt idx="407">
                  <c:v>1162.7738848058341</c:v>
                </c:pt>
                <c:pt idx="408">
                  <c:v>1299.0774316050151</c:v>
                </c:pt>
                <c:pt idx="409">
                  <c:v>1138.5069614017216</c:v>
                </c:pt>
                <c:pt idx="410">
                  <c:v>1089.5365821094003</c:v>
                </c:pt>
                <c:pt idx="411">
                  <c:v>1208.3007735794697</c:v>
                </c:pt>
                <c:pt idx="412">
                  <c:v>1249.9197023438981</c:v>
                </c:pt>
                <c:pt idx="413">
                  <c:v>1226.5223669620418</c:v>
                </c:pt>
                <c:pt idx="414">
                  <c:v>1220.773442539713</c:v>
                </c:pt>
                <c:pt idx="415">
                  <c:v>1171.2040212815018</c:v>
                </c:pt>
                <c:pt idx="416">
                  <c:v>1162.7978099886241</c:v>
                </c:pt>
                <c:pt idx="417">
                  <c:v>1282.5071967211795</c:v>
                </c:pt>
                <c:pt idx="418">
                  <c:v>1134.9127100096607</c:v>
                </c:pt>
                <c:pt idx="419">
                  <c:v>1169.1794543050912</c:v>
                </c:pt>
                <c:pt idx="420">
                  <c:v>1202.9181084907748</c:v>
                </c:pt>
                <c:pt idx="421">
                  <c:v>1226.9304730317781</c:v>
                </c:pt>
                <c:pt idx="422">
                  <c:v>1228.1578342746989</c:v>
                </c:pt>
                <c:pt idx="423">
                  <c:v>1215.9878019390931</c:v>
                </c:pt>
                <c:pt idx="424">
                  <c:v>1213.4412420736699</c:v>
                </c:pt>
                <c:pt idx="425">
                  <c:v>1145.611709198854</c:v>
                </c:pt>
                <c:pt idx="426">
                  <c:v>1113.8213772767901</c:v>
                </c:pt>
                <c:pt idx="427">
                  <c:v>1305.5158976125208</c:v>
                </c:pt>
                <c:pt idx="428">
                  <c:v>1276.4830432047572</c:v>
                </c:pt>
                <c:pt idx="429">
                  <c:v>1144.0224316805916</c:v>
                </c:pt>
                <c:pt idx="430">
                  <c:v>1281.0688582135003</c:v>
                </c:pt>
                <c:pt idx="431">
                  <c:v>1170.265185415725</c:v>
                </c:pt>
                <c:pt idx="432">
                  <c:v>1175.9895447811648</c:v>
                </c:pt>
                <c:pt idx="433">
                  <c:v>1157.534500643703</c:v>
                </c:pt>
                <c:pt idx="434">
                  <c:v>1155.1858320287638</c:v>
                </c:pt>
                <c:pt idx="435">
                  <c:v>1112.2044707158516</c:v>
                </c:pt>
                <c:pt idx="436">
                  <c:v>1185.1593646649928</c:v>
                </c:pt>
                <c:pt idx="437">
                  <c:v>1221.8479200365739</c:v>
                </c:pt>
                <c:pt idx="438">
                  <c:v>1059.7280489994737</c:v>
                </c:pt>
                <c:pt idx="439">
                  <c:v>1117.4034572391743</c:v>
                </c:pt>
                <c:pt idx="440">
                  <c:v>1294.5239143464621</c:v>
                </c:pt>
                <c:pt idx="441">
                  <c:v>1335.1211010680654</c:v>
                </c:pt>
                <c:pt idx="442">
                  <c:v>1074.8554905316012</c:v>
                </c:pt>
                <c:pt idx="443">
                  <c:v>1223.6349914551067</c:v>
                </c:pt>
                <c:pt idx="444">
                  <c:v>1223.3117400753003</c:v>
                </c:pt>
                <c:pt idx="445">
                  <c:v>1237.6406727288554</c:v>
                </c:pt>
                <c:pt idx="446">
                  <c:v>1181.7301871741813</c:v>
                </c:pt>
                <c:pt idx="447">
                  <c:v>1137.7872608752298</c:v>
                </c:pt>
                <c:pt idx="448">
                  <c:v>1111.3948658843638</c:v>
                </c:pt>
                <c:pt idx="449">
                  <c:v>1158.5064462216887</c:v>
                </c:pt>
                <c:pt idx="450">
                  <c:v>1136.219748459328</c:v>
                </c:pt>
                <c:pt idx="451">
                  <c:v>1237.1830315487623</c:v>
                </c:pt>
                <c:pt idx="452">
                  <c:v>1196.0911182255372</c:v>
                </c:pt>
                <c:pt idx="453">
                  <c:v>1129.8860094252191</c:v>
                </c:pt>
                <c:pt idx="454">
                  <c:v>1224.3488351350447</c:v>
                </c:pt>
                <c:pt idx="455">
                  <c:v>969.94190316652453</c:v>
                </c:pt>
                <c:pt idx="456">
                  <c:v>1174.2830962653647</c:v>
                </c:pt>
                <c:pt idx="457">
                  <c:v>1247.4069403721082</c:v>
                </c:pt>
                <c:pt idx="458">
                  <c:v>1180.0307128067664</c:v>
                </c:pt>
                <c:pt idx="459">
                  <c:v>1144.0512164117945</c:v>
                </c:pt>
                <c:pt idx="460">
                  <c:v>1227.447963210461</c:v>
                </c:pt>
                <c:pt idx="461">
                  <c:v>1188.3536743730024</c:v>
                </c:pt>
                <c:pt idx="462">
                  <c:v>1165.6476368649489</c:v>
                </c:pt>
                <c:pt idx="463">
                  <c:v>1148.5224940142468</c:v>
                </c:pt>
                <c:pt idx="464">
                  <c:v>1214.0159118615704</c:v>
                </c:pt>
                <c:pt idx="465">
                  <c:v>1225.9464245915251</c:v>
                </c:pt>
                <c:pt idx="466">
                  <c:v>1220.6588029490013</c:v>
                </c:pt>
                <c:pt idx="467">
                  <c:v>1092.6872937589094</c:v>
                </c:pt>
                <c:pt idx="468">
                  <c:v>1203.100619833479</c:v>
                </c:pt>
                <c:pt idx="469">
                  <c:v>1309.8704232180196</c:v>
                </c:pt>
                <c:pt idx="470">
                  <c:v>1230.8258605253773</c:v>
                </c:pt>
                <c:pt idx="471">
                  <c:v>1147.0820762524654</c:v>
                </c:pt>
                <c:pt idx="472">
                  <c:v>1253.0346327659117</c:v>
                </c:pt>
                <c:pt idx="473">
                  <c:v>1247.4735305470986</c:v>
                </c:pt>
                <c:pt idx="474">
                  <c:v>1288.8800702347271</c:v>
                </c:pt>
                <c:pt idx="475">
                  <c:v>1161.5050826717652</c:v>
                </c:pt>
                <c:pt idx="476">
                  <c:v>1145.9283012648687</c:v>
                </c:pt>
                <c:pt idx="477">
                  <c:v>1125.1568551249486</c:v>
                </c:pt>
                <c:pt idx="478">
                  <c:v>1241.9314687815843</c:v>
                </c:pt>
                <c:pt idx="479">
                  <c:v>1279.8689671038364</c:v>
                </c:pt>
                <c:pt idx="480">
                  <c:v>1228.8546909220504</c:v>
                </c:pt>
                <c:pt idx="481">
                  <c:v>1049.3676355447028</c:v>
                </c:pt>
                <c:pt idx="482">
                  <c:v>1257.2248048163578</c:v>
                </c:pt>
                <c:pt idx="483">
                  <c:v>1291.5319368000696</c:v>
                </c:pt>
                <c:pt idx="484">
                  <c:v>1183.1696763700309</c:v>
                </c:pt>
                <c:pt idx="485">
                  <c:v>1174.5985213808133</c:v>
                </c:pt>
                <c:pt idx="486">
                  <c:v>1172.7221303596336</c:v>
                </c:pt>
                <c:pt idx="487">
                  <c:v>1227.5188708255494</c:v>
                </c:pt>
                <c:pt idx="488">
                  <c:v>1252.7458496151926</c:v>
                </c:pt>
                <c:pt idx="489">
                  <c:v>1216.600762202296</c:v>
                </c:pt>
                <c:pt idx="490">
                  <c:v>1056.632835734159</c:v>
                </c:pt>
                <c:pt idx="491">
                  <c:v>1196.7505162784557</c:v>
                </c:pt>
                <c:pt idx="492">
                  <c:v>1256.7313489184774</c:v>
                </c:pt>
                <c:pt idx="493">
                  <c:v>1307.5513746648653</c:v>
                </c:pt>
                <c:pt idx="494">
                  <c:v>1147.5979311022131</c:v>
                </c:pt>
                <c:pt idx="495">
                  <c:v>1224.9925025619746</c:v>
                </c:pt>
                <c:pt idx="496">
                  <c:v>1271.4174582804844</c:v>
                </c:pt>
                <c:pt idx="497">
                  <c:v>1280.8120604897142</c:v>
                </c:pt>
                <c:pt idx="498">
                  <c:v>1304.3282418675126</c:v>
                </c:pt>
                <c:pt idx="499">
                  <c:v>1223.5601552600262</c:v>
                </c:pt>
                <c:pt idx="500">
                  <c:v>1144.3147013522209</c:v>
                </c:pt>
                <c:pt idx="501">
                  <c:v>1246.8038690443648</c:v>
                </c:pt>
                <c:pt idx="502">
                  <c:v>1198.9048449769987</c:v>
                </c:pt>
                <c:pt idx="503">
                  <c:v>1175.3531048041923</c:v>
                </c:pt>
                <c:pt idx="504">
                  <c:v>1296.0655763754066</c:v>
                </c:pt>
                <c:pt idx="505">
                  <c:v>1153.088090402757</c:v>
                </c:pt>
                <c:pt idx="506">
                  <c:v>1109.5555266193473</c:v>
                </c:pt>
                <c:pt idx="507">
                  <c:v>1144.8776660260423</c:v>
                </c:pt>
                <c:pt idx="508">
                  <c:v>1235.1578416081868</c:v>
                </c:pt>
                <c:pt idx="509">
                  <c:v>1077.9670398152105</c:v>
                </c:pt>
                <c:pt idx="510">
                  <c:v>1171.8472416606683</c:v>
                </c:pt>
                <c:pt idx="511">
                  <c:v>1194.0627188232486</c:v>
                </c:pt>
                <c:pt idx="512">
                  <c:v>1206.374565595899</c:v>
                </c:pt>
                <c:pt idx="513">
                  <c:v>1086.7259820430561</c:v>
                </c:pt>
                <c:pt idx="514">
                  <c:v>1219.8526047756859</c:v>
                </c:pt>
                <c:pt idx="515">
                  <c:v>1268.9792940022751</c:v>
                </c:pt>
                <c:pt idx="516">
                  <c:v>1268.077221494814</c:v>
                </c:pt>
                <c:pt idx="517">
                  <c:v>1159.3825342090418</c:v>
                </c:pt>
                <c:pt idx="518">
                  <c:v>1241.9537572979261</c:v>
                </c:pt>
                <c:pt idx="519">
                  <c:v>1217.6031989567825</c:v>
                </c:pt>
                <c:pt idx="520">
                  <c:v>1224.3209908556994</c:v>
                </c:pt>
                <c:pt idx="521">
                  <c:v>1160.0557496172592</c:v>
                </c:pt>
                <c:pt idx="522">
                  <c:v>1159.6160479767334</c:v>
                </c:pt>
                <c:pt idx="523">
                  <c:v>1225.8914832338016</c:v>
                </c:pt>
                <c:pt idx="524">
                  <c:v>1154.9108739778744</c:v>
                </c:pt>
                <c:pt idx="525">
                  <c:v>1117.8076212941612</c:v>
                </c:pt>
                <c:pt idx="526">
                  <c:v>1187.4729193520104</c:v>
                </c:pt>
                <c:pt idx="527">
                  <c:v>1181.769293892437</c:v>
                </c:pt>
                <c:pt idx="528">
                  <c:v>1202.9317140874728</c:v>
                </c:pt>
                <c:pt idx="529">
                  <c:v>1253.2456319564974</c:v>
                </c:pt>
                <c:pt idx="530">
                  <c:v>1180.670533767842</c:v>
                </c:pt>
                <c:pt idx="531">
                  <c:v>1203.3934740558079</c:v>
                </c:pt>
                <c:pt idx="532">
                  <c:v>1186.7898548396774</c:v>
                </c:pt>
                <c:pt idx="533">
                  <c:v>1213.6083797043907</c:v>
                </c:pt>
                <c:pt idx="534">
                  <c:v>1162.2999340775636</c:v>
                </c:pt>
                <c:pt idx="535">
                  <c:v>1190.0847165236526</c:v>
                </c:pt>
                <c:pt idx="536">
                  <c:v>1225.6635060199112</c:v>
                </c:pt>
                <c:pt idx="537">
                  <c:v>1299.8629493054193</c:v>
                </c:pt>
                <c:pt idx="538">
                  <c:v>1187.3688248601702</c:v>
                </c:pt>
                <c:pt idx="539">
                  <c:v>1131.8408360701496</c:v>
                </c:pt>
                <c:pt idx="540">
                  <c:v>1166.115679819078</c:v>
                </c:pt>
                <c:pt idx="541">
                  <c:v>1144.8018336777805</c:v>
                </c:pt>
                <c:pt idx="542">
                  <c:v>1237.9499947858233</c:v>
                </c:pt>
                <c:pt idx="543">
                  <c:v>1387.5281214266906</c:v>
                </c:pt>
                <c:pt idx="544">
                  <c:v>1263.1092843876334</c:v>
                </c:pt>
                <c:pt idx="545">
                  <c:v>1178.8666766021865</c:v>
                </c:pt>
                <c:pt idx="546">
                  <c:v>1184.9737757510559</c:v>
                </c:pt>
                <c:pt idx="547">
                  <c:v>1115.1925093417822</c:v>
                </c:pt>
                <c:pt idx="548">
                  <c:v>1355.3354893776925</c:v>
                </c:pt>
                <c:pt idx="549">
                  <c:v>1241.175935135281</c:v>
                </c:pt>
                <c:pt idx="550">
                  <c:v>1145.5888716416448</c:v>
                </c:pt>
                <c:pt idx="551">
                  <c:v>1130.5969487968373</c:v>
                </c:pt>
                <c:pt idx="552">
                  <c:v>1117.6609710570765</c:v>
                </c:pt>
                <c:pt idx="553">
                  <c:v>1159.0479130460903</c:v>
                </c:pt>
                <c:pt idx="554">
                  <c:v>1111.4399623057579</c:v>
                </c:pt>
                <c:pt idx="555">
                  <c:v>1280.7222239757689</c:v>
                </c:pt>
                <c:pt idx="556">
                  <c:v>1170.0623196808142</c:v>
                </c:pt>
                <c:pt idx="557">
                  <c:v>1101.4507891973192</c:v>
                </c:pt>
                <c:pt idx="558">
                  <c:v>1199.6246453802162</c:v>
                </c:pt>
                <c:pt idx="559">
                  <c:v>1280.8360857251116</c:v>
                </c:pt>
                <c:pt idx="560">
                  <c:v>1206.1112596217195</c:v>
                </c:pt>
                <c:pt idx="561">
                  <c:v>1110.1914297211019</c:v>
                </c:pt>
                <c:pt idx="562">
                  <c:v>1221.3260168808088</c:v>
                </c:pt>
                <c:pt idx="563">
                  <c:v>1201.4855874911611</c:v>
                </c:pt>
                <c:pt idx="564">
                  <c:v>1175.9106373497452</c:v>
                </c:pt>
                <c:pt idx="565">
                  <c:v>1165.9366062577781</c:v>
                </c:pt>
                <c:pt idx="566">
                  <c:v>1197.8560059622905</c:v>
                </c:pt>
                <c:pt idx="567">
                  <c:v>1274.5793174008127</c:v>
                </c:pt>
                <c:pt idx="568">
                  <c:v>1217.8057216971063</c:v>
                </c:pt>
                <c:pt idx="569">
                  <c:v>1129.4585173255009</c:v>
                </c:pt>
                <c:pt idx="570">
                  <c:v>1401.1623342001951</c:v>
                </c:pt>
                <c:pt idx="571">
                  <c:v>1203.1746235677431</c:v>
                </c:pt>
                <c:pt idx="572">
                  <c:v>1101.1085566179081</c:v>
                </c:pt>
                <c:pt idx="573">
                  <c:v>1264.7743797128949</c:v>
                </c:pt>
                <c:pt idx="574">
                  <c:v>1090.2485610447538</c:v>
                </c:pt>
                <c:pt idx="575">
                  <c:v>1290.9759199393468</c:v>
                </c:pt>
                <c:pt idx="576">
                  <c:v>1205.7242530281931</c:v>
                </c:pt>
                <c:pt idx="577">
                  <c:v>1165.4111631131041</c:v>
                </c:pt>
                <c:pt idx="578">
                  <c:v>1098.4741263143492</c:v>
                </c:pt>
                <c:pt idx="579">
                  <c:v>1258.2977402945344</c:v>
                </c:pt>
                <c:pt idx="580">
                  <c:v>1207.5842902150648</c:v>
                </c:pt>
                <c:pt idx="581">
                  <c:v>1120.7269649289758</c:v>
                </c:pt>
                <c:pt idx="582">
                  <c:v>1250.4493240704749</c:v>
                </c:pt>
                <c:pt idx="583">
                  <c:v>1163.5939217300006</c:v>
                </c:pt>
                <c:pt idx="584">
                  <c:v>1196.8497032411992</c:v>
                </c:pt>
                <c:pt idx="585">
                  <c:v>1187.2194317119797</c:v>
                </c:pt>
                <c:pt idx="586">
                  <c:v>1106.197950083769</c:v>
                </c:pt>
                <c:pt idx="587">
                  <c:v>1123.3064525835141</c:v>
                </c:pt>
                <c:pt idx="588">
                  <c:v>1194.2055573040686</c:v>
                </c:pt>
                <c:pt idx="589">
                  <c:v>1233.5513787581813</c:v>
                </c:pt>
                <c:pt idx="590">
                  <c:v>1130.8173659736387</c:v>
                </c:pt>
                <c:pt idx="591">
                  <c:v>1236.7906067372189</c:v>
                </c:pt>
                <c:pt idx="592">
                  <c:v>1192.7894833610474</c:v>
                </c:pt>
                <c:pt idx="593">
                  <c:v>1184.2051483050079</c:v>
                </c:pt>
                <c:pt idx="594">
                  <c:v>1151.922956600974</c:v>
                </c:pt>
                <c:pt idx="595">
                  <c:v>1241.1023466649356</c:v>
                </c:pt>
                <c:pt idx="596">
                  <c:v>1177.0968164934188</c:v>
                </c:pt>
                <c:pt idx="597">
                  <c:v>1266.4951725454428</c:v>
                </c:pt>
                <c:pt idx="598">
                  <c:v>1246.6515476926129</c:v>
                </c:pt>
                <c:pt idx="599">
                  <c:v>1231.1430545273802</c:v>
                </c:pt>
                <c:pt idx="600">
                  <c:v>1091.9937479479429</c:v>
                </c:pt>
                <c:pt idx="601">
                  <c:v>1110.998064186311</c:v>
                </c:pt>
                <c:pt idx="602">
                  <c:v>1224.1530503044639</c:v>
                </c:pt>
                <c:pt idx="603">
                  <c:v>1186.8205221750841</c:v>
                </c:pt>
                <c:pt idx="604">
                  <c:v>1180.9253228559446</c:v>
                </c:pt>
                <c:pt idx="605">
                  <c:v>1205.4578200144556</c:v>
                </c:pt>
                <c:pt idx="606">
                  <c:v>1306.0304848158669</c:v>
                </c:pt>
                <c:pt idx="607">
                  <c:v>1157.7839049091463</c:v>
                </c:pt>
                <c:pt idx="608">
                  <c:v>1175.1950657639925</c:v>
                </c:pt>
                <c:pt idx="609">
                  <c:v>1144.4010333483941</c:v>
                </c:pt>
                <c:pt idx="610">
                  <c:v>1089.0217601010697</c:v>
                </c:pt>
                <c:pt idx="611">
                  <c:v>1075.9635503851318</c:v>
                </c:pt>
                <c:pt idx="612">
                  <c:v>1161.0992006490023</c:v>
                </c:pt>
                <c:pt idx="613">
                  <c:v>1328.2836905270178</c:v>
                </c:pt>
                <c:pt idx="614">
                  <c:v>1131.6346581035132</c:v>
                </c:pt>
                <c:pt idx="615">
                  <c:v>1245.7047713611501</c:v>
                </c:pt>
                <c:pt idx="616">
                  <c:v>1196.1469290175655</c:v>
                </c:pt>
                <c:pt idx="617">
                  <c:v>1173.1920829584492</c:v>
                </c:pt>
                <c:pt idx="618">
                  <c:v>1236.5667569187781</c:v>
                </c:pt>
                <c:pt idx="619">
                  <c:v>1211.8445317846945</c:v>
                </c:pt>
                <c:pt idx="620">
                  <c:v>1242.6679378370345</c:v>
                </c:pt>
                <c:pt idx="621">
                  <c:v>1144.0026217110124</c:v>
                </c:pt>
                <c:pt idx="622">
                  <c:v>1032.6828166246719</c:v>
                </c:pt>
                <c:pt idx="623">
                  <c:v>1226.0702496454082</c:v>
                </c:pt>
                <c:pt idx="624">
                  <c:v>1226.0713682934206</c:v>
                </c:pt>
                <c:pt idx="625">
                  <c:v>1070.402788310317</c:v>
                </c:pt>
                <c:pt idx="626">
                  <c:v>1175.803926988644</c:v>
                </c:pt>
                <c:pt idx="627">
                  <c:v>1244.160140578882</c:v>
                </c:pt>
                <c:pt idx="628">
                  <c:v>1214.512148980255</c:v>
                </c:pt>
                <c:pt idx="629">
                  <c:v>1164.7838646209957</c:v>
                </c:pt>
                <c:pt idx="630">
                  <c:v>1149.962575221394</c:v>
                </c:pt>
                <c:pt idx="631">
                  <c:v>1227.4917790715533</c:v>
                </c:pt>
                <c:pt idx="632">
                  <c:v>1254.9140636056604</c:v>
                </c:pt>
                <c:pt idx="633">
                  <c:v>1201.995124930836</c:v>
                </c:pt>
                <c:pt idx="634">
                  <c:v>1177.1523155633167</c:v>
                </c:pt>
                <c:pt idx="635">
                  <c:v>1238.6932340947326</c:v>
                </c:pt>
                <c:pt idx="636">
                  <c:v>1101.0160355599496</c:v>
                </c:pt>
                <c:pt idx="637">
                  <c:v>1120.6460114526265</c:v>
                </c:pt>
                <c:pt idx="638">
                  <c:v>1242.9220970729116</c:v>
                </c:pt>
                <c:pt idx="639">
                  <c:v>1232.1799774795577</c:v>
                </c:pt>
                <c:pt idx="640">
                  <c:v>1113.4459384807863</c:v>
                </c:pt>
                <c:pt idx="641">
                  <c:v>1169.5815793517611</c:v>
                </c:pt>
                <c:pt idx="642">
                  <c:v>993.29092172537821</c:v>
                </c:pt>
                <c:pt idx="643">
                  <c:v>1181.1549654936621</c:v>
                </c:pt>
                <c:pt idx="644">
                  <c:v>1119.3994470502892</c:v>
                </c:pt>
                <c:pt idx="645">
                  <c:v>1186.8831757262553</c:v>
                </c:pt>
                <c:pt idx="646">
                  <c:v>1153.4530220319809</c:v>
                </c:pt>
                <c:pt idx="647">
                  <c:v>1087.6279351818264</c:v>
                </c:pt>
                <c:pt idx="648">
                  <c:v>1046.6694509548863</c:v>
                </c:pt>
                <c:pt idx="649">
                  <c:v>1180.1119147053128</c:v>
                </c:pt>
                <c:pt idx="650">
                  <c:v>1210.435332888429</c:v>
                </c:pt>
                <c:pt idx="651">
                  <c:v>1137.7937210939795</c:v>
                </c:pt>
                <c:pt idx="652">
                  <c:v>1293.573110697623</c:v>
                </c:pt>
                <c:pt idx="653">
                  <c:v>1182.2207172459391</c:v>
                </c:pt>
                <c:pt idx="654">
                  <c:v>1157.8314235870607</c:v>
                </c:pt>
                <c:pt idx="655">
                  <c:v>1229.522008316573</c:v>
                </c:pt>
                <c:pt idx="656">
                  <c:v>1290.9246491684057</c:v>
                </c:pt>
                <c:pt idx="657">
                  <c:v>1135.8277017068267</c:v>
                </c:pt>
                <c:pt idx="658">
                  <c:v>1175.6966391211831</c:v>
                </c:pt>
                <c:pt idx="659">
                  <c:v>1296.6673616163839</c:v>
                </c:pt>
                <c:pt idx="660">
                  <c:v>1126.5601945318481</c:v>
                </c:pt>
                <c:pt idx="661">
                  <c:v>1163.7212511011166</c:v>
                </c:pt>
                <c:pt idx="662">
                  <c:v>1238.5247620858718</c:v>
                </c:pt>
                <c:pt idx="663">
                  <c:v>1139.1622367638511</c:v>
                </c:pt>
                <c:pt idx="664">
                  <c:v>1107.4110158061831</c:v>
                </c:pt>
                <c:pt idx="665">
                  <c:v>1227.060790857447</c:v>
                </c:pt>
                <c:pt idx="666">
                  <c:v>1148.5794798226591</c:v>
                </c:pt>
                <c:pt idx="667">
                  <c:v>1190.4242077025378</c:v>
                </c:pt>
                <c:pt idx="668">
                  <c:v>1026.0613074313685</c:v>
                </c:pt>
                <c:pt idx="669">
                  <c:v>1300.6177173844203</c:v>
                </c:pt>
                <c:pt idx="670">
                  <c:v>1226.7692703604109</c:v>
                </c:pt>
                <c:pt idx="671">
                  <c:v>1101.7982744635412</c:v>
                </c:pt>
                <c:pt idx="672">
                  <c:v>1068.117060756666</c:v>
                </c:pt>
                <c:pt idx="673">
                  <c:v>1264.8122593513101</c:v>
                </c:pt>
                <c:pt idx="674">
                  <c:v>1162.1796727996054</c:v>
                </c:pt>
                <c:pt idx="675">
                  <c:v>1271.1422123045652</c:v>
                </c:pt>
                <c:pt idx="676">
                  <c:v>1326.4604064266182</c:v>
                </c:pt>
                <c:pt idx="677">
                  <c:v>1135.1440405049909</c:v>
                </c:pt>
                <c:pt idx="678">
                  <c:v>1253.5575574781865</c:v>
                </c:pt>
                <c:pt idx="679">
                  <c:v>1109.4728970698716</c:v>
                </c:pt>
                <c:pt idx="680">
                  <c:v>1172.9897271532209</c:v>
                </c:pt>
                <c:pt idx="681">
                  <c:v>1160.01305930939</c:v>
                </c:pt>
                <c:pt idx="682">
                  <c:v>1169.0991721144285</c:v>
                </c:pt>
                <c:pt idx="683">
                  <c:v>1142.866686158419</c:v>
                </c:pt>
                <c:pt idx="684">
                  <c:v>1209.5389717892999</c:v>
                </c:pt>
                <c:pt idx="685">
                  <c:v>1199.0152715434283</c:v>
                </c:pt>
                <c:pt idx="686">
                  <c:v>1269.9602893486069</c:v>
                </c:pt>
                <c:pt idx="687">
                  <c:v>1260.761620685045</c:v>
                </c:pt>
                <c:pt idx="688">
                  <c:v>1197.3808533724073</c:v>
                </c:pt>
                <c:pt idx="689">
                  <c:v>1298.2635757340761</c:v>
                </c:pt>
                <c:pt idx="690">
                  <c:v>1200.729333178032</c:v>
                </c:pt>
                <c:pt idx="691">
                  <c:v>1119.3398795059695</c:v>
                </c:pt>
                <c:pt idx="692">
                  <c:v>1191.631666285055</c:v>
                </c:pt>
                <c:pt idx="693">
                  <c:v>1163.3399675536652</c:v>
                </c:pt>
                <c:pt idx="694">
                  <c:v>1284.9328686058132</c:v>
                </c:pt>
                <c:pt idx="695">
                  <c:v>1263.1896749102984</c:v>
                </c:pt>
                <c:pt idx="696">
                  <c:v>1172.693352779859</c:v>
                </c:pt>
                <c:pt idx="697">
                  <c:v>1143.4220542344503</c:v>
                </c:pt>
                <c:pt idx="698">
                  <c:v>1224.2579041344873</c:v>
                </c:pt>
                <c:pt idx="699">
                  <c:v>1186.9854677940448</c:v>
                </c:pt>
                <c:pt idx="700">
                  <c:v>1205.8052465256389</c:v>
                </c:pt>
                <c:pt idx="701">
                  <c:v>1240.4845098409944</c:v>
                </c:pt>
                <c:pt idx="702">
                  <c:v>1156.5044077944965</c:v>
                </c:pt>
                <c:pt idx="703">
                  <c:v>1113.5577680231227</c:v>
                </c:pt>
                <c:pt idx="704">
                  <c:v>1218.4064573409614</c:v>
                </c:pt>
                <c:pt idx="705">
                  <c:v>1205.9492254290474</c:v>
                </c:pt>
                <c:pt idx="706">
                  <c:v>1191.8538887569982</c:v>
                </c:pt>
                <c:pt idx="707">
                  <c:v>1179.4895956003436</c:v>
                </c:pt>
                <c:pt idx="708">
                  <c:v>1249.5786776753928</c:v>
                </c:pt>
                <c:pt idx="709">
                  <c:v>1150.2456023439681</c:v>
                </c:pt>
                <c:pt idx="710">
                  <c:v>1098.3925460983899</c:v>
                </c:pt>
                <c:pt idx="711">
                  <c:v>1160.8060373680953</c:v>
                </c:pt>
                <c:pt idx="712">
                  <c:v>1185.9440563938285</c:v>
                </c:pt>
                <c:pt idx="713">
                  <c:v>1169.1696854352408</c:v>
                </c:pt>
                <c:pt idx="714">
                  <c:v>1086.8194727512182</c:v>
                </c:pt>
                <c:pt idx="715">
                  <c:v>1217.1095886592279</c:v>
                </c:pt>
                <c:pt idx="716">
                  <c:v>1207.8452925116619</c:v>
                </c:pt>
                <c:pt idx="717">
                  <c:v>1000.857089136071</c:v>
                </c:pt>
                <c:pt idx="718">
                  <c:v>1246.1544519351344</c:v>
                </c:pt>
                <c:pt idx="719">
                  <c:v>1145.6786130201856</c:v>
                </c:pt>
                <c:pt idx="720">
                  <c:v>1277.5937441974042</c:v>
                </c:pt>
                <c:pt idx="721">
                  <c:v>1265.8560633705495</c:v>
                </c:pt>
                <c:pt idx="722">
                  <c:v>1178.3200049808863</c:v>
                </c:pt>
                <c:pt idx="723">
                  <c:v>1292.4110943100591</c:v>
                </c:pt>
                <c:pt idx="724">
                  <c:v>1197.2044013407674</c:v>
                </c:pt>
                <c:pt idx="725">
                  <c:v>1161.8840943005168</c:v>
                </c:pt>
                <c:pt idx="726">
                  <c:v>1183.6421884600384</c:v>
                </c:pt>
                <c:pt idx="727">
                  <c:v>1184.2249404648683</c:v>
                </c:pt>
                <c:pt idx="728">
                  <c:v>1261.0596283180041</c:v>
                </c:pt>
                <c:pt idx="729">
                  <c:v>1243.0163516435923</c:v>
                </c:pt>
                <c:pt idx="730">
                  <c:v>1068.7965414601772</c:v>
                </c:pt>
                <c:pt idx="731">
                  <c:v>1053.5580404393065</c:v>
                </c:pt>
                <c:pt idx="732">
                  <c:v>1178.9470753254336</c:v>
                </c:pt>
                <c:pt idx="733">
                  <c:v>1229.2545099397462</c:v>
                </c:pt>
                <c:pt idx="734">
                  <c:v>1164.9857711394195</c:v>
                </c:pt>
                <c:pt idx="735">
                  <c:v>1245.5452984523045</c:v>
                </c:pt>
                <c:pt idx="736">
                  <c:v>1154.7231342620612</c:v>
                </c:pt>
                <c:pt idx="737">
                  <c:v>1240.8853034861506</c:v>
                </c:pt>
                <c:pt idx="738">
                  <c:v>1134.2183176065369</c:v>
                </c:pt>
                <c:pt idx="739">
                  <c:v>1246.9108884039204</c:v>
                </c:pt>
                <c:pt idx="740">
                  <c:v>1184.2985723695019</c:v>
                </c:pt>
                <c:pt idx="741">
                  <c:v>1304.049519943339</c:v>
                </c:pt>
                <c:pt idx="742">
                  <c:v>1272.5505383933576</c:v>
                </c:pt>
                <c:pt idx="743">
                  <c:v>1174.5121663790987</c:v>
                </c:pt>
                <c:pt idx="744">
                  <c:v>1099.7790483179729</c:v>
                </c:pt>
                <c:pt idx="745">
                  <c:v>1251.8267239999464</c:v>
                </c:pt>
                <c:pt idx="746">
                  <c:v>1164.7908790047736</c:v>
                </c:pt>
                <c:pt idx="747">
                  <c:v>1267.6735117178091</c:v>
                </c:pt>
                <c:pt idx="748">
                  <c:v>1188.3987305987682</c:v>
                </c:pt>
                <c:pt idx="749">
                  <c:v>1103.2867908052135</c:v>
                </c:pt>
                <c:pt idx="750">
                  <c:v>1236.5630741727632</c:v>
                </c:pt>
                <c:pt idx="751">
                  <c:v>1225.9428376674778</c:v>
                </c:pt>
                <c:pt idx="752">
                  <c:v>1127.5065532073738</c:v>
                </c:pt>
                <c:pt idx="753">
                  <c:v>1227.0511502997156</c:v>
                </c:pt>
                <c:pt idx="754">
                  <c:v>1179.8026788220809</c:v>
                </c:pt>
                <c:pt idx="755">
                  <c:v>1157.490050271979</c:v>
                </c:pt>
                <c:pt idx="756">
                  <c:v>1298.9206812732643</c:v>
                </c:pt>
                <c:pt idx="757">
                  <c:v>1063.6732533141931</c:v>
                </c:pt>
                <c:pt idx="758">
                  <c:v>1158.3002195179222</c:v>
                </c:pt>
                <c:pt idx="759">
                  <c:v>1236.7026388816096</c:v>
                </c:pt>
                <c:pt idx="760">
                  <c:v>1238.8483395006651</c:v>
                </c:pt>
                <c:pt idx="761">
                  <c:v>1162.5866519602268</c:v>
                </c:pt>
                <c:pt idx="762">
                  <c:v>1190.461897186739</c:v>
                </c:pt>
                <c:pt idx="763">
                  <c:v>1204.6073224375659</c:v>
                </c:pt>
                <c:pt idx="764">
                  <c:v>1278.0074600822343</c:v>
                </c:pt>
                <c:pt idx="765">
                  <c:v>1264.2803421366912</c:v>
                </c:pt>
                <c:pt idx="766">
                  <c:v>1174.9682645566756</c:v>
                </c:pt>
                <c:pt idx="767">
                  <c:v>1362.1785007054445</c:v>
                </c:pt>
                <c:pt idx="768">
                  <c:v>1164.9833599202334</c:v>
                </c:pt>
                <c:pt idx="769">
                  <c:v>1333.1218950138084</c:v>
                </c:pt>
                <c:pt idx="770">
                  <c:v>1166.9542966653992</c:v>
                </c:pt>
                <c:pt idx="771">
                  <c:v>1202.1233116903884</c:v>
                </c:pt>
                <c:pt idx="772">
                  <c:v>1124.5826971078229</c:v>
                </c:pt>
                <c:pt idx="773">
                  <c:v>1258.208492860361</c:v>
                </c:pt>
                <c:pt idx="774">
                  <c:v>1265.529854046177</c:v>
                </c:pt>
                <c:pt idx="775">
                  <c:v>1219.8904765200286</c:v>
                </c:pt>
                <c:pt idx="776">
                  <c:v>1243.7914487753692</c:v>
                </c:pt>
                <c:pt idx="777">
                  <c:v>1234.1822853098047</c:v>
                </c:pt>
                <c:pt idx="778">
                  <c:v>1148.6071884678111</c:v>
                </c:pt>
                <c:pt idx="779">
                  <c:v>1126.9928270043249</c:v>
                </c:pt>
                <c:pt idx="780">
                  <c:v>1218.9756195220398</c:v>
                </c:pt>
                <c:pt idx="781">
                  <c:v>1123.903453322989</c:v>
                </c:pt>
                <c:pt idx="782">
                  <c:v>1281.754056874096</c:v>
                </c:pt>
                <c:pt idx="783">
                  <c:v>1194.6916321478911</c:v>
                </c:pt>
                <c:pt idx="784">
                  <c:v>1252.9323979968308</c:v>
                </c:pt>
                <c:pt idx="785">
                  <c:v>1144.4909591319629</c:v>
                </c:pt>
                <c:pt idx="786">
                  <c:v>1214.9010023134113</c:v>
                </c:pt>
                <c:pt idx="787">
                  <c:v>1175.1789339413008</c:v>
                </c:pt>
                <c:pt idx="788">
                  <c:v>1250.5871994129241</c:v>
                </c:pt>
                <c:pt idx="789">
                  <c:v>1172.4152761866958</c:v>
                </c:pt>
                <c:pt idx="790">
                  <c:v>1159.3443898973983</c:v>
                </c:pt>
                <c:pt idx="791">
                  <c:v>1165.0275879977278</c:v>
                </c:pt>
                <c:pt idx="792">
                  <c:v>1086.6878195565005</c:v>
                </c:pt>
                <c:pt idx="793">
                  <c:v>1173.7625442403687</c:v>
                </c:pt>
                <c:pt idx="794">
                  <c:v>1202.7525778325355</c:v>
                </c:pt>
                <c:pt idx="795">
                  <c:v>1206.6730550128843</c:v>
                </c:pt>
                <c:pt idx="796">
                  <c:v>1385.5283401833749</c:v>
                </c:pt>
                <c:pt idx="797">
                  <c:v>1125.8606608555606</c:v>
                </c:pt>
                <c:pt idx="798">
                  <c:v>1231.6226160367794</c:v>
                </c:pt>
                <c:pt idx="799">
                  <c:v>1175.5756473802799</c:v>
                </c:pt>
                <c:pt idx="800">
                  <c:v>1213.4192023265523</c:v>
                </c:pt>
                <c:pt idx="801">
                  <c:v>1289.5100273726171</c:v>
                </c:pt>
                <c:pt idx="802">
                  <c:v>1221.4866037309059</c:v>
                </c:pt>
                <c:pt idx="803">
                  <c:v>1251.7386536273114</c:v>
                </c:pt>
                <c:pt idx="804">
                  <c:v>1232.9278422241609</c:v>
                </c:pt>
                <c:pt idx="805">
                  <c:v>1144.3680803449981</c:v>
                </c:pt>
                <c:pt idx="806">
                  <c:v>1150.8259243030609</c:v>
                </c:pt>
                <c:pt idx="807">
                  <c:v>1277.0858674051153</c:v>
                </c:pt>
                <c:pt idx="808">
                  <c:v>1196.8487333805474</c:v>
                </c:pt>
                <c:pt idx="809">
                  <c:v>1128.2128933450028</c:v>
                </c:pt>
                <c:pt idx="810">
                  <c:v>1202.2669553975516</c:v>
                </c:pt>
                <c:pt idx="811">
                  <c:v>1188.1846504108096</c:v>
                </c:pt>
                <c:pt idx="812">
                  <c:v>1150.0179447139233</c:v>
                </c:pt>
                <c:pt idx="813">
                  <c:v>1118.1711864749404</c:v>
                </c:pt>
                <c:pt idx="814">
                  <c:v>1235.0936885374922</c:v>
                </c:pt>
                <c:pt idx="815">
                  <c:v>1183.2391871514048</c:v>
                </c:pt>
                <c:pt idx="816">
                  <c:v>1111.3169491345373</c:v>
                </c:pt>
                <c:pt idx="817">
                  <c:v>1185.4726969542294</c:v>
                </c:pt>
                <c:pt idx="818">
                  <c:v>1063.2186085348415</c:v>
                </c:pt>
                <c:pt idx="819">
                  <c:v>1251.1542549141536</c:v>
                </c:pt>
                <c:pt idx="820">
                  <c:v>1076.1151422192213</c:v>
                </c:pt>
                <c:pt idx="821">
                  <c:v>1187.4022749219439</c:v>
                </c:pt>
                <c:pt idx="822">
                  <c:v>1150.7907696343436</c:v>
                </c:pt>
                <c:pt idx="823">
                  <c:v>1172.5674991115288</c:v>
                </c:pt>
                <c:pt idx="824">
                  <c:v>1132.478010892316</c:v>
                </c:pt>
                <c:pt idx="825">
                  <c:v>1307.7654399869004</c:v>
                </c:pt>
                <c:pt idx="826">
                  <c:v>1188.1166365490376</c:v>
                </c:pt>
                <c:pt idx="827">
                  <c:v>1334.8094362384477</c:v>
                </c:pt>
                <c:pt idx="828">
                  <c:v>1258.3588267915868</c:v>
                </c:pt>
                <c:pt idx="829">
                  <c:v>1205.5635851865145</c:v>
                </c:pt>
                <c:pt idx="830">
                  <c:v>1192.3065774578413</c:v>
                </c:pt>
                <c:pt idx="831">
                  <c:v>1359.445974422048</c:v>
                </c:pt>
                <c:pt idx="832">
                  <c:v>1157.4116619569613</c:v>
                </c:pt>
                <c:pt idx="833">
                  <c:v>1080.4352579457429</c:v>
                </c:pt>
                <c:pt idx="834">
                  <c:v>1201.4315118385457</c:v>
                </c:pt>
                <c:pt idx="835">
                  <c:v>1155.4357471780143</c:v>
                </c:pt>
                <c:pt idx="836">
                  <c:v>1184.7941070421298</c:v>
                </c:pt>
                <c:pt idx="837">
                  <c:v>1198.0670380453507</c:v>
                </c:pt>
                <c:pt idx="838">
                  <c:v>1199.8553008634194</c:v>
                </c:pt>
                <c:pt idx="839">
                  <c:v>1207.6216729419102</c:v>
                </c:pt>
                <c:pt idx="840">
                  <c:v>1234.961565613012</c:v>
                </c:pt>
                <c:pt idx="841">
                  <c:v>1270.5030402142397</c:v>
                </c:pt>
                <c:pt idx="842">
                  <c:v>1273.545543203079</c:v>
                </c:pt>
                <c:pt idx="843">
                  <c:v>1139.3875362359336</c:v>
                </c:pt>
                <c:pt idx="844">
                  <c:v>1271.4369554722789</c:v>
                </c:pt>
                <c:pt idx="845">
                  <c:v>1208.6159431826102</c:v>
                </c:pt>
                <c:pt idx="846">
                  <c:v>1157.8559538530401</c:v>
                </c:pt>
                <c:pt idx="847">
                  <c:v>1275.9481892915296</c:v>
                </c:pt>
                <c:pt idx="848">
                  <c:v>1289.4314621495173</c:v>
                </c:pt>
                <c:pt idx="849">
                  <c:v>1052.4544347120989</c:v>
                </c:pt>
                <c:pt idx="850">
                  <c:v>1213.7497193552806</c:v>
                </c:pt>
                <c:pt idx="851">
                  <c:v>1213.7612743776585</c:v>
                </c:pt>
                <c:pt idx="852">
                  <c:v>1237.5128377749932</c:v>
                </c:pt>
                <c:pt idx="853">
                  <c:v>1118.5855583071784</c:v>
                </c:pt>
                <c:pt idx="854">
                  <c:v>1211.9520659023158</c:v>
                </c:pt>
                <c:pt idx="855">
                  <c:v>1146.8977483665067</c:v>
                </c:pt>
                <c:pt idx="856">
                  <c:v>1203.286898103197</c:v>
                </c:pt>
                <c:pt idx="857">
                  <c:v>1071.7051786635518</c:v>
                </c:pt>
                <c:pt idx="858">
                  <c:v>1214.917985122051</c:v>
                </c:pt>
                <c:pt idx="859">
                  <c:v>1200.1925936260882</c:v>
                </c:pt>
                <c:pt idx="860">
                  <c:v>1142.6105671853877</c:v>
                </c:pt>
                <c:pt idx="861">
                  <c:v>1109.9670341068195</c:v>
                </c:pt>
                <c:pt idx="862">
                  <c:v>1081.8796265190217</c:v>
                </c:pt>
                <c:pt idx="863">
                  <c:v>1215.0121063800618</c:v>
                </c:pt>
                <c:pt idx="864">
                  <c:v>1155.8595073937663</c:v>
                </c:pt>
                <c:pt idx="865">
                  <c:v>1194.4608795552263</c:v>
                </c:pt>
                <c:pt idx="866">
                  <c:v>1222.3527752416478</c:v>
                </c:pt>
                <c:pt idx="867">
                  <c:v>1206.2784668025581</c:v>
                </c:pt>
                <c:pt idx="868">
                  <c:v>1258.4263547504534</c:v>
                </c:pt>
                <c:pt idx="869">
                  <c:v>1210.2748852338525</c:v>
                </c:pt>
                <c:pt idx="870">
                  <c:v>1199.8769285731587</c:v>
                </c:pt>
                <c:pt idx="871">
                  <c:v>1235.0846342029342</c:v>
                </c:pt>
                <c:pt idx="872">
                  <c:v>1185.1104011463756</c:v>
                </c:pt>
                <c:pt idx="873">
                  <c:v>1155.7948322506586</c:v>
                </c:pt>
                <c:pt idx="874">
                  <c:v>1230.4586383704909</c:v>
                </c:pt>
                <c:pt idx="875">
                  <c:v>1141.2608334136664</c:v>
                </c:pt>
                <c:pt idx="876">
                  <c:v>1179.6829423960708</c:v>
                </c:pt>
                <c:pt idx="877">
                  <c:v>1204.4560594544005</c:v>
                </c:pt>
                <c:pt idx="878">
                  <c:v>1215.1515701977771</c:v>
                </c:pt>
                <c:pt idx="879">
                  <c:v>1198.0227902158431</c:v>
                </c:pt>
                <c:pt idx="880">
                  <c:v>1237.2571525856979</c:v>
                </c:pt>
                <c:pt idx="881">
                  <c:v>1200.4063444223116</c:v>
                </c:pt>
                <c:pt idx="882">
                  <c:v>1288.3837861790926</c:v>
                </c:pt>
                <c:pt idx="883">
                  <c:v>1096.6275376795777</c:v>
                </c:pt>
                <c:pt idx="884">
                  <c:v>1192.6312952127143</c:v>
                </c:pt>
                <c:pt idx="885">
                  <c:v>1222.2648137190301</c:v>
                </c:pt>
                <c:pt idx="886">
                  <c:v>1244.2009991611781</c:v>
                </c:pt>
                <c:pt idx="887">
                  <c:v>1213.5385929588388</c:v>
                </c:pt>
                <c:pt idx="888">
                  <c:v>1224.0224196847225</c:v>
                </c:pt>
                <c:pt idx="889">
                  <c:v>1207.3641612827323</c:v>
                </c:pt>
                <c:pt idx="890">
                  <c:v>1027.8358816040211</c:v>
                </c:pt>
                <c:pt idx="891">
                  <c:v>1122.6255066318633</c:v>
                </c:pt>
                <c:pt idx="892">
                  <c:v>1216.951675993424</c:v>
                </c:pt>
                <c:pt idx="893">
                  <c:v>1277.9565496287109</c:v>
                </c:pt>
                <c:pt idx="894">
                  <c:v>1080.1438779761972</c:v>
                </c:pt>
                <c:pt idx="895">
                  <c:v>1186.0925735214139</c:v>
                </c:pt>
                <c:pt idx="896">
                  <c:v>1125.6469517929418</c:v>
                </c:pt>
                <c:pt idx="897">
                  <c:v>1247.6879863511629</c:v>
                </c:pt>
                <c:pt idx="898">
                  <c:v>1242.7120947014726</c:v>
                </c:pt>
                <c:pt idx="899">
                  <c:v>1214.7889533277571</c:v>
                </c:pt>
                <c:pt idx="900">
                  <c:v>1150.2897109651967</c:v>
                </c:pt>
                <c:pt idx="901">
                  <c:v>1227.7710600348955</c:v>
                </c:pt>
                <c:pt idx="902">
                  <c:v>1240.3145239555588</c:v>
                </c:pt>
                <c:pt idx="903">
                  <c:v>1228.4653893965274</c:v>
                </c:pt>
                <c:pt idx="904">
                  <c:v>1249.2091699266959</c:v>
                </c:pt>
                <c:pt idx="905">
                  <c:v>1270.5660280185396</c:v>
                </c:pt>
                <c:pt idx="906">
                  <c:v>1238.7098962498339</c:v>
                </c:pt>
                <c:pt idx="907">
                  <c:v>1176.0717667762806</c:v>
                </c:pt>
                <c:pt idx="908">
                  <c:v>1339.732666902202</c:v>
                </c:pt>
                <c:pt idx="909">
                  <c:v>1164.3564873543833</c:v>
                </c:pt>
                <c:pt idx="910">
                  <c:v>1129.3845477094119</c:v>
                </c:pt>
                <c:pt idx="911">
                  <c:v>1134.5847988941819</c:v>
                </c:pt>
                <c:pt idx="912">
                  <c:v>1245.8691121231723</c:v>
                </c:pt>
                <c:pt idx="913">
                  <c:v>1295.4972402292315</c:v>
                </c:pt>
                <c:pt idx="914">
                  <c:v>1144.5676252255876</c:v>
                </c:pt>
                <c:pt idx="915">
                  <c:v>1225.2416990761819</c:v>
                </c:pt>
                <c:pt idx="916">
                  <c:v>1135.6046053334508</c:v>
                </c:pt>
                <c:pt idx="917">
                  <c:v>1090.4607806697973</c:v>
                </c:pt>
                <c:pt idx="918">
                  <c:v>1197.4559250951809</c:v>
                </c:pt>
                <c:pt idx="919">
                  <c:v>1228.5558195320439</c:v>
                </c:pt>
                <c:pt idx="920">
                  <c:v>1339.4077843355142</c:v>
                </c:pt>
                <c:pt idx="921">
                  <c:v>1204.8604508895487</c:v>
                </c:pt>
                <c:pt idx="922">
                  <c:v>1161.106682295348</c:v>
                </c:pt>
                <c:pt idx="923">
                  <c:v>1143.7704979114562</c:v>
                </c:pt>
                <c:pt idx="924">
                  <c:v>1315.3744019751896</c:v>
                </c:pt>
                <c:pt idx="925">
                  <c:v>1204.179694866127</c:v>
                </c:pt>
                <c:pt idx="926">
                  <c:v>1141.5702369982719</c:v>
                </c:pt>
                <c:pt idx="927">
                  <c:v>1262.9895039681223</c:v>
                </c:pt>
                <c:pt idx="928">
                  <c:v>1053.0021306265344</c:v>
                </c:pt>
                <c:pt idx="929">
                  <c:v>1088.5800673618778</c:v>
                </c:pt>
                <c:pt idx="930">
                  <c:v>1243.1348285706049</c:v>
                </c:pt>
                <c:pt idx="931">
                  <c:v>1145.1160411058852</c:v>
                </c:pt>
                <c:pt idx="932">
                  <c:v>1135.3952224599252</c:v>
                </c:pt>
                <c:pt idx="933">
                  <c:v>1219.2087639080398</c:v>
                </c:pt>
                <c:pt idx="934">
                  <c:v>985.0809490923325</c:v>
                </c:pt>
                <c:pt idx="935">
                  <c:v>1211.1212060154389</c:v>
                </c:pt>
                <c:pt idx="936">
                  <c:v>1263.8847591793115</c:v>
                </c:pt>
                <c:pt idx="937">
                  <c:v>1229.8244848966708</c:v>
                </c:pt>
                <c:pt idx="938">
                  <c:v>1227.6647850405184</c:v>
                </c:pt>
                <c:pt idx="939">
                  <c:v>1207.5884261640224</c:v>
                </c:pt>
                <c:pt idx="940">
                  <c:v>1162.7167441870918</c:v>
                </c:pt>
                <c:pt idx="941">
                  <c:v>1171.7094722016257</c:v>
                </c:pt>
                <c:pt idx="942">
                  <c:v>1118.6428292179096</c:v>
                </c:pt>
                <c:pt idx="943">
                  <c:v>1178.3444691397674</c:v>
                </c:pt>
                <c:pt idx="944">
                  <c:v>1180.2132347472314</c:v>
                </c:pt>
                <c:pt idx="945">
                  <c:v>1354.1603506379593</c:v>
                </c:pt>
                <c:pt idx="946">
                  <c:v>1205.9295040415959</c:v>
                </c:pt>
                <c:pt idx="947">
                  <c:v>1123.4097101574446</c:v>
                </c:pt>
                <c:pt idx="948">
                  <c:v>1172.7374859790712</c:v>
                </c:pt>
                <c:pt idx="949">
                  <c:v>1234.8226876241133</c:v>
                </c:pt>
                <c:pt idx="950">
                  <c:v>1179.539578177893</c:v>
                </c:pt>
                <c:pt idx="951">
                  <c:v>1196.5752659430545</c:v>
                </c:pt>
                <c:pt idx="952">
                  <c:v>1130.5066468450818</c:v>
                </c:pt>
                <c:pt idx="953">
                  <c:v>1187.3176668885042</c:v>
                </c:pt>
                <c:pt idx="954">
                  <c:v>1200.4478831912222</c:v>
                </c:pt>
                <c:pt idx="955">
                  <c:v>1154.8279983820087</c:v>
                </c:pt>
                <c:pt idx="956">
                  <c:v>1243.6153118858913</c:v>
                </c:pt>
                <c:pt idx="957">
                  <c:v>1164.7001378295579</c:v>
                </c:pt>
                <c:pt idx="958">
                  <c:v>1182.9531762459872</c:v>
                </c:pt>
                <c:pt idx="959">
                  <c:v>1251.0447340806206</c:v>
                </c:pt>
                <c:pt idx="960">
                  <c:v>1283.0782940175941</c:v>
                </c:pt>
                <c:pt idx="961">
                  <c:v>1244.2215976093805</c:v>
                </c:pt>
                <c:pt idx="962">
                  <c:v>1197.0826603363623</c:v>
                </c:pt>
                <c:pt idx="963">
                  <c:v>1129.8311421266822</c:v>
                </c:pt>
                <c:pt idx="964">
                  <c:v>1203.4993219713788</c:v>
                </c:pt>
                <c:pt idx="965">
                  <c:v>1217.9083634572291</c:v>
                </c:pt>
                <c:pt idx="966">
                  <c:v>1273.5335793818469</c:v>
                </c:pt>
                <c:pt idx="967">
                  <c:v>1246.8428969318445</c:v>
                </c:pt>
                <c:pt idx="968">
                  <c:v>1249.191959460803</c:v>
                </c:pt>
                <c:pt idx="969">
                  <c:v>1177.1453958656741</c:v>
                </c:pt>
                <c:pt idx="970">
                  <c:v>1311.4907461406626</c:v>
                </c:pt>
                <c:pt idx="971">
                  <c:v>1223.0700499412042</c:v>
                </c:pt>
                <c:pt idx="972">
                  <c:v>889.8618201807376</c:v>
                </c:pt>
                <c:pt idx="973">
                  <c:v>1229.045923510758</c:v>
                </c:pt>
                <c:pt idx="974">
                  <c:v>1266.4605953209173</c:v>
                </c:pt>
                <c:pt idx="975">
                  <c:v>1205.3414113982249</c:v>
                </c:pt>
                <c:pt idx="976">
                  <c:v>1162.5377431892955</c:v>
                </c:pt>
                <c:pt idx="977">
                  <c:v>1176.5641737550277</c:v>
                </c:pt>
                <c:pt idx="978">
                  <c:v>1291.8170780258617</c:v>
                </c:pt>
                <c:pt idx="979">
                  <c:v>1195.1891423618838</c:v>
                </c:pt>
                <c:pt idx="980">
                  <c:v>1228.4375460789324</c:v>
                </c:pt>
                <c:pt idx="981">
                  <c:v>1175.2969929813487</c:v>
                </c:pt>
                <c:pt idx="982">
                  <c:v>1273.8460386167039</c:v>
                </c:pt>
                <c:pt idx="983">
                  <c:v>1163.0740674420474</c:v>
                </c:pt>
                <c:pt idx="984">
                  <c:v>1288.372077964229</c:v>
                </c:pt>
                <c:pt idx="985">
                  <c:v>1234.7585089938534</c:v>
                </c:pt>
                <c:pt idx="986">
                  <c:v>1249.3380076452481</c:v>
                </c:pt>
                <c:pt idx="987">
                  <c:v>1170.3065716634392</c:v>
                </c:pt>
                <c:pt idx="988">
                  <c:v>1012.3116412695038</c:v>
                </c:pt>
                <c:pt idx="989">
                  <c:v>1293.8584433351355</c:v>
                </c:pt>
                <c:pt idx="990">
                  <c:v>1191.4355041550857</c:v>
                </c:pt>
                <c:pt idx="991">
                  <c:v>1222.8501338116989</c:v>
                </c:pt>
                <c:pt idx="992">
                  <c:v>1162.5575831719505</c:v>
                </c:pt>
                <c:pt idx="993">
                  <c:v>1232.6720054540626</c:v>
                </c:pt>
                <c:pt idx="994">
                  <c:v>1123.6490010079897</c:v>
                </c:pt>
                <c:pt idx="995">
                  <c:v>1228.3243823502839</c:v>
                </c:pt>
                <c:pt idx="996">
                  <c:v>1101.1437866061158</c:v>
                </c:pt>
                <c:pt idx="997">
                  <c:v>1224.6822035915677</c:v>
                </c:pt>
                <c:pt idx="998">
                  <c:v>1197.858799533371</c:v>
                </c:pt>
                <c:pt idx="999">
                  <c:v>1116.8765721414336</c:v>
                </c:pt>
              </c:numCache>
            </c:numRef>
          </c:yVal>
          <c:smooth val="0"/>
          <c:extLst>
            <c:ext xmlns:c16="http://schemas.microsoft.com/office/drawing/2014/chart" uri="{C3380CC4-5D6E-409C-BE32-E72D297353CC}">
              <c16:uniqueId val="{00000000-70FD-436F-91C3-0B4ADA4EBCF2}"/>
            </c:ext>
          </c:extLst>
        </c:ser>
        <c:ser>
          <c:idx val="1"/>
          <c:order val="1"/>
          <c:spPr>
            <a:ln w="25400" cap="rnd">
              <a:solidFill>
                <a:schemeClr val="bg1">
                  <a:lumMod val="75000"/>
                </a:schemeClr>
              </a:solidFill>
              <a:round/>
            </a:ln>
            <a:effectLst/>
          </c:spPr>
          <c:marker>
            <c:symbol val="none"/>
          </c:marker>
          <c:dPt>
            <c:idx val="1"/>
            <c:marker>
              <c:symbol val="none"/>
            </c:marker>
            <c:bubble3D val="0"/>
            <c:spPr>
              <a:ln w="25400" cap="rnd">
                <a:solidFill>
                  <a:schemeClr val="bg1">
                    <a:lumMod val="75000"/>
                  </a:schemeClr>
                </a:solidFill>
                <a:prstDash val="sysDash"/>
                <a:round/>
              </a:ln>
              <a:effectLst/>
            </c:spPr>
            <c:extLst>
              <c:ext xmlns:c16="http://schemas.microsoft.com/office/drawing/2014/chart" uri="{C3380CC4-5D6E-409C-BE32-E72D297353CC}">
                <c16:uniqueId val="{00000002-70FD-436F-91C3-0B4ADA4EBCF2}"/>
              </c:ext>
            </c:extLst>
          </c:dPt>
          <c:xVal>
            <c:numRef>
              <c:f>'Health Simulation'!$B$1:$B$2</c:f>
              <c:numCache>
                <c:formatCode>0.00000</c:formatCode>
                <c:ptCount val="2"/>
                <c:pt idx="0">
                  <c:v>-1</c:v>
                </c:pt>
                <c:pt idx="1">
                  <c:v>1</c:v>
                </c:pt>
              </c:numCache>
            </c:numRef>
          </c:xVal>
          <c:yVal>
            <c:numRef>
              <c:f>'Health Simulation'!$A$1:$A$2</c:f>
              <c:numCache>
                <c:formatCode>0</c:formatCode>
                <c:ptCount val="2"/>
                <c:pt idx="0" formatCode="General">
                  <c:v>-20000</c:v>
                </c:pt>
                <c:pt idx="1">
                  <c:v>20000</c:v>
                </c:pt>
              </c:numCache>
            </c:numRef>
          </c:yVal>
          <c:smooth val="0"/>
          <c:extLst>
            <c:ext xmlns:c16="http://schemas.microsoft.com/office/drawing/2014/chart" uri="{C3380CC4-5D6E-409C-BE32-E72D297353CC}">
              <c16:uniqueId val="{00000003-70FD-436F-91C3-0B4ADA4EBCF2}"/>
            </c:ext>
          </c:extLst>
        </c:ser>
        <c:dLbls>
          <c:showLegendKey val="0"/>
          <c:showVal val="0"/>
          <c:showCatName val="0"/>
          <c:showSerName val="0"/>
          <c:showPercent val="0"/>
          <c:showBubbleSize val="0"/>
        </c:dLbls>
        <c:axId val="725318151"/>
        <c:axId val="726598151"/>
      </c:scatterChart>
      <c:valAx>
        <c:axId val="725318151"/>
        <c:scaling>
          <c:orientation val="minMax"/>
          <c:max val="0.25"/>
          <c:min val="-0.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Incremental QALYS</a:t>
                </a:r>
              </a:p>
            </c:rich>
          </c:tx>
          <c:layout>
            <c:manualLayout>
              <c:xMode val="edge"/>
              <c:yMode val="edge"/>
              <c:x val="0.39227076606055161"/>
              <c:y val="0.952206413733342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00_-;\-* #,##0.00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598151"/>
        <c:crosses val="autoZero"/>
        <c:crossBetween val="midCat"/>
        <c:majorUnit val="0.1"/>
      </c:valAx>
      <c:valAx>
        <c:axId val="726598151"/>
        <c:scaling>
          <c:orientation val="minMax"/>
          <c:max val="2500"/>
          <c:min val="-2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Incremental costs</a:t>
                </a:r>
              </a:p>
            </c:rich>
          </c:tx>
          <c:layout>
            <c:manualLayout>
              <c:xMode val="edge"/>
              <c:yMode val="edge"/>
              <c:x val="1.9722373879620614E-2"/>
              <c:y val="0.234112393747885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318151"/>
        <c:crosses val="autoZero"/>
        <c:crossBetween val="midCat"/>
        <c:majorUnit val="100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lt1"/>
              </a:solidFill>
              <a:ln w="3175">
                <a:solidFill>
                  <a:schemeClr val="tx1"/>
                </a:solidFill>
              </a:ln>
              <a:effectLst/>
            </c:spPr>
          </c:marker>
          <c:xVal>
            <c:numRef>
              <c:f>'Health Simulation'!$C$6:$C$1005</c:f>
              <c:numCache>
                <c:formatCode>_-* #,##0.0000_-;\-* #,##0.0000_-;_-* "-"??_-;_-@_-</c:formatCode>
                <c:ptCount val="1000"/>
                <c:pt idx="0">
                  <c:v>-4.3269329937018597E-2</c:v>
                </c:pt>
                <c:pt idx="1">
                  <c:v>-4.7224728589737808E-2</c:v>
                </c:pt>
                <c:pt idx="2">
                  <c:v>8.8654350263069226E-2</c:v>
                </c:pt>
                <c:pt idx="3">
                  <c:v>4.9258203099454612E-2</c:v>
                </c:pt>
                <c:pt idx="4">
                  <c:v>0.13529091262549731</c:v>
                </c:pt>
                <c:pt idx="5">
                  <c:v>2.5447853546562982E-3</c:v>
                </c:pt>
                <c:pt idx="6">
                  <c:v>8.4240304311942182E-2</c:v>
                </c:pt>
                <c:pt idx="7">
                  <c:v>-4.0026922533811238E-2</c:v>
                </c:pt>
                <c:pt idx="8">
                  <c:v>5.6093354014459251E-2</c:v>
                </c:pt>
                <c:pt idx="9">
                  <c:v>3.0415526540276794E-2</c:v>
                </c:pt>
                <c:pt idx="10">
                  <c:v>7.3965483271710042E-2</c:v>
                </c:pt>
                <c:pt idx="11">
                  <c:v>4.865704401939297E-2</c:v>
                </c:pt>
                <c:pt idx="12">
                  <c:v>8.9971145924722329E-2</c:v>
                </c:pt>
                <c:pt idx="13">
                  <c:v>2.6239025427141627E-2</c:v>
                </c:pt>
                <c:pt idx="14">
                  <c:v>-7.7263608406044071E-3</c:v>
                </c:pt>
                <c:pt idx="15">
                  <c:v>5.9976416491454465E-2</c:v>
                </c:pt>
                <c:pt idx="16">
                  <c:v>3.7927262862691435E-3</c:v>
                </c:pt>
                <c:pt idx="17">
                  <c:v>0.10299864873553055</c:v>
                </c:pt>
                <c:pt idx="18">
                  <c:v>-0.14687944853099655</c:v>
                </c:pt>
                <c:pt idx="19">
                  <c:v>0.18540742025276291</c:v>
                </c:pt>
                <c:pt idx="20">
                  <c:v>-5.4859011405206104E-3</c:v>
                </c:pt>
                <c:pt idx="21">
                  <c:v>0.12138230446607334</c:v>
                </c:pt>
                <c:pt idx="22">
                  <c:v>0.12070169672785269</c:v>
                </c:pt>
                <c:pt idx="23">
                  <c:v>-7.2180806456831448E-2</c:v>
                </c:pt>
                <c:pt idx="24">
                  <c:v>9.9127368197898136E-2</c:v>
                </c:pt>
                <c:pt idx="25">
                  <c:v>5.8875659692396276E-2</c:v>
                </c:pt>
                <c:pt idx="26">
                  <c:v>8.8808521682457453E-3</c:v>
                </c:pt>
                <c:pt idx="27">
                  <c:v>3.4958790622791724E-2</c:v>
                </c:pt>
                <c:pt idx="28">
                  <c:v>7.2658007176835682E-3</c:v>
                </c:pt>
                <c:pt idx="29">
                  <c:v>-6.1469781724234451E-2</c:v>
                </c:pt>
                <c:pt idx="30">
                  <c:v>9.3652178569545441E-2</c:v>
                </c:pt>
                <c:pt idx="31">
                  <c:v>0.22507555375472066</c:v>
                </c:pt>
                <c:pt idx="32">
                  <c:v>0.10412326272268224</c:v>
                </c:pt>
                <c:pt idx="33">
                  <c:v>0.15383705934002379</c:v>
                </c:pt>
                <c:pt idx="34">
                  <c:v>-4.5766012460555672E-2</c:v>
                </c:pt>
                <c:pt idx="35">
                  <c:v>3.9770645722556175E-2</c:v>
                </c:pt>
                <c:pt idx="36">
                  <c:v>-6.2916703281517883E-2</c:v>
                </c:pt>
                <c:pt idx="37">
                  <c:v>-8.6553719715741551E-2</c:v>
                </c:pt>
                <c:pt idx="38">
                  <c:v>0.14540472123613846</c:v>
                </c:pt>
                <c:pt idx="39">
                  <c:v>5.5221131236648624E-2</c:v>
                </c:pt>
                <c:pt idx="40">
                  <c:v>2.9734852968490877E-2</c:v>
                </c:pt>
                <c:pt idx="41">
                  <c:v>0.14943913565536793</c:v>
                </c:pt>
                <c:pt idx="42">
                  <c:v>0.14473396031923791</c:v>
                </c:pt>
                <c:pt idx="43">
                  <c:v>2.1579009153044559E-2</c:v>
                </c:pt>
                <c:pt idx="44">
                  <c:v>6.4329172894226794E-2</c:v>
                </c:pt>
                <c:pt idx="45">
                  <c:v>0.10415872166336193</c:v>
                </c:pt>
                <c:pt idx="46">
                  <c:v>-2.0184875765970389E-2</c:v>
                </c:pt>
                <c:pt idx="47">
                  <c:v>2.2351814595791275E-2</c:v>
                </c:pt>
                <c:pt idx="48">
                  <c:v>0.12888856396330972</c:v>
                </c:pt>
                <c:pt idx="49">
                  <c:v>0.20087467080339483</c:v>
                </c:pt>
                <c:pt idx="50">
                  <c:v>9.4993790452333471E-2</c:v>
                </c:pt>
                <c:pt idx="51">
                  <c:v>9.8820748763797539E-2</c:v>
                </c:pt>
                <c:pt idx="52">
                  <c:v>-4.4491056056864764E-2</c:v>
                </c:pt>
                <c:pt idx="53">
                  <c:v>6.3508722176218058E-2</c:v>
                </c:pt>
                <c:pt idx="54">
                  <c:v>-1.6445268769776256E-2</c:v>
                </c:pt>
                <c:pt idx="55">
                  <c:v>5.2688862268759351E-2</c:v>
                </c:pt>
                <c:pt idx="56">
                  <c:v>-9.5041794121222267E-3</c:v>
                </c:pt>
                <c:pt idx="57">
                  <c:v>5.7147745828786789E-2</c:v>
                </c:pt>
                <c:pt idx="58">
                  <c:v>-1.9217733283111826E-2</c:v>
                </c:pt>
                <c:pt idx="59">
                  <c:v>0.17226725088298167</c:v>
                </c:pt>
                <c:pt idx="60">
                  <c:v>0.12532559491536599</c:v>
                </c:pt>
                <c:pt idx="61">
                  <c:v>5.5880248732390392E-2</c:v>
                </c:pt>
                <c:pt idx="62">
                  <c:v>0.13277982701937319</c:v>
                </c:pt>
                <c:pt idx="63">
                  <c:v>-7.1825016775746597E-2</c:v>
                </c:pt>
                <c:pt idx="64">
                  <c:v>5.7154164793789874E-2</c:v>
                </c:pt>
                <c:pt idx="65">
                  <c:v>0.12195978020994414</c:v>
                </c:pt>
                <c:pt idx="66">
                  <c:v>6.0196980215420304E-2</c:v>
                </c:pt>
                <c:pt idx="67">
                  <c:v>-1.8718332370430524E-2</c:v>
                </c:pt>
                <c:pt idx="68">
                  <c:v>8.9992207356103471E-2</c:v>
                </c:pt>
                <c:pt idx="69">
                  <c:v>6.1719685289411963E-2</c:v>
                </c:pt>
                <c:pt idx="70">
                  <c:v>2.370529004962485E-3</c:v>
                </c:pt>
                <c:pt idx="71">
                  <c:v>5.5689746031148069E-2</c:v>
                </c:pt>
                <c:pt idx="72">
                  <c:v>3.0469634072982643E-2</c:v>
                </c:pt>
                <c:pt idx="73">
                  <c:v>5.0556292309971163E-2</c:v>
                </c:pt>
                <c:pt idx="74">
                  <c:v>-5.6695525267167923E-2</c:v>
                </c:pt>
                <c:pt idx="75">
                  <c:v>-0.13192564349697733</c:v>
                </c:pt>
                <c:pt idx="76">
                  <c:v>0.10521656976701177</c:v>
                </c:pt>
                <c:pt idx="77">
                  <c:v>0.13598847055505381</c:v>
                </c:pt>
                <c:pt idx="78">
                  <c:v>-8.2666681530366048E-2</c:v>
                </c:pt>
                <c:pt idx="79">
                  <c:v>3.8639972402769729E-2</c:v>
                </c:pt>
                <c:pt idx="80">
                  <c:v>-1.3786638978192656E-2</c:v>
                </c:pt>
                <c:pt idx="81">
                  <c:v>1.902516324476089E-2</c:v>
                </c:pt>
                <c:pt idx="82">
                  <c:v>8.0990917931036854E-2</c:v>
                </c:pt>
                <c:pt idx="83">
                  <c:v>0.13989123606632514</c:v>
                </c:pt>
                <c:pt idx="84">
                  <c:v>3.5563189703469611E-2</c:v>
                </c:pt>
                <c:pt idx="85">
                  <c:v>0.11441394027651608</c:v>
                </c:pt>
                <c:pt idx="86">
                  <c:v>6.7063586335155634E-2</c:v>
                </c:pt>
                <c:pt idx="87">
                  <c:v>-3.5062729221674083E-2</c:v>
                </c:pt>
                <c:pt idx="88">
                  <c:v>-4.7898897545572972E-2</c:v>
                </c:pt>
                <c:pt idx="89">
                  <c:v>4.5447772514597418E-2</c:v>
                </c:pt>
                <c:pt idx="90">
                  <c:v>4.6127399064625152E-2</c:v>
                </c:pt>
                <c:pt idx="91">
                  <c:v>0.13110426867552682</c:v>
                </c:pt>
                <c:pt idx="92">
                  <c:v>5.3625921935069876E-2</c:v>
                </c:pt>
                <c:pt idx="93">
                  <c:v>-1.931749373897329E-2</c:v>
                </c:pt>
                <c:pt idx="94">
                  <c:v>-1.4979118932517466E-2</c:v>
                </c:pt>
                <c:pt idx="95">
                  <c:v>7.5666702618840453E-2</c:v>
                </c:pt>
                <c:pt idx="96">
                  <c:v>0.10969030431711868</c:v>
                </c:pt>
                <c:pt idx="97">
                  <c:v>-7.0779408994881443E-2</c:v>
                </c:pt>
                <c:pt idx="98">
                  <c:v>3.1425247096918518E-2</c:v>
                </c:pt>
                <c:pt idx="99">
                  <c:v>2.1950386934276978E-2</c:v>
                </c:pt>
                <c:pt idx="100">
                  <c:v>-4.5548957895344522E-2</c:v>
                </c:pt>
                <c:pt idx="101">
                  <c:v>6.1751969687426467E-2</c:v>
                </c:pt>
                <c:pt idx="102">
                  <c:v>-8.8104432662865051E-2</c:v>
                </c:pt>
                <c:pt idx="103">
                  <c:v>9.3281876016103382E-2</c:v>
                </c:pt>
                <c:pt idx="104">
                  <c:v>8.9663081931510291E-3</c:v>
                </c:pt>
                <c:pt idx="105">
                  <c:v>6.818043916157368E-2</c:v>
                </c:pt>
                <c:pt idx="106">
                  <c:v>0.12570841623703544</c:v>
                </c:pt>
                <c:pt idx="107">
                  <c:v>0.15848915071310454</c:v>
                </c:pt>
                <c:pt idx="108">
                  <c:v>3.8991399044115305E-2</c:v>
                </c:pt>
                <c:pt idx="109">
                  <c:v>0.13655203560889007</c:v>
                </c:pt>
                <c:pt idx="110">
                  <c:v>0.19763074691447091</c:v>
                </c:pt>
                <c:pt idx="111">
                  <c:v>0.10586198228076249</c:v>
                </c:pt>
                <c:pt idx="112">
                  <c:v>0.10901259587356282</c:v>
                </c:pt>
                <c:pt idx="113">
                  <c:v>-3.4660759227894467E-2</c:v>
                </c:pt>
                <c:pt idx="114">
                  <c:v>5.9045751461265894E-2</c:v>
                </c:pt>
                <c:pt idx="115">
                  <c:v>-2.7830043641491997E-2</c:v>
                </c:pt>
                <c:pt idx="116">
                  <c:v>0.13406779941266667</c:v>
                </c:pt>
                <c:pt idx="117">
                  <c:v>0.12288402713637492</c:v>
                </c:pt>
                <c:pt idx="118">
                  <c:v>2.4553200072017667E-2</c:v>
                </c:pt>
                <c:pt idx="119">
                  <c:v>4.9478195615292542E-2</c:v>
                </c:pt>
                <c:pt idx="120">
                  <c:v>4.6807864096514606E-2</c:v>
                </c:pt>
                <c:pt idx="121">
                  <c:v>8.1198582082421034E-2</c:v>
                </c:pt>
                <c:pt idx="122">
                  <c:v>6.7646003398282417E-2</c:v>
                </c:pt>
                <c:pt idx="123">
                  <c:v>-1.5686878769396451E-2</c:v>
                </c:pt>
                <c:pt idx="124">
                  <c:v>7.6476551915401814E-2</c:v>
                </c:pt>
                <c:pt idx="125">
                  <c:v>5.24368768116803E-2</c:v>
                </c:pt>
                <c:pt idx="126">
                  <c:v>8.1573355964481564E-2</c:v>
                </c:pt>
                <c:pt idx="127">
                  <c:v>4.8922432348367906E-2</c:v>
                </c:pt>
                <c:pt idx="128">
                  <c:v>0.15044096105465421</c:v>
                </c:pt>
                <c:pt idx="129">
                  <c:v>7.1870818117177215E-2</c:v>
                </c:pt>
                <c:pt idx="130">
                  <c:v>1.127342838873524E-2</c:v>
                </c:pt>
                <c:pt idx="131">
                  <c:v>0.13120993666568825</c:v>
                </c:pt>
                <c:pt idx="132">
                  <c:v>5.6371520924285434E-3</c:v>
                </c:pt>
                <c:pt idx="133">
                  <c:v>6.8689118213365319E-3</c:v>
                </c:pt>
                <c:pt idx="134">
                  <c:v>5.0851761018131825E-2</c:v>
                </c:pt>
                <c:pt idx="135">
                  <c:v>1.6957658323102365E-2</c:v>
                </c:pt>
                <c:pt idx="136">
                  <c:v>4.690890127261671E-2</c:v>
                </c:pt>
                <c:pt idx="137">
                  <c:v>0.1194131103015037</c:v>
                </c:pt>
                <c:pt idx="138">
                  <c:v>1.5678311806013312E-3</c:v>
                </c:pt>
                <c:pt idx="139">
                  <c:v>9.4673393251966331E-2</c:v>
                </c:pt>
                <c:pt idx="140">
                  <c:v>-2.3764102217063154E-3</c:v>
                </c:pt>
                <c:pt idx="141">
                  <c:v>1.7444983896449884E-2</c:v>
                </c:pt>
                <c:pt idx="142">
                  <c:v>0.14046426217130037</c:v>
                </c:pt>
                <c:pt idx="143">
                  <c:v>5.45665666513937E-2</c:v>
                </c:pt>
                <c:pt idx="144">
                  <c:v>-3.6297028150524824E-3</c:v>
                </c:pt>
                <c:pt idx="145">
                  <c:v>0.10377355629533369</c:v>
                </c:pt>
                <c:pt idx="146">
                  <c:v>-8.8928587403849235E-2</c:v>
                </c:pt>
                <c:pt idx="147">
                  <c:v>0.1603237471123613</c:v>
                </c:pt>
                <c:pt idx="148">
                  <c:v>-4.4233499953630684E-2</c:v>
                </c:pt>
                <c:pt idx="149">
                  <c:v>-4.1134552062294993E-2</c:v>
                </c:pt>
                <c:pt idx="150">
                  <c:v>0.10756366608730428</c:v>
                </c:pt>
                <c:pt idx="151">
                  <c:v>3.1699403899200007E-2</c:v>
                </c:pt>
                <c:pt idx="152">
                  <c:v>3.3746508371373274E-2</c:v>
                </c:pt>
                <c:pt idx="153">
                  <c:v>8.6252041995197537E-2</c:v>
                </c:pt>
                <c:pt idx="154">
                  <c:v>3.5365179683118697E-2</c:v>
                </c:pt>
                <c:pt idx="155">
                  <c:v>8.8137340985826818E-2</c:v>
                </c:pt>
                <c:pt idx="156">
                  <c:v>-4.470392602523976E-2</c:v>
                </c:pt>
                <c:pt idx="157">
                  <c:v>-3.0035444575631232E-3</c:v>
                </c:pt>
                <c:pt idx="158">
                  <c:v>8.4483536933049663E-2</c:v>
                </c:pt>
                <c:pt idx="159">
                  <c:v>0.11817017613662628</c:v>
                </c:pt>
                <c:pt idx="160">
                  <c:v>-6.7356286386466735E-2</c:v>
                </c:pt>
                <c:pt idx="161">
                  <c:v>0.11702638164235957</c:v>
                </c:pt>
                <c:pt idx="162">
                  <c:v>-2.7874728895880274E-2</c:v>
                </c:pt>
                <c:pt idx="163">
                  <c:v>6.9454220830182933E-2</c:v>
                </c:pt>
                <c:pt idx="164">
                  <c:v>0.11129550351451734</c:v>
                </c:pt>
                <c:pt idx="165">
                  <c:v>4.7781333288223315E-2</c:v>
                </c:pt>
                <c:pt idx="166">
                  <c:v>6.6129537675658767E-2</c:v>
                </c:pt>
                <c:pt idx="167">
                  <c:v>-1.2376016003549317E-2</c:v>
                </c:pt>
                <c:pt idx="168">
                  <c:v>0.13560723154437415</c:v>
                </c:pt>
                <c:pt idx="169">
                  <c:v>5.4318001764335655E-2</c:v>
                </c:pt>
                <c:pt idx="170">
                  <c:v>0.14048826029345829</c:v>
                </c:pt>
                <c:pt idx="171">
                  <c:v>0.13876154408198715</c:v>
                </c:pt>
                <c:pt idx="172">
                  <c:v>8.8219347145058968E-2</c:v>
                </c:pt>
                <c:pt idx="173">
                  <c:v>8.7620788304108466E-2</c:v>
                </c:pt>
                <c:pt idx="174">
                  <c:v>3.1025217363656488E-2</c:v>
                </c:pt>
                <c:pt idx="175">
                  <c:v>5.9637181926276206E-2</c:v>
                </c:pt>
                <c:pt idx="176">
                  <c:v>0.14636323160458087</c:v>
                </c:pt>
                <c:pt idx="177">
                  <c:v>6.2248650595551069E-3</c:v>
                </c:pt>
                <c:pt idx="178">
                  <c:v>0.14135471681199618</c:v>
                </c:pt>
                <c:pt idx="179">
                  <c:v>-9.6962121684670777E-2</c:v>
                </c:pt>
                <c:pt idx="180">
                  <c:v>1.6864650954139471E-2</c:v>
                </c:pt>
                <c:pt idx="181">
                  <c:v>7.1798106640351911E-2</c:v>
                </c:pt>
                <c:pt idx="182">
                  <c:v>-0.10798142528445354</c:v>
                </c:pt>
                <c:pt idx="183">
                  <c:v>5.0670021970535828E-3</c:v>
                </c:pt>
                <c:pt idx="184">
                  <c:v>5.645809182339967E-2</c:v>
                </c:pt>
                <c:pt idx="185">
                  <c:v>8.447749623641343E-2</c:v>
                </c:pt>
                <c:pt idx="186">
                  <c:v>2.3763317717754973E-2</c:v>
                </c:pt>
                <c:pt idx="187">
                  <c:v>6.8310338472541865E-2</c:v>
                </c:pt>
                <c:pt idx="188">
                  <c:v>6.4338859032819329E-2</c:v>
                </c:pt>
                <c:pt idx="189">
                  <c:v>0.16969616337193294</c:v>
                </c:pt>
                <c:pt idx="190">
                  <c:v>1.8977573507149792E-2</c:v>
                </c:pt>
                <c:pt idx="191">
                  <c:v>0.10437933017895329</c:v>
                </c:pt>
                <c:pt idx="192">
                  <c:v>-1.427643826515812E-2</c:v>
                </c:pt>
                <c:pt idx="193">
                  <c:v>6.8537958192099069E-2</c:v>
                </c:pt>
                <c:pt idx="194">
                  <c:v>-7.9233951995419716E-2</c:v>
                </c:pt>
                <c:pt idx="195">
                  <c:v>2.5182085421040945E-2</c:v>
                </c:pt>
                <c:pt idx="196">
                  <c:v>0.21499240013309961</c:v>
                </c:pt>
                <c:pt idx="197">
                  <c:v>0.10338339728449508</c:v>
                </c:pt>
                <c:pt idx="198">
                  <c:v>3.7225636677889362E-2</c:v>
                </c:pt>
                <c:pt idx="199">
                  <c:v>0.23724825240722502</c:v>
                </c:pt>
                <c:pt idx="200">
                  <c:v>8.3834484222764516E-3</c:v>
                </c:pt>
                <c:pt idx="201">
                  <c:v>4.7491242433491898E-2</c:v>
                </c:pt>
                <c:pt idx="202">
                  <c:v>0.13196076882558305</c:v>
                </c:pt>
                <c:pt idx="203">
                  <c:v>0.16500931052525569</c:v>
                </c:pt>
                <c:pt idx="204">
                  <c:v>-1.8432314706391395E-3</c:v>
                </c:pt>
                <c:pt idx="205">
                  <c:v>7.9313691644580686E-2</c:v>
                </c:pt>
                <c:pt idx="206">
                  <c:v>-1.6187830771056788E-2</c:v>
                </c:pt>
                <c:pt idx="207">
                  <c:v>6.4267145169861983E-2</c:v>
                </c:pt>
                <c:pt idx="208">
                  <c:v>0.11356534800216167</c:v>
                </c:pt>
                <c:pt idx="209">
                  <c:v>5.480736184482371E-2</c:v>
                </c:pt>
                <c:pt idx="210">
                  <c:v>1.4758794155355304E-2</c:v>
                </c:pt>
                <c:pt idx="211">
                  <c:v>7.5400784597297488E-2</c:v>
                </c:pt>
                <c:pt idx="212">
                  <c:v>0.15792279183121494</c:v>
                </c:pt>
                <c:pt idx="213">
                  <c:v>0.10093529467653806</c:v>
                </c:pt>
                <c:pt idx="214">
                  <c:v>6.5533713456783715E-2</c:v>
                </c:pt>
                <c:pt idx="215">
                  <c:v>6.0376805887350393E-2</c:v>
                </c:pt>
                <c:pt idx="216">
                  <c:v>-2.1504451738936226E-3</c:v>
                </c:pt>
                <c:pt idx="217">
                  <c:v>6.7914647239469161E-2</c:v>
                </c:pt>
                <c:pt idx="218">
                  <c:v>-1.0981074632165466E-2</c:v>
                </c:pt>
                <c:pt idx="219">
                  <c:v>-4.5078133280380683E-3</c:v>
                </c:pt>
                <c:pt idx="220">
                  <c:v>2.898250425318416E-2</c:v>
                </c:pt>
                <c:pt idx="221">
                  <c:v>3.000873367252499E-2</c:v>
                </c:pt>
                <c:pt idx="222">
                  <c:v>-3.9838628694107925E-2</c:v>
                </c:pt>
                <c:pt idx="223">
                  <c:v>6.3527837731215619E-2</c:v>
                </c:pt>
                <c:pt idx="224">
                  <c:v>6.1671737143019101E-2</c:v>
                </c:pt>
                <c:pt idx="225">
                  <c:v>0.11988248918675293</c:v>
                </c:pt>
                <c:pt idx="226">
                  <c:v>-7.4842884358173656E-2</c:v>
                </c:pt>
                <c:pt idx="227">
                  <c:v>-4.9050882108474525E-3</c:v>
                </c:pt>
                <c:pt idx="228">
                  <c:v>4.6903598804579616E-3</c:v>
                </c:pt>
                <c:pt idx="229">
                  <c:v>-1.6638640188796572E-2</c:v>
                </c:pt>
                <c:pt idx="230">
                  <c:v>4.9431695233339568E-2</c:v>
                </c:pt>
                <c:pt idx="231">
                  <c:v>-0.14148501522840284</c:v>
                </c:pt>
                <c:pt idx="232">
                  <c:v>2.7522459845553016E-2</c:v>
                </c:pt>
                <c:pt idx="233">
                  <c:v>0.22109894247967254</c:v>
                </c:pt>
                <c:pt idx="234">
                  <c:v>9.3962217052288466E-2</c:v>
                </c:pt>
                <c:pt idx="235">
                  <c:v>0.11939638636694383</c:v>
                </c:pt>
                <c:pt idx="236">
                  <c:v>-1.1017950608928295E-2</c:v>
                </c:pt>
                <c:pt idx="237">
                  <c:v>4.0339063890952431E-2</c:v>
                </c:pt>
                <c:pt idx="238">
                  <c:v>0.24638015541608116</c:v>
                </c:pt>
                <c:pt idx="239">
                  <c:v>0.142085292483352</c:v>
                </c:pt>
                <c:pt idx="240">
                  <c:v>4.7520941670152972E-2</c:v>
                </c:pt>
                <c:pt idx="241">
                  <c:v>0.10772022527095704</c:v>
                </c:pt>
                <c:pt idx="242">
                  <c:v>9.277243545863989E-2</c:v>
                </c:pt>
                <c:pt idx="243">
                  <c:v>2.5271300737515823E-2</c:v>
                </c:pt>
                <c:pt idx="244">
                  <c:v>-1.548058302468025E-2</c:v>
                </c:pt>
                <c:pt idx="245">
                  <c:v>2.7803616010271703E-2</c:v>
                </c:pt>
                <c:pt idx="246">
                  <c:v>1.2933332747449455E-2</c:v>
                </c:pt>
                <c:pt idx="247">
                  <c:v>-1.4188357137991048E-2</c:v>
                </c:pt>
                <c:pt idx="248">
                  <c:v>-6.6991497855338977E-2</c:v>
                </c:pt>
                <c:pt idx="249">
                  <c:v>6.7008118219469281E-3</c:v>
                </c:pt>
                <c:pt idx="250">
                  <c:v>4.9492150000918222E-2</c:v>
                </c:pt>
                <c:pt idx="251">
                  <c:v>2.620474324217259E-2</c:v>
                </c:pt>
                <c:pt idx="252">
                  <c:v>5.803008460989556E-2</c:v>
                </c:pt>
                <c:pt idx="253">
                  <c:v>-3.0809449354411989E-2</c:v>
                </c:pt>
                <c:pt idx="254">
                  <c:v>0.10907006484100012</c:v>
                </c:pt>
                <c:pt idx="255">
                  <c:v>-8.3701521232121934E-2</c:v>
                </c:pt>
                <c:pt idx="256">
                  <c:v>3.3971762706915598E-2</c:v>
                </c:pt>
                <c:pt idx="257">
                  <c:v>4.6308839174906247E-2</c:v>
                </c:pt>
                <c:pt idx="258">
                  <c:v>8.6430112623743227E-3</c:v>
                </c:pt>
                <c:pt idx="259">
                  <c:v>8.1020627644597276E-2</c:v>
                </c:pt>
                <c:pt idx="260">
                  <c:v>0.12032024303665612</c:v>
                </c:pt>
                <c:pt idx="261">
                  <c:v>0.1155856202460912</c:v>
                </c:pt>
                <c:pt idx="262">
                  <c:v>4.9659583607532198E-2</c:v>
                </c:pt>
                <c:pt idx="263">
                  <c:v>8.4723218993791427E-2</c:v>
                </c:pt>
                <c:pt idx="264">
                  <c:v>0.11455512826598735</c:v>
                </c:pt>
                <c:pt idx="265">
                  <c:v>0.13871340071589877</c:v>
                </c:pt>
                <c:pt idx="266">
                  <c:v>2.0975529825971506E-2</c:v>
                </c:pt>
                <c:pt idx="267">
                  <c:v>3.7228218338845487E-2</c:v>
                </c:pt>
                <c:pt idx="268">
                  <c:v>4.5377628907252721E-2</c:v>
                </c:pt>
                <c:pt idx="269">
                  <c:v>7.8001178594658604E-2</c:v>
                </c:pt>
                <c:pt idx="270">
                  <c:v>-2.0292326120578963E-2</c:v>
                </c:pt>
                <c:pt idx="271">
                  <c:v>0.10268142299315208</c:v>
                </c:pt>
                <c:pt idx="272">
                  <c:v>-2.6829208301313301E-3</c:v>
                </c:pt>
                <c:pt idx="273">
                  <c:v>6.8666300399671698E-2</c:v>
                </c:pt>
                <c:pt idx="274">
                  <c:v>-6.8050030889928337E-2</c:v>
                </c:pt>
                <c:pt idx="275">
                  <c:v>0.10791791053322353</c:v>
                </c:pt>
                <c:pt idx="276">
                  <c:v>7.7166687919081767E-2</c:v>
                </c:pt>
                <c:pt idx="277">
                  <c:v>0.10023064626199485</c:v>
                </c:pt>
                <c:pt idx="278">
                  <c:v>5.4577921795217144E-2</c:v>
                </c:pt>
                <c:pt idx="279">
                  <c:v>0.11469601370604199</c:v>
                </c:pt>
                <c:pt idx="280">
                  <c:v>-5.447238289875056E-2</c:v>
                </c:pt>
                <c:pt idx="281">
                  <c:v>7.9294406188230582E-2</c:v>
                </c:pt>
                <c:pt idx="282">
                  <c:v>-8.8827108143962441E-2</c:v>
                </c:pt>
                <c:pt idx="283">
                  <c:v>8.5534113030773185E-2</c:v>
                </c:pt>
                <c:pt idx="284">
                  <c:v>8.4131833939070866E-2</c:v>
                </c:pt>
                <c:pt idx="285">
                  <c:v>0.13683918112380855</c:v>
                </c:pt>
                <c:pt idx="286">
                  <c:v>0.11089632373339864</c:v>
                </c:pt>
                <c:pt idx="287">
                  <c:v>-4.202047272845455E-3</c:v>
                </c:pt>
                <c:pt idx="288">
                  <c:v>5.9965441767729999E-2</c:v>
                </c:pt>
                <c:pt idx="289">
                  <c:v>5.8039711600659238E-2</c:v>
                </c:pt>
                <c:pt idx="290">
                  <c:v>0.193478629199066</c:v>
                </c:pt>
                <c:pt idx="291">
                  <c:v>3.5525059545405746E-2</c:v>
                </c:pt>
                <c:pt idx="292">
                  <c:v>5.460216261210693E-2</c:v>
                </c:pt>
                <c:pt idx="293">
                  <c:v>6.5122295680402509E-2</c:v>
                </c:pt>
                <c:pt idx="294">
                  <c:v>1.879613048177653E-2</c:v>
                </c:pt>
                <c:pt idx="295">
                  <c:v>6.1653305863917929E-2</c:v>
                </c:pt>
                <c:pt idx="296">
                  <c:v>1.4183011275246571E-2</c:v>
                </c:pt>
                <c:pt idx="297">
                  <c:v>0.1212578349371114</c:v>
                </c:pt>
                <c:pt idx="298">
                  <c:v>3.1736692500741626E-2</c:v>
                </c:pt>
                <c:pt idx="299">
                  <c:v>4.9797388699826861E-2</c:v>
                </c:pt>
                <c:pt idx="300">
                  <c:v>0.12412657689534257</c:v>
                </c:pt>
                <c:pt idx="301">
                  <c:v>0.11035469921927099</c:v>
                </c:pt>
                <c:pt idx="302">
                  <c:v>0.10748132979681824</c:v>
                </c:pt>
                <c:pt idx="303">
                  <c:v>-1.0712125375775372E-2</c:v>
                </c:pt>
                <c:pt idx="304">
                  <c:v>4.0013614130192998E-2</c:v>
                </c:pt>
                <c:pt idx="305">
                  <c:v>6.5084951005608183E-2</c:v>
                </c:pt>
                <c:pt idx="306">
                  <c:v>-6.4051543968036917E-2</c:v>
                </c:pt>
                <c:pt idx="307">
                  <c:v>-3.8013626794592525E-2</c:v>
                </c:pt>
                <c:pt idx="308">
                  <c:v>-5.0311871927231522E-2</c:v>
                </c:pt>
                <c:pt idx="309">
                  <c:v>4.9038757253309306E-2</c:v>
                </c:pt>
                <c:pt idx="310">
                  <c:v>1.9141966327533844E-2</c:v>
                </c:pt>
                <c:pt idx="311">
                  <c:v>-4.4660457697124123E-2</c:v>
                </c:pt>
                <c:pt idx="312">
                  <c:v>9.7356901544989327E-3</c:v>
                </c:pt>
                <c:pt idx="313">
                  <c:v>8.155979380765821E-2</c:v>
                </c:pt>
                <c:pt idx="314">
                  <c:v>-1.4189777726124397E-2</c:v>
                </c:pt>
                <c:pt idx="315">
                  <c:v>-9.7853435032704716E-2</c:v>
                </c:pt>
                <c:pt idx="316">
                  <c:v>7.8046643847528685E-2</c:v>
                </c:pt>
                <c:pt idx="317">
                  <c:v>-2.0371943329679176E-2</c:v>
                </c:pt>
                <c:pt idx="318">
                  <c:v>0.20076210721505117</c:v>
                </c:pt>
                <c:pt idx="319">
                  <c:v>1.9844450712270145E-2</c:v>
                </c:pt>
                <c:pt idx="320">
                  <c:v>-6.6560543709674569E-2</c:v>
                </c:pt>
                <c:pt idx="321">
                  <c:v>0.12126554665536915</c:v>
                </c:pt>
                <c:pt idx="322">
                  <c:v>4.643415525738348E-2</c:v>
                </c:pt>
                <c:pt idx="323">
                  <c:v>3.822962146897968E-2</c:v>
                </c:pt>
                <c:pt idx="324">
                  <c:v>3.6839298310891166E-2</c:v>
                </c:pt>
                <c:pt idx="325">
                  <c:v>-1.7973623076551704E-2</c:v>
                </c:pt>
                <c:pt idx="326">
                  <c:v>2.8130855491283135E-2</c:v>
                </c:pt>
                <c:pt idx="327">
                  <c:v>5.4289686973252316E-2</c:v>
                </c:pt>
                <c:pt idx="328">
                  <c:v>7.3181014958120905E-2</c:v>
                </c:pt>
                <c:pt idx="329">
                  <c:v>6.0252056831779477E-2</c:v>
                </c:pt>
                <c:pt idx="330">
                  <c:v>0.11422474240651326</c:v>
                </c:pt>
                <c:pt idx="331">
                  <c:v>-5.7777198316683709E-2</c:v>
                </c:pt>
                <c:pt idx="332">
                  <c:v>0.19681669343328778</c:v>
                </c:pt>
                <c:pt idx="333">
                  <c:v>4.1134498642758643E-3</c:v>
                </c:pt>
                <c:pt idx="334">
                  <c:v>1.0723923428455961E-2</c:v>
                </c:pt>
                <c:pt idx="335">
                  <c:v>5.1233742916387826E-3</c:v>
                </c:pt>
                <c:pt idx="336">
                  <c:v>4.4181281506660675E-2</c:v>
                </c:pt>
                <c:pt idx="337">
                  <c:v>-3.0227703129509287E-2</c:v>
                </c:pt>
                <c:pt idx="338">
                  <c:v>0.26132603754836836</c:v>
                </c:pt>
                <c:pt idx="339">
                  <c:v>0.1140447372557869</c:v>
                </c:pt>
                <c:pt idx="340">
                  <c:v>0.17023825648889002</c:v>
                </c:pt>
                <c:pt idx="341">
                  <c:v>-6.0491298093694468E-3</c:v>
                </c:pt>
                <c:pt idx="342">
                  <c:v>0.10846635960089568</c:v>
                </c:pt>
                <c:pt idx="343">
                  <c:v>0.1367738351614749</c:v>
                </c:pt>
                <c:pt idx="344">
                  <c:v>0.11392074853851053</c:v>
                </c:pt>
                <c:pt idx="345">
                  <c:v>0.19691777258351628</c:v>
                </c:pt>
                <c:pt idx="346">
                  <c:v>8.6978812301916619E-2</c:v>
                </c:pt>
                <c:pt idx="347">
                  <c:v>9.9408229082761146E-2</c:v>
                </c:pt>
                <c:pt idx="348">
                  <c:v>4.7527011883045311E-2</c:v>
                </c:pt>
                <c:pt idx="349">
                  <c:v>-3.8623394165134606E-2</c:v>
                </c:pt>
                <c:pt idx="350">
                  <c:v>9.985604613011656E-2</c:v>
                </c:pt>
                <c:pt idx="351">
                  <c:v>0.10450616988958128</c:v>
                </c:pt>
                <c:pt idx="352">
                  <c:v>-5.2866534795692033E-2</c:v>
                </c:pt>
                <c:pt idx="353">
                  <c:v>3.6603854292817317E-2</c:v>
                </c:pt>
                <c:pt idx="354">
                  <c:v>5.0806701684509292E-2</c:v>
                </c:pt>
                <c:pt idx="355">
                  <c:v>5.2455319338641893E-2</c:v>
                </c:pt>
                <c:pt idx="356">
                  <c:v>4.0871539841637272E-2</c:v>
                </c:pt>
                <c:pt idx="357">
                  <c:v>-9.6791239476705648E-2</c:v>
                </c:pt>
                <c:pt idx="358">
                  <c:v>-7.1332158756694852E-2</c:v>
                </c:pt>
                <c:pt idx="359">
                  <c:v>6.7155770741865517E-2</c:v>
                </c:pt>
                <c:pt idx="360">
                  <c:v>5.2398630348398534E-2</c:v>
                </c:pt>
                <c:pt idx="361">
                  <c:v>0.14012209237424944</c:v>
                </c:pt>
                <c:pt idx="362">
                  <c:v>7.8184826663122209E-2</c:v>
                </c:pt>
                <c:pt idx="363">
                  <c:v>7.4583676941341714E-2</c:v>
                </c:pt>
                <c:pt idx="364">
                  <c:v>8.7584633350337171E-3</c:v>
                </c:pt>
                <c:pt idx="365">
                  <c:v>6.9581493082893076E-6</c:v>
                </c:pt>
                <c:pt idx="366">
                  <c:v>1.3814057969652183E-2</c:v>
                </c:pt>
                <c:pt idx="367">
                  <c:v>0.16769101259808572</c:v>
                </c:pt>
                <c:pt idx="368">
                  <c:v>2.7707654935882786E-2</c:v>
                </c:pt>
                <c:pt idx="369">
                  <c:v>-5.0200948947336954E-2</c:v>
                </c:pt>
                <c:pt idx="370">
                  <c:v>3.977141138451401E-2</c:v>
                </c:pt>
                <c:pt idx="371">
                  <c:v>-8.6214020244982592E-2</c:v>
                </c:pt>
                <c:pt idx="372">
                  <c:v>0.1912624772127467</c:v>
                </c:pt>
                <c:pt idx="373">
                  <c:v>-4.0147714932932566E-2</c:v>
                </c:pt>
                <c:pt idx="374">
                  <c:v>0.1334373365265149</c:v>
                </c:pt>
                <c:pt idx="375">
                  <c:v>2.8942957606055586E-2</c:v>
                </c:pt>
                <c:pt idx="376">
                  <c:v>0.24604977578147125</c:v>
                </c:pt>
                <c:pt idx="377">
                  <c:v>0.10624031465281369</c:v>
                </c:pt>
                <c:pt idx="378">
                  <c:v>0.21811443685963283</c:v>
                </c:pt>
                <c:pt idx="379">
                  <c:v>0.19005350031507628</c:v>
                </c:pt>
                <c:pt idx="380">
                  <c:v>0.10135317510960729</c:v>
                </c:pt>
                <c:pt idx="381">
                  <c:v>6.9621823461734067E-3</c:v>
                </c:pt>
                <c:pt idx="382">
                  <c:v>3.4550323799440008E-2</c:v>
                </c:pt>
                <c:pt idx="383">
                  <c:v>0.18122975627939297</c:v>
                </c:pt>
                <c:pt idx="384">
                  <c:v>2.7314024111237956E-3</c:v>
                </c:pt>
                <c:pt idx="385">
                  <c:v>8.3631765890639365E-2</c:v>
                </c:pt>
                <c:pt idx="386">
                  <c:v>0.13791823196013464</c:v>
                </c:pt>
                <c:pt idx="387">
                  <c:v>6.2623999115456463E-2</c:v>
                </c:pt>
                <c:pt idx="388">
                  <c:v>-8.2638140604625043E-2</c:v>
                </c:pt>
                <c:pt idx="389">
                  <c:v>5.3541578151580005E-2</c:v>
                </c:pt>
                <c:pt idx="390">
                  <c:v>0.15501112753774926</c:v>
                </c:pt>
                <c:pt idx="391">
                  <c:v>-1.1484013949957905E-2</c:v>
                </c:pt>
                <c:pt idx="392">
                  <c:v>0.11792580343711112</c:v>
                </c:pt>
                <c:pt idx="393">
                  <c:v>3.9193472131424656E-2</c:v>
                </c:pt>
                <c:pt idx="394">
                  <c:v>0.15067188632025008</c:v>
                </c:pt>
                <c:pt idx="395">
                  <c:v>-3.0825107915714689E-2</c:v>
                </c:pt>
                <c:pt idx="396">
                  <c:v>3.5292597833211481E-2</c:v>
                </c:pt>
                <c:pt idx="397">
                  <c:v>2.9686667566569902E-2</c:v>
                </c:pt>
                <c:pt idx="398">
                  <c:v>0.16886430796806007</c:v>
                </c:pt>
                <c:pt idx="399">
                  <c:v>7.9569785147794114E-2</c:v>
                </c:pt>
                <c:pt idx="400">
                  <c:v>-1.6760065872736263E-2</c:v>
                </c:pt>
                <c:pt idx="401">
                  <c:v>-2.4999943692875171E-2</c:v>
                </c:pt>
                <c:pt idx="402">
                  <c:v>-4.8945148382362191E-4</c:v>
                </c:pt>
                <c:pt idx="403">
                  <c:v>7.2291198875682028E-2</c:v>
                </c:pt>
                <c:pt idx="404">
                  <c:v>6.5285434351801896E-2</c:v>
                </c:pt>
                <c:pt idx="405">
                  <c:v>2.3582382715768624E-2</c:v>
                </c:pt>
                <c:pt idx="406">
                  <c:v>-5.5442939815168124E-2</c:v>
                </c:pt>
                <c:pt idx="407">
                  <c:v>2.9596260148212927E-2</c:v>
                </c:pt>
                <c:pt idx="408">
                  <c:v>0.21163638804949958</c:v>
                </c:pt>
                <c:pt idx="409">
                  <c:v>2.0256728389055567E-2</c:v>
                </c:pt>
                <c:pt idx="410">
                  <c:v>2.0080666989399809E-2</c:v>
                </c:pt>
                <c:pt idx="411">
                  <c:v>-2.3081008152076699E-2</c:v>
                </c:pt>
                <c:pt idx="412">
                  <c:v>-8.7647392130228319E-2</c:v>
                </c:pt>
                <c:pt idx="413">
                  <c:v>-8.2666797108599255E-3</c:v>
                </c:pt>
                <c:pt idx="414">
                  <c:v>1.0163970436808611E-2</c:v>
                </c:pt>
                <c:pt idx="415">
                  <c:v>0.1020772085717816</c:v>
                </c:pt>
                <c:pt idx="416">
                  <c:v>7.7262831692951117E-2</c:v>
                </c:pt>
                <c:pt idx="417">
                  <c:v>1.7675982884552077E-2</c:v>
                </c:pt>
                <c:pt idx="418">
                  <c:v>0.1324210427322825</c:v>
                </c:pt>
                <c:pt idx="419">
                  <c:v>-1.2652181106558302E-2</c:v>
                </c:pt>
                <c:pt idx="420">
                  <c:v>-1.5200834196313906E-2</c:v>
                </c:pt>
                <c:pt idx="421">
                  <c:v>0.10042835810495099</c:v>
                </c:pt>
                <c:pt idx="422">
                  <c:v>6.8724849899796325E-2</c:v>
                </c:pt>
                <c:pt idx="423">
                  <c:v>6.0207351379559348E-2</c:v>
                </c:pt>
                <c:pt idx="424">
                  <c:v>0.13842531585218598</c:v>
                </c:pt>
                <c:pt idx="425">
                  <c:v>8.8232971483805045E-2</c:v>
                </c:pt>
                <c:pt idx="426">
                  <c:v>0.15450764700468689</c:v>
                </c:pt>
                <c:pt idx="427">
                  <c:v>8.6059464331151858E-2</c:v>
                </c:pt>
                <c:pt idx="428">
                  <c:v>8.5694469608630364E-2</c:v>
                </c:pt>
                <c:pt idx="429">
                  <c:v>7.9095496038616098E-2</c:v>
                </c:pt>
                <c:pt idx="430">
                  <c:v>-0.10556176110485183</c:v>
                </c:pt>
                <c:pt idx="431">
                  <c:v>1.1953475816046222E-2</c:v>
                </c:pt>
                <c:pt idx="432">
                  <c:v>4.3366996319475604E-2</c:v>
                </c:pt>
                <c:pt idx="433">
                  <c:v>0.11401075981000375</c:v>
                </c:pt>
                <c:pt idx="434">
                  <c:v>6.9867727545261715E-2</c:v>
                </c:pt>
                <c:pt idx="435">
                  <c:v>3.7407094577728728E-2</c:v>
                </c:pt>
                <c:pt idx="436">
                  <c:v>0.14715028731891522</c:v>
                </c:pt>
                <c:pt idx="437">
                  <c:v>-5.7196648912023029E-2</c:v>
                </c:pt>
                <c:pt idx="438">
                  <c:v>7.372700340321181E-2</c:v>
                </c:pt>
                <c:pt idx="439">
                  <c:v>2.3215060219062167E-2</c:v>
                </c:pt>
                <c:pt idx="440">
                  <c:v>0.12267159975736508</c:v>
                </c:pt>
                <c:pt idx="441">
                  <c:v>0.17363062113558403</c:v>
                </c:pt>
                <c:pt idx="442">
                  <c:v>-2.3811997560395426E-2</c:v>
                </c:pt>
                <c:pt idx="443">
                  <c:v>9.2104424063518486E-2</c:v>
                </c:pt>
                <c:pt idx="444">
                  <c:v>-4.6043237024163908E-2</c:v>
                </c:pt>
                <c:pt idx="445">
                  <c:v>0.12270189983034285</c:v>
                </c:pt>
                <c:pt idx="446">
                  <c:v>1.1437132194824784E-4</c:v>
                </c:pt>
                <c:pt idx="447">
                  <c:v>0.13812799280902155</c:v>
                </c:pt>
                <c:pt idx="448">
                  <c:v>8.9520449352686882E-3</c:v>
                </c:pt>
                <c:pt idx="449">
                  <c:v>-4.5095473201304692E-2</c:v>
                </c:pt>
                <c:pt idx="450">
                  <c:v>2.8214556539403191E-2</c:v>
                </c:pt>
                <c:pt idx="451">
                  <c:v>5.5854081722146454E-2</c:v>
                </c:pt>
                <c:pt idx="452">
                  <c:v>-3.2074169320140733E-2</c:v>
                </c:pt>
                <c:pt idx="453">
                  <c:v>9.1938983582381617E-2</c:v>
                </c:pt>
                <c:pt idx="454">
                  <c:v>0.11915256869895519</c:v>
                </c:pt>
                <c:pt idx="455">
                  <c:v>-2.0682324466260837E-2</c:v>
                </c:pt>
                <c:pt idx="456">
                  <c:v>7.1511350820218311E-2</c:v>
                </c:pt>
                <c:pt idx="457">
                  <c:v>3.9923521305349929E-2</c:v>
                </c:pt>
                <c:pt idx="458">
                  <c:v>-8.6743478378486394E-2</c:v>
                </c:pt>
                <c:pt idx="459">
                  <c:v>0.10785631900717352</c:v>
                </c:pt>
                <c:pt idx="460">
                  <c:v>1.2854971643361246E-2</c:v>
                </c:pt>
                <c:pt idx="461">
                  <c:v>8.3368508805296671E-2</c:v>
                </c:pt>
                <c:pt idx="462">
                  <c:v>0.13395046781665965</c:v>
                </c:pt>
                <c:pt idx="463">
                  <c:v>0.15914904526831286</c:v>
                </c:pt>
                <c:pt idx="464">
                  <c:v>0.1142021719855375</c:v>
                </c:pt>
                <c:pt idx="465">
                  <c:v>1.2201116069153528E-2</c:v>
                </c:pt>
                <c:pt idx="466">
                  <c:v>2.1597549370561353E-2</c:v>
                </c:pt>
                <c:pt idx="467">
                  <c:v>6.6913501308976997E-2</c:v>
                </c:pt>
                <c:pt idx="468">
                  <c:v>8.9439645565843939E-2</c:v>
                </c:pt>
                <c:pt idx="469">
                  <c:v>5.9004838168647211E-2</c:v>
                </c:pt>
                <c:pt idx="470">
                  <c:v>3.4607666841979245E-2</c:v>
                </c:pt>
                <c:pt idx="471">
                  <c:v>0.1529088261899485</c:v>
                </c:pt>
                <c:pt idx="472">
                  <c:v>6.5330649472020497E-2</c:v>
                </c:pt>
                <c:pt idx="473">
                  <c:v>6.0564624671600953E-2</c:v>
                </c:pt>
                <c:pt idx="474">
                  <c:v>7.522540639962827E-2</c:v>
                </c:pt>
                <c:pt idx="475">
                  <c:v>0.11231125091183358</c:v>
                </c:pt>
                <c:pt idx="476">
                  <c:v>7.1940183382140255E-2</c:v>
                </c:pt>
                <c:pt idx="477">
                  <c:v>7.6816318964343822E-2</c:v>
                </c:pt>
                <c:pt idx="478">
                  <c:v>-6.1499331476097652E-2</c:v>
                </c:pt>
                <c:pt idx="479">
                  <c:v>1.5050012452973327E-2</c:v>
                </c:pt>
                <c:pt idx="480">
                  <c:v>0.10730528988793253</c:v>
                </c:pt>
                <c:pt idx="481">
                  <c:v>-4.967806956304166E-3</c:v>
                </c:pt>
                <c:pt idx="482">
                  <c:v>9.3272774430275263E-4</c:v>
                </c:pt>
                <c:pt idx="483">
                  <c:v>-2.5293907249221093E-2</c:v>
                </c:pt>
                <c:pt idx="484">
                  <c:v>4.2058644309942217E-2</c:v>
                </c:pt>
                <c:pt idx="485">
                  <c:v>-1.984937309072965E-2</c:v>
                </c:pt>
                <c:pt idx="486">
                  <c:v>6.8146632567611221E-2</c:v>
                </c:pt>
                <c:pt idx="487">
                  <c:v>0.12947069808345812</c:v>
                </c:pt>
                <c:pt idx="488">
                  <c:v>3.2496756434680307E-2</c:v>
                </c:pt>
                <c:pt idx="489">
                  <c:v>-1.2367989584944006E-2</c:v>
                </c:pt>
                <c:pt idx="490">
                  <c:v>5.5460758196925752E-3</c:v>
                </c:pt>
                <c:pt idx="491">
                  <c:v>3.1956436468434823E-2</c:v>
                </c:pt>
                <c:pt idx="492">
                  <c:v>5.0736969106901952E-2</c:v>
                </c:pt>
                <c:pt idx="493">
                  <c:v>1.6179435649732454E-2</c:v>
                </c:pt>
                <c:pt idx="494">
                  <c:v>4.8445119593257147E-2</c:v>
                </c:pt>
                <c:pt idx="495">
                  <c:v>0.13967764037045249</c:v>
                </c:pt>
                <c:pt idx="496">
                  <c:v>8.0044339029221589E-2</c:v>
                </c:pt>
                <c:pt idx="497">
                  <c:v>-9.1039870388319954E-2</c:v>
                </c:pt>
                <c:pt idx="498">
                  <c:v>6.9126249954269525E-2</c:v>
                </c:pt>
                <c:pt idx="499">
                  <c:v>7.4976415841510047E-2</c:v>
                </c:pt>
                <c:pt idx="500">
                  <c:v>-0.14837090892268279</c:v>
                </c:pt>
                <c:pt idx="501">
                  <c:v>1.3143816806251429E-2</c:v>
                </c:pt>
                <c:pt idx="502">
                  <c:v>0.10022690206489226</c:v>
                </c:pt>
                <c:pt idx="503">
                  <c:v>0.16714802704593446</c:v>
                </c:pt>
                <c:pt idx="504">
                  <c:v>5.1434868370932918E-2</c:v>
                </c:pt>
                <c:pt idx="505">
                  <c:v>3.1886191747645398E-3</c:v>
                </c:pt>
                <c:pt idx="506">
                  <c:v>9.6748628289887506E-2</c:v>
                </c:pt>
                <c:pt idx="507">
                  <c:v>-3.3845788144732936E-3</c:v>
                </c:pt>
                <c:pt idx="508">
                  <c:v>0.12338780161624996</c:v>
                </c:pt>
                <c:pt idx="509">
                  <c:v>-6.0401719292295653E-3</c:v>
                </c:pt>
                <c:pt idx="510">
                  <c:v>8.1888597922257667E-2</c:v>
                </c:pt>
                <c:pt idx="511">
                  <c:v>7.8413892729744639E-2</c:v>
                </c:pt>
                <c:pt idx="512">
                  <c:v>6.7413581685100255E-2</c:v>
                </c:pt>
                <c:pt idx="513">
                  <c:v>0.11613875887196823</c:v>
                </c:pt>
                <c:pt idx="514">
                  <c:v>0.1310125252670904</c:v>
                </c:pt>
                <c:pt idx="515">
                  <c:v>-2.7051929078879766E-2</c:v>
                </c:pt>
                <c:pt idx="516">
                  <c:v>7.584286513338423E-2</c:v>
                </c:pt>
                <c:pt idx="517">
                  <c:v>3.9545099823965479E-2</c:v>
                </c:pt>
                <c:pt idx="518">
                  <c:v>0.15325053953947432</c:v>
                </c:pt>
                <c:pt idx="519">
                  <c:v>6.1046727699693548E-2</c:v>
                </c:pt>
                <c:pt idx="520">
                  <c:v>0.13620661040255744</c:v>
                </c:pt>
                <c:pt idx="521">
                  <c:v>7.0137586750929515E-2</c:v>
                </c:pt>
                <c:pt idx="522">
                  <c:v>0.12230564684455469</c:v>
                </c:pt>
                <c:pt idx="523">
                  <c:v>6.5727087969558617E-2</c:v>
                </c:pt>
                <c:pt idx="524">
                  <c:v>1.6575587377617218E-2</c:v>
                </c:pt>
                <c:pt idx="525">
                  <c:v>-2.2739855317537305E-2</c:v>
                </c:pt>
                <c:pt idx="526">
                  <c:v>6.8710314058687771E-2</c:v>
                </c:pt>
                <c:pt idx="527">
                  <c:v>-5.7559953023311294E-2</c:v>
                </c:pt>
                <c:pt idx="528">
                  <c:v>2.4463785972609564E-2</c:v>
                </c:pt>
                <c:pt idx="529">
                  <c:v>6.9481719146420318E-2</c:v>
                </c:pt>
                <c:pt idx="530">
                  <c:v>-1.8315531730575429E-2</c:v>
                </c:pt>
                <c:pt idx="531">
                  <c:v>9.8809103543095134E-2</c:v>
                </c:pt>
                <c:pt idx="532">
                  <c:v>9.7225235498112461E-2</c:v>
                </c:pt>
                <c:pt idx="533">
                  <c:v>6.2551161393038512E-2</c:v>
                </c:pt>
                <c:pt idx="534">
                  <c:v>-8.3734908027049748E-2</c:v>
                </c:pt>
                <c:pt idx="535">
                  <c:v>3.9370052347933893E-2</c:v>
                </c:pt>
                <c:pt idx="536">
                  <c:v>3.7287201865638053E-2</c:v>
                </c:pt>
                <c:pt idx="537">
                  <c:v>2.9417220436469549E-2</c:v>
                </c:pt>
                <c:pt idx="538">
                  <c:v>1.6100200380931184E-2</c:v>
                </c:pt>
                <c:pt idx="539">
                  <c:v>-1.6980412532944023E-2</c:v>
                </c:pt>
                <c:pt idx="540">
                  <c:v>4.0740764953993036E-2</c:v>
                </c:pt>
                <c:pt idx="541">
                  <c:v>-9.3643261843672221E-2</c:v>
                </c:pt>
                <c:pt idx="542">
                  <c:v>4.3685333462189391E-2</c:v>
                </c:pt>
                <c:pt idx="543">
                  <c:v>8.2171191548971123E-2</c:v>
                </c:pt>
                <c:pt idx="544">
                  <c:v>0.10410549829658322</c:v>
                </c:pt>
                <c:pt idx="545">
                  <c:v>0.12707417901559115</c:v>
                </c:pt>
                <c:pt idx="546">
                  <c:v>0.17494855057753345</c:v>
                </c:pt>
                <c:pt idx="547">
                  <c:v>-6.787510762282789E-2</c:v>
                </c:pt>
                <c:pt idx="548">
                  <c:v>-1.7583800983115516E-2</c:v>
                </c:pt>
                <c:pt idx="549">
                  <c:v>-3.2595632215477899E-2</c:v>
                </c:pt>
                <c:pt idx="550">
                  <c:v>-7.2280745209809538E-3</c:v>
                </c:pt>
                <c:pt idx="551">
                  <c:v>-2.9842350037721843E-2</c:v>
                </c:pt>
                <c:pt idx="552">
                  <c:v>8.5387730538213802E-2</c:v>
                </c:pt>
                <c:pt idx="553">
                  <c:v>4.2553168956898091E-2</c:v>
                </c:pt>
                <c:pt idx="554">
                  <c:v>-0.13478638999326886</c:v>
                </c:pt>
                <c:pt idx="555">
                  <c:v>4.4126132135945184E-2</c:v>
                </c:pt>
                <c:pt idx="556">
                  <c:v>0.22264726327498607</c:v>
                </c:pt>
                <c:pt idx="557">
                  <c:v>6.8795532236237023E-2</c:v>
                </c:pt>
                <c:pt idx="558">
                  <c:v>1.1690155387739765E-2</c:v>
                </c:pt>
                <c:pt idx="559">
                  <c:v>5.2627546370544565E-2</c:v>
                </c:pt>
                <c:pt idx="560">
                  <c:v>5.208191239734461E-2</c:v>
                </c:pt>
                <c:pt idx="561">
                  <c:v>0.1155968592222969</c:v>
                </c:pt>
                <c:pt idx="562">
                  <c:v>6.058501725444998E-2</c:v>
                </c:pt>
                <c:pt idx="563">
                  <c:v>3.6767690060035996E-2</c:v>
                </c:pt>
                <c:pt idx="564">
                  <c:v>3.3725818465900836E-2</c:v>
                </c:pt>
                <c:pt idx="565">
                  <c:v>0.17448659564879776</c:v>
                </c:pt>
                <c:pt idx="566">
                  <c:v>0.10523679383390672</c:v>
                </c:pt>
                <c:pt idx="567">
                  <c:v>1.1833738369793068E-2</c:v>
                </c:pt>
                <c:pt idx="568">
                  <c:v>0.10445312699426612</c:v>
                </c:pt>
                <c:pt idx="569">
                  <c:v>0.11539556798108919</c:v>
                </c:pt>
                <c:pt idx="570">
                  <c:v>-1.2340856910295628E-3</c:v>
                </c:pt>
                <c:pt idx="571">
                  <c:v>0.10443802872683872</c:v>
                </c:pt>
                <c:pt idx="572">
                  <c:v>0.14218450524815562</c:v>
                </c:pt>
                <c:pt idx="573">
                  <c:v>0.11214808200340975</c:v>
                </c:pt>
                <c:pt idx="574">
                  <c:v>0.11051777841347032</c:v>
                </c:pt>
                <c:pt idx="575">
                  <c:v>0.13724546345512678</c:v>
                </c:pt>
                <c:pt idx="576">
                  <c:v>0.12395510737505777</c:v>
                </c:pt>
                <c:pt idx="577">
                  <c:v>5.6229000337047808E-2</c:v>
                </c:pt>
                <c:pt idx="578">
                  <c:v>2.6559254153948331E-3</c:v>
                </c:pt>
                <c:pt idx="579">
                  <c:v>-6.6226316543219532E-2</c:v>
                </c:pt>
                <c:pt idx="580">
                  <c:v>-5.1786731151490351E-2</c:v>
                </c:pt>
                <c:pt idx="581">
                  <c:v>0.14186787652803101</c:v>
                </c:pt>
                <c:pt idx="582">
                  <c:v>1.1196545631735333E-2</c:v>
                </c:pt>
                <c:pt idx="583">
                  <c:v>4.8625367044823342E-2</c:v>
                </c:pt>
                <c:pt idx="584">
                  <c:v>0.15431373012372784</c:v>
                </c:pt>
                <c:pt idx="585">
                  <c:v>-2.6629709428219073E-2</c:v>
                </c:pt>
                <c:pt idx="586">
                  <c:v>-1.7596230507682442E-2</c:v>
                </c:pt>
                <c:pt idx="587">
                  <c:v>6.7015566434778684E-2</c:v>
                </c:pt>
                <c:pt idx="588">
                  <c:v>-8.7499925703975023E-2</c:v>
                </c:pt>
                <c:pt idx="589">
                  <c:v>5.705210805401606E-2</c:v>
                </c:pt>
                <c:pt idx="590">
                  <c:v>2.8091931564775408E-3</c:v>
                </c:pt>
                <c:pt idx="591">
                  <c:v>-6.1806034437108082E-2</c:v>
                </c:pt>
                <c:pt idx="592">
                  <c:v>0.10468723252677403</c:v>
                </c:pt>
                <c:pt idx="593">
                  <c:v>1.0867006658124012E-2</c:v>
                </c:pt>
                <c:pt idx="594">
                  <c:v>0.14225697387845404</c:v>
                </c:pt>
                <c:pt idx="595">
                  <c:v>-2.3292245458989669E-2</c:v>
                </c:pt>
                <c:pt idx="596">
                  <c:v>2.0711840337099829E-3</c:v>
                </c:pt>
                <c:pt idx="597">
                  <c:v>4.1236293152245196E-2</c:v>
                </c:pt>
                <c:pt idx="598">
                  <c:v>-9.4116596589225665E-2</c:v>
                </c:pt>
                <c:pt idx="599">
                  <c:v>3.3046277140766911E-2</c:v>
                </c:pt>
                <c:pt idx="600">
                  <c:v>6.0245668727235469E-2</c:v>
                </c:pt>
                <c:pt idx="601">
                  <c:v>-3.3423923516525456E-2</c:v>
                </c:pt>
                <c:pt idx="602">
                  <c:v>7.7652044352138461E-2</c:v>
                </c:pt>
                <c:pt idx="603">
                  <c:v>-1.6265515072057646E-2</c:v>
                </c:pt>
                <c:pt idx="604">
                  <c:v>6.040338315328686E-2</c:v>
                </c:pt>
                <c:pt idx="605">
                  <c:v>0.21287242057773081</c:v>
                </c:pt>
                <c:pt idx="606">
                  <c:v>9.9984656933660432E-4</c:v>
                </c:pt>
                <c:pt idx="607">
                  <c:v>-8.1753662750966072E-2</c:v>
                </c:pt>
                <c:pt idx="608">
                  <c:v>-0.10499522794579352</c:v>
                </c:pt>
                <c:pt idx="609">
                  <c:v>0.13765115374982795</c:v>
                </c:pt>
                <c:pt idx="610">
                  <c:v>5.5883612627690482E-2</c:v>
                </c:pt>
                <c:pt idx="611">
                  <c:v>8.8592936007794165E-3</c:v>
                </c:pt>
                <c:pt idx="612">
                  <c:v>-2.51214163152369E-3</c:v>
                </c:pt>
                <c:pt idx="613">
                  <c:v>9.4472532455139202E-2</c:v>
                </c:pt>
                <c:pt idx="614">
                  <c:v>-1.9596617343109024E-2</c:v>
                </c:pt>
                <c:pt idx="615">
                  <c:v>-7.7129848356748631E-2</c:v>
                </c:pt>
                <c:pt idx="616">
                  <c:v>4.6224755059038891E-2</c:v>
                </c:pt>
                <c:pt idx="617">
                  <c:v>3.6628106246170411E-2</c:v>
                </c:pt>
                <c:pt idx="618">
                  <c:v>7.1221377903340155E-2</c:v>
                </c:pt>
                <c:pt idx="619">
                  <c:v>4.2307596961001614E-2</c:v>
                </c:pt>
                <c:pt idx="620">
                  <c:v>-1.4218389729492742E-2</c:v>
                </c:pt>
                <c:pt idx="621">
                  <c:v>3.9295482685556493E-2</c:v>
                </c:pt>
                <c:pt idx="622">
                  <c:v>3.8970691756310849E-2</c:v>
                </c:pt>
                <c:pt idx="623">
                  <c:v>2.7807362164389282E-2</c:v>
                </c:pt>
                <c:pt idx="624">
                  <c:v>2.5176599071512484E-2</c:v>
                </c:pt>
                <c:pt idx="625">
                  <c:v>-8.1133035161260025E-2</c:v>
                </c:pt>
                <c:pt idx="626">
                  <c:v>8.6847770938495827E-2</c:v>
                </c:pt>
                <c:pt idx="627">
                  <c:v>-2.2556151569823157E-2</c:v>
                </c:pt>
                <c:pt idx="628">
                  <c:v>3.5871352971035719E-2</c:v>
                </c:pt>
                <c:pt idx="629">
                  <c:v>0.15819758983565624</c:v>
                </c:pt>
                <c:pt idx="630">
                  <c:v>5.1884814922925848E-2</c:v>
                </c:pt>
                <c:pt idx="631">
                  <c:v>1.662573348460672E-2</c:v>
                </c:pt>
                <c:pt idx="632">
                  <c:v>4.4488515846994758E-2</c:v>
                </c:pt>
                <c:pt idx="633">
                  <c:v>0.16554827540466377</c:v>
                </c:pt>
                <c:pt idx="634">
                  <c:v>-9.9192267510418652E-2</c:v>
                </c:pt>
                <c:pt idx="635">
                  <c:v>3.31601823584462E-2</c:v>
                </c:pt>
                <c:pt idx="636">
                  <c:v>0.11585105136998486</c:v>
                </c:pt>
                <c:pt idx="637">
                  <c:v>9.462746698469271E-2</c:v>
                </c:pt>
                <c:pt idx="638">
                  <c:v>-1.9528049767040478E-2</c:v>
                </c:pt>
                <c:pt idx="639">
                  <c:v>8.5119857846012614E-2</c:v>
                </c:pt>
                <c:pt idx="640">
                  <c:v>0.11427190144221555</c:v>
                </c:pt>
                <c:pt idx="641">
                  <c:v>7.7050109364117603E-2</c:v>
                </c:pt>
                <c:pt idx="642">
                  <c:v>-5.9289703166700569E-2</c:v>
                </c:pt>
                <c:pt idx="643">
                  <c:v>4.8205772413759895E-2</c:v>
                </c:pt>
                <c:pt idx="644">
                  <c:v>4.404192459412748E-2</c:v>
                </c:pt>
                <c:pt idx="645">
                  <c:v>-8.5729694334813367E-2</c:v>
                </c:pt>
                <c:pt idx="646">
                  <c:v>8.6488830589672716E-2</c:v>
                </c:pt>
                <c:pt idx="647">
                  <c:v>9.4455937415689029E-2</c:v>
                </c:pt>
                <c:pt idx="648">
                  <c:v>0.15367281472450767</c:v>
                </c:pt>
                <c:pt idx="649">
                  <c:v>0.11999364251830613</c:v>
                </c:pt>
                <c:pt idx="650">
                  <c:v>1.568241606392462E-2</c:v>
                </c:pt>
                <c:pt idx="651">
                  <c:v>3.2732694576242061E-2</c:v>
                </c:pt>
                <c:pt idx="652">
                  <c:v>5.2668218908014097E-3</c:v>
                </c:pt>
                <c:pt idx="653">
                  <c:v>-3.3012373285166596E-2</c:v>
                </c:pt>
                <c:pt idx="654">
                  <c:v>1.2163201242946009E-2</c:v>
                </c:pt>
                <c:pt idx="655">
                  <c:v>8.4744121181623555E-2</c:v>
                </c:pt>
                <c:pt idx="656">
                  <c:v>-8.1168319529112409E-3</c:v>
                </c:pt>
                <c:pt idx="657">
                  <c:v>6.6752578444456034E-2</c:v>
                </c:pt>
                <c:pt idx="658">
                  <c:v>5.9821942192101574E-2</c:v>
                </c:pt>
                <c:pt idx="659">
                  <c:v>-2.9772009216933348E-2</c:v>
                </c:pt>
                <c:pt idx="660">
                  <c:v>-7.9084634643389329E-2</c:v>
                </c:pt>
                <c:pt idx="661">
                  <c:v>1.219669311243532E-2</c:v>
                </c:pt>
                <c:pt idx="662">
                  <c:v>8.1354580743339788E-2</c:v>
                </c:pt>
                <c:pt idx="663">
                  <c:v>-4.3735983850523574E-2</c:v>
                </c:pt>
                <c:pt idx="664">
                  <c:v>6.1105185954257735E-2</c:v>
                </c:pt>
                <c:pt idx="665">
                  <c:v>0.17799583246788941</c:v>
                </c:pt>
                <c:pt idx="666">
                  <c:v>6.685045582624749E-2</c:v>
                </c:pt>
                <c:pt idx="667">
                  <c:v>2.1361699167537829E-2</c:v>
                </c:pt>
                <c:pt idx="668">
                  <c:v>0.12726435908789924</c:v>
                </c:pt>
                <c:pt idx="669">
                  <c:v>2.8390636025154237E-2</c:v>
                </c:pt>
                <c:pt idx="670">
                  <c:v>-9.5253664361529822E-2</c:v>
                </c:pt>
                <c:pt idx="671">
                  <c:v>4.1095320766636689E-2</c:v>
                </c:pt>
                <c:pt idx="672">
                  <c:v>-2.8993632695318183E-2</c:v>
                </c:pt>
                <c:pt idx="673">
                  <c:v>7.2717621094811058E-2</c:v>
                </c:pt>
                <c:pt idx="674">
                  <c:v>0.1137794853418681</c:v>
                </c:pt>
                <c:pt idx="675">
                  <c:v>0.18605460742149393</c:v>
                </c:pt>
                <c:pt idx="676">
                  <c:v>0.11586726570091432</c:v>
                </c:pt>
                <c:pt idx="677">
                  <c:v>2.149863151967768E-2</c:v>
                </c:pt>
                <c:pt idx="678">
                  <c:v>0.14567989470611931</c:v>
                </c:pt>
                <c:pt idx="679">
                  <c:v>0.14111500887208273</c:v>
                </c:pt>
                <c:pt idx="680">
                  <c:v>1.4528691363079993E-2</c:v>
                </c:pt>
                <c:pt idx="681">
                  <c:v>-8.4141894652068672E-2</c:v>
                </c:pt>
                <c:pt idx="682">
                  <c:v>8.2175020173266944E-2</c:v>
                </c:pt>
                <c:pt idx="683">
                  <c:v>-1.7533177510914655E-2</c:v>
                </c:pt>
                <c:pt idx="684">
                  <c:v>7.006392730708555E-2</c:v>
                </c:pt>
                <c:pt idx="685">
                  <c:v>9.844975335007522E-2</c:v>
                </c:pt>
                <c:pt idx="686">
                  <c:v>1.7403648171251618E-2</c:v>
                </c:pt>
                <c:pt idx="687">
                  <c:v>5.0057167968658334E-2</c:v>
                </c:pt>
                <c:pt idx="688">
                  <c:v>7.1607675521895509E-2</c:v>
                </c:pt>
                <c:pt idx="689">
                  <c:v>4.2759532998582372E-2</c:v>
                </c:pt>
                <c:pt idx="690">
                  <c:v>-1.5743637140420041E-2</c:v>
                </c:pt>
                <c:pt idx="691">
                  <c:v>8.6093108427474085E-2</c:v>
                </c:pt>
                <c:pt idx="692">
                  <c:v>0.10912636149266053</c:v>
                </c:pt>
                <c:pt idx="693">
                  <c:v>1.2929241834075178E-2</c:v>
                </c:pt>
                <c:pt idx="694">
                  <c:v>0.10066489977881243</c:v>
                </c:pt>
                <c:pt idx="695">
                  <c:v>5.8440290921942584E-2</c:v>
                </c:pt>
                <c:pt idx="696">
                  <c:v>0.25094311437149308</c:v>
                </c:pt>
                <c:pt idx="697">
                  <c:v>7.1751364735104239E-2</c:v>
                </c:pt>
                <c:pt idx="698">
                  <c:v>2.8785530885693689E-2</c:v>
                </c:pt>
                <c:pt idx="699">
                  <c:v>3.3763922507924704E-2</c:v>
                </c:pt>
                <c:pt idx="700">
                  <c:v>-2.2793358936623598E-2</c:v>
                </c:pt>
                <c:pt idx="701">
                  <c:v>-3.1910798446248556E-2</c:v>
                </c:pt>
                <c:pt idx="702">
                  <c:v>0.20590223285217579</c:v>
                </c:pt>
                <c:pt idx="703">
                  <c:v>-6.4734710180962551E-3</c:v>
                </c:pt>
                <c:pt idx="704">
                  <c:v>0.15275996924636637</c:v>
                </c:pt>
                <c:pt idx="705">
                  <c:v>0.11330932876346544</c:v>
                </c:pt>
                <c:pt idx="706">
                  <c:v>-6.0659005229585006E-2</c:v>
                </c:pt>
                <c:pt idx="707">
                  <c:v>5.2996260427177866E-2</c:v>
                </c:pt>
                <c:pt idx="708">
                  <c:v>2.4549683224259766E-3</c:v>
                </c:pt>
                <c:pt idx="709">
                  <c:v>6.4907383549357434E-2</c:v>
                </c:pt>
                <c:pt idx="710">
                  <c:v>2.583867650686944E-2</c:v>
                </c:pt>
                <c:pt idx="711">
                  <c:v>0.14313015365918869</c:v>
                </c:pt>
                <c:pt idx="712">
                  <c:v>0.12458654046464179</c:v>
                </c:pt>
                <c:pt idx="713">
                  <c:v>0.14634188294527739</c:v>
                </c:pt>
                <c:pt idx="714">
                  <c:v>9.9768280727188241E-3</c:v>
                </c:pt>
                <c:pt idx="715">
                  <c:v>2.5366502539129421E-2</c:v>
                </c:pt>
                <c:pt idx="716">
                  <c:v>-3.806960099541179E-2</c:v>
                </c:pt>
                <c:pt idx="717">
                  <c:v>-3.4244380412401298E-2</c:v>
                </c:pt>
                <c:pt idx="718">
                  <c:v>0.23999536437063274</c:v>
                </c:pt>
                <c:pt idx="719">
                  <c:v>2.3570550833568404E-2</c:v>
                </c:pt>
                <c:pt idx="720">
                  <c:v>-2.7237520441663499E-2</c:v>
                </c:pt>
                <c:pt idx="721">
                  <c:v>6.3667148758596248E-2</c:v>
                </c:pt>
                <c:pt idx="722">
                  <c:v>9.8525282512171408E-2</c:v>
                </c:pt>
                <c:pt idx="723">
                  <c:v>9.5775760408312038E-2</c:v>
                </c:pt>
                <c:pt idx="724">
                  <c:v>7.9318915346777707E-2</c:v>
                </c:pt>
                <c:pt idx="725">
                  <c:v>1.8240414822641604E-2</c:v>
                </c:pt>
                <c:pt idx="726">
                  <c:v>4.0155313552883598E-2</c:v>
                </c:pt>
                <c:pt idx="727">
                  <c:v>0.13403308157917682</c:v>
                </c:pt>
                <c:pt idx="728">
                  <c:v>6.0534723399219281E-2</c:v>
                </c:pt>
                <c:pt idx="729">
                  <c:v>2.5253918206386672E-2</c:v>
                </c:pt>
                <c:pt idx="730">
                  <c:v>7.1185408794293359E-2</c:v>
                </c:pt>
                <c:pt idx="731">
                  <c:v>-1.8559724756574525E-2</c:v>
                </c:pt>
                <c:pt idx="732">
                  <c:v>7.2966655473210018E-2</c:v>
                </c:pt>
                <c:pt idx="733">
                  <c:v>2.8982803587937589E-2</c:v>
                </c:pt>
                <c:pt idx="734">
                  <c:v>-3.320287469085148E-2</c:v>
                </c:pt>
                <c:pt idx="735">
                  <c:v>0.25632408859470068</c:v>
                </c:pt>
                <c:pt idx="736">
                  <c:v>-2.0935594518901368E-2</c:v>
                </c:pt>
                <c:pt idx="737">
                  <c:v>-8.8783259930275804E-2</c:v>
                </c:pt>
                <c:pt idx="738">
                  <c:v>0.10650511683569341</c:v>
                </c:pt>
                <c:pt idx="739">
                  <c:v>-4.1346202336404403E-2</c:v>
                </c:pt>
                <c:pt idx="740">
                  <c:v>9.3302277630474606E-2</c:v>
                </c:pt>
                <c:pt idx="741">
                  <c:v>8.3205001065622675E-2</c:v>
                </c:pt>
                <c:pt idx="742">
                  <c:v>3.8128180993206584E-3</c:v>
                </c:pt>
                <c:pt idx="743">
                  <c:v>-0.1231769196385315</c:v>
                </c:pt>
                <c:pt idx="744">
                  <c:v>4.5346591340433839E-2</c:v>
                </c:pt>
                <c:pt idx="745">
                  <c:v>-3.7874393419662589E-2</c:v>
                </c:pt>
                <c:pt idx="746">
                  <c:v>-4.558148532661388E-2</c:v>
                </c:pt>
                <c:pt idx="747">
                  <c:v>0.12507387030689721</c:v>
                </c:pt>
                <c:pt idx="748">
                  <c:v>2.8958651501749699E-2</c:v>
                </c:pt>
                <c:pt idx="749">
                  <c:v>8.3906042894108523E-3</c:v>
                </c:pt>
                <c:pt idx="750">
                  <c:v>8.6774600443050964E-2</c:v>
                </c:pt>
                <c:pt idx="751">
                  <c:v>1.5640301111156774E-2</c:v>
                </c:pt>
                <c:pt idx="752">
                  <c:v>2.2807961768748442E-2</c:v>
                </c:pt>
                <c:pt idx="753">
                  <c:v>5.1331923690690395E-2</c:v>
                </c:pt>
                <c:pt idx="754">
                  <c:v>-4.8018399394330835E-2</c:v>
                </c:pt>
                <c:pt idx="755">
                  <c:v>-1.9239691703317519E-2</c:v>
                </c:pt>
                <c:pt idx="756">
                  <c:v>0.12107050054527235</c:v>
                </c:pt>
                <c:pt idx="757">
                  <c:v>-3.6161479294790411E-2</c:v>
                </c:pt>
                <c:pt idx="758">
                  <c:v>-4.3547551452638444E-2</c:v>
                </c:pt>
                <c:pt idx="759">
                  <c:v>0.1115729790953619</c:v>
                </c:pt>
                <c:pt idx="760">
                  <c:v>-2.6601185083548806E-2</c:v>
                </c:pt>
                <c:pt idx="761">
                  <c:v>-2.7847355495604909E-2</c:v>
                </c:pt>
                <c:pt idx="762">
                  <c:v>0.12938490680992043</c:v>
                </c:pt>
                <c:pt idx="763">
                  <c:v>2.1956247073990021E-2</c:v>
                </c:pt>
                <c:pt idx="764">
                  <c:v>0.11453016554978923</c:v>
                </c:pt>
                <c:pt idx="765">
                  <c:v>-1.8841719092135278E-3</c:v>
                </c:pt>
                <c:pt idx="766">
                  <c:v>3.9201963360078196E-3</c:v>
                </c:pt>
                <c:pt idx="767">
                  <c:v>0.18697347026513622</c:v>
                </c:pt>
                <c:pt idx="768">
                  <c:v>0.22686589012188652</c:v>
                </c:pt>
                <c:pt idx="769">
                  <c:v>1.3673370463668455E-2</c:v>
                </c:pt>
                <c:pt idx="770">
                  <c:v>9.3912810229060284E-2</c:v>
                </c:pt>
                <c:pt idx="771">
                  <c:v>-7.2492514458240898E-2</c:v>
                </c:pt>
                <c:pt idx="772">
                  <c:v>3.6843250957639739E-2</c:v>
                </c:pt>
                <c:pt idx="773">
                  <c:v>8.4970463954006981E-2</c:v>
                </c:pt>
                <c:pt idx="774">
                  <c:v>6.6513633223834745E-2</c:v>
                </c:pt>
                <c:pt idx="775">
                  <c:v>3.4395592760780858E-2</c:v>
                </c:pt>
                <c:pt idx="776">
                  <c:v>-5.8091299156521004E-2</c:v>
                </c:pt>
                <c:pt idx="777">
                  <c:v>-2.7316327781929495E-2</c:v>
                </c:pt>
                <c:pt idx="778">
                  <c:v>4.9130612466027124E-2</c:v>
                </c:pt>
                <c:pt idx="779">
                  <c:v>4.8943791348198928E-2</c:v>
                </c:pt>
                <c:pt idx="780">
                  <c:v>8.9920514315943834E-2</c:v>
                </c:pt>
                <c:pt idx="781">
                  <c:v>-2.0863301256402345E-2</c:v>
                </c:pt>
                <c:pt idx="782">
                  <c:v>0.15738951138442037</c:v>
                </c:pt>
                <c:pt idx="783">
                  <c:v>-0.16488440889728828</c:v>
                </c:pt>
                <c:pt idx="784">
                  <c:v>2.520041114817051E-2</c:v>
                </c:pt>
                <c:pt idx="785">
                  <c:v>-4.0562517625778227E-2</c:v>
                </c:pt>
                <c:pt idx="786">
                  <c:v>1.4626587704973382E-2</c:v>
                </c:pt>
                <c:pt idx="787">
                  <c:v>0.12273390331465261</c:v>
                </c:pt>
                <c:pt idx="788">
                  <c:v>0.10342490089376799</c:v>
                </c:pt>
                <c:pt idx="789">
                  <c:v>1.7722735174141135E-2</c:v>
                </c:pt>
                <c:pt idx="790">
                  <c:v>1.6386486098612707E-2</c:v>
                </c:pt>
                <c:pt idx="791">
                  <c:v>6.9720358109741198E-2</c:v>
                </c:pt>
                <c:pt idx="792">
                  <c:v>4.2678807405834185E-2</c:v>
                </c:pt>
                <c:pt idx="793">
                  <c:v>1.4720677519962422E-2</c:v>
                </c:pt>
                <c:pt idx="794">
                  <c:v>4.0809603195103961E-2</c:v>
                </c:pt>
                <c:pt idx="795">
                  <c:v>-4.7278890684141039E-2</c:v>
                </c:pt>
                <c:pt idx="796">
                  <c:v>8.8982947850615446E-2</c:v>
                </c:pt>
                <c:pt idx="797">
                  <c:v>-9.9973876993818322E-2</c:v>
                </c:pt>
                <c:pt idx="798">
                  <c:v>9.2123981504920849E-2</c:v>
                </c:pt>
                <c:pt idx="799">
                  <c:v>0.17473356638063553</c:v>
                </c:pt>
                <c:pt idx="800">
                  <c:v>-2.1409932038995549E-2</c:v>
                </c:pt>
                <c:pt idx="801">
                  <c:v>-4.4410765478215986E-2</c:v>
                </c:pt>
                <c:pt idx="802">
                  <c:v>2.8350772719597295E-2</c:v>
                </c:pt>
                <c:pt idx="803">
                  <c:v>5.4325967519337048E-2</c:v>
                </c:pt>
                <c:pt idx="804">
                  <c:v>3.0258123439024232E-3</c:v>
                </c:pt>
                <c:pt idx="805">
                  <c:v>2.5657728003568359E-2</c:v>
                </c:pt>
                <c:pt idx="806">
                  <c:v>-6.4459119607131576E-2</c:v>
                </c:pt>
                <c:pt idx="807">
                  <c:v>0.22275544670888081</c:v>
                </c:pt>
                <c:pt idx="808">
                  <c:v>3.9345267725603428E-2</c:v>
                </c:pt>
                <c:pt idx="809">
                  <c:v>-3.2482688503181478E-2</c:v>
                </c:pt>
                <c:pt idx="810">
                  <c:v>5.4989412022813156E-2</c:v>
                </c:pt>
                <c:pt idx="811">
                  <c:v>2.4339096830910734E-2</c:v>
                </c:pt>
                <c:pt idx="812">
                  <c:v>-2.2984119531611391E-2</c:v>
                </c:pt>
                <c:pt idx="813">
                  <c:v>5.7169652373000979E-2</c:v>
                </c:pt>
                <c:pt idx="814">
                  <c:v>0.13207539076777941</c:v>
                </c:pt>
                <c:pt idx="815">
                  <c:v>7.7707046210475639E-2</c:v>
                </c:pt>
                <c:pt idx="816">
                  <c:v>9.1934771917791203E-2</c:v>
                </c:pt>
                <c:pt idx="817">
                  <c:v>-4.1459501415171296E-2</c:v>
                </c:pt>
                <c:pt idx="818">
                  <c:v>6.7331284238137279E-2</c:v>
                </c:pt>
                <c:pt idx="819">
                  <c:v>2.8252340948462518E-3</c:v>
                </c:pt>
                <c:pt idx="820">
                  <c:v>3.2349211454977045E-2</c:v>
                </c:pt>
                <c:pt idx="821">
                  <c:v>-0.20620214410267224</c:v>
                </c:pt>
                <c:pt idx="822">
                  <c:v>4.4825478420319698E-2</c:v>
                </c:pt>
                <c:pt idx="823">
                  <c:v>5.1086713597005229E-2</c:v>
                </c:pt>
                <c:pt idx="824">
                  <c:v>1.6665322461779652E-3</c:v>
                </c:pt>
                <c:pt idx="825">
                  <c:v>5.2606304392248227E-2</c:v>
                </c:pt>
                <c:pt idx="826">
                  <c:v>-3.362455967326472E-2</c:v>
                </c:pt>
                <c:pt idx="827">
                  <c:v>5.3819379492452413E-3</c:v>
                </c:pt>
                <c:pt idx="828">
                  <c:v>0.16960865115028056</c:v>
                </c:pt>
                <c:pt idx="829">
                  <c:v>0.12686110508508719</c:v>
                </c:pt>
                <c:pt idx="830">
                  <c:v>0.11258814911919757</c:v>
                </c:pt>
                <c:pt idx="831">
                  <c:v>-5.4985942531414089E-2</c:v>
                </c:pt>
                <c:pt idx="832">
                  <c:v>5.0001189333077178E-2</c:v>
                </c:pt>
                <c:pt idx="833">
                  <c:v>4.1491098141425375E-2</c:v>
                </c:pt>
                <c:pt idx="834">
                  <c:v>8.5627284338070098E-3</c:v>
                </c:pt>
                <c:pt idx="835">
                  <c:v>-4.7867206950305885E-2</c:v>
                </c:pt>
                <c:pt idx="836">
                  <c:v>-4.697402830515518E-2</c:v>
                </c:pt>
                <c:pt idx="837">
                  <c:v>-4.7669019197793538E-2</c:v>
                </c:pt>
                <c:pt idx="838">
                  <c:v>2.7777614360628533E-2</c:v>
                </c:pt>
                <c:pt idx="839">
                  <c:v>3.0670142720152782E-2</c:v>
                </c:pt>
                <c:pt idx="840">
                  <c:v>7.8271099723049353E-2</c:v>
                </c:pt>
                <c:pt idx="841">
                  <c:v>7.4826667638194344E-2</c:v>
                </c:pt>
                <c:pt idx="842">
                  <c:v>3.6936889626487002E-2</c:v>
                </c:pt>
                <c:pt idx="843">
                  <c:v>-2.0874937071241106E-2</c:v>
                </c:pt>
                <c:pt idx="844">
                  <c:v>3.3613413733809772E-2</c:v>
                </c:pt>
                <c:pt idx="845">
                  <c:v>6.2369585021751384E-2</c:v>
                </c:pt>
                <c:pt idx="846">
                  <c:v>5.107083210059038E-3</c:v>
                </c:pt>
                <c:pt idx="847">
                  <c:v>0.11911040298430731</c:v>
                </c:pt>
                <c:pt idx="848">
                  <c:v>0.21108799988419413</c:v>
                </c:pt>
                <c:pt idx="849">
                  <c:v>-6.7890170356225354E-2</c:v>
                </c:pt>
                <c:pt idx="850">
                  <c:v>0.12023140896111517</c:v>
                </c:pt>
                <c:pt idx="851">
                  <c:v>2.4083947126512406E-2</c:v>
                </c:pt>
                <c:pt idx="852">
                  <c:v>0.15612067382565264</c:v>
                </c:pt>
                <c:pt idx="853">
                  <c:v>3.6727102108926601E-2</c:v>
                </c:pt>
                <c:pt idx="854">
                  <c:v>-7.5721344107479993E-3</c:v>
                </c:pt>
                <c:pt idx="855">
                  <c:v>-4.0685777009716872E-3</c:v>
                </c:pt>
                <c:pt idx="856">
                  <c:v>-5.6543982593588282E-2</c:v>
                </c:pt>
                <c:pt idx="857">
                  <c:v>2.0975023915968727E-2</c:v>
                </c:pt>
                <c:pt idx="858">
                  <c:v>3.5803326508612621E-2</c:v>
                </c:pt>
                <c:pt idx="859">
                  <c:v>-6.2728342664192027E-2</c:v>
                </c:pt>
                <c:pt idx="860">
                  <c:v>3.7886617589638405E-2</c:v>
                </c:pt>
                <c:pt idx="861">
                  <c:v>0.20180169668281511</c:v>
                </c:pt>
                <c:pt idx="862">
                  <c:v>5.0452690355548668E-2</c:v>
                </c:pt>
                <c:pt idx="863">
                  <c:v>6.7650893553151903E-2</c:v>
                </c:pt>
                <c:pt idx="864">
                  <c:v>-2.3730422779536298E-2</c:v>
                </c:pt>
                <c:pt idx="865">
                  <c:v>2.3284346819839818E-2</c:v>
                </c:pt>
                <c:pt idx="866">
                  <c:v>1.208699832518878E-2</c:v>
                </c:pt>
                <c:pt idx="867">
                  <c:v>8.0339064373868396E-2</c:v>
                </c:pt>
                <c:pt idx="868">
                  <c:v>-5.4189511610172048E-3</c:v>
                </c:pt>
                <c:pt idx="869">
                  <c:v>0.12124262020099597</c:v>
                </c:pt>
                <c:pt idx="870">
                  <c:v>9.3510364919731082E-2</c:v>
                </c:pt>
                <c:pt idx="871">
                  <c:v>-1.1164750724188544E-2</c:v>
                </c:pt>
                <c:pt idx="872">
                  <c:v>2.2630695702726911E-2</c:v>
                </c:pt>
                <c:pt idx="873">
                  <c:v>-2.6734443297183219E-2</c:v>
                </c:pt>
                <c:pt idx="874">
                  <c:v>2.4030468903689872E-2</c:v>
                </c:pt>
                <c:pt idx="875">
                  <c:v>6.1944185151787678E-3</c:v>
                </c:pt>
                <c:pt idx="876">
                  <c:v>6.3537994933112074E-2</c:v>
                </c:pt>
                <c:pt idx="877">
                  <c:v>-4.2340441563546882E-2</c:v>
                </c:pt>
                <c:pt idx="878">
                  <c:v>7.0393973899136597E-3</c:v>
                </c:pt>
                <c:pt idx="879">
                  <c:v>-2.9965035983472887E-2</c:v>
                </c:pt>
                <c:pt idx="880">
                  <c:v>0.22664482829054933</c:v>
                </c:pt>
                <c:pt idx="881">
                  <c:v>6.184442832480741E-2</c:v>
                </c:pt>
                <c:pt idx="882">
                  <c:v>-1.9108247755879049E-3</c:v>
                </c:pt>
                <c:pt idx="883">
                  <c:v>6.0934178220472646E-2</c:v>
                </c:pt>
                <c:pt idx="884">
                  <c:v>-6.3243131309812739E-2</c:v>
                </c:pt>
                <c:pt idx="885">
                  <c:v>2.7930075447285319E-2</c:v>
                </c:pt>
                <c:pt idx="886">
                  <c:v>9.2697620315528084E-2</c:v>
                </c:pt>
                <c:pt idx="887">
                  <c:v>6.4808355238171522E-2</c:v>
                </c:pt>
                <c:pt idx="888">
                  <c:v>-2.4381607807280936E-2</c:v>
                </c:pt>
                <c:pt idx="889">
                  <c:v>-9.7508694127945716E-4</c:v>
                </c:pt>
                <c:pt idx="890">
                  <c:v>7.0079582455109701E-2</c:v>
                </c:pt>
                <c:pt idx="891">
                  <c:v>8.9181587308035937E-2</c:v>
                </c:pt>
                <c:pt idx="892">
                  <c:v>7.4202099076893013E-2</c:v>
                </c:pt>
                <c:pt idx="893">
                  <c:v>-2.7458313953140134E-2</c:v>
                </c:pt>
                <c:pt idx="894">
                  <c:v>-5.7748545493109482E-2</c:v>
                </c:pt>
                <c:pt idx="895">
                  <c:v>0.11143196742821271</c:v>
                </c:pt>
                <c:pt idx="896">
                  <c:v>2.5513638840791941E-2</c:v>
                </c:pt>
                <c:pt idx="897">
                  <c:v>-3.1830078709703002E-2</c:v>
                </c:pt>
                <c:pt idx="898">
                  <c:v>0.16547054095677094</c:v>
                </c:pt>
                <c:pt idx="899">
                  <c:v>1.3906814324862182E-3</c:v>
                </c:pt>
                <c:pt idx="900">
                  <c:v>3.4450231729696412E-2</c:v>
                </c:pt>
                <c:pt idx="901">
                  <c:v>-3.8970052958130275E-2</c:v>
                </c:pt>
                <c:pt idx="902">
                  <c:v>8.6413976427452077E-2</c:v>
                </c:pt>
                <c:pt idx="903">
                  <c:v>0.16984353492769344</c:v>
                </c:pt>
                <c:pt idx="904">
                  <c:v>4.2348433059498092E-3</c:v>
                </c:pt>
                <c:pt idx="905">
                  <c:v>3.3668328564321115E-2</c:v>
                </c:pt>
                <c:pt idx="906">
                  <c:v>7.4236234083026709E-2</c:v>
                </c:pt>
                <c:pt idx="907">
                  <c:v>-3.9235032123896119E-2</c:v>
                </c:pt>
                <c:pt idx="908">
                  <c:v>9.2449381750973281E-2</c:v>
                </c:pt>
                <c:pt idx="909">
                  <c:v>0.11765734522819304</c:v>
                </c:pt>
                <c:pt idx="910">
                  <c:v>1.6910982630643723E-2</c:v>
                </c:pt>
                <c:pt idx="911">
                  <c:v>-5.8313945403675405E-2</c:v>
                </c:pt>
                <c:pt idx="912">
                  <c:v>1.499828499510425E-2</c:v>
                </c:pt>
                <c:pt idx="913">
                  <c:v>3.5698050119623126E-2</c:v>
                </c:pt>
                <c:pt idx="914">
                  <c:v>1.8835178323044488E-2</c:v>
                </c:pt>
                <c:pt idx="915">
                  <c:v>2.6125602606015264E-2</c:v>
                </c:pt>
                <c:pt idx="916">
                  <c:v>5.1236727742997701E-2</c:v>
                </c:pt>
                <c:pt idx="917">
                  <c:v>7.6184936352050592E-2</c:v>
                </c:pt>
                <c:pt idx="918">
                  <c:v>7.1851588573212943E-2</c:v>
                </c:pt>
                <c:pt idx="919">
                  <c:v>5.5630601198608964E-2</c:v>
                </c:pt>
                <c:pt idx="920">
                  <c:v>0.1761554281607749</c:v>
                </c:pt>
                <c:pt idx="921">
                  <c:v>6.481131736539858E-3</c:v>
                </c:pt>
                <c:pt idx="922">
                  <c:v>0.16970593864905226</c:v>
                </c:pt>
                <c:pt idx="923">
                  <c:v>0.1134857132063738</c:v>
                </c:pt>
                <c:pt idx="924">
                  <c:v>7.7064498024127737E-2</c:v>
                </c:pt>
                <c:pt idx="925">
                  <c:v>0.18331248732494032</c:v>
                </c:pt>
                <c:pt idx="926">
                  <c:v>0.14022583382685827</c:v>
                </c:pt>
                <c:pt idx="927">
                  <c:v>0.14659629218949011</c:v>
                </c:pt>
                <c:pt idx="928">
                  <c:v>3.7552691821121975E-2</c:v>
                </c:pt>
                <c:pt idx="929">
                  <c:v>-9.2330387229655031E-2</c:v>
                </c:pt>
                <c:pt idx="930">
                  <c:v>-3.504011400088114E-2</c:v>
                </c:pt>
                <c:pt idx="931">
                  <c:v>5.2758954578141726E-2</c:v>
                </c:pt>
                <c:pt idx="932">
                  <c:v>-6.3040879295401808E-2</c:v>
                </c:pt>
                <c:pt idx="933">
                  <c:v>-2.1637901466916354E-2</c:v>
                </c:pt>
                <c:pt idx="934">
                  <c:v>5.2021215163980727E-2</c:v>
                </c:pt>
                <c:pt idx="935">
                  <c:v>1.2386881556404106E-2</c:v>
                </c:pt>
                <c:pt idx="936">
                  <c:v>0.11178877482681582</c:v>
                </c:pt>
                <c:pt idx="937">
                  <c:v>4.8324623983110548E-2</c:v>
                </c:pt>
                <c:pt idx="938">
                  <c:v>4.5758848088540027E-2</c:v>
                </c:pt>
                <c:pt idx="939">
                  <c:v>-5.4236355074879228E-2</c:v>
                </c:pt>
                <c:pt idx="940">
                  <c:v>2.9212705722877708E-2</c:v>
                </c:pt>
                <c:pt idx="941">
                  <c:v>-1.8820151175678923E-2</c:v>
                </c:pt>
                <c:pt idx="942">
                  <c:v>4.4333690386704205E-3</c:v>
                </c:pt>
                <c:pt idx="943">
                  <c:v>-4.0989420404201837E-2</c:v>
                </c:pt>
                <c:pt idx="944">
                  <c:v>0.13941379206003646</c:v>
                </c:pt>
                <c:pt idx="945">
                  <c:v>3.8189478687310263E-2</c:v>
                </c:pt>
                <c:pt idx="946">
                  <c:v>-1.7882766808403616E-2</c:v>
                </c:pt>
                <c:pt idx="947">
                  <c:v>1.9615759271788491E-2</c:v>
                </c:pt>
                <c:pt idx="948">
                  <c:v>-2.1807358926351661E-2</c:v>
                </c:pt>
                <c:pt idx="949">
                  <c:v>-1.2019967217320904E-2</c:v>
                </c:pt>
                <c:pt idx="950">
                  <c:v>9.4768153142181788E-2</c:v>
                </c:pt>
                <c:pt idx="951">
                  <c:v>5.6256766039314066E-2</c:v>
                </c:pt>
                <c:pt idx="952">
                  <c:v>5.667015139158682E-2</c:v>
                </c:pt>
                <c:pt idx="953">
                  <c:v>-2.7142700789297258E-2</c:v>
                </c:pt>
                <c:pt idx="954">
                  <c:v>2.7942195010957072E-2</c:v>
                </c:pt>
                <c:pt idx="955">
                  <c:v>1.5727066544830137E-2</c:v>
                </c:pt>
                <c:pt idx="956">
                  <c:v>5.2411489746632789E-2</c:v>
                </c:pt>
                <c:pt idx="957">
                  <c:v>0.10334674096206165</c:v>
                </c:pt>
                <c:pt idx="958">
                  <c:v>-9.8217717954717898E-2</c:v>
                </c:pt>
                <c:pt idx="959">
                  <c:v>0.10591074633456721</c:v>
                </c:pt>
                <c:pt idx="960">
                  <c:v>3.7277336891390789E-2</c:v>
                </c:pt>
                <c:pt idx="961">
                  <c:v>2.7375168978792885E-2</c:v>
                </c:pt>
                <c:pt idx="962">
                  <c:v>2.1554103463920171E-2</c:v>
                </c:pt>
                <c:pt idx="963">
                  <c:v>3.1574845619295466E-2</c:v>
                </c:pt>
                <c:pt idx="964">
                  <c:v>-4.3334608158140497E-2</c:v>
                </c:pt>
                <c:pt idx="965">
                  <c:v>4.6608516771380337E-2</c:v>
                </c:pt>
                <c:pt idx="966">
                  <c:v>0.21214361216534172</c:v>
                </c:pt>
                <c:pt idx="967">
                  <c:v>7.975764290494336E-2</c:v>
                </c:pt>
                <c:pt idx="968">
                  <c:v>6.6142825584449838E-2</c:v>
                </c:pt>
                <c:pt idx="969">
                  <c:v>3.4862172777049949E-2</c:v>
                </c:pt>
                <c:pt idx="970">
                  <c:v>1.9007873407872466E-3</c:v>
                </c:pt>
                <c:pt idx="971">
                  <c:v>1.60004953018964E-2</c:v>
                </c:pt>
                <c:pt idx="972">
                  <c:v>0.14732983817621026</c:v>
                </c:pt>
                <c:pt idx="973">
                  <c:v>0.13872653962823644</c:v>
                </c:pt>
                <c:pt idx="974">
                  <c:v>-3.5749039717495101E-2</c:v>
                </c:pt>
                <c:pt idx="975">
                  <c:v>-8.6613200890417019E-2</c:v>
                </c:pt>
                <c:pt idx="976">
                  <c:v>1.6978359406181198E-3</c:v>
                </c:pt>
                <c:pt idx="977">
                  <c:v>0.14451228836857055</c:v>
                </c:pt>
                <c:pt idx="978">
                  <c:v>-6.0701061760711994E-2</c:v>
                </c:pt>
                <c:pt idx="979">
                  <c:v>7.1383927786268231E-2</c:v>
                </c:pt>
                <c:pt idx="980">
                  <c:v>7.5725967512909165E-2</c:v>
                </c:pt>
                <c:pt idx="981">
                  <c:v>6.7647778066674213E-2</c:v>
                </c:pt>
                <c:pt idx="982">
                  <c:v>6.2739741750172939E-2</c:v>
                </c:pt>
                <c:pt idx="983">
                  <c:v>6.9677955715024886E-2</c:v>
                </c:pt>
                <c:pt idx="984">
                  <c:v>-8.8374884056053205E-2</c:v>
                </c:pt>
                <c:pt idx="985">
                  <c:v>-0.12445091498180538</c:v>
                </c:pt>
                <c:pt idx="986">
                  <c:v>5.7131074961647599E-2</c:v>
                </c:pt>
                <c:pt idx="987">
                  <c:v>6.530566692443962E-2</c:v>
                </c:pt>
                <c:pt idx="988">
                  <c:v>-0.10613376173125655</c:v>
                </c:pt>
                <c:pt idx="989">
                  <c:v>8.7240233749309226E-2</c:v>
                </c:pt>
                <c:pt idx="990">
                  <c:v>-5.8915927063196705E-3</c:v>
                </c:pt>
                <c:pt idx="991">
                  <c:v>1.271804803881782E-2</c:v>
                </c:pt>
                <c:pt idx="992">
                  <c:v>-9.2201468906106143E-2</c:v>
                </c:pt>
                <c:pt idx="993">
                  <c:v>9.4897168431309353E-2</c:v>
                </c:pt>
                <c:pt idx="994">
                  <c:v>9.9721685659269532E-2</c:v>
                </c:pt>
                <c:pt idx="995">
                  <c:v>2.5255430798507561E-2</c:v>
                </c:pt>
                <c:pt idx="996">
                  <c:v>8.5938061678010769E-2</c:v>
                </c:pt>
                <c:pt idx="997">
                  <c:v>-3.5472371303025163E-2</c:v>
                </c:pt>
                <c:pt idx="998">
                  <c:v>2.1954880024965817E-2</c:v>
                </c:pt>
                <c:pt idx="999">
                  <c:v>-9.5157417659415877E-2</c:v>
                </c:pt>
              </c:numCache>
            </c:numRef>
          </c:xVal>
          <c:yVal>
            <c:numRef>
              <c:f>'Health Simulation'!$F$6:$F$1005</c:f>
              <c:numCache>
                <c:formatCode>_-"£"* #,##0_-;\-"£"* #,##0_-;_-"£"* "-"??_-;_-@_-</c:formatCode>
                <c:ptCount val="1000"/>
                <c:pt idx="0">
                  <c:v>208.85637366672631</c:v>
                </c:pt>
                <c:pt idx="1">
                  <c:v>205.97605327362476</c:v>
                </c:pt>
                <c:pt idx="2">
                  <c:v>367.59911700071689</c:v>
                </c:pt>
                <c:pt idx="3">
                  <c:v>271.30673643887394</c:v>
                </c:pt>
                <c:pt idx="4">
                  <c:v>277.75986563797301</c:v>
                </c:pt>
                <c:pt idx="5">
                  <c:v>137.4325668095812</c:v>
                </c:pt>
                <c:pt idx="6">
                  <c:v>87.785266999702571</c:v>
                </c:pt>
                <c:pt idx="7">
                  <c:v>239.13333239366034</c:v>
                </c:pt>
                <c:pt idx="8">
                  <c:v>171.45108101498295</c:v>
                </c:pt>
                <c:pt idx="9">
                  <c:v>220.89093916446632</c:v>
                </c:pt>
                <c:pt idx="10">
                  <c:v>315.93773891620663</c:v>
                </c:pt>
                <c:pt idx="11">
                  <c:v>250.61262417012176</c:v>
                </c:pt>
                <c:pt idx="12">
                  <c:v>209.29238485450514</c:v>
                </c:pt>
                <c:pt idx="13">
                  <c:v>401.16806118023283</c:v>
                </c:pt>
                <c:pt idx="14">
                  <c:v>199.95984255157418</c:v>
                </c:pt>
                <c:pt idx="15">
                  <c:v>226.89870170370864</c:v>
                </c:pt>
                <c:pt idx="16">
                  <c:v>347.35326686798135</c:v>
                </c:pt>
                <c:pt idx="17">
                  <c:v>299.57108695592456</c:v>
                </c:pt>
                <c:pt idx="18">
                  <c:v>497.69028656497107</c:v>
                </c:pt>
                <c:pt idx="19">
                  <c:v>215.79458831729266</c:v>
                </c:pt>
                <c:pt idx="20">
                  <c:v>483.61180047933408</c:v>
                </c:pt>
                <c:pt idx="21">
                  <c:v>233.58006414648821</c:v>
                </c:pt>
                <c:pt idx="22">
                  <c:v>120.03535531578814</c:v>
                </c:pt>
                <c:pt idx="23">
                  <c:v>538.1203769507415</c:v>
                </c:pt>
                <c:pt idx="24">
                  <c:v>-50.365843249481713</c:v>
                </c:pt>
                <c:pt idx="25">
                  <c:v>207.04937338404829</c:v>
                </c:pt>
                <c:pt idx="26">
                  <c:v>475.36707272647686</c:v>
                </c:pt>
                <c:pt idx="27">
                  <c:v>454.45239808290512</c:v>
                </c:pt>
                <c:pt idx="28">
                  <c:v>258.25361016210877</c:v>
                </c:pt>
                <c:pt idx="29">
                  <c:v>386.28367307570375</c:v>
                </c:pt>
                <c:pt idx="30">
                  <c:v>195.68525680147923</c:v>
                </c:pt>
                <c:pt idx="31">
                  <c:v>-110.22818360623864</c:v>
                </c:pt>
                <c:pt idx="32">
                  <c:v>420.95060709998779</c:v>
                </c:pt>
                <c:pt idx="33">
                  <c:v>310.24259514056757</c:v>
                </c:pt>
                <c:pt idx="34">
                  <c:v>282.75976562141432</c:v>
                </c:pt>
                <c:pt idx="35">
                  <c:v>366.18751514434621</c:v>
                </c:pt>
                <c:pt idx="36">
                  <c:v>306.94479388494437</c:v>
                </c:pt>
                <c:pt idx="37">
                  <c:v>425.91988888351784</c:v>
                </c:pt>
                <c:pt idx="38">
                  <c:v>303.44464467661305</c:v>
                </c:pt>
                <c:pt idx="39">
                  <c:v>269.92655931769491</c:v>
                </c:pt>
                <c:pt idx="40">
                  <c:v>395.08793760809112</c:v>
                </c:pt>
                <c:pt idx="41">
                  <c:v>-83.075301514498051</c:v>
                </c:pt>
                <c:pt idx="42">
                  <c:v>178.15759938031511</c:v>
                </c:pt>
                <c:pt idx="43">
                  <c:v>150.58943240918325</c:v>
                </c:pt>
                <c:pt idx="44">
                  <c:v>404.99536897749863</c:v>
                </c:pt>
                <c:pt idx="45">
                  <c:v>490.39653866251479</c:v>
                </c:pt>
                <c:pt idx="46">
                  <c:v>417.2399102797458</c:v>
                </c:pt>
                <c:pt idx="47">
                  <c:v>372.81679977342446</c:v>
                </c:pt>
                <c:pt idx="48">
                  <c:v>120.90627645480004</c:v>
                </c:pt>
                <c:pt idx="49">
                  <c:v>220.50595926654887</c:v>
                </c:pt>
                <c:pt idx="50">
                  <c:v>309.16436617501245</c:v>
                </c:pt>
                <c:pt idx="51">
                  <c:v>354.94380965315349</c:v>
                </c:pt>
                <c:pt idx="52">
                  <c:v>193.75940284853073</c:v>
                </c:pt>
                <c:pt idx="53">
                  <c:v>317.03143022150243</c:v>
                </c:pt>
                <c:pt idx="54">
                  <c:v>352.49081370768386</c:v>
                </c:pt>
                <c:pt idx="55">
                  <c:v>199.6260641664087</c:v>
                </c:pt>
                <c:pt idx="56">
                  <c:v>325.50603498018404</c:v>
                </c:pt>
                <c:pt idx="57">
                  <c:v>19.800972822511085</c:v>
                </c:pt>
                <c:pt idx="58">
                  <c:v>324.07250423847381</c:v>
                </c:pt>
                <c:pt idx="59">
                  <c:v>153.01629736945006</c:v>
                </c:pt>
                <c:pt idx="60">
                  <c:v>258.18507458712861</c:v>
                </c:pt>
                <c:pt idx="61">
                  <c:v>487.58835877133333</c:v>
                </c:pt>
                <c:pt idx="62">
                  <c:v>316.14032841165408</c:v>
                </c:pt>
                <c:pt idx="63">
                  <c:v>456.92522604331862</c:v>
                </c:pt>
                <c:pt idx="64">
                  <c:v>201.05649753793932</c:v>
                </c:pt>
                <c:pt idx="65">
                  <c:v>217.17514489491873</c:v>
                </c:pt>
                <c:pt idx="66">
                  <c:v>306.26430443682352</c:v>
                </c:pt>
                <c:pt idx="67">
                  <c:v>408.06740764560777</c:v>
                </c:pt>
                <c:pt idx="68">
                  <c:v>238.33113774943445</c:v>
                </c:pt>
                <c:pt idx="69">
                  <c:v>372.99769316237689</c:v>
                </c:pt>
                <c:pt idx="70">
                  <c:v>-30.463853770783317</c:v>
                </c:pt>
                <c:pt idx="71">
                  <c:v>193.50573986008158</c:v>
                </c:pt>
                <c:pt idx="72">
                  <c:v>382.63278840784164</c:v>
                </c:pt>
                <c:pt idx="73">
                  <c:v>369.03287023099483</c:v>
                </c:pt>
                <c:pt idx="74">
                  <c:v>203.77917861101878</c:v>
                </c:pt>
                <c:pt idx="75">
                  <c:v>378.15536374028079</c:v>
                </c:pt>
                <c:pt idx="76">
                  <c:v>280.8481936006699</c:v>
                </c:pt>
                <c:pt idx="77">
                  <c:v>233.50859623319957</c:v>
                </c:pt>
                <c:pt idx="78">
                  <c:v>516.43089333678631</c:v>
                </c:pt>
                <c:pt idx="79">
                  <c:v>181.59747650820555</c:v>
                </c:pt>
                <c:pt idx="80">
                  <c:v>329.18740826104158</c:v>
                </c:pt>
                <c:pt idx="81">
                  <c:v>237.33113969886699</c:v>
                </c:pt>
                <c:pt idx="82">
                  <c:v>-192.3442714028738</c:v>
                </c:pt>
                <c:pt idx="83">
                  <c:v>209.65119805675886</c:v>
                </c:pt>
                <c:pt idx="84">
                  <c:v>442.5994909065405</c:v>
                </c:pt>
                <c:pt idx="85">
                  <c:v>66.163019507933541</c:v>
                </c:pt>
                <c:pt idx="86">
                  <c:v>253.70339412606904</c:v>
                </c:pt>
                <c:pt idx="87">
                  <c:v>232.57350064010757</c:v>
                </c:pt>
                <c:pt idx="88">
                  <c:v>332.47715769552792</c:v>
                </c:pt>
                <c:pt idx="89">
                  <c:v>344.44267087138883</c:v>
                </c:pt>
                <c:pt idx="90">
                  <c:v>385.00699993114881</c:v>
                </c:pt>
                <c:pt idx="91">
                  <c:v>248.05402518121718</c:v>
                </c:pt>
                <c:pt idx="92">
                  <c:v>224.51421315920516</c:v>
                </c:pt>
                <c:pt idx="93">
                  <c:v>676.10127360859383</c:v>
                </c:pt>
                <c:pt idx="94">
                  <c:v>280.92144387368671</c:v>
                </c:pt>
                <c:pt idx="95">
                  <c:v>230.68048000104795</c:v>
                </c:pt>
                <c:pt idx="96">
                  <c:v>221.838307474158</c:v>
                </c:pt>
                <c:pt idx="97">
                  <c:v>528.31699707812822</c:v>
                </c:pt>
                <c:pt idx="98">
                  <c:v>239.5837299005907</c:v>
                </c:pt>
                <c:pt idx="99">
                  <c:v>489.69670286613768</c:v>
                </c:pt>
                <c:pt idx="100">
                  <c:v>475.11799355224139</c:v>
                </c:pt>
                <c:pt idx="101">
                  <c:v>381.05489105875608</c:v>
                </c:pt>
                <c:pt idx="102">
                  <c:v>365.50802610099618</c:v>
                </c:pt>
                <c:pt idx="103">
                  <c:v>424.90558926769518</c:v>
                </c:pt>
                <c:pt idx="104">
                  <c:v>205.62826154431036</c:v>
                </c:pt>
                <c:pt idx="105">
                  <c:v>243.96602421003809</c:v>
                </c:pt>
                <c:pt idx="106">
                  <c:v>89.85859023787657</c:v>
                </c:pt>
                <c:pt idx="107">
                  <c:v>62.185321682679842</c:v>
                </c:pt>
                <c:pt idx="108">
                  <c:v>302.89895235365566</c:v>
                </c:pt>
                <c:pt idx="109">
                  <c:v>277.13462907288431</c:v>
                </c:pt>
                <c:pt idx="110">
                  <c:v>338.28737012760007</c:v>
                </c:pt>
                <c:pt idx="111">
                  <c:v>-80.091495510467666</c:v>
                </c:pt>
                <c:pt idx="112">
                  <c:v>327.55510244707989</c:v>
                </c:pt>
                <c:pt idx="113">
                  <c:v>208.63966431331551</c:v>
                </c:pt>
                <c:pt idx="114">
                  <c:v>384.83146998865914</c:v>
                </c:pt>
                <c:pt idx="115">
                  <c:v>212.18396184308654</c:v>
                </c:pt>
                <c:pt idx="116">
                  <c:v>96.028662525292475</c:v>
                </c:pt>
                <c:pt idx="117">
                  <c:v>117.43332618226191</c:v>
                </c:pt>
                <c:pt idx="118">
                  <c:v>142.56354320301011</c:v>
                </c:pt>
                <c:pt idx="119">
                  <c:v>307.80007275135335</c:v>
                </c:pt>
                <c:pt idx="120">
                  <c:v>326.65169004997369</c:v>
                </c:pt>
                <c:pt idx="121">
                  <c:v>374.23717529799546</c:v>
                </c:pt>
                <c:pt idx="122">
                  <c:v>414.56547300479269</c:v>
                </c:pt>
                <c:pt idx="123">
                  <c:v>241.97757424082647</c:v>
                </c:pt>
                <c:pt idx="124">
                  <c:v>143.05203560178961</c:v>
                </c:pt>
                <c:pt idx="125">
                  <c:v>177.95666606235454</c:v>
                </c:pt>
                <c:pt idx="126">
                  <c:v>262.70231636348308</c:v>
                </c:pt>
                <c:pt idx="127">
                  <c:v>265.409221825229</c:v>
                </c:pt>
                <c:pt idx="128">
                  <c:v>299.25824699309146</c:v>
                </c:pt>
                <c:pt idx="129">
                  <c:v>293.06488207396455</c:v>
                </c:pt>
                <c:pt idx="130">
                  <c:v>292.8663348086809</c:v>
                </c:pt>
                <c:pt idx="131">
                  <c:v>355.89267092751265</c:v>
                </c:pt>
                <c:pt idx="132">
                  <c:v>243.17351406506805</c:v>
                </c:pt>
                <c:pt idx="133">
                  <c:v>306.83129839356047</c:v>
                </c:pt>
                <c:pt idx="134">
                  <c:v>132.4399960306514</c:v>
                </c:pt>
                <c:pt idx="135">
                  <c:v>210.98197650262455</c:v>
                </c:pt>
                <c:pt idx="136">
                  <c:v>175.68662971747062</c:v>
                </c:pt>
                <c:pt idx="137">
                  <c:v>302.06407630028957</c:v>
                </c:pt>
                <c:pt idx="138">
                  <c:v>238.05952692940582</c:v>
                </c:pt>
                <c:pt idx="139">
                  <c:v>176.37566595357316</c:v>
                </c:pt>
                <c:pt idx="140">
                  <c:v>290.99970855311631</c:v>
                </c:pt>
                <c:pt idx="141">
                  <c:v>470.54839360651954</c:v>
                </c:pt>
                <c:pt idx="142">
                  <c:v>213.28382616950489</c:v>
                </c:pt>
                <c:pt idx="143">
                  <c:v>188.03609076313592</c:v>
                </c:pt>
                <c:pt idx="144">
                  <c:v>523.72589123500916</c:v>
                </c:pt>
                <c:pt idx="145">
                  <c:v>227.54423612669575</c:v>
                </c:pt>
                <c:pt idx="146">
                  <c:v>287.95083021132541</c:v>
                </c:pt>
                <c:pt idx="147">
                  <c:v>294.37587898696643</c:v>
                </c:pt>
                <c:pt idx="148">
                  <c:v>336.23664111193193</c:v>
                </c:pt>
                <c:pt idx="149">
                  <c:v>312.30004953211414</c:v>
                </c:pt>
                <c:pt idx="150">
                  <c:v>195.8597440305191</c:v>
                </c:pt>
                <c:pt idx="151">
                  <c:v>437.2224166215176</c:v>
                </c:pt>
                <c:pt idx="152">
                  <c:v>289.66796214062038</c:v>
                </c:pt>
                <c:pt idx="153">
                  <c:v>369.91582117796474</c:v>
                </c:pt>
                <c:pt idx="154">
                  <c:v>295.27766516631618</c:v>
                </c:pt>
                <c:pt idx="155">
                  <c:v>217.22504677118741</c:v>
                </c:pt>
                <c:pt idx="156">
                  <c:v>375.79961801882632</c:v>
                </c:pt>
                <c:pt idx="157">
                  <c:v>325.51790101754318</c:v>
                </c:pt>
                <c:pt idx="158">
                  <c:v>409.31017192765853</c:v>
                </c:pt>
                <c:pt idx="159">
                  <c:v>78.286160231700023</c:v>
                </c:pt>
                <c:pt idx="160">
                  <c:v>507.1503031622492</c:v>
                </c:pt>
                <c:pt idx="161">
                  <c:v>199.7258206370243</c:v>
                </c:pt>
                <c:pt idx="162">
                  <c:v>577.57595394130931</c:v>
                </c:pt>
                <c:pt idx="163">
                  <c:v>306.27240511996888</c:v>
                </c:pt>
                <c:pt idx="164">
                  <c:v>152.95510605514232</c:v>
                </c:pt>
                <c:pt idx="165">
                  <c:v>56.678450576466275</c:v>
                </c:pt>
                <c:pt idx="166">
                  <c:v>297.96577530613649</c:v>
                </c:pt>
                <c:pt idx="167">
                  <c:v>260.49816514553982</c:v>
                </c:pt>
                <c:pt idx="168">
                  <c:v>30.462422453021645</c:v>
                </c:pt>
                <c:pt idx="169">
                  <c:v>503.89336489226957</c:v>
                </c:pt>
                <c:pt idx="170">
                  <c:v>67.608353000682655</c:v>
                </c:pt>
                <c:pt idx="171">
                  <c:v>250.48357775104682</c:v>
                </c:pt>
                <c:pt idx="172">
                  <c:v>413.18090502490122</c:v>
                </c:pt>
                <c:pt idx="173">
                  <c:v>263.10776988445855</c:v>
                </c:pt>
                <c:pt idx="174">
                  <c:v>145.45079527930102</c:v>
                </c:pt>
                <c:pt idx="175">
                  <c:v>298.55711639260653</c:v>
                </c:pt>
                <c:pt idx="176">
                  <c:v>115.14586656696974</c:v>
                </c:pt>
                <c:pt idx="177">
                  <c:v>131.29979159384902</c:v>
                </c:pt>
                <c:pt idx="178">
                  <c:v>393.96837155680055</c:v>
                </c:pt>
                <c:pt idx="179">
                  <c:v>206.49377049600662</c:v>
                </c:pt>
                <c:pt idx="180">
                  <c:v>394.97986132901474</c:v>
                </c:pt>
                <c:pt idx="181">
                  <c:v>51.789921015164282</c:v>
                </c:pt>
                <c:pt idx="182">
                  <c:v>320.89456858367566</c:v>
                </c:pt>
                <c:pt idx="183">
                  <c:v>541.72597231792338</c:v>
                </c:pt>
                <c:pt idx="184">
                  <c:v>232.97354415115592</c:v>
                </c:pt>
                <c:pt idx="185">
                  <c:v>284.43061459325509</c:v>
                </c:pt>
                <c:pt idx="186">
                  <c:v>254.374575499201</c:v>
                </c:pt>
                <c:pt idx="187">
                  <c:v>328.18872005265462</c:v>
                </c:pt>
                <c:pt idx="188">
                  <c:v>230.85391960471134</c:v>
                </c:pt>
                <c:pt idx="189">
                  <c:v>183.70860331188078</c:v>
                </c:pt>
                <c:pt idx="190">
                  <c:v>134.92763800432454</c:v>
                </c:pt>
                <c:pt idx="191">
                  <c:v>184.66558016103863</c:v>
                </c:pt>
                <c:pt idx="192">
                  <c:v>266.73724288265998</c:v>
                </c:pt>
                <c:pt idx="193">
                  <c:v>222.5460128955483</c:v>
                </c:pt>
                <c:pt idx="194">
                  <c:v>393.16568793577221</c:v>
                </c:pt>
                <c:pt idx="195">
                  <c:v>307.61985089634231</c:v>
                </c:pt>
                <c:pt idx="196">
                  <c:v>135.19932823854651</c:v>
                </c:pt>
                <c:pt idx="197">
                  <c:v>310.0409103941015</c:v>
                </c:pt>
                <c:pt idx="198">
                  <c:v>246.4559340431515</c:v>
                </c:pt>
                <c:pt idx="199">
                  <c:v>32.544734444500364</c:v>
                </c:pt>
                <c:pt idx="200">
                  <c:v>520.01948379665623</c:v>
                </c:pt>
                <c:pt idx="201">
                  <c:v>271.39581188199804</c:v>
                </c:pt>
                <c:pt idx="202">
                  <c:v>87.119233586882046</c:v>
                </c:pt>
                <c:pt idx="203">
                  <c:v>85.525806985298232</c:v>
                </c:pt>
                <c:pt idx="204">
                  <c:v>339.48887112603984</c:v>
                </c:pt>
                <c:pt idx="205">
                  <c:v>375.63618065905825</c:v>
                </c:pt>
                <c:pt idx="206">
                  <c:v>158.38311383676137</c:v>
                </c:pt>
                <c:pt idx="207">
                  <c:v>133.47371352682239</c:v>
                </c:pt>
                <c:pt idx="208">
                  <c:v>307.33632097250302</c:v>
                </c:pt>
                <c:pt idx="209">
                  <c:v>537.21641076825563</c:v>
                </c:pt>
                <c:pt idx="210">
                  <c:v>188.35201714776076</c:v>
                </c:pt>
                <c:pt idx="211">
                  <c:v>108.86176033570905</c:v>
                </c:pt>
                <c:pt idx="212">
                  <c:v>152.06235994203007</c:v>
                </c:pt>
                <c:pt idx="213">
                  <c:v>134.72805787908715</c:v>
                </c:pt>
                <c:pt idx="214">
                  <c:v>311.72511390587897</c:v>
                </c:pt>
                <c:pt idx="215">
                  <c:v>123.94444493894161</c:v>
                </c:pt>
                <c:pt idx="216">
                  <c:v>586.77431120810593</c:v>
                </c:pt>
                <c:pt idx="217">
                  <c:v>265.20082164931682</c:v>
                </c:pt>
                <c:pt idx="218">
                  <c:v>259.38515284563505</c:v>
                </c:pt>
                <c:pt idx="219">
                  <c:v>278.23156650723445</c:v>
                </c:pt>
                <c:pt idx="220">
                  <c:v>267.32113652888893</c:v>
                </c:pt>
                <c:pt idx="221">
                  <c:v>263.12328941066085</c:v>
                </c:pt>
                <c:pt idx="222">
                  <c:v>648.35964987350553</c:v>
                </c:pt>
                <c:pt idx="223">
                  <c:v>112.00838574177942</c:v>
                </c:pt>
                <c:pt idx="224">
                  <c:v>84.663684164849201</c:v>
                </c:pt>
                <c:pt idx="225">
                  <c:v>207.52516226403259</c:v>
                </c:pt>
                <c:pt idx="226">
                  <c:v>362.25858469929926</c:v>
                </c:pt>
                <c:pt idx="227">
                  <c:v>348.9462010854777</c:v>
                </c:pt>
                <c:pt idx="228">
                  <c:v>238.41413010092492</c:v>
                </c:pt>
                <c:pt idx="229">
                  <c:v>441.04068409381239</c:v>
                </c:pt>
                <c:pt idx="230">
                  <c:v>208.4341287037571</c:v>
                </c:pt>
                <c:pt idx="231">
                  <c:v>496.27589772229067</c:v>
                </c:pt>
                <c:pt idx="232">
                  <c:v>261.39427466253983</c:v>
                </c:pt>
                <c:pt idx="233">
                  <c:v>317.38221494706545</c:v>
                </c:pt>
                <c:pt idx="234">
                  <c:v>237.18464409200351</c:v>
                </c:pt>
                <c:pt idx="235">
                  <c:v>242.78363232723427</c:v>
                </c:pt>
                <c:pt idx="236">
                  <c:v>313.9430877004952</c:v>
                </c:pt>
                <c:pt idx="237">
                  <c:v>407.39861662591011</c:v>
                </c:pt>
                <c:pt idx="238">
                  <c:v>299.5389139720703</c:v>
                </c:pt>
                <c:pt idx="239">
                  <c:v>245.72179833197583</c:v>
                </c:pt>
                <c:pt idx="240">
                  <c:v>304.25855398062549</c:v>
                </c:pt>
                <c:pt idx="241">
                  <c:v>147.965636780149</c:v>
                </c:pt>
                <c:pt idx="242">
                  <c:v>302.81977406493183</c:v>
                </c:pt>
                <c:pt idx="243">
                  <c:v>303.74616647296034</c:v>
                </c:pt>
                <c:pt idx="244">
                  <c:v>436.76386407957216</c:v>
                </c:pt>
                <c:pt idx="245">
                  <c:v>434.90985726439339</c:v>
                </c:pt>
                <c:pt idx="246">
                  <c:v>401.92355439618063</c:v>
                </c:pt>
                <c:pt idx="247">
                  <c:v>258.31065488048625</c:v>
                </c:pt>
                <c:pt idx="248">
                  <c:v>390.37918722486893</c:v>
                </c:pt>
                <c:pt idx="249">
                  <c:v>136.00742662319499</c:v>
                </c:pt>
                <c:pt idx="250">
                  <c:v>231.20793935096458</c:v>
                </c:pt>
                <c:pt idx="251">
                  <c:v>207.39328852216704</c:v>
                </c:pt>
                <c:pt idx="252">
                  <c:v>306.72471153936158</c:v>
                </c:pt>
                <c:pt idx="253">
                  <c:v>253.29288908620219</c:v>
                </c:pt>
                <c:pt idx="254">
                  <c:v>100.13302897128733</c:v>
                </c:pt>
                <c:pt idx="255">
                  <c:v>382.76647707282586</c:v>
                </c:pt>
                <c:pt idx="256">
                  <c:v>644.57021327526195</c:v>
                </c:pt>
                <c:pt idx="257">
                  <c:v>388.19492828540024</c:v>
                </c:pt>
                <c:pt idx="258">
                  <c:v>366.49656689346148</c:v>
                </c:pt>
                <c:pt idx="259">
                  <c:v>381.06698172781194</c:v>
                </c:pt>
                <c:pt idx="260">
                  <c:v>233.5009615952024</c:v>
                </c:pt>
                <c:pt idx="261">
                  <c:v>365.96765919679456</c:v>
                </c:pt>
                <c:pt idx="262">
                  <c:v>232.35040497676027</c:v>
                </c:pt>
                <c:pt idx="263">
                  <c:v>166.99783217163167</c:v>
                </c:pt>
                <c:pt idx="264">
                  <c:v>278.29730747087706</c:v>
                </c:pt>
                <c:pt idx="265">
                  <c:v>284.2610763474936</c:v>
                </c:pt>
                <c:pt idx="266">
                  <c:v>406.64580305905019</c:v>
                </c:pt>
                <c:pt idx="267">
                  <c:v>221.73803222129004</c:v>
                </c:pt>
                <c:pt idx="268">
                  <c:v>219.69133500688417</c:v>
                </c:pt>
                <c:pt idx="269">
                  <c:v>-53.731882923573721</c:v>
                </c:pt>
                <c:pt idx="270">
                  <c:v>155.79456109342755</c:v>
                </c:pt>
                <c:pt idx="271">
                  <c:v>246.34179729649941</c:v>
                </c:pt>
                <c:pt idx="272">
                  <c:v>79.738907788521146</c:v>
                </c:pt>
                <c:pt idx="273">
                  <c:v>260.35847754272072</c:v>
                </c:pt>
                <c:pt idx="274">
                  <c:v>225.42823511672759</c:v>
                </c:pt>
                <c:pt idx="275">
                  <c:v>209.73571874595336</c:v>
                </c:pt>
                <c:pt idx="276">
                  <c:v>169.98817350395234</c:v>
                </c:pt>
                <c:pt idx="277">
                  <c:v>262.97825858095939</c:v>
                </c:pt>
                <c:pt idx="278">
                  <c:v>537.35802563081165</c:v>
                </c:pt>
                <c:pt idx="279">
                  <c:v>416.06345151300161</c:v>
                </c:pt>
                <c:pt idx="280">
                  <c:v>595.83420228179943</c:v>
                </c:pt>
                <c:pt idx="281">
                  <c:v>246.50260520037159</c:v>
                </c:pt>
                <c:pt idx="282">
                  <c:v>515.28038973258117</c:v>
                </c:pt>
                <c:pt idx="283">
                  <c:v>249.36754511103095</c:v>
                </c:pt>
                <c:pt idx="284">
                  <c:v>81.547824870854583</c:v>
                </c:pt>
                <c:pt idx="285">
                  <c:v>340.38982674018052</c:v>
                </c:pt>
                <c:pt idx="286">
                  <c:v>263.01202927936561</c:v>
                </c:pt>
                <c:pt idx="287">
                  <c:v>429.78778608040034</c:v>
                </c:pt>
                <c:pt idx="288">
                  <c:v>330.74837958566172</c:v>
                </c:pt>
                <c:pt idx="289">
                  <c:v>142.52914877839362</c:v>
                </c:pt>
                <c:pt idx="290">
                  <c:v>18.866235143411586</c:v>
                </c:pt>
                <c:pt idx="291">
                  <c:v>518.10534365038916</c:v>
                </c:pt>
                <c:pt idx="292">
                  <c:v>209.73891652719294</c:v>
                </c:pt>
                <c:pt idx="293">
                  <c:v>534.09089278313058</c:v>
                </c:pt>
                <c:pt idx="294">
                  <c:v>337.81314630867337</c:v>
                </c:pt>
                <c:pt idx="295">
                  <c:v>561.1579072797731</c:v>
                </c:pt>
                <c:pt idx="296">
                  <c:v>110.34157305234839</c:v>
                </c:pt>
                <c:pt idx="297">
                  <c:v>401.00641947079976</c:v>
                </c:pt>
                <c:pt idx="298">
                  <c:v>133.52477380687878</c:v>
                </c:pt>
                <c:pt idx="299">
                  <c:v>210.99896662946344</c:v>
                </c:pt>
                <c:pt idx="300">
                  <c:v>-60.683928382540671</c:v>
                </c:pt>
                <c:pt idx="301">
                  <c:v>279.22927498320018</c:v>
                </c:pt>
                <c:pt idx="302">
                  <c:v>221.5956425539016</c:v>
                </c:pt>
                <c:pt idx="303">
                  <c:v>375.95692959415192</c:v>
                </c:pt>
                <c:pt idx="304">
                  <c:v>193.78499938780487</c:v>
                </c:pt>
                <c:pt idx="305">
                  <c:v>229.19550541998615</c:v>
                </c:pt>
                <c:pt idx="306">
                  <c:v>361.18461528165608</c:v>
                </c:pt>
                <c:pt idx="307">
                  <c:v>163.30843616257789</c:v>
                </c:pt>
                <c:pt idx="308">
                  <c:v>302.61640658070405</c:v>
                </c:pt>
                <c:pt idx="309">
                  <c:v>430.86395285476851</c:v>
                </c:pt>
                <c:pt idx="310">
                  <c:v>317.36216522146333</c:v>
                </c:pt>
                <c:pt idx="311">
                  <c:v>431.00219314800029</c:v>
                </c:pt>
                <c:pt idx="312">
                  <c:v>349.43102334476998</c:v>
                </c:pt>
                <c:pt idx="313">
                  <c:v>83.691355458817725</c:v>
                </c:pt>
                <c:pt idx="314">
                  <c:v>380.15865319133809</c:v>
                </c:pt>
                <c:pt idx="315">
                  <c:v>400.62822000339838</c:v>
                </c:pt>
                <c:pt idx="316">
                  <c:v>169.49573985006464</c:v>
                </c:pt>
                <c:pt idx="317">
                  <c:v>42.514655702326536</c:v>
                </c:pt>
                <c:pt idx="318">
                  <c:v>203.97157724252543</c:v>
                </c:pt>
                <c:pt idx="319">
                  <c:v>61.000951406444756</c:v>
                </c:pt>
                <c:pt idx="320">
                  <c:v>450.58156588411885</c:v>
                </c:pt>
                <c:pt idx="321">
                  <c:v>253.31437425068771</c:v>
                </c:pt>
                <c:pt idx="322">
                  <c:v>85.856411946490425</c:v>
                </c:pt>
                <c:pt idx="323">
                  <c:v>335.59474029952389</c:v>
                </c:pt>
                <c:pt idx="324">
                  <c:v>316.74966652259172</c:v>
                </c:pt>
                <c:pt idx="325">
                  <c:v>386.91632343349033</c:v>
                </c:pt>
                <c:pt idx="326">
                  <c:v>348.72757083105762</c:v>
                </c:pt>
                <c:pt idx="327">
                  <c:v>409.18616448843932</c:v>
                </c:pt>
                <c:pt idx="328">
                  <c:v>268.03395751026164</c:v>
                </c:pt>
                <c:pt idx="329">
                  <c:v>246.64024431197913</c:v>
                </c:pt>
                <c:pt idx="330">
                  <c:v>296.23137097586277</c:v>
                </c:pt>
                <c:pt idx="331">
                  <c:v>165.19938510002794</c:v>
                </c:pt>
                <c:pt idx="332">
                  <c:v>93.235096991401406</c:v>
                </c:pt>
                <c:pt idx="333">
                  <c:v>261.95631039760383</c:v>
                </c:pt>
                <c:pt idx="334">
                  <c:v>241.63828687978571</c:v>
                </c:pt>
                <c:pt idx="335">
                  <c:v>220.89846938584219</c:v>
                </c:pt>
                <c:pt idx="336">
                  <c:v>322.4817180960772</c:v>
                </c:pt>
                <c:pt idx="337">
                  <c:v>442.76621504121681</c:v>
                </c:pt>
                <c:pt idx="338">
                  <c:v>268.00257133946525</c:v>
                </c:pt>
                <c:pt idx="339">
                  <c:v>330.84428580855661</c:v>
                </c:pt>
                <c:pt idx="340">
                  <c:v>336.9912787864846</c:v>
                </c:pt>
                <c:pt idx="341">
                  <c:v>335.48411011970666</c:v>
                </c:pt>
                <c:pt idx="342">
                  <c:v>30.833321793698133</c:v>
                </c:pt>
                <c:pt idx="343">
                  <c:v>278.72058808756674</c:v>
                </c:pt>
                <c:pt idx="344">
                  <c:v>233.15404565939389</c:v>
                </c:pt>
                <c:pt idx="345">
                  <c:v>87.939705873622415</c:v>
                </c:pt>
                <c:pt idx="346">
                  <c:v>415.46681669078794</c:v>
                </c:pt>
                <c:pt idx="347">
                  <c:v>326.03602925108839</c:v>
                </c:pt>
                <c:pt idx="348">
                  <c:v>325.06347125179877</c:v>
                </c:pt>
                <c:pt idx="349">
                  <c:v>422.58897104954553</c:v>
                </c:pt>
                <c:pt idx="350">
                  <c:v>258.84542110703728</c:v>
                </c:pt>
                <c:pt idx="351">
                  <c:v>293.89662111894108</c:v>
                </c:pt>
                <c:pt idx="352">
                  <c:v>339.09710161238172</c:v>
                </c:pt>
                <c:pt idx="353">
                  <c:v>270.95925387331863</c:v>
                </c:pt>
                <c:pt idx="354">
                  <c:v>386.2769915912877</c:v>
                </c:pt>
                <c:pt idx="355">
                  <c:v>216.4887278939193</c:v>
                </c:pt>
                <c:pt idx="356">
                  <c:v>324.7108355382295</c:v>
                </c:pt>
                <c:pt idx="357">
                  <c:v>328.11351933027322</c:v>
                </c:pt>
                <c:pt idx="358">
                  <c:v>228.39560073892108</c:v>
                </c:pt>
                <c:pt idx="359">
                  <c:v>258.00383357560304</c:v>
                </c:pt>
                <c:pt idx="360">
                  <c:v>314.73730186159855</c:v>
                </c:pt>
                <c:pt idx="361">
                  <c:v>340.5161070931772</c:v>
                </c:pt>
                <c:pt idx="362">
                  <c:v>276.54575404262278</c:v>
                </c:pt>
                <c:pt idx="363">
                  <c:v>243.44170461185058</c:v>
                </c:pt>
                <c:pt idx="364">
                  <c:v>347.44500692688553</c:v>
                </c:pt>
                <c:pt idx="365">
                  <c:v>347.30574419869708</c:v>
                </c:pt>
                <c:pt idx="366">
                  <c:v>377.2683821261196</c:v>
                </c:pt>
                <c:pt idx="367">
                  <c:v>166.65173850145538</c:v>
                </c:pt>
                <c:pt idx="368">
                  <c:v>52.91447999737602</c:v>
                </c:pt>
                <c:pt idx="369">
                  <c:v>273.20390034292541</c:v>
                </c:pt>
                <c:pt idx="370">
                  <c:v>454.19362380498137</c:v>
                </c:pt>
                <c:pt idx="371">
                  <c:v>611.5166362600412</c:v>
                </c:pt>
                <c:pt idx="372">
                  <c:v>312.92440613669146</c:v>
                </c:pt>
                <c:pt idx="373">
                  <c:v>147.78669801851015</c:v>
                </c:pt>
                <c:pt idx="374">
                  <c:v>295.17928352937633</c:v>
                </c:pt>
                <c:pt idx="375">
                  <c:v>194.25960985666279</c:v>
                </c:pt>
                <c:pt idx="376">
                  <c:v>146.68387105557372</c:v>
                </c:pt>
                <c:pt idx="377">
                  <c:v>399.53002166375609</c:v>
                </c:pt>
                <c:pt idx="378">
                  <c:v>154.77212391763305</c:v>
                </c:pt>
                <c:pt idx="379">
                  <c:v>71.92912463992343</c:v>
                </c:pt>
                <c:pt idx="380">
                  <c:v>200.31945757125709</c:v>
                </c:pt>
                <c:pt idx="381">
                  <c:v>329.37308984152855</c:v>
                </c:pt>
                <c:pt idx="382">
                  <c:v>181.95885023001256</c:v>
                </c:pt>
                <c:pt idx="383">
                  <c:v>226.18583433515005</c:v>
                </c:pt>
                <c:pt idx="384">
                  <c:v>630.25917321602969</c:v>
                </c:pt>
                <c:pt idx="385">
                  <c:v>215.96006493935852</c:v>
                </c:pt>
                <c:pt idx="386">
                  <c:v>244.42602960310501</c:v>
                </c:pt>
                <c:pt idx="387">
                  <c:v>89.438109149342381</c:v>
                </c:pt>
                <c:pt idx="388">
                  <c:v>315.93626024064497</c:v>
                </c:pt>
                <c:pt idx="389">
                  <c:v>355.81490315445899</c:v>
                </c:pt>
                <c:pt idx="390">
                  <c:v>203.41273425999702</c:v>
                </c:pt>
                <c:pt idx="391">
                  <c:v>313.63781533324391</c:v>
                </c:pt>
                <c:pt idx="392">
                  <c:v>120.68486638756849</c:v>
                </c:pt>
                <c:pt idx="393">
                  <c:v>114.47559413311501</c:v>
                </c:pt>
                <c:pt idx="394">
                  <c:v>226.94787034750811</c:v>
                </c:pt>
                <c:pt idx="395">
                  <c:v>280.49610595134118</c:v>
                </c:pt>
                <c:pt idx="396">
                  <c:v>426.17767490391839</c:v>
                </c:pt>
                <c:pt idx="397">
                  <c:v>262.15006942452987</c:v>
                </c:pt>
                <c:pt idx="398">
                  <c:v>116.108164919606</c:v>
                </c:pt>
                <c:pt idx="399">
                  <c:v>235.19014965887141</c:v>
                </c:pt>
                <c:pt idx="400">
                  <c:v>421.92084271449471</c:v>
                </c:pt>
                <c:pt idx="401">
                  <c:v>438.69156961161752</c:v>
                </c:pt>
                <c:pt idx="402">
                  <c:v>395.41927080322625</c:v>
                </c:pt>
                <c:pt idx="403">
                  <c:v>255.70420961178411</c:v>
                </c:pt>
                <c:pt idx="404">
                  <c:v>273.42747078257003</c:v>
                </c:pt>
                <c:pt idx="405">
                  <c:v>-20.845542591191816</c:v>
                </c:pt>
                <c:pt idx="406">
                  <c:v>356.62866923913452</c:v>
                </c:pt>
                <c:pt idx="407">
                  <c:v>195.55853525545876</c:v>
                </c:pt>
                <c:pt idx="408">
                  <c:v>190.14272987255708</c:v>
                </c:pt>
                <c:pt idx="409">
                  <c:v>182.12984895780801</c:v>
                </c:pt>
                <c:pt idx="410">
                  <c:v>296.05981449717115</c:v>
                </c:pt>
                <c:pt idx="411">
                  <c:v>372.04562810483617</c:v>
                </c:pt>
                <c:pt idx="412">
                  <c:v>446.29964340763831</c:v>
                </c:pt>
                <c:pt idx="413">
                  <c:v>238.3830592510003</c:v>
                </c:pt>
                <c:pt idx="414">
                  <c:v>524.99225099803061</c:v>
                </c:pt>
                <c:pt idx="415">
                  <c:v>263.44769965734213</c:v>
                </c:pt>
                <c:pt idx="416">
                  <c:v>380.74851810235123</c:v>
                </c:pt>
                <c:pt idx="417">
                  <c:v>303.25389988589882</c:v>
                </c:pt>
                <c:pt idx="418">
                  <c:v>344.23560125716494</c:v>
                </c:pt>
                <c:pt idx="419">
                  <c:v>405.05543061196863</c:v>
                </c:pt>
                <c:pt idx="420">
                  <c:v>389.45534534511421</c:v>
                </c:pt>
                <c:pt idx="421">
                  <c:v>358.51177857078073</c:v>
                </c:pt>
                <c:pt idx="422">
                  <c:v>248.48682644814016</c:v>
                </c:pt>
                <c:pt idx="423">
                  <c:v>247.05624250526535</c:v>
                </c:pt>
                <c:pt idx="424">
                  <c:v>92.256220413791198</c:v>
                </c:pt>
                <c:pt idx="425">
                  <c:v>93.430116872377312</c:v>
                </c:pt>
                <c:pt idx="426">
                  <c:v>150.70341464583339</c:v>
                </c:pt>
                <c:pt idx="427">
                  <c:v>407.25174054315767</c:v>
                </c:pt>
                <c:pt idx="428">
                  <c:v>281.8399813018375</c:v>
                </c:pt>
                <c:pt idx="429">
                  <c:v>437.2949678426221</c:v>
                </c:pt>
                <c:pt idx="430">
                  <c:v>451.45390234233264</c:v>
                </c:pt>
                <c:pt idx="431">
                  <c:v>209.78953894289521</c:v>
                </c:pt>
                <c:pt idx="432">
                  <c:v>258.28124655744591</c:v>
                </c:pt>
                <c:pt idx="433">
                  <c:v>139.46017710509227</c:v>
                </c:pt>
                <c:pt idx="434">
                  <c:v>199.99116117328504</c:v>
                </c:pt>
                <c:pt idx="435">
                  <c:v>279.78457791805931</c:v>
                </c:pt>
                <c:pt idx="436">
                  <c:v>176.1620966312405</c:v>
                </c:pt>
                <c:pt idx="437">
                  <c:v>447.92900614714949</c:v>
                </c:pt>
                <c:pt idx="438">
                  <c:v>299.42263141629337</c:v>
                </c:pt>
                <c:pt idx="439">
                  <c:v>331.04729450338209</c:v>
                </c:pt>
                <c:pt idx="440">
                  <c:v>312.93768258147406</c:v>
                </c:pt>
                <c:pt idx="441">
                  <c:v>412.23266407728806</c:v>
                </c:pt>
                <c:pt idx="442">
                  <c:v>312.65384182118737</c:v>
                </c:pt>
                <c:pt idx="443">
                  <c:v>117.5173934452489</c:v>
                </c:pt>
                <c:pt idx="444">
                  <c:v>216.65368218479898</c:v>
                </c:pt>
                <c:pt idx="445">
                  <c:v>228.44774054991331</c:v>
                </c:pt>
                <c:pt idx="446">
                  <c:v>333.0905536656503</c:v>
                </c:pt>
                <c:pt idx="447">
                  <c:v>119.30798608962255</c:v>
                </c:pt>
                <c:pt idx="448">
                  <c:v>135.50254820529699</c:v>
                </c:pt>
                <c:pt idx="449">
                  <c:v>305.39389132158067</c:v>
                </c:pt>
                <c:pt idx="450">
                  <c:v>153.35342837039116</c:v>
                </c:pt>
                <c:pt idx="451">
                  <c:v>125.58731960272235</c:v>
                </c:pt>
                <c:pt idx="452">
                  <c:v>290.32741181949359</c:v>
                </c:pt>
                <c:pt idx="453">
                  <c:v>201.11616318303322</c:v>
                </c:pt>
                <c:pt idx="454">
                  <c:v>271.44821749676839</c:v>
                </c:pt>
                <c:pt idx="455">
                  <c:v>294.73276083278029</c:v>
                </c:pt>
                <c:pt idx="456">
                  <c:v>240.38250295753232</c:v>
                </c:pt>
                <c:pt idx="457">
                  <c:v>408.99072280546216</c:v>
                </c:pt>
                <c:pt idx="458">
                  <c:v>102.037802998507</c:v>
                </c:pt>
                <c:pt idx="459">
                  <c:v>200.21577173188871</c:v>
                </c:pt>
                <c:pt idx="460">
                  <c:v>231.83879632536787</c:v>
                </c:pt>
                <c:pt idx="461">
                  <c:v>258.23665642155038</c:v>
                </c:pt>
                <c:pt idx="462">
                  <c:v>268.40281553722502</c:v>
                </c:pt>
                <c:pt idx="463">
                  <c:v>165.89812689108453</c:v>
                </c:pt>
                <c:pt idx="464">
                  <c:v>293.71254288270779</c:v>
                </c:pt>
                <c:pt idx="465">
                  <c:v>367.79147558480963</c:v>
                </c:pt>
                <c:pt idx="466">
                  <c:v>421.66901521653017</c:v>
                </c:pt>
                <c:pt idx="467">
                  <c:v>286.57160265515881</c:v>
                </c:pt>
                <c:pt idx="468">
                  <c:v>360.08598581997376</c:v>
                </c:pt>
                <c:pt idx="469">
                  <c:v>260.37553546787126</c:v>
                </c:pt>
                <c:pt idx="470">
                  <c:v>313.23092462790692</c:v>
                </c:pt>
                <c:pt idx="471">
                  <c:v>137.3696749161536</c:v>
                </c:pt>
                <c:pt idx="472">
                  <c:v>351.49874778887533</c:v>
                </c:pt>
                <c:pt idx="473">
                  <c:v>142.41774838225683</c:v>
                </c:pt>
                <c:pt idx="474">
                  <c:v>546.1128603744537</c:v>
                </c:pt>
                <c:pt idx="475">
                  <c:v>270.00763041534992</c:v>
                </c:pt>
                <c:pt idx="476">
                  <c:v>73.264217622105434</c:v>
                </c:pt>
                <c:pt idx="477">
                  <c:v>125.53915693773365</c:v>
                </c:pt>
                <c:pt idx="478">
                  <c:v>411.72579662209341</c:v>
                </c:pt>
                <c:pt idx="479">
                  <c:v>510.91483061741292</c:v>
                </c:pt>
                <c:pt idx="480">
                  <c:v>372.20568391440429</c:v>
                </c:pt>
                <c:pt idx="481">
                  <c:v>273.36085164869155</c:v>
                </c:pt>
                <c:pt idx="482">
                  <c:v>674.0784496078918</c:v>
                </c:pt>
                <c:pt idx="483">
                  <c:v>446.76898328622201</c:v>
                </c:pt>
                <c:pt idx="484">
                  <c:v>66.573005067528129</c:v>
                </c:pt>
                <c:pt idx="485">
                  <c:v>255.92821659025026</c:v>
                </c:pt>
                <c:pt idx="486">
                  <c:v>126.52161104075662</c:v>
                </c:pt>
                <c:pt idx="487">
                  <c:v>137.67652884122913</c:v>
                </c:pt>
                <c:pt idx="488">
                  <c:v>400.41596685217019</c:v>
                </c:pt>
                <c:pt idx="489">
                  <c:v>546.46837633844075</c:v>
                </c:pt>
                <c:pt idx="490">
                  <c:v>167.83973831060212</c:v>
                </c:pt>
                <c:pt idx="491">
                  <c:v>321.41446245540669</c:v>
                </c:pt>
                <c:pt idx="492">
                  <c:v>189.97269006005013</c:v>
                </c:pt>
                <c:pt idx="493">
                  <c:v>394.6616293035845</c:v>
                </c:pt>
                <c:pt idx="494">
                  <c:v>296.74717846782391</c:v>
                </c:pt>
                <c:pt idx="495">
                  <c:v>299.80713767020961</c:v>
                </c:pt>
                <c:pt idx="496">
                  <c:v>446.25880983913703</c:v>
                </c:pt>
                <c:pt idx="497">
                  <c:v>599.58556034787966</c:v>
                </c:pt>
                <c:pt idx="498">
                  <c:v>478.77566683433997</c:v>
                </c:pt>
                <c:pt idx="499">
                  <c:v>210.14081847574539</c:v>
                </c:pt>
                <c:pt idx="500">
                  <c:v>434.02328593518791</c:v>
                </c:pt>
                <c:pt idx="501">
                  <c:v>375.68719786431961</c:v>
                </c:pt>
                <c:pt idx="502">
                  <c:v>283.03285537510124</c:v>
                </c:pt>
                <c:pt idx="503">
                  <c:v>118.17801913670519</c:v>
                </c:pt>
                <c:pt idx="504">
                  <c:v>164.69287223413721</c:v>
                </c:pt>
                <c:pt idx="505">
                  <c:v>329.68009863165184</c:v>
                </c:pt>
                <c:pt idx="506">
                  <c:v>60.3961963861816</c:v>
                </c:pt>
                <c:pt idx="507">
                  <c:v>270.19216548437862</c:v>
                </c:pt>
                <c:pt idx="508">
                  <c:v>292.15346932773014</c:v>
                </c:pt>
                <c:pt idx="509">
                  <c:v>322.09624247681154</c:v>
                </c:pt>
                <c:pt idx="510">
                  <c:v>167.02089298773262</c:v>
                </c:pt>
                <c:pt idx="511">
                  <c:v>283.06186351178189</c:v>
                </c:pt>
                <c:pt idx="512">
                  <c:v>390.17090427146536</c:v>
                </c:pt>
                <c:pt idx="513">
                  <c:v>106.17114527894114</c:v>
                </c:pt>
                <c:pt idx="514">
                  <c:v>187.19463153691868</c:v>
                </c:pt>
                <c:pt idx="515">
                  <c:v>358.85725136999986</c:v>
                </c:pt>
                <c:pt idx="516">
                  <c:v>402.80079236042297</c:v>
                </c:pt>
                <c:pt idx="517">
                  <c:v>77.106128341826206</c:v>
                </c:pt>
                <c:pt idx="518">
                  <c:v>192.50886311415888</c:v>
                </c:pt>
                <c:pt idx="519">
                  <c:v>181.61280745084036</c:v>
                </c:pt>
                <c:pt idx="520">
                  <c:v>355.71359631833661</c:v>
                </c:pt>
                <c:pt idx="521">
                  <c:v>355.71142555302913</c:v>
                </c:pt>
                <c:pt idx="522">
                  <c:v>131.473683158227</c:v>
                </c:pt>
                <c:pt idx="523">
                  <c:v>200.54958151063806</c:v>
                </c:pt>
                <c:pt idx="524">
                  <c:v>388.98434455459619</c:v>
                </c:pt>
                <c:pt idx="525">
                  <c:v>363.9956554441585</c:v>
                </c:pt>
                <c:pt idx="526">
                  <c:v>199.20721590234803</c:v>
                </c:pt>
                <c:pt idx="527">
                  <c:v>238.34775698095882</c:v>
                </c:pt>
                <c:pt idx="528">
                  <c:v>232.32922944240545</c:v>
                </c:pt>
                <c:pt idx="529">
                  <c:v>161.48324599242574</c:v>
                </c:pt>
                <c:pt idx="530">
                  <c:v>280.74988225166521</c:v>
                </c:pt>
                <c:pt idx="531">
                  <c:v>189.18094765194201</c:v>
                </c:pt>
                <c:pt idx="532">
                  <c:v>151.48022199774232</c:v>
                </c:pt>
                <c:pt idx="533">
                  <c:v>169.24020935527869</c:v>
                </c:pt>
                <c:pt idx="534">
                  <c:v>265.68835024152895</c:v>
                </c:pt>
                <c:pt idx="535">
                  <c:v>468.71623780464847</c:v>
                </c:pt>
                <c:pt idx="536">
                  <c:v>510.3291763454597</c:v>
                </c:pt>
                <c:pt idx="537">
                  <c:v>182.15055467467369</c:v>
                </c:pt>
                <c:pt idx="538">
                  <c:v>498.42464396414471</c:v>
                </c:pt>
                <c:pt idx="539">
                  <c:v>172.93417645252794</c:v>
                </c:pt>
                <c:pt idx="540">
                  <c:v>288.48215419267513</c:v>
                </c:pt>
                <c:pt idx="541">
                  <c:v>420.75736527263689</c:v>
                </c:pt>
                <c:pt idx="542">
                  <c:v>520.41983019636541</c:v>
                </c:pt>
                <c:pt idx="543">
                  <c:v>353.85515464962555</c:v>
                </c:pt>
                <c:pt idx="544">
                  <c:v>375.94080129883173</c:v>
                </c:pt>
                <c:pt idx="545">
                  <c:v>251.19820978246253</c:v>
                </c:pt>
                <c:pt idx="546">
                  <c:v>50.134764499731546</c:v>
                </c:pt>
                <c:pt idx="547">
                  <c:v>360.71133471681787</c:v>
                </c:pt>
                <c:pt idx="548">
                  <c:v>691.50111888318338</c:v>
                </c:pt>
                <c:pt idx="549">
                  <c:v>259.63529388708935</c:v>
                </c:pt>
                <c:pt idx="550">
                  <c:v>318.49076888705895</c:v>
                </c:pt>
                <c:pt idx="551">
                  <c:v>320.64445733345519</c:v>
                </c:pt>
                <c:pt idx="552">
                  <c:v>88.292257214884557</c:v>
                </c:pt>
                <c:pt idx="553">
                  <c:v>268.90683493623919</c:v>
                </c:pt>
                <c:pt idx="554">
                  <c:v>326.382745489218</c:v>
                </c:pt>
                <c:pt idx="555">
                  <c:v>430.03907956459307</c:v>
                </c:pt>
                <c:pt idx="556">
                  <c:v>90.498175082073885</c:v>
                </c:pt>
                <c:pt idx="557">
                  <c:v>245.75095558037196</c:v>
                </c:pt>
                <c:pt idx="558">
                  <c:v>396.26410463112938</c:v>
                </c:pt>
                <c:pt idx="559">
                  <c:v>227.529129477163</c:v>
                </c:pt>
                <c:pt idx="560">
                  <c:v>384.44201644905525</c:v>
                </c:pt>
                <c:pt idx="561">
                  <c:v>224.40377910569578</c:v>
                </c:pt>
                <c:pt idx="562">
                  <c:v>162.11990540029774</c:v>
                </c:pt>
                <c:pt idx="563">
                  <c:v>278.97365861972708</c:v>
                </c:pt>
                <c:pt idx="564">
                  <c:v>200.73592526115954</c:v>
                </c:pt>
                <c:pt idx="565">
                  <c:v>184.77579992845926</c:v>
                </c:pt>
                <c:pt idx="566">
                  <c:v>332.45870634875973</c:v>
                </c:pt>
                <c:pt idx="567">
                  <c:v>440.46457173260342</c:v>
                </c:pt>
                <c:pt idx="568">
                  <c:v>250.07149404600909</c:v>
                </c:pt>
                <c:pt idx="569">
                  <c:v>-27.434471036430295</c:v>
                </c:pt>
                <c:pt idx="570">
                  <c:v>643.11798846934767</c:v>
                </c:pt>
                <c:pt idx="571">
                  <c:v>101.83128078638333</c:v>
                </c:pt>
                <c:pt idx="572">
                  <c:v>171.1507623732432</c:v>
                </c:pt>
                <c:pt idx="573">
                  <c:v>361.01774125340739</c:v>
                </c:pt>
                <c:pt idx="574">
                  <c:v>11.957102716219197</c:v>
                </c:pt>
                <c:pt idx="575">
                  <c:v>209.2562320982081</c:v>
                </c:pt>
                <c:pt idx="576">
                  <c:v>263.8736896019584</c:v>
                </c:pt>
                <c:pt idx="577">
                  <c:v>408.73761938276448</c:v>
                </c:pt>
                <c:pt idx="578">
                  <c:v>312.11980094122873</c:v>
                </c:pt>
                <c:pt idx="579">
                  <c:v>348.74430807724639</c:v>
                </c:pt>
                <c:pt idx="580">
                  <c:v>205.16807914919036</c:v>
                </c:pt>
                <c:pt idx="581">
                  <c:v>211.39311867588845</c:v>
                </c:pt>
                <c:pt idx="582">
                  <c:v>286.24574540258868</c:v>
                </c:pt>
                <c:pt idx="583">
                  <c:v>183.47897353124745</c:v>
                </c:pt>
                <c:pt idx="584">
                  <c:v>212.80880735080109</c:v>
                </c:pt>
                <c:pt idx="585">
                  <c:v>471.00591512108122</c:v>
                </c:pt>
                <c:pt idx="586">
                  <c:v>291.39347067938547</c:v>
                </c:pt>
                <c:pt idx="587">
                  <c:v>94.159880198120618</c:v>
                </c:pt>
                <c:pt idx="588">
                  <c:v>339.51362409003445</c:v>
                </c:pt>
                <c:pt idx="589">
                  <c:v>306.95906239015767</c:v>
                </c:pt>
                <c:pt idx="590">
                  <c:v>339.71842264045358</c:v>
                </c:pt>
                <c:pt idx="591">
                  <c:v>452.62323139444402</c:v>
                </c:pt>
                <c:pt idx="592">
                  <c:v>45.416536167795357</c:v>
                </c:pt>
                <c:pt idx="593">
                  <c:v>238.98686317832721</c:v>
                </c:pt>
                <c:pt idx="594">
                  <c:v>187.36480137579883</c:v>
                </c:pt>
                <c:pt idx="595">
                  <c:v>262.30622749192548</c:v>
                </c:pt>
                <c:pt idx="596">
                  <c:v>503.21910959664501</c:v>
                </c:pt>
                <c:pt idx="597">
                  <c:v>261.1060118998455</c:v>
                </c:pt>
                <c:pt idx="598">
                  <c:v>386.93292908357989</c:v>
                </c:pt>
                <c:pt idx="599">
                  <c:v>216.17750477415075</c:v>
                </c:pt>
                <c:pt idx="600">
                  <c:v>242.97317711313804</c:v>
                </c:pt>
                <c:pt idx="601">
                  <c:v>265.15596299908043</c:v>
                </c:pt>
                <c:pt idx="602">
                  <c:v>355.67532275161079</c:v>
                </c:pt>
                <c:pt idx="603">
                  <c:v>321.31221981014733</c:v>
                </c:pt>
                <c:pt idx="604">
                  <c:v>391.08136348218795</c:v>
                </c:pt>
                <c:pt idx="605">
                  <c:v>343.76501597453853</c:v>
                </c:pt>
                <c:pt idx="606">
                  <c:v>226.73537605116894</c:v>
                </c:pt>
                <c:pt idx="607">
                  <c:v>375.13235219881881</c:v>
                </c:pt>
                <c:pt idx="608">
                  <c:v>422.80503795325126</c:v>
                </c:pt>
                <c:pt idx="609">
                  <c:v>195.02649906232386</c:v>
                </c:pt>
                <c:pt idx="610">
                  <c:v>368.14431397965905</c:v>
                </c:pt>
                <c:pt idx="611">
                  <c:v>76.330126971819936</c:v>
                </c:pt>
                <c:pt idx="612">
                  <c:v>415.96720057720631</c:v>
                </c:pt>
                <c:pt idx="613">
                  <c:v>433.55359363943626</c:v>
                </c:pt>
                <c:pt idx="614">
                  <c:v>360.00771517851535</c:v>
                </c:pt>
                <c:pt idx="615">
                  <c:v>413.92059066998081</c:v>
                </c:pt>
                <c:pt idx="616">
                  <c:v>259.93201848047374</c:v>
                </c:pt>
                <c:pt idx="617">
                  <c:v>136.20447093939447</c:v>
                </c:pt>
                <c:pt idx="618">
                  <c:v>163.75574190122916</c:v>
                </c:pt>
                <c:pt idx="619">
                  <c:v>369.15192142287378</c:v>
                </c:pt>
                <c:pt idx="620">
                  <c:v>468.53160413317255</c:v>
                </c:pt>
                <c:pt idx="621">
                  <c:v>244.33900100567712</c:v>
                </c:pt>
                <c:pt idx="622">
                  <c:v>277.03368782401731</c:v>
                </c:pt>
                <c:pt idx="623">
                  <c:v>270.09952100070177</c:v>
                </c:pt>
                <c:pt idx="624">
                  <c:v>371.49746823127543</c:v>
                </c:pt>
                <c:pt idx="625">
                  <c:v>419.83983685462749</c:v>
                </c:pt>
                <c:pt idx="626">
                  <c:v>-96.918756199530435</c:v>
                </c:pt>
                <c:pt idx="627">
                  <c:v>211.30958732276804</c:v>
                </c:pt>
                <c:pt idx="628">
                  <c:v>438.57646227969781</c:v>
                </c:pt>
                <c:pt idx="629">
                  <c:v>50.136287994027043</c:v>
                </c:pt>
                <c:pt idx="630">
                  <c:v>135.70774340495495</c:v>
                </c:pt>
                <c:pt idx="631">
                  <c:v>362.22753650562822</c:v>
                </c:pt>
                <c:pt idx="632">
                  <c:v>279.45687034542834</c:v>
                </c:pt>
                <c:pt idx="633">
                  <c:v>143.32625383020422</c:v>
                </c:pt>
                <c:pt idx="634">
                  <c:v>126.44839940402744</c:v>
                </c:pt>
                <c:pt idx="635">
                  <c:v>287.55911444816888</c:v>
                </c:pt>
                <c:pt idx="636">
                  <c:v>184.16553660742329</c:v>
                </c:pt>
                <c:pt idx="637">
                  <c:v>245.35489561102372</c:v>
                </c:pt>
                <c:pt idx="638">
                  <c:v>286.4453953650941</c:v>
                </c:pt>
                <c:pt idx="639">
                  <c:v>145.98299870904111</c:v>
                </c:pt>
                <c:pt idx="640">
                  <c:v>100.07953623241178</c:v>
                </c:pt>
                <c:pt idx="641">
                  <c:v>444.71735153777968</c:v>
                </c:pt>
                <c:pt idx="642">
                  <c:v>351.93335851150914</c:v>
                </c:pt>
                <c:pt idx="643">
                  <c:v>230.8746691945621</c:v>
                </c:pt>
                <c:pt idx="644">
                  <c:v>181.22514858752197</c:v>
                </c:pt>
                <c:pt idx="645">
                  <c:v>559.05098241426936</c:v>
                </c:pt>
                <c:pt idx="646">
                  <c:v>213.55127704580877</c:v>
                </c:pt>
                <c:pt idx="647">
                  <c:v>116.48808032731517</c:v>
                </c:pt>
                <c:pt idx="648">
                  <c:v>58.455149959608434</c:v>
                </c:pt>
                <c:pt idx="649">
                  <c:v>214.0336660583921</c:v>
                </c:pt>
                <c:pt idx="650">
                  <c:v>319.38714782841726</c:v>
                </c:pt>
                <c:pt idx="651">
                  <c:v>167.44774288186227</c:v>
                </c:pt>
                <c:pt idx="652">
                  <c:v>547.75911412604478</c:v>
                </c:pt>
                <c:pt idx="653">
                  <c:v>252.31019583033935</c:v>
                </c:pt>
                <c:pt idx="654">
                  <c:v>319.52667448619968</c:v>
                </c:pt>
                <c:pt idx="655">
                  <c:v>215.05172712778744</c:v>
                </c:pt>
                <c:pt idx="656">
                  <c:v>330.28520306945711</c:v>
                </c:pt>
                <c:pt idx="657">
                  <c:v>254.03242862968727</c:v>
                </c:pt>
                <c:pt idx="658">
                  <c:v>303.83135968400757</c:v>
                </c:pt>
                <c:pt idx="659">
                  <c:v>408.80920299566196</c:v>
                </c:pt>
                <c:pt idx="660">
                  <c:v>215.14059841804328</c:v>
                </c:pt>
                <c:pt idx="661">
                  <c:v>243.98547258729195</c:v>
                </c:pt>
                <c:pt idx="662">
                  <c:v>151.52670705192213</c:v>
                </c:pt>
                <c:pt idx="663">
                  <c:v>334.18237061696345</c:v>
                </c:pt>
                <c:pt idx="664">
                  <c:v>161.40188593437961</c:v>
                </c:pt>
                <c:pt idx="665">
                  <c:v>190.33458128192206</c:v>
                </c:pt>
                <c:pt idx="666">
                  <c:v>248.04635126194376</c:v>
                </c:pt>
                <c:pt idx="667">
                  <c:v>592.07414720947463</c:v>
                </c:pt>
                <c:pt idx="668">
                  <c:v>155.44368217903389</c:v>
                </c:pt>
                <c:pt idx="669">
                  <c:v>290.92002593933603</c:v>
                </c:pt>
                <c:pt idx="670">
                  <c:v>452.86916245895395</c:v>
                </c:pt>
                <c:pt idx="671">
                  <c:v>67.937757035908589</c:v>
                </c:pt>
                <c:pt idx="672">
                  <c:v>152.56422162449098</c:v>
                </c:pt>
                <c:pt idx="673">
                  <c:v>249.81854482581571</c:v>
                </c:pt>
                <c:pt idx="674">
                  <c:v>123.31849213454757</c:v>
                </c:pt>
                <c:pt idx="675">
                  <c:v>137.11585282649889</c:v>
                </c:pt>
                <c:pt idx="676">
                  <c:v>213.73862835788486</c:v>
                </c:pt>
                <c:pt idx="677">
                  <c:v>319.92414815133293</c:v>
                </c:pt>
                <c:pt idx="678">
                  <c:v>210.62514501033775</c:v>
                </c:pt>
                <c:pt idx="679">
                  <c:v>-43.324292872759543</c:v>
                </c:pt>
                <c:pt idx="680">
                  <c:v>110.05453925961046</c:v>
                </c:pt>
                <c:pt idx="681">
                  <c:v>437.02339745832705</c:v>
                </c:pt>
                <c:pt idx="682">
                  <c:v>146.20122100006779</c:v>
                </c:pt>
                <c:pt idx="683">
                  <c:v>345.60003302075006</c:v>
                </c:pt>
                <c:pt idx="684">
                  <c:v>192.49646909576995</c:v>
                </c:pt>
                <c:pt idx="685">
                  <c:v>183.99786156352593</c:v>
                </c:pt>
                <c:pt idx="686">
                  <c:v>338.44359600343046</c:v>
                </c:pt>
                <c:pt idx="687">
                  <c:v>226.19503813145252</c:v>
                </c:pt>
                <c:pt idx="688">
                  <c:v>313.18125987738995</c:v>
                </c:pt>
                <c:pt idx="689">
                  <c:v>270.43619248509845</c:v>
                </c:pt>
                <c:pt idx="690">
                  <c:v>283.10203129206911</c:v>
                </c:pt>
                <c:pt idx="691">
                  <c:v>84.272645615330703</c:v>
                </c:pt>
                <c:pt idx="692">
                  <c:v>316.39514062584203</c:v>
                </c:pt>
                <c:pt idx="693">
                  <c:v>421.28018422991363</c:v>
                </c:pt>
                <c:pt idx="694">
                  <c:v>406.37421620607051</c:v>
                </c:pt>
                <c:pt idx="695">
                  <c:v>253.56355843737992</c:v>
                </c:pt>
                <c:pt idx="696">
                  <c:v>202.48335555372228</c:v>
                </c:pt>
                <c:pt idx="697">
                  <c:v>283.54061059328001</c:v>
                </c:pt>
                <c:pt idx="698">
                  <c:v>358.93222794913004</c:v>
                </c:pt>
                <c:pt idx="699">
                  <c:v>178.54422120157869</c:v>
                </c:pt>
                <c:pt idx="700">
                  <c:v>260.50164595819865</c:v>
                </c:pt>
                <c:pt idx="701">
                  <c:v>292.17493329703052</c:v>
                </c:pt>
                <c:pt idx="702">
                  <c:v>148.28552905636911</c:v>
                </c:pt>
                <c:pt idx="703">
                  <c:v>71.584143370958373</c:v>
                </c:pt>
                <c:pt idx="704">
                  <c:v>248.94459316135635</c:v>
                </c:pt>
                <c:pt idx="705">
                  <c:v>290.24814607515532</c:v>
                </c:pt>
                <c:pt idx="706">
                  <c:v>342.86417238438003</c:v>
                </c:pt>
                <c:pt idx="707">
                  <c:v>157.17174875864634</c:v>
                </c:pt>
                <c:pt idx="708">
                  <c:v>349.23226483588655</c:v>
                </c:pt>
                <c:pt idx="709">
                  <c:v>255.20140750016435</c:v>
                </c:pt>
                <c:pt idx="710">
                  <c:v>206.07085539127343</c:v>
                </c:pt>
                <c:pt idx="711">
                  <c:v>203.25350495611724</c:v>
                </c:pt>
                <c:pt idx="712">
                  <c:v>221.30968010817446</c:v>
                </c:pt>
                <c:pt idx="713">
                  <c:v>311.09530523908643</c:v>
                </c:pt>
                <c:pt idx="714">
                  <c:v>463.64579790286371</c:v>
                </c:pt>
                <c:pt idx="715">
                  <c:v>404.37691681110618</c:v>
                </c:pt>
                <c:pt idx="716">
                  <c:v>549.5557746511297</c:v>
                </c:pt>
                <c:pt idx="717">
                  <c:v>274.56032893308611</c:v>
                </c:pt>
                <c:pt idx="718">
                  <c:v>225.41754696063413</c:v>
                </c:pt>
                <c:pt idx="719">
                  <c:v>215.57660121743561</c:v>
                </c:pt>
                <c:pt idx="720">
                  <c:v>396.91532925703768</c:v>
                </c:pt>
                <c:pt idx="721">
                  <c:v>284.83686441321174</c:v>
                </c:pt>
                <c:pt idx="722">
                  <c:v>181.31982815413789</c:v>
                </c:pt>
                <c:pt idx="723">
                  <c:v>252.95237652426522</c:v>
                </c:pt>
                <c:pt idx="724">
                  <c:v>238.64282802208686</c:v>
                </c:pt>
                <c:pt idx="725">
                  <c:v>313.73984692186309</c:v>
                </c:pt>
                <c:pt idx="726">
                  <c:v>227.31475521733751</c:v>
                </c:pt>
                <c:pt idx="727">
                  <c:v>79.247670609190209</c:v>
                </c:pt>
                <c:pt idx="728">
                  <c:v>372.25266006837978</c:v>
                </c:pt>
                <c:pt idx="729">
                  <c:v>289.9562259286331</c:v>
                </c:pt>
                <c:pt idx="730">
                  <c:v>196.07849478400612</c:v>
                </c:pt>
                <c:pt idx="731">
                  <c:v>288.87967890532013</c:v>
                </c:pt>
                <c:pt idx="732">
                  <c:v>408.4581092966373</c:v>
                </c:pt>
                <c:pt idx="733">
                  <c:v>393.61851383703606</c:v>
                </c:pt>
                <c:pt idx="734">
                  <c:v>316.53089098746909</c:v>
                </c:pt>
                <c:pt idx="735">
                  <c:v>209.68717384662614</c:v>
                </c:pt>
                <c:pt idx="736">
                  <c:v>195.45070109894323</c:v>
                </c:pt>
                <c:pt idx="737">
                  <c:v>407.29519020503471</c:v>
                </c:pt>
                <c:pt idx="738">
                  <c:v>74.923602899019443</c:v>
                </c:pt>
                <c:pt idx="739">
                  <c:v>130.33184869650427</c:v>
                </c:pt>
                <c:pt idx="740">
                  <c:v>316.04608771852509</c:v>
                </c:pt>
                <c:pt idx="741">
                  <c:v>340.72095034537415</c:v>
                </c:pt>
                <c:pt idx="742">
                  <c:v>353.53913125547456</c:v>
                </c:pt>
                <c:pt idx="743">
                  <c:v>272.14527319748231</c:v>
                </c:pt>
                <c:pt idx="744">
                  <c:v>131.90543690334334</c:v>
                </c:pt>
                <c:pt idx="745">
                  <c:v>336.85224739506202</c:v>
                </c:pt>
                <c:pt idx="746">
                  <c:v>368.79429224655769</c:v>
                </c:pt>
                <c:pt idx="747">
                  <c:v>37.375793922702087</c:v>
                </c:pt>
                <c:pt idx="748">
                  <c:v>292.05552197193515</c:v>
                </c:pt>
                <c:pt idx="749">
                  <c:v>238.57506940873964</c:v>
                </c:pt>
                <c:pt idx="750">
                  <c:v>318.42950352190519</c:v>
                </c:pt>
                <c:pt idx="751">
                  <c:v>192.87489240876403</c:v>
                </c:pt>
                <c:pt idx="752">
                  <c:v>191.82542158534466</c:v>
                </c:pt>
                <c:pt idx="753">
                  <c:v>139.99561823094655</c:v>
                </c:pt>
                <c:pt idx="754">
                  <c:v>333.09781000274643</c:v>
                </c:pt>
                <c:pt idx="755">
                  <c:v>242.3590296733762</c:v>
                </c:pt>
                <c:pt idx="756">
                  <c:v>370.18082604951246</c:v>
                </c:pt>
                <c:pt idx="757">
                  <c:v>290.96646370971303</c:v>
                </c:pt>
                <c:pt idx="758">
                  <c:v>232.61367511303774</c:v>
                </c:pt>
                <c:pt idx="759">
                  <c:v>305.83730593979203</c:v>
                </c:pt>
                <c:pt idx="760">
                  <c:v>379.3244671959792</c:v>
                </c:pt>
                <c:pt idx="761">
                  <c:v>344.15270780252558</c:v>
                </c:pt>
                <c:pt idx="762">
                  <c:v>320.02665067027237</c:v>
                </c:pt>
                <c:pt idx="763">
                  <c:v>350.27323452903147</c:v>
                </c:pt>
                <c:pt idx="764">
                  <c:v>119.25562380978477</c:v>
                </c:pt>
                <c:pt idx="765">
                  <c:v>394.84862821807701</c:v>
                </c:pt>
                <c:pt idx="766">
                  <c:v>402.46141236354583</c:v>
                </c:pt>
                <c:pt idx="767">
                  <c:v>202.69577770485785</c:v>
                </c:pt>
                <c:pt idx="768">
                  <c:v>232.52566993076971</c:v>
                </c:pt>
                <c:pt idx="769">
                  <c:v>482.13002111447463</c:v>
                </c:pt>
                <c:pt idx="770">
                  <c:v>264.01671667193682</c:v>
                </c:pt>
                <c:pt idx="771">
                  <c:v>177.09063595131443</c:v>
                </c:pt>
                <c:pt idx="772">
                  <c:v>241.80389999376962</c:v>
                </c:pt>
                <c:pt idx="773">
                  <c:v>429.93171814356924</c:v>
                </c:pt>
                <c:pt idx="774">
                  <c:v>408.47499124492219</c:v>
                </c:pt>
                <c:pt idx="775">
                  <c:v>14.325779739086101</c:v>
                </c:pt>
                <c:pt idx="776">
                  <c:v>432.16219834468347</c:v>
                </c:pt>
                <c:pt idx="777">
                  <c:v>348.25508770698434</c:v>
                </c:pt>
                <c:pt idx="778">
                  <c:v>346.32057923354091</c:v>
                </c:pt>
                <c:pt idx="779">
                  <c:v>131.69240432141237</c:v>
                </c:pt>
                <c:pt idx="780">
                  <c:v>70.543564753323153</c:v>
                </c:pt>
                <c:pt idx="781">
                  <c:v>212.68804523742915</c:v>
                </c:pt>
                <c:pt idx="782">
                  <c:v>154.26155406166163</c:v>
                </c:pt>
                <c:pt idx="783">
                  <c:v>263.77239479342188</c:v>
                </c:pt>
                <c:pt idx="784">
                  <c:v>204.72128926426603</c:v>
                </c:pt>
                <c:pt idx="785">
                  <c:v>380.05187510280302</c:v>
                </c:pt>
                <c:pt idx="786">
                  <c:v>350.77899280385168</c:v>
                </c:pt>
                <c:pt idx="787">
                  <c:v>387.17090336367983</c:v>
                </c:pt>
                <c:pt idx="788">
                  <c:v>276.57867164150161</c:v>
                </c:pt>
                <c:pt idx="789">
                  <c:v>180.02924276307886</c:v>
                </c:pt>
                <c:pt idx="790">
                  <c:v>276.82914185720074</c:v>
                </c:pt>
                <c:pt idx="791">
                  <c:v>339.0748683809486</c:v>
                </c:pt>
                <c:pt idx="792">
                  <c:v>166.7066079520273</c:v>
                </c:pt>
                <c:pt idx="793">
                  <c:v>141.55866188111486</c:v>
                </c:pt>
                <c:pt idx="794">
                  <c:v>163.7458795196701</c:v>
                </c:pt>
                <c:pt idx="795">
                  <c:v>333.19808708299138</c:v>
                </c:pt>
                <c:pt idx="796">
                  <c:v>305.90483238280103</c:v>
                </c:pt>
                <c:pt idx="797">
                  <c:v>465.5237947404562</c:v>
                </c:pt>
                <c:pt idx="798">
                  <c:v>144.71947853729102</c:v>
                </c:pt>
                <c:pt idx="799">
                  <c:v>327.2673509747051</c:v>
                </c:pt>
                <c:pt idx="800">
                  <c:v>279.32369088933137</c:v>
                </c:pt>
                <c:pt idx="801">
                  <c:v>329.21083622662854</c:v>
                </c:pt>
                <c:pt idx="802">
                  <c:v>416.85403255397091</c:v>
                </c:pt>
                <c:pt idx="803">
                  <c:v>286.03948498340446</c:v>
                </c:pt>
                <c:pt idx="804">
                  <c:v>266.43015253066051</c:v>
                </c:pt>
                <c:pt idx="805">
                  <c:v>220.74351650283756</c:v>
                </c:pt>
                <c:pt idx="806">
                  <c:v>205.71115451590617</c:v>
                </c:pt>
                <c:pt idx="807">
                  <c:v>158.69457283015367</c:v>
                </c:pt>
                <c:pt idx="808">
                  <c:v>365.35487196619988</c:v>
                </c:pt>
                <c:pt idx="809">
                  <c:v>149.22761770188367</c:v>
                </c:pt>
                <c:pt idx="810">
                  <c:v>384.78582852771206</c:v>
                </c:pt>
                <c:pt idx="811">
                  <c:v>295.40749772020604</c:v>
                </c:pt>
                <c:pt idx="812">
                  <c:v>353.65799853875228</c:v>
                </c:pt>
                <c:pt idx="813">
                  <c:v>73.614776889576206</c:v>
                </c:pt>
                <c:pt idx="814">
                  <c:v>31.368255621559001</c:v>
                </c:pt>
                <c:pt idx="815">
                  <c:v>236.03781461877065</c:v>
                </c:pt>
                <c:pt idx="816">
                  <c:v>209.78374246356111</c:v>
                </c:pt>
                <c:pt idx="817">
                  <c:v>254.34798328537499</c:v>
                </c:pt>
                <c:pt idx="818">
                  <c:v>218.67116453910717</c:v>
                </c:pt>
                <c:pt idx="819">
                  <c:v>195.91538720146264</c:v>
                </c:pt>
                <c:pt idx="820">
                  <c:v>371.42194969000934</c:v>
                </c:pt>
                <c:pt idx="821">
                  <c:v>546.90643967553297</c:v>
                </c:pt>
                <c:pt idx="822">
                  <c:v>281.16641683845137</c:v>
                </c:pt>
                <c:pt idx="823">
                  <c:v>237.65685169213111</c:v>
                </c:pt>
                <c:pt idx="824">
                  <c:v>234.43484510901453</c:v>
                </c:pt>
                <c:pt idx="825">
                  <c:v>579.79914518985493</c:v>
                </c:pt>
                <c:pt idx="826">
                  <c:v>366.82104343575202</c:v>
                </c:pt>
                <c:pt idx="827">
                  <c:v>170.70653158314826</c:v>
                </c:pt>
                <c:pt idx="828">
                  <c:v>-55.167439160208914</c:v>
                </c:pt>
                <c:pt idx="829">
                  <c:v>271.13898594382863</c:v>
                </c:pt>
                <c:pt idx="830">
                  <c:v>55.274310525641795</c:v>
                </c:pt>
                <c:pt idx="831">
                  <c:v>471.51355051887776</c:v>
                </c:pt>
                <c:pt idx="832">
                  <c:v>265.14033329017093</c:v>
                </c:pt>
                <c:pt idx="833">
                  <c:v>190.79787116240755</c:v>
                </c:pt>
                <c:pt idx="834">
                  <c:v>401.20420006516542</c:v>
                </c:pt>
                <c:pt idx="835">
                  <c:v>310.75524283709933</c:v>
                </c:pt>
                <c:pt idx="836">
                  <c:v>177.82785651559288</c:v>
                </c:pt>
                <c:pt idx="837">
                  <c:v>408.172790670616</c:v>
                </c:pt>
                <c:pt idx="838">
                  <c:v>71.080912074605749</c:v>
                </c:pt>
                <c:pt idx="839">
                  <c:v>425.15761706458397</c:v>
                </c:pt>
                <c:pt idx="840">
                  <c:v>151.07641890086256</c:v>
                </c:pt>
                <c:pt idx="841">
                  <c:v>226.66302315411895</c:v>
                </c:pt>
                <c:pt idx="842">
                  <c:v>218.72352202504908</c:v>
                </c:pt>
                <c:pt idx="843">
                  <c:v>421.7980363228121</c:v>
                </c:pt>
                <c:pt idx="844">
                  <c:v>294.59746239075048</c:v>
                </c:pt>
                <c:pt idx="845">
                  <c:v>316.31264176356058</c:v>
                </c:pt>
                <c:pt idx="846">
                  <c:v>279.43298658168646</c:v>
                </c:pt>
                <c:pt idx="847">
                  <c:v>234.60448422813852</c:v>
                </c:pt>
                <c:pt idx="848">
                  <c:v>223.86859960423999</c:v>
                </c:pt>
                <c:pt idx="849">
                  <c:v>276.0719313672214</c:v>
                </c:pt>
                <c:pt idx="850">
                  <c:v>296.23483647127773</c:v>
                </c:pt>
                <c:pt idx="851">
                  <c:v>224.53237088686865</c:v>
                </c:pt>
                <c:pt idx="852">
                  <c:v>181.63483174825319</c:v>
                </c:pt>
                <c:pt idx="853">
                  <c:v>338.89480605598465</c:v>
                </c:pt>
                <c:pt idx="854">
                  <c:v>327.72715479081967</c:v>
                </c:pt>
                <c:pt idx="855">
                  <c:v>363.34150497950668</c:v>
                </c:pt>
                <c:pt idx="856">
                  <c:v>359.73828914675687</c:v>
                </c:pt>
                <c:pt idx="857">
                  <c:v>158.25107906204698</c:v>
                </c:pt>
                <c:pt idx="858">
                  <c:v>220.90752428057067</c:v>
                </c:pt>
                <c:pt idx="859">
                  <c:v>263.40151197946352</c:v>
                </c:pt>
                <c:pt idx="860">
                  <c:v>184.75696685661865</c:v>
                </c:pt>
                <c:pt idx="861">
                  <c:v>47.299930700143705</c:v>
                </c:pt>
                <c:pt idx="862">
                  <c:v>151.53866025797879</c:v>
                </c:pt>
                <c:pt idx="863">
                  <c:v>280.61056151448543</c:v>
                </c:pt>
                <c:pt idx="864">
                  <c:v>317.19047609561267</c:v>
                </c:pt>
                <c:pt idx="865">
                  <c:v>341.68269427419682</c:v>
                </c:pt>
                <c:pt idx="866">
                  <c:v>205.70465557472585</c:v>
                </c:pt>
                <c:pt idx="867">
                  <c:v>223.3735649593857</c:v>
                </c:pt>
                <c:pt idx="868">
                  <c:v>441.88076038630061</c:v>
                </c:pt>
                <c:pt idx="869">
                  <c:v>264.93413283670429</c:v>
                </c:pt>
                <c:pt idx="870">
                  <c:v>247.58763320123126</c:v>
                </c:pt>
                <c:pt idx="871">
                  <c:v>243.73779599346904</c:v>
                </c:pt>
                <c:pt idx="872">
                  <c:v>150.52756298324198</c:v>
                </c:pt>
                <c:pt idx="873">
                  <c:v>290.35002588658472</c:v>
                </c:pt>
                <c:pt idx="874">
                  <c:v>252.33216844224717</c:v>
                </c:pt>
                <c:pt idx="875">
                  <c:v>193.68946879711143</c:v>
                </c:pt>
                <c:pt idx="876">
                  <c:v>369.29077748951386</c:v>
                </c:pt>
                <c:pt idx="877">
                  <c:v>371.21937212909916</c:v>
                </c:pt>
                <c:pt idx="878">
                  <c:v>245.98949427442153</c:v>
                </c:pt>
                <c:pt idx="879">
                  <c:v>277.10035220736427</c:v>
                </c:pt>
                <c:pt idx="880">
                  <c:v>159.20779509298927</c:v>
                </c:pt>
                <c:pt idx="881">
                  <c:v>288.94994796587844</c:v>
                </c:pt>
                <c:pt idx="882">
                  <c:v>372.08390912469804</c:v>
                </c:pt>
                <c:pt idx="883">
                  <c:v>90.272013090717564</c:v>
                </c:pt>
                <c:pt idx="884">
                  <c:v>330.85919334345704</c:v>
                </c:pt>
                <c:pt idx="885">
                  <c:v>208.04496343070264</c:v>
                </c:pt>
                <c:pt idx="886">
                  <c:v>172.48042753050549</c:v>
                </c:pt>
                <c:pt idx="887">
                  <c:v>444.63733582686518</c:v>
                </c:pt>
                <c:pt idx="888">
                  <c:v>382.03532155726634</c:v>
                </c:pt>
                <c:pt idx="889">
                  <c:v>388.3623107790354</c:v>
                </c:pt>
                <c:pt idx="890">
                  <c:v>222.83950078113708</c:v>
                </c:pt>
                <c:pt idx="891">
                  <c:v>-16.627836074579363</c:v>
                </c:pt>
                <c:pt idx="892">
                  <c:v>335.9115174861563</c:v>
                </c:pt>
                <c:pt idx="893">
                  <c:v>543.51169579271163</c:v>
                </c:pt>
                <c:pt idx="894">
                  <c:v>177.42722038292573</c:v>
                </c:pt>
                <c:pt idx="895">
                  <c:v>314.16988522903807</c:v>
                </c:pt>
                <c:pt idx="896">
                  <c:v>270.62301029660011</c:v>
                </c:pt>
                <c:pt idx="897">
                  <c:v>383.7193698925264</c:v>
                </c:pt>
                <c:pt idx="898">
                  <c:v>-5.443193255793858</c:v>
                </c:pt>
                <c:pt idx="899">
                  <c:v>399.3316134242491</c:v>
                </c:pt>
                <c:pt idx="900">
                  <c:v>127.55103737342688</c:v>
                </c:pt>
                <c:pt idx="901">
                  <c:v>458.0295237123255</c:v>
                </c:pt>
                <c:pt idx="902">
                  <c:v>107.45266986270781</c:v>
                </c:pt>
                <c:pt idx="903">
                  <c:v>239.29185113204448</c:v>
                </c:pt>
                <c:pt idx="904">
                  <c:v>327.30006149692076</c:v>
                </c:pt>
                <c:pt idx="905">
                  <c:v>320.07779480529211</c:v>
                </c:pt>
                <c:pt idx="906">
                  <c:v>286.35778508489693</c:v>
                </c:pt>
                <c:pt idx="907">
                  <c:v>171.87412636948875</c:v>
                </c:pt>
                <c:pt idx="908">
                  <c:v>235.89116430698573</c:v>
                </c:pt>
                <c:pt idx="909">
                  <c:v>183.90200355992465</c:v>
                </c:pt>
                <c:pt idx="910">
                  <c:v>180.77264183425359</c:v>
                </c:pt>
                <c:pt idx="911">
                  <c:v>441.38652097611657</c:v>
                </c:pt>
                <c:pt idx="912">
                  <c:v>498.73426314712106</c:v>
                </c:pt>
                <c:pt idx="913">
                  <c:v>355.96454867097236</c:v>
                </c:pt>
                <c:pt idx="914">
                  <c:v>153.17865573191057</c:v>
                </c:pt>
                <c:pt idx="915">
                  <c:v>196.36226454546681</c:v>
                </c:pt>
                <c:pt idx="916">
                  <c:v>270.72829556914303</c:v>
                </c:pt>
                <c:pt idx="917">
                  <c:v>221.36643594238603</c:v>
                </c:pt>
                <c:pt idx="918">
                  <c:v>259.37978242546365</c:v>
                </c:pt>
                <c:pt idx="919">
                  <c:v>391.82801410859906</c:v>
                </c:pt>
                <c:pt idx="920">
                  <c:v>105.14982426957317</c:v>
                </c:pt>
                <c:pt idx="921">
                  <c:v>495.72118312138355</c:v>
                </c:pt>
                <c:pt idx="922">
                  <c:v>234.87501312074437</c:v>
                </c:pt>
                <c:pt idx="923">
                  <c:v>97.53764171082662</c:v>
                </c:pt>
                <c:pt idx="924">
                  <c:v>174.92200591216283</c:v>
                </c:pt>
                <c:pt idx="925">
                  <c:v>234.7602538645981</c:v>
                </c:pt>
                <c:pt idx="926">
                  <c:v>162.27228068598288</c:v>
                </c:pt>
                <c:pt idx="927">
                  <c:v>240.21235246074866</c:v>
                </c:pt>
                <c:pt idx="928">
                  <c:v>287.24575109571833</c:v>
                </c:pt>
                <c:pt idx="929">
                  <c:v>319.64707300084956</c:v>
                </c:pt>
                <c:pt idx="930">
                  <c:v>601.1706987558332</c:v>
                </c:pt>
                <c:pt idx="931">
                  <c:v>165.94404036059382</c:v>
                </c:pt>
                <c:pt idx="932">
                  <c:v>331.48269101975711</c:v>
                </c:pt>
                <c:pt idx="933">
                  <c:v>358.47476755763796</c:v>
                </c:pt>
                <c:pt idx="934">
                  <c:v>180.12640258756028</c:v>
                </c:pt>
                <c:pt idx="935">
                  <c:v>422.20348761042396</c:v>
                </c:pt>
                <c:pt idx="936">
                  <c:v>255.49671946917306</c:v>
                </c:pt>
                <c:pt idx="937">
                  <c:v>314.12788551057315</c:v>
                </c:pt>
                <c:pt idx="938">
                  <c:v>269.42133409673306</c:v>
                </c:pt>
                <c:pt idx="939">
                  <c:v>246.83069937305049</c:v>
                </c:pt>
                <c:pt idx="940">
                  <c:v>350.47288325577779</c:v>
                </c:pt>
                <c:pt idx="941">
                  <c:v>259.64813231365247</c:v>
                </c:pt>
                <c:pt idx="942">
                  <c:v>230.99171995767915</c:v>
                </c:pt>
                <c:pt idx="943">
                  <c:v>413.49736846646397</c:v>
                </c:pt>
                <c:pt idx="944">
                  <c:v>219.62112646096352</c:v>
                </c:pt>
                <c:pt idx="945">
                  <c:v>552.73383923654137</c:v>
                </c:pt>
                <c:pt idx="946">
                  <c:v>72.355451239766353</c:v>
                </c:pt>
                <c:pt idx="947">
                  <c:v>291.52301475119043</c:v>
                </c:pt>
                <c:pt idx="948">
                  <c:v>502.27606785950366</c:v>
                </c:pt>
                <c:pt idx="949">
                  <c:v>531.27644724269339</c:v>
                </c:pt>
                <c:pt idx="950">
                  <c:v>145.41413738773053</c:v>
                </c:pt>
                <c:pt idx="951">
                  <c:v>244.7424767149605</c:v>
                </c:pt>
                <c:pt idx="952">
                  <c:v>119.55942742549405</c:v>
                </c:pt>
                <c:pt idx="953">
                  <c:v>119.90736017684662</c:v>
                </c:pt>
                <c:pt idx="954">
                  <c:v>281.89106960744198</c:v>
                </c:pt>
                <c:pt idx="955">
                  <c:v>330.28447515787798</c:v>
                </c:pt>
                <c:pt idx="956">
                  <c:v>404.49271311677717</c:v>
                </c:pt>
                <c:pt idx="957">
                  <c:v>245.17717073064409</c:v>
                </c:pt>
                <c:pt idx="958">
                  <c:v>263.56446985901744</c:v>
                </c:pt>
                <c:pt idx="959">
                  <c:v>275.4565050970707</c:v>
                </c:pt>
                <c:pt idx="960">
                  <c:v>436.16146903816116</c:v>
                </c:pt>
                <c:pt idx="961">
                  <c:v>306.65222326076969</c:v>
                </c:pt>
                <c:pt idx="962">
                  <c:v>277.14758427115726</c:v>
                </c:pt>
                <c:pt idx="963">
                  <c:v>164.61433116557919</c:v>
                </c:pt>
                <c:pt idx="964">
                  <c:v>474.00143790008406</c:v>
                </c:pt>
                <c:pt idx="965">
                  <c:v>256.48988337363357</c:v>
                </c:pt>
                <c:pt idx="966">
                  <c:v>192.2951285764168</c:v>
                </c:pt>
                <c:pt idx="967">
                  <c:v>447.96196228916574</c:v>
                </c:pt>
                <c:pt idx="968">
                  <c:v>253.90143021534141</c:v>
                </c:pt>
                <c:pt idx="969">
                  <c:v>176.7388497753293</c:v>
                </c:pt>
                <c:pt idx="970">
                  <c:v>431.34538804923318</c:v>
                </c:pt>
                <c:pt idx="971">
                  <c:v>383.58834160658716</c:v>
                </c:pt>
                <c:pt idx="972">
                  <c:v>91.710409052323485</c:v>
                </c:pt>
                <c:pt idx="973">
                  <c:v>235.38800806853556</c:v>
                </c:pt>
                <c:pt idx="974">
                  <c:v>312.44679598452581</c:v>
                </c:pt>
                <c:pt idx="975">
                  <c:v>323.870329438299</c:v>
                </c:pt>
                <c:pt idx="976">
                  <c:v>208.39046863148519</c:v>
                </c:pt>
                <c:pt idx="977">
                  <c:v>198.59567825161594</c:v>
                </c:pt>
                <c:pt idx="978">
                  <c:v>306.06942284768161</c:v>
                </c:pt>
                <c:pt idx="979">
                  <c:v>212.03756439843733</c:v>
                </c:pt>
                <c:pt idx="980">
                  <c:v>252.60649832286344</c:v>
                </c:pt>
                <c:pt idx="981">
                  <c:v>236.56110923106894</c:v>
                </c:pt>
                <c:pt idx="982">
                  <c:v>270.65709693075905</c:v>
                </c:pt>
                <c:pt idx="983">
                  <c:v>589.79698562488625</c:v>
                </c:pt>
                <c:pt idx="984">
                  <c:v>512.34683712983951</c:v>
                </c:pt>
                <c:pt idx="985">
                  <c:v>484.12770320323261</c:v>
                </c:pt>
                <c:pt idx="986">
                  <c:v>297.4580496947342</c:v>
                </c:pt>
                <c:pt idx="987">
                  <c:v>110.10126804466745</c:v>
                </c:pt>
                <c:pt idx="988">
                  <c:v>334.54116568367613</c:v>
                </c:pt>
                <c:pt idx="989">
                  <c:v>197.47288758984564</c:v>
                </c:pt>
                <c:pt idx="990">
                  <c:v>434.52850315349087</c:v>
                </c:pt>
                <c:pt idx="991">
                  <c:v>335.7435042040911</c:v>
                </c:pt>
                <c:pt idx="992">
                  <c:v>139.58319990030736</c:v>
                </c:pt>
                <c:pt idx="993">
                  <c:v>155.31071119004787</c:v>
                </c:pt>
                <c:pt idx="994">
                  <c:v>29.433319225462583</c:v>
                </c:pt>
                <c:pt idx="995">
                  <c:v>291.83722412139332</c:v>
                </c:pt>
                <c:pt idx="996">
                  <c:v>239.85929603521868</c:v>
                </c:pt>
                <c:pt idx="997">
                  <c:v>405.3700053028108</c:v>
                </c:pt>
                <c:pt idx="998">
                  <c:v>266.06280701319338</c:v>
                </c:pt>
                <c:pt idx="999">
                  <c:v>172.3149561574071</c:v>
                </c:pt>
              </c:numCache>
            </c:numRef>
          </c:yVal>
          <c:smooth val="0"/>
          <c:extLst>
            <c:ext xmlns:c16="http://schemas.microsoft.com/office/drawing/2014/chart" uri="{C3380CC4-5D6E-409C-BE32-E72D297353CC}">
              <c16:uniqueId val="{00000000-A518-4CE9-8A99-706329449E71}"/>
            </c:ext>
          </c:extLst>
        </c:ser>
        <c:ser>
          <c:idx val="1"/>
          <c:order val="1"/>
          <c:spPr>
            <a:ln w="25400" cap="rnd">
              <a:solidFill>
                <a:schemeClr val="bg1">
                  <a:lumMod val="75000"/>
                </a:schemeClr>
              </a:solidFill>
              <a:round/>
            </a:ln>
            <a:effectLst/>
          </c:spPr>
          <c:marker>
            <c:symbol val="none"/>
          </c:marker>
          <c:dPt>
            <c:idx val="1"/>
            <c:marker>
              <c:symbol val="none"/>
            </c:marker>
            <c:bubble3D val="0"/>
            <c:spPr>
              <a:ln w="25400" cap="rnd">
                <a:solidFill>
                  <a:schemeClr val="bg1">
                    <a:lumMod val="75000"/>
                  </a:schemeClr>
                </a:solidFill>
                <a:prstDash val="sysDash"/>
                <a:round/>
              </a:ln>
              <a:effectLst/>
            </c:spPr>
            <c:extLst>
              <c:ext xmlns:c16="http://schemas.microsoft.com/office/drawing/2014/chart" uri="{C3380CC4-5D6E-409C-BE32-E72D297353CC}">
                <c16:uniqueId val="{00000002-A518-4CE9-8A99-706329449E71}"/>
              </c:ext>
            </c:extLst>
          </c:dPt>
          <c:xVal>
            <c:numRef>
              <c:f>'Health Simulation'!$B$1:$B$2</c:f>
              <c:numCache>
                <c:formatCode>0.00000</c:formatCode>
                <c:ptCount val="2"/>
                <c:pt idx="0">
                  <c:v>-1</c:v>
                </c:pt>
                <c:pt idx="1">
                  <c:v>1</c:v>
                </c:pt>
              </c:numCache>
            </c:numRef>
          </c:xVal>
          <c:yVal>
            <c:numRef>
              <c:f>'Health Simulation'!$A$1:$A$2</c:f>
              <c:numCache>
                <c:formatCode>0</c:formatCode>
                <c:ptCount val="2"/>
                <c:pt idx="0" formatCode="General">
                  <c:v>-20000</c:v>
                </c:pt>
                <c:pt idx="1">
                  <c:v>20000</c:v>
                </c:pt>
              </c:numCache>
            </c:numRef>
          </c:yVal>
          <c:smooth val="0"/>
          <c:extLst>
            <c:ext xmlns:c16="http://schemas.microsoft.com/office/drawing/2014/chart" uri="{C3380CC4-5D6E-409C-BE32-E72D297353CC}">
              <c16:uniqueId val="{00000003-A518-4CE9-8A99-706329449E71}"/>
            </c:ext>
          </c:extLst>
        </c:ser>
        <c:dLbls>
          <c:showLegendKey val="0"/>
          <c:showVal val="0"/>
          <c:showCatName val="0"/>
          <c:showSerName val="0"/>
          <c:showPercent val="0"/>
          <c:showBubbleSize val="0"/>
        </c:dLbls>
        <c:axId val="725318151"/>
        <c:axId val="726598151"/>
      </c:scatterChart>
      <c:valAx>
        <c:axId val="725318151"/>
        <c:scaling>
          <c:orientation val="minMax"/>
          <c:max val="0.25"/>
          <c:min val="-0.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Incremental QALYS</a:t>
                </a:r>
              </a:p>
            </c:rich>
          </c:tx>
          <c:layout>
            <c:manualLayout>
              <c:xMode val="edge"/>
              <c:yMode val="edge"/>
              <c:x val="0.39227076606055161"/>
              <c:y val="0.94364218142910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00_-;\-* #,##0.00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598151"/>
        <c:crosses val="autoZero"/>
        <c:crossBetween val="midCat"/>
        <c:majorUnit val="0.1"/>
      </c:valAx>
      <c:valAx>
        <c:axId val="726598151"/>
        <c:scaling>
          <c:orientation val="minMax"/>
          <c:max val="2500"/>
          <c:min val="-2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Incremental costs</a:t>
                </a:r>
              </a:p>
            </c:rich>
          </c:tx>
          <c:layout>
            <c:manualLayout>
              <c:xMode val="edge"/>
              <c:yMode val="edge"/>
              <c:x val="2.9818880985037498E-2"/>
              <c:y val="0.194145976328102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318151"/>
        <c:crosses val="autoZero"/>
        <c:crossBetween val="midCat"/>
        <c:majorUnit val="100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68DADD-547B-480F-9FD6-387E5E1762B8}"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en-US"/>
        </a:p>
      </dgm:t>
    </dgm:pt>
    <dgm:pt modelId="{72D4EB33-8B3C-4DB1-9A0D-20771400A618}">
      <dgm:prSet phldrT="[Text]" custT="1"/>
      <dgm:spPr/>
      <dgm:t>
        <a:bodyPr/>
        <a:lstStyle/>
        <a:p>
          <a:r>
            <a:rPr lang="en-US" sz="1200">
              <a:latin typeface="Arial" panose="020B0604020202020204" pitchFamily="34" charset="0"/>
              <a:cs typeface="Arial" panose="020B0604020202020204" pitchFamily="34" charset="0"/>
            </a:rPr>
            <a:t>3: Family receiving early help/ statutory child welfare support</a:t>
          </a:r>
        </a:p>
      </dgm:t>
    </dgm:pt>
    <dgm:pt modelId="{7D7A0DC6-33BE-4251-84E9-1C6B59B45CA3}" type="parTrans" cxnId="{822B9976-099C-427E-AC0B-62D2306CBE8E}">
      <dgm:prSet/>
      <dgm:spPr/>
      <dgm:t>
        <a:bodyPr/>
        <a:lstStyle/>
        <a:p>
          <a:endParaRPr lang="en-US" sz="1200"/>
        </a:p>
      </dgm:t>
    </dgm:pt>
    <dgm:pt modelId="{5A68D747-226F-4D39-A796-38365A7828F0}" type="sibTrans" cxnId="{822B9976-099C-427E-AC0B-62D2306CBE8E}">
      <dgm:prSet/>
      <dgm:spPr/>
      <dgm:t>
        <a:bodyPr/>
        <a:lstStyle/>
        <a:p>
          <a:endParaRPr lang="en-US" sz="1200"/>
        </a:p>
      </dgm:t>
    </dgm:pt>
    <dgm:pt modelId="{A4B982E5-88F9-438B-8386-60BD5F936BD8}">
      <dgm:prSet phldrT="[Text]" custT="1"/>
      <dgm:spPr>
        <a:solidFill>
          <a:srgbClr val="FFFF00">
            <a:alpha val="50000"/>
          </a:srgbClr>
        </a:solidFill>
      </dgm:spPr>
      <dgm:t>
        <a:bodyPr/>
        <a:lstStyle/>
        <a:p>
          <a:r>
            <a:rPr lang="en-US" sz="1200">
              <a:latin typeface="Arial" panose="020B0604020202020204" pitchFamily="34" charset="0"/>
              <a:cs typeface="Arial" panose="020B0604020202020204" pitchFamily="34" charset="0"/>
            </a:rPr>
            <a:t>2: Parent in treatment for SUD</a:t>
          </a:r>
        </a:p>
      </dgm:t>
    </dgm:pt>
    <dgm:pt modelId="{BD0B3CAC-7085-47C9-92ED-023422394C7E}" type="parTrans" cxnId="{F092DE6E-25E9-454A-A5BB-ED51FC18D9A2}">
      <dgm:prSet/>
      <dgm:spPr/>
      <dgm:t>
        <a:bodyPr/>
        <a:lstStyle/>
        <a:p>
          <a:endParaRPr lang="en-US" sz="1200"/>
        </a:p>
      </dgm:t>
    </dgm:pt>
    <dgm:pt modelId="{1B780EA7-E868-4D25-8F03-00B0E678B9D3}" type="sibTrans" cxnId="{F092DE6E-25E9-454A-A5BB-ED51FC18D9A2}">
      <dgm:prSet/>
      <dgm:spPr/>
      <dgm:t>
        <a:bodyPr/>
        <a:lstStyle/>
        <a:p>
          <a:endParaRPr lang="en-US" sz="1200"/>
        </a:p>
      </dgm:t>
    </dgm:pt>
    <dgm:pt modelId="{25816F6B-AAF8-4D78-97B4-AAC88D04307E}" type="pres">
      <dgm:prSet presAssocID="{D868DADD-547B-480F-9FD6-387E5E1762B8}" presName="compositeShape" presStyleCnt="0">
        <dgm:presLayoutVars>
          <dgm:chMax val="7"/>
          <dgm:dir/>
          <dgm:resizeHandles val="exact"/>
        </dgm:presLayoutVars>
      </dgm:prSet>
      <dgm:spPr/>
    </dgm:pt>
    <dgm:pt modelId="{89ACE4B8-3D9C-483E-98B7-292FF4075AED}" type="pres">
      <dgm:prSet presAssocID="{A4B982E5-88F9-438B-8386-60BD5F936BD8}" presName="circ1" presStyleLbl="vennNode1" presStyleIdx="0" presStyleCnt="2" custScaleX="100601" custScaleY="69236"/>
      <dgm:spPr/>
    </dgm:pt>
    <dgm:pt modelId="{E0FE3D85-09ED-44DD-ACC6-130C5F18A019}" type="pres">
      <dgm:prSet presAssocID="{A4B982E5-88F9-438B-8386-60BD5F936BD8}" presName="circ1Tx" presStyleLbl="revTx" presStyleIdx="0" presStyleCnt="0">
        <dgm:presLayoutVars>
          <dgm:chMax val="0"/>
          <dgm:chPref val="0"/>
          <dgm:bulletEnabled val="1"/>
        </dgm:presLayoutVars>
      </dgm:prSet>
      <dgm:spPr/>
    </dgm:pt>
    <dgm:pt modelId="{F82A61E8-777F-4916-BAB4-CA93790FAD09}" type="pres">
      <dgm:prSet presAssocID="{72D4EB33-8B3C-4DB1-9A0D-20771400A618}" presName="circ2" presStyleLbl="vennNode1" presStyleIdx="1" presStyleCnt="2" custScaleX="100601" custScaleY="69236"/>
      <dgm:spPr/>
    </dgm:pt>
    <dgm:pt modelId="{98C003B0-4CA0-4933-AD01-951D09CBF915}" type="pres">
      <dgm:prSet presAssocID="{72D4EB33-8B3C-4DB1-9A0D-20771400A618}" presName="circ2Tx" presStyleLbl="revTx" presStyleIdx="0" presStyleCnt="0">
        <dgm:presLayoutVars>
          <dgm:chMax val="0"/>
          <dgm:chPref val="0"/>
          <dgm:bulletEnabled val="1"/>
        </dgm:presLayoutVars>
      </dgm:prSet>
      <dgm:spPr/>
    </dgm:pt>
  </dgm:ptLst>
  <dgm:cxnLst>
    <dgm:cxn modelId="{2079E900-C315-4526-A3E2-BB686284F202}" type="presOf" srcId="{A4B982E5-88F9-438B-8386-60BD5F936BD8}" destId="{E0FE3D85-09ED-44DD-ACC6-130C5F18A019}" srcOrd="1" destOrd="0" presId="urn:microsoft.com/office/officeart/2005/8/layout/venn1"/>
    <dgm:cxn modelId="{D21BF93F-3B68-452F-8DC2-C3E49C92EC84}" type="presOf" srcId="{72D4EB33-8B3C-4DB1-9A0D-20771400A618}" destId="{F82A61E8-777F-4916-BAB4-CA93790FAD09}" srcOrd="0" destOrd="0" presId="urn:microsoft.com/office/officeart/2005/8/layout/venn1"/>
    <dgm:cxn modelId="{F092DE6E-25E9-454A-A5BB-ED51FC18D9A2}" srcId="{D868DADD-547B-480F-9FD6-387E5E1762B8}" destId="{A4B982E5-88F9-438B-8386-60BD5F936BD8}" srcOrd="0" destOrd="0" parTransId="{BD0B3CAC-7085-47C9-92ED-023422394C7E}" sibTransId="{1B780EA7-E868-4D25-8F03-00B0E678B9D3}"/>
    <dgm:cxn modelId="{45C9C550-1269-4D4E-93BF-8FF5014BAEB2}" type="presOf" srcId="{A4B982E5-88F9-438B-8386-60BD5F936BD8}" destId="{89ACE4B8-3D9C-483E-98B7-292FF4075AED}" srcOrd="0" destOrd="0" presId="urn:microsoft.com/office/officeart/2005/8/layout/venn1"/>
    <dgm:cxn modelId="{822B9976-099C-427E-AC0B-62D2306CBE8E}" srcId="{D868DADD-547B-480F-9FD6-387E5E1762B8}" destId="{72D4EB33-8B3C-4DB1-9A0D-20771400A618}" srcOrd="1" destOrd="0" parTransId="{7D7A0DC6-33BE-4251-84E9-1C6B59B45CA3}" sibTransId="{5A68D747-226F-4D39-A796-38365A7828F0}"/>
    <dgm:cxn modelId="{09E87B8A-F3DE-4BE5-9722-7190496B6AA6}" type="presOf" srcId="{72D4EB33-8B3C-4DB1-9A0D-20771400A618}" destId="{98C003B0-4CA0-4933-AD01-951D09CBF915}" srcOrd="1" destOrd="0" presId="urn:microsoft.com/office/officeart/2005/8/layout/venn1"/>
    <dgm:cxn modelId="{146B1DF4-B227-41DF-8745-36F6F85368D4}" type="presOf" srcId="{D868DADD-547B-480F-9FD6-387E5E1762B8}" destId="{25816F6B-AAF8-4D78-97B4-AAC88D04307E}" srcOrd="0" destOrd="0" presId="urn:microsoft.com/office/officeart/2005/8/layout/venn1"/>
    <dgm:cxn modelId="{7EF804CA-4D9C-4332-83E5-55C90987B232}" type="presParOf" srcId="{25816F6B-AAF8-4D78-97B4-AAC88D04307E}" destId="{89ACE4B8-3D9C-483E-98B7-292FF4075AED}" srcOrd="0" destOrd="0" presId="urn:microsoft.com/office/officeart/2005/8/layout/venn1"/>
    <dgm:cxn modelId="{25F8086B-4A88-4D5E-A44E-AE4621082A8E}" type="presParOf" srcId="{25816F6B-AAF8-4D78-97B4-AAC88D04307E}" destId="{E0FE3D85-09ED-44DD-ACC6-130C5F18A019}" srcOrd="1" destOrd="0" presId="urn:microsoft.com/office/officeart/2005/8/layout/venn1"/>
    <dgm:cxn modelId="{AC6FFE06-18F3-4C06-B486-AD3449427629}" type="presParOf" srcId="{25816F6B-AAF8-4D78-97B4-AAC88D04307E}" destId="{F82A61E8-777F-4916-BAB4-CA93790FAD09}" srcOrd="2" destOrd="0" presId="urn:microsoft.com/office/officeart/2005/8/layout/venn1"/>
    <dgm:cxn modelId="{C3D431FA-FE3D-47CA-998E-77DEE9A31F24}" type="presParOf" srcId="{25816F6B-AAF8-4D78-97B4-AAC88D04307E}" destId="{98C003B0-4CA0-4933-AD01-951D09CBF915}" srcOrd="3" destOrd="0" presId="urn:microsoft.com/office/officeart/2005/8/layout/venn1"/>
  </dgm:cxnLst>
  <dgm:bg>
    <a:noFill/>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771462-1236-4EDF-B748-DE71D03F7FBC}"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en-GB"/>
        </a:p>
      </dgm:t>
    </dgm:pt>
    <dgm:pt modelId="{095FEA32-DEFC-4819-89F5-4D7045F26018}">
      <dgm:prSet phldrT="[Text]" custT="1"/>
      <dgm:spPr>
        <a:ln>
          <a:solidFill>
            <a:schemeClr val="tx1"/>
          </a:solidFill>
        </a:ln>
      </dgm:spPr>
      <dgm:t>
        <a:bodyPr/>
        <a:lstStyle/>
        <a:p>
          <a:r>
            <a:rPr lang="en-GB" sz="1000">
              <a:solidFill>
                <a:sysClr val="windowText" lastClr="000000"/>
              </a:solidFill>
            </a:rPr>
            <a:t>Parent living with children (n=18,161)</a:t>
          </a:r>
        </a:p>
      </dgm:t>
    </dgm:pt>
    <dgm:pt modelId="{38DC3753-A294-4791-A905-95AC985BD89C}" type="parTrans" cxnId="{5FD53475-9B96-42D3-82FA-C60CD07559FE}">
      <dgm:prSet/>
      <dgm:spPr/>
      <dgm:t>
        <a:bodyPr/>
        <a:lstStyle/>
        <a:p>
          <a:endParaRPr lang="en-GB" sz="1000"/>
        </a:p>
      </dgm:t>
    </dgm:pt>
    <dgm:pt modelId="{DA32FB45-8D8D-49A7-8F9D-C3C5D2758203}" type="sibTrans" cxnId="{5FD53475-9B96-42D3-82FA-C60CD07559FE}">
      <dgm:prSet/>
      <dgm:spPr/>
      <dgm:t>
        <a:bodyPr/>
        <a:lstStyle/>
        <a:p>
          <a:endParaRPr lang="en-GB" sz="1000"/>
        </a:p>
      </dgm:t>
    </dgm:pt>
    <dgm:pt modelId="{FB12C83B-5565-4B61-916A-18FBC0CCCA67}">
      <dgm:prSet phldrT="[Text]" custT="1"/>
      <dgm:spPr>
        <a:ln>
          <a:solidFill>
            <a:schemeClr val="tx1"/>
          </a:solidFill>
        </a:ln>
      </dgm:spPr>
      <dgm:t>
        <a:bodyPr/>
        <a:lstStyle/>
        <a:p>
          <a:r>
            <a:rPr lang="en-GB" sz="1000">
              <a:solidFill>
                <a:sysClr val="windowText" lastClr="000000"/>
              </a:solidFill>
            </a:rPr>
            <a:t>Mothers (n=9,125)</a:t>
          </a:r>
        </a:p>
      </dgm:t>
    </dgm:pt>
    <dgm:pt modelId="{C753A9B3-9466-4B0B-A088-7FD94618291F}" type="parTrans" cxnId="{609536B0-8448-4437-9156-FA2BBEC15366}">
      <dgm:prSet custT="1"/>
      <dgm:spPr>
        <a:ln>
          <a:solidFill>
            <a:schemeClr val="tx1"/>
          </a:solidFill>
        </a:ln>
      </dgm:spPr>
      <dgm:t>
        <a:bodyPr/>
        <a:lstStyle/>
        <a:p>
          <a:endParaRPr lang="en-GB" sz="1000"/>
        </a:p>
      </dgm:t>
    </dgm:pt>
    <dgm:pt modelId="{4DF62A94-612C-4C05-B95D-0BDE5F521A7A}" type="sibTrans" cxnId="{609536B0-8448-4437-9156-FA2BBEC15366}">
      <dgm:prSet/>
      <dgm:spPr/>
      <dgm:t>
        <a:bodyPr/>
        <a:lstStyle/>
        <a:p>
          <a:endParaRPr lang="en-GB" sz="1000"/>
        </a:p>
      </dgm:t>
    </dgm:pt>
    <dgm:pt modelId="{001A83B2-06E9-4C53-A69C-8693BDD7A774}">
      <dgm:prSet phldrT="[Text]" custT="1"/>
      <dgm:spPr>
        <a:ln>
          <a:solidFill>
            <a:schemeClr val="tx1"/>
          </a:solidFill>
        </a:ln>
      </dgm:spPr>
      <dgm:t>
        <a:bodyPr/>
        <a:lstStyle/>
        <a:p>
          <a:r>
            <a:rPr lang="en-GB" sz="1000">
              <a:solidFill>
                <a:sysClr val="windowText" lastClr="000000"/>
              </a:solidFill>
            </a:rPr>
            <a:t>OUs (n=1617)</a:t>
          </a:r>
        </a:p>
      </dgm:t>
    </dgm:pt>
    <dgm:pt modelId="{F6F3C5DF-ACAB-4359-A8AF-497E456B7158}" type="parTrans" cxnId="{3813751D-2789-43A5-9422-0CC0240A9615}">
      <dgm:prSet custT="1"/>
      <dgm:spPr>
        <a:ln>
          <a:solidFill>
            <a:schemeClr val="tx1"/>
          </a:solidFill>
        </a:ln>
      </dgm:spPr>
      <dgm:t>
        <a:bodyPr/>
        <a:lstStyle/>
        <a:p>
          <a:endParaRPr lang="en-GB" sz="1000"/>
        </a:p>
      </dgm:t>
    </dgm:pt>
    <dgm:pt modelId="{9CF7E223-A281-46F5-944A-CB071EEE9E0D}" type="sibTrans" cxnId="{3813751D-2789-43A5-9422-0CC0240A9615}">
      <dgm:prSet/>
      <dgm:spPr/>
      <dgm:t>
        <a:bodyPr/>
        <a:lstStyle/>
        <a:p>
          <a:endParaRPr lang="en-GB" sz="1000"/>
        </a:p>
      </dgm:t>
    </dgm:pt>
    <dgm:pt modelId="{0025327A-C751-4C26-A3C2-A6886C24DC89}">
      <dgm:prSet phldrT="[Text]" custT="1"/>
      <dgm:spPr>
        <a:ln>
          <a:solidFill>
            <a:schemeClr val="tx1"/>
          </a:solidFill>
        </a:ln>
      </dgm:spPr>
      <dgm:t>
        <a:bodyPr/>
        <a:lstStyle/>
        <a:p>
          <a:r>
            <a:rPr lang="en-GB" sz="1000">
              <a:solidFill>
                <a:sysClr val="windowText" lastClr="000000"/>
              </a:solidFill>
            </a:rPr>
            <a:t>Alcohol only (n=4967)</a:t>
          </a:r>
        </a:p>
      </dgm:t>
    </dgm:pt>
    <dgm:pt modelId="{49100B04-676F-400D-B29C-2D9EA8D3099E}" type="parTrans" cxnId="{531BFEE1-03A1-4524-9901-CA0D12786E2F}">
      <dgm:prSet custT="1"/>
      <dgm:spPr>
        <a:ln>
          <a:solidFill>
            <a:schemeClr val="tx1"/>
          </a:solidFill>
        </a:ln>
      </dgm:spPr>
      <dgm:t>
        <a:bodyPr/>
        <a:lstStyle/>
        <a:p>
          <a:endParaRPr lang="en-GB" sz="1000"/>
        </a:p>
      </dgm:t>
    </dgm:pt>
    <dgm:pt modelId="{A24A1C34-3E75-4A7F-AC0F-42848A37193A}" type="sibTrans" cxnId="{531BFEE1-03A1-4524-9901-CA0D12786E2F}">
      <dgm:prSet/>
      <dgm:spPr/>
      <dgm:t>
        <a:bodyPr/>
        <a:lstStyle/>
        <a:p>
          <a:endParaRPr lang="en-GB" sz="1000"/>
        </a:p>
      </dgm:t>
    </dgm:pt>
    <dgm:pt modelId="{77D09C5C-A2F3-438A-801F-AD27CE7B42EF}">
      <dgm:prSet phldrT="[Text]" custT="1"/>
      <dgm:spPr>
        <a:ln>
          <a:solidFill>
            <a:schemeClr val="tx1"/>
          </a:solidFill>
        </a:ln>
      </dgm:spPr>
      <dgm:t>
        <a:bodyPr/>
        <a:lstStyle/>
        <a:p>
          <a:r>
            <a:rPr lang="en-GB" sz="1000">
              <a:solidFill>
                <a:sysClr val="windowText" lastClr="000000"/>
              </a:solidFill>
            </a:rPr>
            <a:t>Fathers (n=9,036)</a:t>
          </a:r>
        </a:p>
      </dgm:t>
    </dgm:pt>
    <dgm:pt modelId="{AE6F2586-83AE-4CDC-B2FC-34B160E55D04}" type="parTrans" cxnId="{E568B20B-4FCA-4584-9852-4DC014EFA8BC}">
      <dgm:prSet custT="1"/>
      <dgm:spPr>
        <a:ln>
          <a:solidFill>
            <a:schemeClr val="tx1"/>
          </a:solidFill>
        </a:ln>
      </dgm:spPr>
      <dgm:t>
        <a:bodyPr/>
        <a:lstStyle/>
        <a:p>
          <a:endParaRPr lang="en-GB" sz="1000"/>
        </a:p>
      </dgm:t>
    </dgm:pt>
    <dgm:pt modelId="{04C0BA40-B800-46E4-BF4E-21935A9061EB}" type="sibTrans" cxnId="{E568B20B-4FCA-4584-9852-4DC014EFA8BC}">
      <dgm:prSet/>
      <dgm:spPr/>
      <dgm:t>
        <a:bodyPr/>
        <a:lstStyle/>
        <a:p>
          <a:endParaRPr lang="en-GB" sz="1000"/>
        </a:p>
      </dgm:t>
    </dgm:pt>
    <dgm:pt modelId="{71488CFF-8940-46AF-9DCE-AA7A04950057}">
      <dgm:prSet phldrT="[Text]" custT="1"/>
      <dgm:spPr>
        <a:ln>
          <a:solidFill>
            <a:schemeClr val="tx1"/>
          </a:solidFill>
        </a:ln>
      </dgm:spPr>
      <dgm:t>
        <a:bodyPr/>
        <a:lstStyle/>
        <a:p>
          <a:r>
            <a:rPr lang="en-GB" sz="1000">
              <a:solidFill>
                <a:sysClr val="windowText" lastClr="000000"/>
              </a:solidFill>
            </a:rPr>
            <a:t>OUs (n=1931)</a:t>
          </a:r>
        </a:p>
      </dgm:t>
    </dgm:pt>
    <dgm:pt modelId="{C7F9B267-4B30-428D-B523-8E82D6E832B1}" type="parTrans" cxnId="{98E7E58F-B054-4D28-9116-3E9756DCBFF7}">
      <dgm:prSet custT="1"/>
      <dgm:spPr>
        <a:ln>
          <a:solidFill>
            <a:schemeClr val="tx1"/>
          </a:solidFill>
        </a:ln>
      </dgm:spPr>
      <dgm:t>
        <a:bodyPr/>
        <a:lstStyle/>
        <a:p>
          <a:endParaRPr lang="en-GB" sz="1000"/>
        </a:p>
      </dgm:t>
    </dgm:pt>
    <dgm:pt modelId="{1F5185D2-917A-4626-BEC2-BA8DCE68140E}" type="sibTrans" cxnId="{98E7E58F-B054-4D28-9116-3E9756DCBFF7}">
      <dgm:prSet/>
      <dgm:spPr/>
      <dgm:t>
        <a:bodyPr/>
        <a:lstStyle/>
        <a:p>
          <a:endParaRPr lang="en-GB" sz="1000"/>
        </a:p>
      </dgm:t>
    </dgm:pt>
    <dgm:pt modelId="{2FD1065E-F46B-4BC7-A2CB-0BE35B61FD4B}">
      <dgm:prSet custT="1"/>
      <dgm:spPr>
        <a:ln>
          <a:solidFill>
            <a:schemeClr val="tx1"/>
          </a:solidFill>
        </a:ln>
      </dgm:spPr>
      <dgm:t>
        <a:bodyPr/>
        <a:lstStyle/>
        <a:p>
          <a:r>
            <a:rPr lang="en-GB" sz="1000">
              <a:solidFill>
                <a:sysClr val="windowText" lastClr="000000"/>
              </a:solidFill>
            </a:rPr>
            <a:t>Non-OUs (n=2540)</a:t>
          </a:r>
        </a:p>
      </dgm:t>
    </dgm:pt>
    <dgm:pt modelId="{6BE3ED26-1A4C-4B24-9BF8-F64AA2E53A15}" type="parTrans" cxnId="{904F2A3C-CF2F-4309-AD50-36DA85CCD143}">
      <dgm:prSet custT="1"/>
      <dgm:spPr>
        <a:ln>
          <a:solidFill>
            <a:schemeClr val="tx1"/>
          </a:solidFill>
        </a:ln>
      </dgm:spPr>
      <dgm:t>
        <a:bodyPr/>
        <a:lstStyle/>
        <a:p>
          <a:endParaRPr lang="en-GB" sz="1000"/>
        </a:p>
      </dgm:t>
    </dgm:pt>
    <dgm:pt modelId="{66152D9E-A782-43E9-8584-191F803C007C}" type="sibTrans" cxnId="{904F2A3C-CF2F-4309-AD50-36DA85CCD143}">
      <dgm:prSet/>
      <dgm:spPr/>
      <dgm:t>
        <a:bodyPr/>
        <a:lstStyle/>
        <a:p>
          <a:endParaRPr lang="en-GB" sz="1000"/>
        </a:p>
      </dgm:t>
    </dgm:pt>
    <dgm:pt modelId="{D93EF15D-B029-40D4-A0E0-4765B85C6545}">
      <dgm:prSet custT="1"/>
      <dgm:spPr>
        <a:ln>
          <a:solidFill>
            <a:schemeClr val="tx1"/>
          </a:solidFill>
        </a:ln>
      </dgm:spPr>
      <dgm:t>
        <a:bodyPr/>
        <a:lstStyle/>
        <a:p>
          <a:r>
            <a:rPr lang="en-GB" sz="1000">
              <a:solidFill>
                <a:sysClr val="windowText" lastClr="000000"/>
              </a:solidFill>
            </a:rPr>
            <a:t>Non-OUs (n=3148)</a:t>
          </a:r>
        </a:p>
      </dgm:t>
    </dgm:pt>
    <dgm:pt modelId="{2A108A61-4324-4DEB-8C3B-A6AAF026B284}" type="parTrans" cxnId="{1FC7EEE4-D0F9-44E1-BF42-59D551A2774E}">
      <dgm:prSet custT="1"/>
      <dgm:spPr>
        <a:ln>
          <a:solidFill>
            <a:schemeClr val="tx1"/>
          </a:solidFill>
        </a:ln>
      </dgm:spPr>
      <dgm:t>
        <a:bodyPr/>
        <a:lstStyle/>
        <a:p>
          <a:endParaRPr lang="en-GB" sz="1000"/>
        </a:p>
      </dgm:t>
    </dgm:pt>
    <dgm:pt modelId="{A50277A0-214C-4D87-89D9-FFA5AE5D8275}" type="sibTrans" cxnId="{1FC7EEE4-D0F9-44E1-BF42-59D551A2774E}">
      <dgm:prSet/>
      <dgm:spPr/>
      <dgm:t>
        <a:bodyPr/>
        <a:lstStyle/>
        <a:p>
          <a:endParaRPr lang="en-GB" sz="1000"/>
        </a:p>
      </dgm:t>
    </dgm:pt>
    <dgm:pt modelId="{04DA6E21-315D-4E7F-8947-74DC2CD07DEF}">
      <dgm:prSet custT="1"/>
      <dgm:spPr>
        <a:ln>
          <a:solidFill>
            <a:schemeClr val="tx1"/>
          </a:solidFill>
        </a:ln>
      </dgm:spPr>
      <dgm:t>
        <a:bodyPr/>
        <a:lstStyle/>
        <a:p>
          <a:r>
            <a:rPr lang="en-GB" sz="1000">
              <a:solidFill>
                <a:sysClr val="windowText" lastClr="000000"/>
              </a:solidFill>
            </a:rPr>
            <a:t>Alcohol only (n=3957)</a:t>
          </a:r>
        </a:p>
      </dgm:t>
    </dgm:pt>
    <dgm:pt modelId="{D1A1489C-E8A7-475F-9925-B9FF4D0B96A3}" type="parTrans" cxnId="{7849F652-BC52-4B1A-863A-A876694A67B7}">
      <dgm:prSet custT="1"/>
      <dgm:spPr>
        <a:ln>
          <a:solidFill>
            <a:schemeClr val="tx1"/>
          </a:solidFill>
        </a:ln>
      </dgm:spPr>
      <dgm:t>
        <a:bodyPr/>
        <a:lstStyle/>
        <a:p>
          <a:endParaRPr lang="en-GB" sz="1000"/>
        </a:p>
      </dgm:t>
    </dgm:pt>
    <dgm:pt modelId="{4B9C2CA5-5C56-4805-88B7-1490DDA65CF6}" type="sibTrans" cxnId="{7849F652-BC52-4B1A-863A-A876694A67B7}">
      <dgm:prSet/>
      <dgm:spPr/>
      <dgm:t>
        <a:bodyPr/>
        <a:lstStyle/>
        <a:p>
          <a:endParaRPr lang="en-GB" sz="1000"/>
        </a:p>
      </dgm:t>
    </dgm:pt>
    <dgm:pt modelId="{15750A26-DF9B-4AFB-B56C-83BAEA14B38B}" type="pres">
      <dgm:prSet presAssocID="{0B771462-1236-4EDF-B748-DE71D03F7FBC}" presName="Name0" presStyleCnt="0">
        <dgm:presLayoutVars>
          <dgm:chPref val="1"/>
          <dgm:dir/>
          <dgm:animOne val="branch"/>
          <dgm:animLvl val="lvl"/>
          <dgm:resizeHandles val="exact"/>
        </dgm:presLayoutVars>
      </dgm:prSet>
      <dgm:spPr/>
    </dgm:pt>
    <dgm:pt modelId="{B2F08BF3-C1B3-4395-91B9-A86BC1D406DF}" type="pres">
      <dgm:prSet presAssocID="{095FEA32-DEFC-4819-89F5-4D7045F26018}" presName="root1" presStyleCnt="0"/>
      <dgm:spPr/>
    </dgm:pt>
    <dgm:pt modelId="{482DBC39-3462-42A7-8932-571515CA8141}" type="pres">
      <dgm:prSet presAssocID="{095FEA32-DEFC-4819-89F5-4D7045F26018}" presName="LevelOneTextNode" presStyleLbl="node0" presStyleIdx="0" presStyleCnt="1">
        <dgm:presLayoutVars>
          <dgm:chPref val="3"/>
        </dgm:presLayoutVars>
      </dgm:prSet>
      <dgm:spPr/>
    </dgm:pt>
    <dgm:pt modelId="{BA0A688F-C55B-43F4-A1B5-013A09D511F3}" type="pres">
      <dgm:prSet presAssocID="{095FEA32-DEFC-4819-89F5-4D7045F26018}" presName="level2hierChild" presStyleCnt="0"/>
      <dgm:spPr/>
    </dgm:pt>
    <dgm:pt modelId="{1D2653C7-3C38-49AD-A1FB-6CEFE077CADB}" type="pres">
      <dgm:prSet presAssocID="{C753A9B3-9466-4B0B-A088-7FD94618291F}" presName="conn2-1" presStyleLbl="parChTrans1D2" presStyleIdx="0" presStyleCnt="2"/>
      <dgm:spPr/>
    </dgm:pt>
    <dgm:pt modelId="{6E229D8D-6E11-4FC7-9DFF-72025D48A802}" type="pres">
      <dgm:prSet presAssocID="{C753A9B3-9466-4B0B-A088-7FD94618291F}" presName="connTx" presStyleLbl="parChTrans1D2" presStyleIdx="0" presStyleCnt="2"/>
      <dgm:spPr/>
    </dgm:pt>
    <dgm:pt modelId="{0930C879-0EE7-4411-89C6-21018200140B}" type="pres">
      <dgm:prSet presAssocID="{FB12C83B-5565-4B61-916A-18FBC0CCCA67}" presName="root2" presStyleCnt="0"/>
      <dgm:spPr/>
    </dgm:pt>
    <dgm:pt modelId="{6E3A908B-A319-44E3-8BAA-85DD071C1F98}" type="pres">
      <dgm:prSet presAssocID="{FB12C83B-5565-4B61-916A-18FBC0CCCA67}" presName="LevelTwoTextNode" presStyleLbl="node2" presStyleIdx="0" presStyleCnt="2">
        <dgm:presLayoutVars>
          <dgm:chPref val="3"/>
        </dgm:presLayoutVars>
      </dgm:prSet>
      <dgm:spPr/>
    </dgm:pt>
    <dgm:pt modelId="{987FA011-603D-4FB3-B022-C0AB277A663E}" type="pres">
      <dgm:prSet presAssocID="{FB12C83B-5565-4B61-916A-18FBC0CCCA67}" presName="level3hierChild" presStyleCnt="0"/>
      <dgm:spPr/>
    </dgm:pt>
    <dgm:pt modelId="{B3875A89-EE6C-4D71-8B2D-4287147A92AA}" type="pres">
      <dgm:prSet presAssocID="{F6F3C5DF-ACAB-4359-A8AF-497E456B7158}" presName="conn2-1" presStyleLbl="parChTrans1D3" presStyleIdx="0" presStyleCnt="6"/>
      <dgm:spPr/>
    </dgm:pt>
    <dgm:pt modelId="{B8604374-07B3-48DE-8D5E-3C3604677D62}" type="pres">
      <dgm:prSet presAssocID="{F6F3C5DF-ACAB-4359-A8AF-497E456B7158}" presName="connTx" presStyleLbl="parChTrans1D3" presStyleIdx="0" presStyleCnt="6"/>
      <dgm:spPr/>
    </dgm:pt>
    <dgm:pt modelId="{08E18B50-3970-4BCC-B041-91D19546C2BD}" type="pres">
      <dgm:prSet presAssocID="{001A83B2-06E9-4C53-A69C-8693BDD7A774}" presName="root2" presStyleCnt="0"/>
      <dgm:spPr/>
    </dgm:pt>
    <dgm:pt modelId="{08F78B88-1BA5-4BD6-AE91-6E991E116F15}" type="pres">
      <dgm:prSet presAssocID="{001A83B2-06E9-4C53-A69C-8693BDD7A774}" presName="LevelTwoTextNode" presStyleLbl="node3" presStyleIdx="0" presStyleCnt="6">
        <dgm:presLayoutVars>
          <dgm:chPref val="3"/>
        </dgm:presLayoutVars>
      </dgm:prSet>
      <dgm:spPr/>
    </dgm:pt>
    <dgm:pt modelId="{C85B2CF0-1740-4C70-B0F9-31091E2E77A8}" type="pres">
      <dgm:prSet presAssocID="{001A83B2-06E9-4C53-A69C-8693BDD7A774}" presName="level3hierChild" presStyleCnt="0"/>
      <dgm:spPr/>
    </dgm:pt>
    <dgm:pt modelId="{6F1CABFF-0E5F-4843-A19A-B2F806AC1FB0}" type="pres">
      <dgm:prSet presAssocID="{6BE3ED26-1A4C-4B24-9BF8-F64AA2E53A15}" presName="conn2-1" presStyleLbl="parChTrans1D3" presStyleIdx="1" presStyleCnt="6"/>
      <dgm:spPr/>
    </dgm:pt>
    <dgm:pt modelId="{67F6537F-CCC6-4FF5-A1F8-C69ABF4FB893}" type="pres">
      <dgm:prSet presAssocID="{6BE3ED26-1A4C-4B24-9BF8-F64AA2E53A15}" presName="connTx" presStyleLbl="parChTrans1D3" presStyleIdx="1" presStyleCnt="6"/>
      <dgm:spPr/>
    </dgm:pt>
    <dgm:pt modelId="{0807369E-CDEA-4EFD-A75E-D4CAB2D010EA}" type="pres">
      <dgm:prSet presAssocID="{2FD1065E-F46B-4BC7-A2CB-0BE35B61FD4B}" presName="root2" presStyleCnt="0"/>
      <dgm:spPr/>
    </dgm:pt>
    <dgm:pt modelId="{14CDE22E-9876-46A1-A838-1A087847F07C}" type="pres">
      <dgm:prSet presAssocID="{2FD1065E-F46B-4BC7-A2CB-0BE35B61FD4B}" presName="LevelTwoTextNode" presStyleLbl="node3" presStyleIdx="1" presStyleCnt="6">
        <dgm:presLayoutVars>
          <dgm:chPref val="3"/>
        </dgm:presLayoutVars>
      </dgm:prSet>
      <dgm:spPr/>
    </dgm:pt>
    <dgm:pt modelId="{051A5E6A-505E-4E6A-AEEE-51F79C4DD0E4}" type="pres">
      <dgm:prSet presAssocID="{2FD1065E-F46B-4BC7-A2CB-0BE35B61FD4B}" presName="level3hierChild" presStyleCnt="0"/>
      <dgm:spPr/>
    </dgm:pt>
    <dgm:pt modelId="{13435F3B-4CF4-42E3-BF1C-878A527FBF82}" type="pres">
      <dgm:prSet presAssocID="{49100B04-676F-400D-B29C-2D9EA8D3099E}" presName="conn2-1" presStyleLbl="parChTrans1D3" presStyleIdx="2" presStyleCnt="6"/>
      <dgm:spPr/>
    </dgm:pt>
    <dgm:pt modelId="{F2D3E8EC-A883-4CD3-A1D4-123191A4DAE7}" type="pres">
      <dgm:prSet presAssocID="{49100B04-676F-400D-B29C-2D9EA8D3099E}" presName="connTx" presStyleLbl="parChTrans1D3" presStyleIdx="2" presStyleCnt="6"/>
      <dgm:spPr/>
    </dgm:pt>
    <dgm:pt modelId="{51191B01-8A86-466A-8AE5-FBA9D5B4BB9E}" type="pres">
      <dgm:prSet presAssocID="{0025327A-C751-4C26-A3C2-A6886C24DC89}" presName="root2" presStyleCnt="0"/>
      <dgm:spPr/>
    </dgm:pt>
    <dgm:pt modelId="{D159E6E8-109C-4060-9AC4-57C77974A5D7}" type="pres">
      <dgm:prSet presAssocID="{0025327A-C751-4C26-A3C2-A6886C24DC89}" presName="LevelTwoTextNode" presStyleLbl="node3" presStyleIdx="2" presStyleCnt="6">
        <dgm:presLayoutVars>
          <dgm:chPref val="3"/>
        </dgm:presLayoutVars>
      </dgm:prSet>
      <dgm:spPr/>
    </dgm:pt>
    <dgm:pt modelId="{E7351579-C5BF-41F7-99B0-7C87D17DBBF9}" type="pres">
      <dgm:prSet presAssocID="{0025327A-C751-4C26-A3C2-A6886C24DC89}" presName="level3hierChild" presStyleCnt="0"/>
      <dgm:spPr/>
    </dgm:pt>
    <dgm:pt modelId="{C5F4FEA3-E53D-4061-8BFD-EE09EF6C1D1E}" type="pres">
      <dgm:prSet presAssocID="{AE6F2586-83AE-4CDC-B2FC-34B160E55D04}" presName="conn2-1" presStyleLbl="parChTrans1D2" presStyleIdx="1" presStyleCnt="2"/>
      <dgm:spPr/>
    </dgm:pt>
    <dgm:pt modelId="{E6504FE0-7AB7-41CD-9A48-0572ED8B76A5}" type="pres">
      <dgm:prSet presAssocID="{AE6F2586-83AE-4CDC-B2FC-34B160E55D04}" presName="connTx" presStyleLbl="parChTrans1D2" presStyleIdx="1" presStyleCnt="2"/>
      <dgm:spPr/>
    </dgm:pt>
    <dgm:pt modelId="{A0DFA7BC-26E6-4CA4-A8F8-3994DFD6C780}" type="pres">
      <dgm:prSet presAssocID="{77D09C5C-A2F3-438A-801F-AD27CE7B42EF}" presName="root2" presStyleCnt="0"/>
      <dgm:spPr/>
    </dgm:pt>
    <dgm:pt modelId="{A0100F67-0EE4-4F08-9454-AF52FCEF7EC9}" type="pres">
      <dgm:prSet presAssocID="{77D09C5C-A2F3-438A-801F-AD27CE7B42EF}" presName="LevelTwoTextNode" presStyleLbl="node2" presStyleIdx="1" presStyleCnt="2">
        <dgm:presLayoutVars>
          <dgm:chPref val="3"/>
        </dgm:presLayoutVars>
      </dgm:prSet>
      <dgm:spPr/>
    </dgm:pt>
    <dgm:pt modelId="{630E32E9-8692-4020-83FA-548B80300373}" type="pres">
      <dgm:prSet presAssocID="{77D09C5C-A2F3-438A-801F-AD27CE7B42EF}" presName="level3hierChild" presStyleCnt="0"/>
      <dgm:spPr/>
    </dgm:pt>
    <dgm:pt modelId="{AFE74104-37EC-4198-9038-F127CEA9F44E}" type="pres">
      <dgm:prSet presAssocID="{C7F9B267-4B30-428D-B523-8E82D6E832B1}" presName="conn2-1" presStyleLbl="parChTrans1D3" presStyleIdx="3" presStyleCnt="6"/>
      <dgm:spPr/>
    </dgm:pt>
    <dgm:pt modelId="{078A655B-D6F4-47DC-B57C-3741F5AAD263}" type="pres">
      <dgm:prSet presAssocID="{C7F9B267-4B30-428D-B523-8E82D6E832B1}" presName="connTx" presStyleLbl="parChTrans1D3" presStyleIdx="3" presStyleCnt="6"/>
      <dgm:spPr/>
    </dgm:pt>
    <dgm:pt modelId="{54D604F2-B05F-43BF-B258-EF292E0CE127}" type="pres">
      <dgm:prSet presAssocID="{71488CFF-8940-46AF-9DCE-AA7A04950057}" presName="root2" presStyleCnt="0"/>
      <dgm:spPr/>
    </dgm:pt>
    <dgm:pt modelId="{C6C969CA-9C83-43B0-BABC-6D3F70940153}" type="pres">
      <dgm:prSet presAssocID="{71488CFF-8940-46AF-9DCE-AA7A04950057}" presName="LevelTwoTextNode" presStyleLbl="node3" presStyleIdx="3" presStyleCnt="6">
        <dgm:presLayoutVars>
          <dgm:chPref val="3"/>
        </dgm:presLayoutVars>
      </dgm:prSet>
      <dgm:spPr/>
    </dgm:pt>
    <dgm:pt modelId="{74A796B7-B3F5-4069-BE0F-0D69C34A42A5}" type="pres">
      <dgm:prSet presAssocID="{71488CFF-8940-46AF-9DCE-AA7A04950057}" presName="level3hierChild" presStyleCnt="0"/>
      <dgm:spPr/>
    </dgm:pt>
    <dgm:pt modelId="{5DABD05C-DBED-417C-989D-FF6FEAA053A4}" type="pres">
      <dgm:prSet presAssocID="{2A108A61-4324-4DEB-8C3B-A6AAF026B284}" presName="conn2-1" presStyleLbl="parChTrans1D3" presStyleIdx="4" presStyleCnt="6"/>
      <dgm:spPr/>
    </dgm:pt>
    <dgm:pt modelId="{17AA269C-6560-4D70-8261-060576DFBA40}" type="pres">
      <dgm:prSet presAssocID="{2A108A61-4324-4DEB-8C3B-A6AAF026B284}" presName="connTx" presStyleLbl="parChTrans1D3" presStyleIdx="4" presStyleCnt="6"/>
      <dgm:spPr/>
    </dgm:pt>
    <dgm:pt modelId="{5A90DB17-2B99-4FC6-AEEE-9A321F7E6827}" type="pres">
      <dgm:prSet presAssocID="{D93EF15D-B029-40D4-A0E0-4765B85C6545}" presName="root2" presStyleCnt="0"/>
      <dgm:spPr/>
    </dgm:pt>
    <dgm:pt modelId="{F3854056-126D-4B4A-A048-9B85B81828EA}" type="pres">
      <dgm:prSet presAssocID="{D93EF15D-B029-40D4-A0E0-4765B85C6545}" presName="LevelTwoTextNode" presStyleLbl="node3" presStyleIdx="4" presStyleCnt="6">
        <dgm:presLayoutVars>
          <dgm:chPref val="3"/>
        </dgm:presLayoutVars>
      </dgm:prSet>
      <dgm:spPr/>
    </dgm:pt>
    <dgm:pt modelId="{FD89BA3C-76A5-4E0A-8ED6-334BEEB1848F}" type="pres">
      <dgm:prSet presAssocID="{D93EF15D-B029-40D4-A0E0-4765B85C6545}" presName="level3hierChild" presStyleCnt="0"/>
      <dgm:spPr/>
    </dgm:pt>
    <dgm:pt modelId="{36D2F0CC-2628-4EEF-B4CF-8A2FCB2DEEF9}" type="pres">
      <dgm:prSet presAssocID="{D1A1489C-E8A7-475F-9925-B9FF4D0B96A3}" presName="conn2-1" presStyleLbl="parChTrans1D3" presStyleIdx="5" presStyleCnt="6"/>
      <dgm:spPr/>
    </dgm:pt>
    <dgm:pt modelId="{892E4D63-686F-4AF3-8259-B300A0BE3100}" type="pres">
      <dgm:prSet presAssocID="{D1A1489C-E8A7-475F-9925-B9FF4D0B96A3}" presName="connTx" presStyleLbl="parChTrans1D3" presStyleIdx="5" presStyleCnt="6"/>
      <dgm:spPr/>
    </dgm:pt>
    <dgm:pt modelId="{A2FB9ADC-FAC7-4112-B034-E574B043B8CA}" type="pres">
      <dgm:prSet presAssocID="{04DA6E21-315D-4E7F-8947-74DC2CD07DEF}" presName="root2" presStyleCnt="0"/>
      <dgm:spPr/>
    </dgm:pt>
    <dgm:pt modelId="{572B6D34-C659-4688-B19A-D3A1E3F16C39}" type="pres">
      <dgm:prSet presAssocID="{04DA6E21-315D-4E7F-8947-74DC2CD07DEF}" presName="LevelTwoTextNode" presStyleLbl="node3" presStyleIdx="5" presStyleCnt="6">
        <dgm:presLayoutVars>
          <dgm:chPref val="3"/>
        </dgm:presLayoutVars>
      </dgm:prSet>
      <dgm:spPr/>
    </dgm:pt>
    <dgm:pt modelId="{1CA3B601-3C4F-4B3D-9616-A12849F55A4F}" type="pres">
      <dgm:prSet presAssocID="{04DA6E21-315D-4E7F-8947-74DC2CD07DEF}" presName="level3hierChild" presStyleCnt="0"/>
      <dgm:spPr/>
    </dgm:pt>
  </dgm:ptLst>
  <dgm:cxnLst>
    <dgm:cxn modelId="{10F06502-E89A-4EAB-81EC-2AA4D6689D4B}" type="presOf" srcId="{C7F9B267-4B30-428D-B523-8E82D6E832B1}" destId="{078A655B-D6F4-47DC-B57C-3741F5AAD263}" srcOrd="1" destOrd="0" presId="urn:microsoft.com/office/officeart/2008/layout/HorizontalMultiLevelHierarchy"/>
    <dgm:cxn modelId="{1C68FB0A-E712-4AB0-B0D3-0C2C4AAA581E}" type="presOf" srcId="{FB12C83B-5565-4B61-916A-18FBC0CCCA67}" destId="{6E3A908B-A319-44E3-8BAA-85DD071C1F98}" srcOrd="0" destOrd="0" presId="urn:microsoft.com/office/officeart/2008/layout/HorizontalMultiLevelHierarchy"/>
    <dgm:cxn modelId="{E568B20B-4FCA-4584-9852-4DC014EFA8BC}" srcId="{095FEA32-DEFC-4819-89F5-4D7045F26018}" destId="{77D09C5C-A2F3-438A-801F-AD27CE7B42EF}" srcOrd="1" destOrd="0" parTransId="{AE6F2586-83AE-4CDC-B2FC-34B160E55D04}" sibTransId="{04C0BA40-B800-46E4-BF4E-21935A9061EB}"/>
    <dgm:cxn modelId="{C0F5B60C-63A4-40A2-87D4-9AB3143C8586}" type="presOf" srcId="{F6F3C5DF-ACAB-4359-A8AF-497E456B7158}" destId="{B3875A89-EE6C-4D71-8B2D-4287147A92AA}" srcOrd="0" destOrd="0" presId="urn:microsoft.com/office/officeart/2008/layout/HorizontalMultiLevelHierarchy"/>
    <dgm:cxn modelId="{A8E75B12-69B0-463A-A134-2862C7E40A52}" type="presOf" srcId="{04DA6E21-315D-4E7F-8947-74DC2CD07DEF}" destId="{572B6D34-C659-4688-B19A-D3A1E3F16C39}" srcOrd="0" destOrd="0" presId="urn:microsoft.com/office/officeart/2008/layout/HorizontalMultiLevelHierarchy"/>
    <dgm:cxn modelId="{7A6C4714-BA33-4EBC-BA2F-909E16F4A925}" type="presOf" srcId="{0025327A-C751-4C26-A3C2-A6886C24DC89}" destId="{D159E6E8-109C-4060-9AC4-57C77974A5D7}" srcOrd="0" destOrd="0" presId="urn:microsoft.com/office/officeart/2008/layout/HorizontalMultiLevelHierarchy"/>
    <dgm:cxn modelId="{B4857315-AF6D-44A4-875B-F5AB8B5A0EF9}" type="presOf" srcId="{0B771462-1236-4EDF-B748-DE71D03F7FBC}" destId="{15750A26-DF9B-4AFB-B56C-83BAEA14B38B}" srcOrd="0" destOrd="0" presId="urn:microsoft.com/office/officeart/2008/layout/HorizontalMultiLevelHierarchy"/>
    <dgm:cxn modelId="{CCA8401D-0AC9-4CEA-8B02-20A228394981}" type="presOf" srcId="{6BE3ED26-1A4C-4B24-9BF8-F64AA2E53A15}" destId="{6F1CABFF-0E5F-4843-A19A-B2F806AC1FB0}" srcOrd="0" destOrd="0" presId="urn:microsoft.com/office/officeart/2008/layout/HorizontalMultiLevelHierarchy"/>
    <dgm:cxn modelId="{3813751D-2789-43A5-9422-0CC0240A9615}" srcId="{FB12C83B-5565-4B61-916A-18FBC0CCCA67}" destId="{001A83B2-06E9-4C53-A69C-8693BDD7A774}" srcOrd="0" destOrd="0" parTransId="{F6F3C5DF-ACAB-4359-A8AF-497E456B7158}" sibTransId="{9CF7E223-A281-46F5-944A-CB071EEE9E0D}"/>
    <dgm:cxn modelId="{EE291A20-1F04-495F-BD25-F3AAD7C846DE}" type="presOf" srcId="{AE6F2586-83AE-4CDC-B2FC-34B160E55D04}" destId="{C5F4FEA3-E53D-4061-8BFD-EE09EF6C1D1E}" srcOrd="0" destOrd="0" presId="urn:microsoft.com/office/officeart/2008/layout/HorizontalMultiLevelHierarchy"/>
    <dgm:cxn modelId="{3FA03C22-2BF1-45AB-92A9-7AE0840E7676}" type="presOf" srcId="{C753A9B3-9466-4B0B-A088-7FD94618291F}" destId="{1D2653C7-3C38-49AD-A1FB-6CEFE077CADB}" srcOrd="0" destOrd="0" presId="urn:microsoft.com/office/officeart/2008/layout/HorizontalMultiLevelHierarchy"/>
    <dgm:cxn modelId="{9CE2F631-26C3-48A9-A778-AA6B2AC154C0}" type="presOf" srcId="{C753A9B3-9466-4B0B-A088-7FD94618291F}" destId="{6E229D8D-6E11-4FC7-9DFF-72025D48A802}" srcOrd="1" destOrd="0" presId="urn:microsoft.com/office/officeart/2008/layout/HorizontalMultiLevelHierarchy"/>
    <dgm:cxn modelId="{AD899232-E567-4BA2-999C-E5DAF40DDB95}" type="presOf" srcId="{D1A1489C-E8A7-475F-9925-B9FF4D0B96A3}" destId="{36D2F0CC-2628-4EEF-B4CF-8A2FCB2DEEF9}" srcOrd="0" destOrd="0" presId="urn:microsoft.com/office/officeart/2008/layout/HorizontalMultiLevelHierarchy"/>
    <dgm:cxn modelId="{2B7D1836-DB22-45B3-82E3-4F637D09CE78}" type="presOf" srcId="{71488CFF-8940-46AF-9DCE-AA7A04950057}" destId="{C6C969CA-9C83-43B0-BABC-6D3F70940153}" srcOrd="0" destOrd="0" presId="urn:microsoft.com/office/officeart/2008/layout/HorizontalMultiLevelHierarchy"/>
    <dgm:cxn modelId="{B13C3A36-5189-4836-B6EB-DF550B204A90}" type="presOf" srcId="{2FD1065E-F46B-4BC7-A2CB-0BE35B61FD4B}" destId="{14CDE22E-9876-46A1-A838-1A087847F07C}" srcOrd="0" destOrd="0" presId="urn:microsoft.com/office/officeart/2008/layout/HorizontalMultiLevelHierarchy"/>
    <dgm:cxn modelId="{299E333B-E82C-4E05-9CBB-8E2511D938F0}" type="presOf" srcId="{F6F3C5DF-ACAB-4359-A8AF-497E456B7158}" destId="{B8604374-07B3-48DE-8D5E-3C3604677D62}" srcOrd="1" destOrd="0" presId="urn:microsoft.com/office/officeart/2008/layout/HorizontalMultiLevelHierarchy"/>
    <dgm:cxn modelId="{904F2A3C-CF2F-4309-AD50-36DA85CCD143}" srcId="{FB12C83B-5565-4B61-916A-18FBC0CCCA67}" destId="{2FD1065E-F46B-4BC7-A2CB-0BE35B61FD4B}" srcOrd="1" destOrd="0" parTransId="{6BE3ED26-1A4C-4B24-9BF8-F64AA2E53A15}" sibTransId="{66152D9E-A782-43E9-8584-191F803C007C}"/>
    <dgm:cxn modelId="{8AE66350-76EE-4F1B-8340-147D538D6CBB}" type="presOf" srcId="{49100B04-676F-400D-B29C-2D9EA8D3099E}" destId="{F2D3E8EC-A883-4CD3-A1D4-123191A4DAE7}" srcOrd="1" destOrd="0" presId="urn:microsoft.com/office/officeart/2008/layout/HorizontalMultiLevelHierarchy"/>
    <dgm:cxn modelId="{7849F652-BC52-4B1A-863A-A876694A67B7}" srcId="{77D09C5C-A2F3-438A-801F-AD27CE7B42EF}" destId="{04DA6E21-315D-4E7F-8947-74DC2CD07DEF}" srcOrd="2" destOrd="0" parTransId="{D1A1489C-E8A7-475F-9925-B9FF4D0B96A3}" sibTransId="{4B9C2CA5-5C56-4805-88B7-1490DDA65CF6}"/>
    <dgm:cxn modelId="{5FD53475-9B96-42D3-82FA-C60CD07559FE}" srcId="{0B771462-1236-4EDF-B748-DE71D03F7FBC}" destId="{095FEA32-DEFC-4819-89F5-4D7045F26018}" srcOrd="0" destOrd="0" parTransId="{38DC3753-A294-4791-A905-95AC985BD89C}" sibTransId="{DA32FB45-8D8D-49A7-8F9D-C3C5D2758203}"/>
    <dgm:cxn modelId="{45D51B57-AE31-4A51-B1A3-0EB3DE4004D7}" type="presOf" srcId="{D93EF15D-B029-40D4-A0E0-4765B85C6545}" destId="{F3854056-126D-4B4A-A048-9B85B81828EA}" srcOrd="0" destOrd="0" presId="urn:microsoft.com/office/officeart/2008/layout/HorizontalMultiLevelHierarchy"/>
    <dgm:cxn modelId="{4AEBE558-3C7C-4744-B844-4CBF77358845}" type="presOf" srcId="{49100B04-676F-400D-B29C-2D9EA8D3099E}" destId="{13435F3B-4CF4-42E3-BF1C-878A527FBF82}" srcOrd="0" destOrd="0" presId="urn:microsoft.com/office/officeart/2008/layout/HorizontalMultiLevelHierarchy"/>
    <dgm:cxn modelId="{98E7E58F-B054-4D28-9116-3E9756DCBFF7}" srcId="{77D09C5C-A2F3-438A-801F-AD27CE7B42EF}" destId="{71488CFF-8940-46AF-9DCE-AA7A04950057}" srcOrd="0" destOrd="0" parTransId="{C7F9B267-4B30-428D-B523-8E82D6E832B1}" sibTransId="{1F5185D2-917A-4626-BEC2-BA8DCE68140E}"/>
    <dgm:cxn modelId="{3E1CB192-DA4C-46F8-9A5E-D350E0971555}" type="presOf" srcId="{095FEA32-DEFC-4819-89F5-4D7045F26018}" destId="{482DBC39-3462-42A7-8932-571515CA8141}" srcOrd="0" destOrd="0" presId="urn:microsoft.com/office/officeart/2008/layout/HorizontalMultiLevelHierarchy"/>
    <dgm:cxn modelId="{2A70B795-97E4-4337-A77E-4F0AC9D66DE7}" type="presOf" srcId="{2A108A61-4324-4DEB-8C3B-A6AAF026B284}" destId="{5DABD05C-DBED-417C-989D-FF6FEAA053A4}" srcOrd="0" destOrd="0" presId="urn:microsoft.com/office/officeart/2008/layout/HorizontalMultiLevelHierarchy"/>
    <dgm:cxn modelId="{FE420CA6-2578-4965-9107-DDD395A6173D}" type="presOf" srcId="{D1A1489C-E8A7-475F-9925-B9FF4D0B96A3}" destId="{892E4D63-686F-4AF3-8259-B300A0BE3100}" srcOrd="1" destOrd="0" presId="urn:microsoft.com/office/officeart/2008/layout/HorizontalMultiLevelHierarchy"/>
    <dgm:cxn modelId="{6073C3A6-7CC3-4580-AA19-00523033A8FA}" type="presOf" srcId="{6BE3ED26-1A4C-4B24-9BF8-F64AA2E53A15}" destId="{67F6537F-CCC6-4FF5-A1F8-C69ABF4FB893}" srcOrd="1" destOrd="0" presId="urn:microsoft.com/office/officeart/2008/layout/HorizontalMultiLevelHierarchy"/>
    <dgm:cxn modelId="{CABAB5AF-D9F6-466D-9B50-87A45E621408}" type="presOf" srcId="{001A83B2-06E9-4C53-A69C-8693BDD7A774}" destId="{08F78B88-1BA5-4BD6-AE91-6E991E116F15}" srcOrd="0" destOrd="0" presId="urn:microsoft.com/office/officeart/2008/layout/HorizontalMultiLevelHierarchy"/>
    <dgm:cxn modelId="{609536B0-8448-4437-9156-FA2BBEC15366}" srcId="{095FEA32-DEFC-4819-89F5-4D7045F26018}" destId="{FB12C83B-5565-4B61-916A-18FBC0CCCA67}" srcOrd="0" destOrd="0" parTransId="{C753A9B3-9466-4B0B-A088-7FD94618291F}" sibTransId="{4DF62A94-612C-4C05-B95D-0BDE5F521A7A}"/>
    <dgm:cxn modelId="{BAFB25B2-2AC3-4E77-AAD9-2DCA2E996646}" type="presOf" srcId="{AE6F2586-83AE-4CDC-B2FC-34B160E55D04}" destId="{E6504FE0-7AB7-41CD-9A48-0572ED8B76A5}" srcOrd="1" destOrd="0" presId="urn:microsoft.com/office/officeart/2008/layout/HorizontalMultiLevelHierarchy"/>
    <dgm:cxn modelId="{508497C4-87ED-4254-8A8B-FD42B1CEE8AB}" type="presOf" srcId="{2A108A61-4324-4DEB-8C3B-A6AAF026B284}" destId="{17AA269C-6560-4D70-8261-060576DFBA40}" srcOrd="1" destOrd="0" presId="urn:microsoft.com/office/officeart/2008/layout/HorizontalMultiLevelHierarchy"/>
    <dgm:cxn modelId="{D199D1DC-60A9-4198-8567-FB4579B53313}" type="presOf" srcId="{77D09C5C-A2F3-438A-801F-AD27CE7B42EF}" destId="{A0100F67-0EE4-4F08-9454-AF52FCEF7EC9}" srcOrd="0" destOrd="0" presId="urn:microsoft.com/office/officeart/2008/layout/HorizontalMultiLevelHierarchy"/>
    <dgm:cxn modelId="{531BFEE1-03A1-4524-9901-CA0D12786E2F}" srcId="{FB12C83B-5565-4B61-916A-18FBC0CCCA67}" destId="{0025327A-C751-4C26-A3C2-A6886C24DC89}" srcOrd="2" destOrd="0" parTransId="{49100B04-676F-400D-B29C-2D9EA8D3099E}" sibTransId="{A24A1C34-3E75-4A7F-AC0F-42848A37193A}"/>
    <dgm:cxn modelId="{1FC7EEE4-D0F9-44E1-BF42-59D551A2774E}" srcId="{77D09C5C-A2F3-438A-801F-AD27CE7B42EF}" destId="{D93EF15D-B029-40D4-A0E0-4765B85C6545}" srcOrd="1" destOrd="0" parTransId="{2A108A61-4324-4DEB-8C3B-A6AAF026B284}" sibTransId="{A50277A0-214C-4D87-89D9-FFA5AE5D8275}"/>
    <dgm:cxn modelId="{0CA7E1E7-B1FB-460E-A08D-68BA16561BD5}" type="presOf" srcId="{C7F9B267-4B30-428D-B523-8E82D6E832B1}" destId="{AFE74104-37EC-4198-9038-F127CEA9F44E}" srcOrd="0" destOrd="0" presId="urn:microsoft.com/office/officeart/2008/layout/HorizontalMultiLevelHierarchy"/>
    <dgm:cxn modelId="{405FFE64-CCB6-4037-8AFC-FFAD35435053}" type="presParOf" srcId="{15750A26-DF9B-4AFB-B56C-83BAEA14B38B}" destId="{B2F08BF3-C1B3-4395-91B9-A86BC1D406DF}" srcOrd="0" destOrd="0" presId="urn:microsoft.com/office/officeart/2008/layout/HorizontalMultiLevelHierarchy"/>
    <dgm:cxn modelId="{5C6D3F42-B295-448D-A45B-6F3238EF77C3}" type="presParOf" srcId="{B2F08BF3-C1B3-4395-91B9-A86BC1D406DF}" destId="{482DBC39-3462-42A7-8932-571515CA8141}" srcOrd="0" destOrd="0" presId="urn:microsoft.com/office/officeart/2008/layout/HorizontalMultiLevelHierarchy"/>
    <dgm:cxn modelId="{C745C2D4-8FAE-4CAA-AB0A-1AC223D9147D}" type="presParOf" srcId="{B2F08BF3-C1B3-4395-91B9-A86BC1D406DF}" destId="{BA0A688F-C55B-43F4-A1B5-013A09D511F3}" srcOrd="1" destOrd="0" presId="urn:microsoft.com/office/officeart/2008/layout/HorizontalMultiLevelHierarchy"/>
    <dgm:cxn modelId="{722BB8C5-16C8-4374-9715-298B18CD0025}" type="presParOf" srcId="{BA0A688F-C55B-43F4-A1B5-013A09D511F3}" destId="{1D2653C7-3C38-49AD-A1FB-6CEFE077CADB}" srcOrd="0" destOrd="0" presId="urn:microsoft.com/office/officeart/2008/layout/HorizontalMultiLevelHierarchy"/>
    <dgm:cxn modelId="{3279FEBA-F5FF-4F92-A1FC-26D8FD6A635C}" type="presParOf" srcId="{1D2653C7-3C38-49AD-A1FB-6CEFE077CADB}" destId="{6E229D8D-6E11-4FC7-9DFF-72025D48A802}" srcOrd="0" destOrd="0" presId="urn:microsoft.com/office/officeart/2008/layout/HorizontalMultiLevelHierarchy"/>
    <dgm:cxn modelId="{1BB50836-D1C9-4883-BA14-97A9D1F8515A}" type="presParOf" srcId="{BA0A688F-C55B-43F4-A1B5-013A09D511F3}" destId="{0930C879-0EE7-4411-89C6-21018200140B}" srcOrd="1" destOrd="0" presId="urn:microsoft.com/office/officeart/2008/layout/HorizontalMultiLevelHierarchy"/>
    <dgm:cxn modelId="{4E397ED1-7633-4478-A2E0-05DCE3334B38}" type="presParOf" srcId="{0930C879-0EE7-4411-89C6-21018200140B}" destId="{6E3A908B-A319-44E3-8BAA-85DD071C1F98}" srcOrd="0" destOrd="0" presId="urn:microsoft.com/office/officeart/2008/layout/HorizontalMultiLevelHierarchy"/>
    <dgm:cxn modelId="{1E11FA48-2876-48B0-83A2-983D7AAAA94A}" type="presParOf" srcId="{0930C879-0EE7-4411-89C6-21018200140B}" destId="{987FA011-603D-4FB3-B022-C0AB277A663E}" srcOrd="1" destOrd="0" presId="urn:microsoft.com/office/officeart/2008/layout/HorizontalMultiLevelHierarchy"/>
    <dgm:cxn modelId="{734E9D2D-3223-451A-9C33-888BE8A1F9A5}" type="presParOf" srcId="{987FA011-603D-4FB3-B022-C0AB277A663E}" destId="{B3875A89-EE6C-4D71-8B2D-4287147A92AA}" srcOrd="0" destOrd="0" presId="urn:microsoft.com/office/officeart/2008/layout/HorizontalMultiLevelHierarchy"/>
    <dgm:cxn modelId="{9D1401B8-14A3-475D-A8E3-04727C1A643B}" type="presParOf" srcId="{B3875A89-EE6C-4D71-8B2D-4287147A92AA}" destId="{B8604374-07B3-48DE-8D5E-3C3604677D62}" srcOrd="0" destOrd="0" presId="urn:microsoft.com/office/officeart/2008/layout/HorizontalMultiLevelHierarchy"/>
    <dgm:cxn modelId="{10728CE8-D92D-487D-9DD8-A78CB9279BDD}" type="presParOf" srcId="{987FA011-603D-4FB3-B022-C0AB277A663E}" destId="{08E18B50-3970-4BCC-B041-91D19546C2BD}" srcOrd="1" destOrd="0" presId="urn:microsoft.com/office/officeart/2008/layout/HorizontalMultiLevelHierarchy"/>
    <dgm:cxn modelId="{75B3DBC5-DEB6-4E23-BEBD-9F00E46976E8}" type="presParOf" srcId="{08E18B50-3970-4BCC-B041-91D19546C2BD}" destId="{08F78B88-1BA5-4BD6-AE91-6E991E116F15}" srcOrd="0" destOrd="0" presId="urn:microsoft.com/office/officeart/2008/layout/HorizontalMultiLevelHierarchy"/>
    <dgm:cxn modelId="{292C83F1-E8D5-4F64-807E-279042A6BA7B}" type="presParOf" srcId="{08E18B50-3970-4BCC-B041-91D19546C2BD}" destId="{C85B2CF0-1740-4C70-B0F9-31091E2E77A8}" srcOrd="1" destOrd="0" presId="urn:microsoft.com/office/officeart/2008/layout/HorizontalMultiLevelHierarchy"/>
    <dgm:cxn modelId="{46126814-0A37-4100-8012-F03A338D0D8C}" type="presParOf" srcId="{987FA011-603D-4FB3-B022-C0AB277A663E}" destId="{6F1CABFF-0E5F-4843-A19A-B2F806AC1FB0}" srcOrd="2" destOrd="0" presId="urn:microsoft.com/office/officeart/2008/layout/HorizontalMultiLevelHierarchy"/>
    <dgm:cxn modelId="{22534384-8A83-451D-AFEE-C0855ED3F356}" type="presParOf" srcId="{6F1CABFF-0E5F-4843-A19A-B2F806AC1FB0}" destId="{67F6537F-CCC6-4FF5-A1F8-C69ABF4FB893}" srcOrd="0" destOrd="0" presId="urn:microsoft.com/office/officeart/2008/layout/HorizontalMultiLevelHierarchy"/>
    <dgm:cxn modelId="{1CF45C2E-9538-414F-9677-635C9BE59F59}" type="presParOf" srcId="{987FA011-603D-4FB3-B022-C0AB277A663E}" destId="{0807369E-CDEA-4EFD-A75E-D4CAB2D010EA}" srcOrd="3" destOrd="0" presId="urn:microsoft.com/office/officeart/2008/layout/HorizontalMultiLevelHierarchy"/>
    <dgm:cxn modelId="{AEECD03D-58A6-482F-BA35-EFDAA65969F1}" type="presParOf" srcId="{0807369E-CDEA-4EFD-A75E-D4CAB2D010EA}" destId="{14CDE22E-9876-46A1-A838-1A087847F07C}" srcOrd="0" destOrd="0" presId="urn:microsoft.com/office/officeart/2008/layout/HorizontalMultiLevelHierarchy"/>
    <dgm:cxn modelId="{73EA6772-E63A-4376-95F6-B310C711AEB1}" type="presParOf" srcId="{0807369E-CDEA-4EFD-A75E-D4CAB2D010EA}" destId="{051A5E6A-505E-4E6A-AEEE-51F79C4DD0E4}" srcOrd="1" destOrd="0" presId="urn:microsoft.com/office/officeart/2008/layout/HorizontalMultiLevelHierarchy"/>
    <dgm:cxn modelId="{543974CB-3014-4BCE-9410-8DC1F0BE7D65}" type="presParOf" srcId="{987FA011-603D-4FB3-B022-C0AB277A663E}" destId="{13435F3B-4CF4-42E3-BF1C-878A527FBF82}" srcOrd="4" destOrd="0" presId="urn:microsoft.com/office/officeart/2008/layout/HorizontalMultiLevelHierarchy"/>
    <dgm:cxn modelId="{15D2B1BD-0CF5-41E9-9116-DBF259230340}" type="presParOf" srcId="{13435F3B-4CF4-42E3-BF1C-878A527FBF82}" destId="{F2D3E8EC-A883-4CD3-A1D4-123191A4DAE7}" srcOrd="0" destOrd="0" presId="urn:microsoft.com/office/officeart/2008/layout/HorizontalMultiLevelHierarchy"/>
    <dgm:cxn modelId="{2081E11B-020F-47CE-B875-6B36D6415C0D}" type="presParOf" srcId="{987FA011-603D-4FB3-B022-C0AB277A663E}" destId="{51191B01-8A86-466A-8AE5-FBA9D5B4BB9E}" srcOrd="5" destOrd="0" presId="urn:microsoft.com/office/officeart/2008/layout/HorizontalMultiLevelHierarchy"/>
    <dgm:cxn modelId="{25CCD904-B889-49EB-8B89-04E9B9271155}" type="presParOf" srcId="{51191B01-8A86-466A-8AE5-FBA9D5B4BB9E}" destId="{D159E6E8-109C-4060-9AC4-57C77974A5D7}" srcOrd="0" destOrd="0" presId="urn:microsoft.com/office/officeart/2008/layout/HorizontalMultiLevelHierarchy"/>
    <dgm:cxn modelId="{F7BA34D1-1BF1-45E7-9FC8-7E7D1E51A1EE}" type="presParOf" srcId="{51191B01-8A86-466A-8AE5-FBA9D5B4BB9E}" destId="{E7351579-C5BF-41F7-99B0-7C87D17DBBF9}" srcOrd="1" destOrd="0" presId="urn:microsoft.com/office/officeart/2008/layout/HorizontalMultiLevelHierarchy"/>
    <dgm:cxn modelId="{2944ACD1-214E-4632-9C36-67B3F0DB649C}" type="presParOf" srcId="{BA0A688F-C55B-43F4-A1B5-013A09D511F3}" destId="{C5F4FEA3-E53D-4061-8BFD-EE09EF6C1D1E}" srcOrd="2" destOrd="0" presId="urn:microsoft.com/office/officeart/2008/layout/HorizontalMultiLevelHierarchy"/>
    <dgm:cxn modelId="{CC1373C5-E2AC-45F3-9937-950DCDF60B21}" type="presParOf" srcId="{C5F4FEA3-E53D-4061-8BFD-EE09EF6C1D1E}" destId="{E6504FE0-7AB7-41CD-9A48-0572ED8B76A5}" srcOrd="0" destOrd="0" presId="urn:microsoft.com/office/officeart/2008/layout/HorizontalMultiLevelHierarchy"/>
    <dgm:cxn modelId="{EBE40863-0949-40DA-9756-03AAB2D68EA6}" type="presParOf" srcId="{BA0A688F-C55B-43F4-A1B5-013A09D511F3}" destId="{A0DFA7BC-26E6-4CA4-A8F8-3994DFD6C780}" srcOrd="3" destOrd="0" presId="urn:microsoft.com/office/officeart/2008/layout/HorizontalMultiLevelHierarchy"/>
    <dgm:cxn modelId="{CB0D1CE6-4A8A-443B-AA56-AEA67FE1A2DB}" type="presParOf" srcId="{A0DFA7BC-26E6-4CA4-A8F8-3994DFD6C780}" destId="{A0100F67-0EE4-4F08-9454-AF52FCEF7EC9}" srcOrd="0" destOrd="0" presId="urn:microsoft.com/office/officeart/2008/layout/HorizontalMultiLevelHierarchy"/>
    <dgm:cxn modelId="{89D8F9AA-F038-42C0-9C83-E8235D3A933F}" type="presParOf" srcId="{A0DFA7BC-26E6-4CA4-A8F8-3994DFD6C780}" destId="{630E32E9-8692-4020-83FA-548B80300373}" srcOrd="1" destOrd="0" presId="urn:microsoft.com/office/officeart/2008/layout/HorizontalMultiLevelHierarchy"/>
    <dgm:cxn modelId="{65E03671-6873-4DE3-A9C2-D5DD6CA2FADE}" type="presParOf" srcId="{630E32E9-8692-4020-83FA-548B80300373}" destId="{AFE74104-37EC-4198-9038-F127CEA9F44E}" srcOrd="0" destOrd="0" presId="urn:microsoft.com/office/officeart/2008/layout/HorizontalMultiLevelHierarchy"/>
    <dgm:cxn modelId="{A94EAA2D-3FF2-416E-9D21-57C255BE0028}" type="presParOf" srcId="{AFE74104-37EC-4198-9038-F127CEA9F44E}" destId="{078A655B-D6F4-47DC-B57C-3741F5AAD263}" srcOrd="0" destOrd="0" presId="urn:microsoft.com/office/officeart/2008/layout/HorizontalMultiLevelHierarchy"/>
    <dgm:cxn modelId="{D84BB88C-14D5-4385-96B5-C9170CB49E91}" type="presParOf" srcId="{630E32E9-8692-4020-83FA-548B80300373}" destId="{54D604F2-B05F-43BF-B258-EF292E0CE127}" srcOrd="1" destOrd="0" presId="urn:microsoft.com/office/officeart/2008/layout/HorizontalMultiLevelHierarchy"/>
    <dgm:cxn modelId="{F1C3A006-7687-46E7-975F-3D1E8069002D}" type="presParOf" srcId="{54D604F2-B05F-43BF-B258-EF292E0CE127}" destId="{C6C969CA-9C83-43B0-BABC-6D3F70940153}" srcOrd="0" destOrd="0" presId="urn:microsoft.com/office/officeart/2008/layout/HorizontalMultiLevelHierarchy"/>
    <dgm:cxn modelId="{4324070A-62ED-4836-B588-CE0D86923EFD}" type="presParOf" srcId="{54D604F2-B05F-43BF-B258-EF292E0CE127}" destId="{74A796B7-B3F5-4069-BE0F-0D69C34A42A5}" srcOrd="1" destOrd="0" presId="urn:microsoft.com/office/officeart/2008/layout/HorizontalMultiLevelHierarchy"/>
    <dgm:cxn modelId="{86678DE9-1D79-4511-AFA7-1CB74D77B44A}" type="presParOf" srcId="{630E32E9-8692-4020-83FA-548B80300373}" destId="{5DABD05C-DBED-417C-989D-FF6FEAA053A4}" srcOrd="2" destOrd="0" presId="urn:microsoft.com/office/officeart/2008/layout/HorizontalMultiLevelHierarchy"/>
    <dgm:cxn modelId="{8A4AE9E0-8F3D-453E-8A37-3594B286383B}" type="presParOf" srcId="{5DABD05C-DBED-417C-989D-FF6FEAA053A4}" destId="{17AA269C-6560-4D70-8261-060576DFBA40}" srcOrd="0" destOrd="0" presId="urn:microsoft.com/office/officeart/2008/layout/HorizontalMultiLevelHierarchy"/>
    <dgm:cxn modelId="{1A1377D6-9982-4947-88F9-49D7A148DD2C}" type="presParOf" srcId="{630E32E9-8692-4020-83FA-548B80300373}" destId="{5A90DB17-2B99-4FC6-AEEE-9A321F7E6827}" srcOrd="3" destOrd="0" presId="urn:microsoft.com/office/officeart/2008/layout/HorizontalMultiLevelHierarchy"/>
    <dgm:cxn modelId="{48A45179-CE5B-4660-B36F-3E7CE6F1CE3D}" type="presParOf" srcId="{5A90DB17-2B99-4FC6-AEEE-9A321F7E6827}" destId="{F3854056-126D-4B4A-A048-9B85B81828EA}" srcOrd="0" destOrd="0" presId="urn:microsoft.com/office/officeart/2008/layout/HorizontalMultiLevelHierarchy"/>
    <dgm:cxn modelId="{D2C0D4F7-8FD7-42B9-95E5-B092AC0AEB3C}" type="presParOf" srcId="{5A90DB17-2B99-4FC6-AEEE-9A321F7E6827}" destId="{FD89BA3C-76A5-4E0A-8ED6-334BEEB1848F}" srcOrd="1" destOrd="0" presId="urn:microsoft.com/office/officeart/2008/layout/HorizontalMultiLevelHierarchy"/>
    <dgm:cxn modelId="{827320C6-E525-42A2-987B-B6C2335B2ED2}" type="presParOf" srcId="{630E32E9-8692-4020-83FA-548B80300373}" destId="{36D2F0CC-2628-4EEF-B4CF-8A2FCB2DEEF9}" srcOrd="4" destOrd="0" presId="urn:microsoft.com/office/officeart/2008/layout/HorizontalMultiLevelHierarchy"/>
    <dgm:cxn modelId="{8C592F1D-4CFA-41A8-A7A7-B7C066123FF7}" type="presParOf" srcId="{36D2F0CC-2628-4EEF-B4CF-8A2FCB2DEEF9}" destId="{892E4D63-686F-4AF3-8259-B300A0BE3100}" srcOrd="0" destOrd="0" presId="urn:microsoft.com/office/officeart/2008/layout/HorizontalMultiLevelHierarchy"/>
    <dgm:cxn modelId="{7E2D7EF1-F061-419F-B174-B311951D611B}" type="presParOf" srcId="{630E32E9-8692-4020-83FA-548B80300373}" destId="{A2FB9ADC-FAC7-4112-B034-E574B043B8CA}" srcOrd="5" destOrd="0" presId="urn:microsoft.com/office/officeart/2008/layout/HorizontalMultiLevelHierarchy"/>
    <dgm:cxn modelId="{F726A563-1532-4E74-91CE-D6A247DE8B79}" type="presParOf" srcId="{A2FB9ADC-FAC7-4112-B034-E574B043B8CA}" destId="{572B6D34-C659-4688-B19A-D3A1E3F16C39}" srcOrd="0" destOrd="0" presId="urn:microsoft.com/office/officeart/2008/layout/HorizontalMultiLevelHierarchy"/>
    <dgm:cxn modelId="{240A6073-CD8D-4C33-A001-B144EDD7E910}" type="presParOf" srcId="{A2FB9ADC-FAC7-4112-B034-E574B043B8CA}" destId="{1CA3B601-3C4F-4B3D-9616-A12849F55A4F}"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771462-1236-4EDF-B748-DE71D03F7FBC}"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en-GB"/>
        </a:p>
      </dgm:t>
    </dgm:pt>
    <dgm:pt modelId="{095FEA32-DEFC-4819-89F5-4D7045F26018}">
      <dgm:prSet phldrT="[Text]" custT="1"/>
      <dgm:spPr>
        <a:ln>
          <a:solidFill>
            <a:schemeClr val="tx1"/>
          </a:solidFill>
        </a:ln>
      </dgm:spPr>
      <dgm:t>
        <a:bodyPr/>
        <a:lstStyle/>
        <a:p>
          <a:r>
            <a:rPr lang="en-GB" sz="1000">
              <a:solidFill>
                <a:sysClr val="windowText" lastClr="000000"/>
              </a:solidFill>
            </a:rPr>
            <a:t>Parents not living with children (n=39,368)</a:t>
          </a:r>
        </a:p>
      </dgm:t>
    </dgm:pt>
    <dgm:pt modelId="{38DC3753-A294-4791-A905-95AC985BD89C}" type="parTrans" cxnId="{5FD53475-9B96-42D3-82FA-C60CD07559FE}">
      <dgm:prSet/>
      <dgm:spPr/>
      <dgm:t>
        <a:bodyPr/>
        <a:lstStyle/>
        <a:p>
          <a:endParaRPr lang="en-GB" sz="1000"/>
        </a:p>
      </dgm:t>
    </dgm:pt>
    <dgm:pt modelId="{DA32FB45-8D8D-49A7-8F9D-C3C5D2758203}" type="sibTrans" cxnId="{5FD53475-9B96-42D3-82FA-C60CD07559FE}">
      <dgm:prSet/>
      <dgm:spPr/>
      <dgm:t>
        <a:bodyPr/>
        <a:lstStyle/>
        <a:p>
          <a:endParaRPr lang="en-GB" sz="1000"/>
        </a:p>
      </dgm:t>
    </dgm:pt>
    <dgm:pt modelId="{FB12C83B-5565-4B61-916A-18FBC0CCCA67}">
      <dgm:prSet phldrT="[Text]" custT="1"/>
      <dgm:spPr>
        <a:ln>
          <a:solidFill>
            <a:schemeClr val="tx1"/>
          </a:solidFill>
        </a:ln>
      </dgm:spPr>
      <dgm:t>
        <a:bodyPr/>
        <a:lstStyle/>
        <a:p>
          <a:r>
            <a:rPr lang="en-GB" sz="1000">
              <a:solidFill>
                <a:sysClr val="windowText" lastClr="000000"/>
              </a:solidFill>
            </a:rPr>
            <a:t>Mothers (n=11,473)</a:t>
          </a:r>
        </a:p>
      </dgm:t>
    </dgm:pt>
    <dgm:pt modelId="{C753A9B3-9466-4B0B-A088-7FD94618291F}" type="parTrans" cxnId="{609536B0-8448-4437-9156-FA2BBEC15366}">
      <dgm:prSet custT="1"/>
      <dgm:spPr>
        <a:ln>
          <a:solidFill>
            <a:schemeClr val="tx1"/>
          </a:solidFill>
        </a:ln>
      </dgm:spPr>
      <dgm:t>
        <a:bodyPr/>
        <a:lstStyle/>
        <a:p>
          <a:endParaRPr lang="en-GB" sz="1000">
            <a:solidFill>
              <a:sysClr val="windowText" lastClr="000000"/>
            </a:solidFill>
          </a:endParaRPr>
        </a:p>
      </dgm:t>
    </dgm:pt>
    <dgm:pt modelId="{4DF62A94-612C-4C05-B95D-0BDE5F521A7A}" type="sibTrans" cxnId="{609536B0-8448-4437-9156-FA2BBEC15366}">
      <dgm:prSet/>
      <dgm:spPr/>
      <dgm:t>
        <a:bodyPr/>
        <a:lstStyle/>
        <a:p>
          <a:endParaRPr lang="en-GB" sz="1000"/>
        </a:p>
      </dgm:t>
    </dgm:pt>
    <dgm:pt modelId="{0025327A-C751-4C26-A3C2-A6886C24DC89}">
      <dgm:prSet phldrT="[Text]" custT="1"/>
      <dgm:spPr>
        <a:ln>
          <a:solidFill>
            <a:schemeClr val="tx1"/>
          </a:solidFill>
        </a:ln>
      </dgm:spPr>
      <dgm:t>
        <a:bodyPr/>
        <a:lstStyle/>
        <a:p>
          <a:r>
            <a:rPr lang="en-GB" sz="1000">
              <a:solidFill>
                <a:sysClr val="windowText" lastClr="000000"/>
              </a:solidFill>
            </a:rPr>
            <a:t>Alcohol only (n=4374)</a:t>
          </a:r>
        </a:p>
      </dgm:t>
    </dgm:pt>
    <dgm:pt modelId="{49100B04-676F-400D-B29C-2D9EA8D3099E}" type="parTrans" cxnId="{531BFEE1-03A1-4524-9901-CA0D12786E2F}">
      <dgm:prSet custT="1"/>
      <dgm:spPr>
        <a:ln>
          <a:solidFill>
            <a:schemeClr val="tx1"/>
          </a:solidFill>
        </a:ln>
      </dgm:spPr>
      <dgm:t>
        <a:bodyPr/>
        <a:lstStyle/>
        <a:p>
          <a:endParaRPr lang="en-GB" sz="1000">
            <a:solidFill>
              <a:sysClr val="windowText" lastClr="000000"/>
            </a:solidFill>
          </a:endParaRPr>
        </a:p>
      </dgm:t>
    </dgm:pt>
    <dgm:pt modelId="{A24A1C34-3E75-4A7F-AC0F-42848A37193A}" type="sibTrans" cxnId="{531BFEE1-03A1-4524-9901-CA0D12786E2F}">
      <dgm:prSet/>
      <dgm:spPr/>
      <dgm:t>
        <a:bodyPr/>
        <a:lstStyle/>
        <a:p>
          <a:endParaRPr lang="en-GB" sz="1000"/>
        </a:p>
      </dgm:t>
    </dgm:pt>
    <dgm:pt modelId="{77D09C5C-A2F3-438A-801F-AD27CE7B42EF}">
      <dgm:prSet phldrT="[Text]" custT="1"/>
      <dgm:spPr>
        <a:ln>
          <a:solidFill>
            <a:schemeClr val="tx1"/>
          </a:solidFill>
        </a:ln>
      </dgm:spPr>
      <dgm:t>
        <a:bodyPr/>
        <a:lstStyle/>
        <a:p>
          <a:r>
            <a:rPr lang="en-GB" sz="1000">
              <a:solidFill>
                <a:sysClr val="windowText" lastClr="000000"/>
              </a:solidFill>
            </a:rPr>
            <a:t>Fathers (n=27,895)</a:t>
          </a:r>
        </a:p>
      </dgm:t>
    </dgm:pt>
    <dgm:pt modelId="{AE6F2586-83AE-4CDC-B2FC-34B160E55D04}" type="parTrans" cxnId="{E568B20B-4FCA-4584-9852-4DC014EFA8BC}">
      <dgm:prSet custT="1"/>
      <dgm:spPr>
        <a:ln>
          <a:solidFill>
            <a:schemeClr val="tx1"/>
          </a:solidFill>
        </a:ln>
      </dgm:spPr>
      <dgm:t>
        <a:bodyPr/>
        <a:lstStyle/>
        <a:p>
          <a:endParaRPr lang="en-GB" sz="1000">
            <a:solidFill>
              <a:sysClr val="windowText" lastClr="000000"/>
            </a:solidFill>
          </a:endParaRPr>
        </a:p>
      </dgm:t>
    </dgm:pt>
    <dgm:pt modelId="{04C0BA40-B800-46E4-BF4E-21935A9061EB}" type="sibTrans" cxnId="{E568B20B-4FCA-4584-9852-4DC014EFA8BC}">
      <dgm:prSet/>
      <dgm:spPr/>
      <dgm:t>
        <a:bodyPr/>
        <a:lstStyle/>
        <a:p>
          <a:endParaRPr lang="en-GB" sz="1000"/>
        </a:p>
      </dgm:t>
    </dgm:pt>
    <dgm:pt modelId="{71488CFF-8940-46AF-9DCE-AA7A04950057}">
      <dgm:prSet phldrT="[Text]" custT="1"/>
      <dgm:spPr>
        <a:ln>
          <a:solidFill>
            <a:schemeClr val="tx1"/>
          </a:solidFill>
        </a:ln>
      </dgm:spPr>
      <dgm:t>
        <a:bodyPr/>
        <a:lstStyle/>
        <a:p>
          <a:r>
            <a:rPr lang="en-GB" sz="1000">
              <a:solidFill>
                <a:sysClr val="windowText" lastClr="000000"/>
              </a:solidFill>
            </a:rPr>
            <a:t>OUs (n=11669)</a:t>
          </a:r>
        </a:p>
      </dgm:t>
    </dgm:pt>
    <dgm:pt modelId="{C7F9B267-4B30-428D-B523-8E82D6E832B1}" type="parTrans" cxnId="{98E7E58F-B054-4D28-9116-3E9756DCBFF7}">
      <dgm:prSet custT="1"/>
      <dgm:spPr>
        <a:ln>
          <a:solidFill>
            <a:schemeClr val="tx1"/>
          </a:solidFill>
        </a:ln>
      </dgm:spPr>
      <dgm:t>
        <a:bodyPr/>
        <a:lstStyle/>
        <a:p>
          <a:endParaRPr lang="en-GB" sz="1000">
            <a:solidFill>
              <a:sysClr val="windowText" lastClr="000000"/>
            </a:solidFill>
          </a:endParaRPr>
        </a:p>
      </dgm:t>
    </dgm:pt>
    <dgm:pt modelId="{1F5185D2-917A-4626-BEC2-BA8DCE68140E}" type="sibTrans" cxnId="{98E7E58F-B054-4D28-9116-3E9756DCBFF7}">
      <dgm:prSet/>
      <dgm:spPr/>
      <dgm:t>
        <a:bodyPr/>
        <a:lstStyle/>
        <a:p>
          <a:endParaRPr lang="en-GB" sz="1000"/>
        </a:p>
      </dgm:t>
    </dgm:pt>
    <dgm:pt modelId="{2FD1065E-F46B-4BC7-A2CB-0BE35B61FD4B}">
      <dgm:prSet custT="1"/>
      <dgm:spPr>
        <a:ln>
          <a:solidFill>
            <a:schemeClr val="tx1"/>
          </a:solidFill>
        </a:ln>
      </dgm:spPr>
      <dgm:t>
        <a:bodyPr/>
        <a:lstStyle/>
        <a:p>
          <a:r>
            <a:rPr lang="en-GB" sz="1000">
              <a:solidFill>
                <a:sysClr val="windowText" lastClr="000000"/>
              </a:solidFill>
            </a:rPr>
            <a:t>Non-OUs (n=2273)</a:t>
          </a:r>
        </a:p>
      </dgm:t>
    </dgm:pt>
    <dgm:pt modelId="{6BE3ED26-1A4C-4B24-9BF8-F64AA2E53A15}" type="parTrans" cxnId="{904F2A3C-CF2F-4309-AD50-36DA85CCD143}">
      <dgm:prSet custT="1"/>
      <dgm:spPr>
        <a:ln>
          <a:solidFill>
            <a:schemeClr val="tx1"/>
          </a:solidFill>
        </a:ln>
      </dgm:spPr>
      <dgm:t>
        <a:bodyPr/>
        <a:lstStyle/>
        <a:p>
          <a:endParaRPr lang="en-GB" sz="1000">
            <a:solidFill>
              <a:sysClr val="windowText" lastClr="000000"/>
            </a:solidFill>
          </a:endParaRPr>
        </a:p>
      </dgm:t>
    </dgm:pt>
    <dgm:pt modelId="{66152D9E-A782-43E9-8584-191F803C007C}" type="sibTrans" cxnId="{904F2A3C-CF2F-4309-AD50-36DA85CCD143}">
      <dgm:prSet/>
      <dgm:spPr/>
      <dgm:t>
        <a:bodyPr/>
        <a:lstStyle/>
        <a:p>
          <a:endParaRPr lang="en-GB" sz="1000"/>
        </a:p>
      </dgm:t>
    </dgm:pt>
    <dgm:pt modelId="{D93EF15D-B029-40D4-A0E0-4765B85C6545}">
      <dgm:prSet custT="1"/>
      <dgm:spPr>
        <a:ln>
          <a:solidFill>
            <a:schemeClr val="tx1"/>
          </a:solidFill>
        </a:ln>
      </dgm:spPr>
      <dgm:t>
        <a:bodyPr/>
        <a:lstStyle/>
        <a:p>
          <a:r>
            <a:rPr lang="en-GB" sz="1000">
              <a:solidFill>
                <a:sysClr val="windowText" lastClr="000000"/>
              </a:solidFill>
            </a:rPr>
            <a:t>Non-OUs (n=7624)</a:t>
          </a:r>
        </a:p>
      </dgm:t>
    </dgm:pt>
    <dgm:pt modelId="{2A108A61-4324-4DEB-8C3B-A6AAF026B284}" type="parTrans" cxnId="{1FC7EEE4-D0F9-44E1-BF42-59D551A2774E}">
      <dgm:prSet custT="1"/>
      <dgm:spPr>
        <a:ln>
          <a:solidFill>
            <a:schemeClr val="tx1"/>
          </a:solidFill>
        </a:ln>
      </dgm:spPr>
      <dgm:t>
        <a:bodyPr/>
        <a:lstStyle/>
        <a:p>
          <a:endParaRPr lang="en-GB" sz="1000">
            <a:solidFill>
              <a:sysClr val="windowText" lastClr="000000"/>
            </a:solidFill>
          </a:endParaRPr>
        </a:p>
      </dgm:t>
    </dgm:pt>
    <dgm:pt modelId="{A50277A0-214C-4D87-89D9-FFA5AE5D8275}" type="sibTrans" cxnId="{1FC7EEE4-D0F9-44E1-BF42-59D551A2774E}">
      <dgm:prSet/>
      <dgm:spPr/>
      <dgm:t>
        <a:bodyPr/>
        <a:lstStyle/>
        <a:p>
          <a:endParaRPr lang="en-GB" sz="1000"/>
        </a:p>
      </dgm:t>
    </dgm:pt>
    <dgm:pt modelId="{04DA6E21-315D-4E7F-8947-74DC2CD07DEF}">
      <dgm:prSet custT="1"/>
      <dgm:spPr>
        <a:ln>
          <a:solidFill>
            <a:schemeClr val="tx1"/>
          </a:solidFill>
        </a:ln>
      </dgm:spPr>
      <dgm:t>
        <a:bodyPr/>
        <a:lstStyle/>
        <a:p>
          <a:r>
            <a:rPr lang="en-GB" sz="1000">
              <a:solidFill>
                <a:sysClr val="windowText" lastClr="000000"/>
              </a:solidFill>
            </a:rPr>
            <a:t>Alcohol only (n=8602)</a:t>
          </a:r>
        </a:p>
      </dgm:t>
    </dgm:pt>
    <dgm:pt modelId="{D1A1489C-E8A7-475F-9925-B9FF4D0B96A3}" type="parTrans" cxnId="{7849F652-BC52-4B1A-863A-A876694A67B7}">
      <dgm:prSet custT="1"/>
      <dgm:spPr>
        <a:ln>
          <a:solidFill>
            <a:schemeClr val="tx1"/>
          </a:solidFill>
        </a:ln>
      </dgm:spPr>
      <dgm:t>
        <a:bodyPr/>
        <a:lstStyle/>
        <a:p>
          <a:endParaRPr lang="en-GB" sz="1000">
            <a:solidFill>
              <a:sysClr val="windowText" lastClr="000000"/>
            </a:solidFill>
          </a:endParaRPr>
        </a:p>
      </dgm:t>
    </dgm:pt>
    <dgm:pt modelId="{4B9C2CA5-5C56-4805-88B7-1490DDA65CF6}" type="sibTrans" cxnId="{7849F652-BC52-4B1A-863A-A876694A67B7}">
      <dgm:prSet/>
      <dgm:spPr/>
      <dgm:t>
        <a:bodyPr/>
        <a:lstStyle/>
        <a:p>
          <a:endParaRPr lang="en-GB" sz="1000"/>
        </a:p>
      </dgm:t>
    </dgm:pt>
    <dgm:pt modelId="{001A83B2-06E9-4C53-A69C-8693BDD7A774}">
      <dgm:prSet phldrT="[Text]" custT="1"/>
      <dgm:spPr>
        <a:ln>
          <a:solidFill>
            <a:schemeClr val="tx1"/>
          </a:solidFill>
        </a:ln>
      </dgm:spPr>
      <dgm:t>
        <a:bodyPr/>
        <a:lstStyle/>
        <a:p>
          <a:r>
            <a:rPr lang="en-GB" sz="1000">
              <a:solidFill>
                <a:sysClr val="windowText" lastClr="000000"/>
              </a:solidFill>
            </a:rPr>
            <a:t>OUs (n=4826)</a:t>
          </a:r>
        </a:p>
      </dgm:t>
    </dgm:pt>
    <dgm:pt modelId="{9CF7E223-A281-46F5-944A-CB071EEE9E0D}" type="sibTrans" cxnId="{3813751D-2789-43A5-9422-0CC0240A9615}">
      <dgm:prSet/>
      <dgm:spPr/>
      <dgm:t>
        <a:bodyPr/>
        <a:lstStyle/>
        <a:p>
          <a:endParaRPr lang="en-GB" sz="1000"/>
        </a:p>
      </dgm:t>
    </dgm:pt>
    <dgm:pt modelId="{F6F3C5DF-ACAB-4359-A8AF-497E456B7158}" type="parTrans" cxnId="{3813751D-2789-43A5-9422-0CC0240A9615}">
      <dgm:prSet custT="1"/>
      <dgm:spPr>
        <a:ln>
          <a:solidFill>
            <a:schemeClr val="tx1"/>
          </a:solidFill>
        </a:ln>
      </dgm:spPr>
      <dgm:t>
        <a:bodyPr/>
        <a:lstStyle/>
        <a:p>
          <a:endParaRPr lang="en-GB" sz="1000">
            <a:solidFill>
              <a:sysClr val="windowText" lastClr="000000"/>
            </a:solidFill>
          </a:endParaRPr>
        </a:p>
      </dgm:t>
    </dgm:pt>
    <dgm:pt modelId="{D7091792-8DAD-4623-807F-309CD64345F2}" type="pres">
      <dgm:prSet presAssocID="{0B771462-1236-4EDF-B748-DE71D03F7FBC}" presName="Name0" presStyleCnt="0">
        <dgm:presLayoutVars>
          <dgm:chPref val="1"/>
          <dgm:dir/>
          <dgm:animOne val="branch"/>
          <dgm:animLvl val="lvl"/>
          <dgm:resizeHandles val="exact"/>
        </dgm:presLayoutVars>
      </dgm:prSet>
      <dgm:spPr/>
    </dgm:pt>
    <dgm:pt modelId="{2F3166E6-DC04-4F2E-9334-79F892F6B606}" type="pres">
      <dgm:prSet presAssocID="{095FEA32-DEFC-4819-89F5-4D7045F26018}" presName="root1" presStyleCnt="0"/>
      <dgm:spPr/>
    </dgm:pt>
    <dgm:pt modelId="{5D1C24BE-E27C-4987-BEE5-5A88430D0D8B}" type="pres">
      <dgm:prSet presAssocID="{095FEA32-DEFC-4819-89F5-4D7045F26018}" presName="LevelOneTextNode" presStyleLbl="node0" presStyleIdx="0" presStyleCnt="1">
        <dgm:presLayoutVars>
          <dgm:chPref val="3"/>
        </dgm:presLayoutVars>
      </dgm:prSet>
      <dgm:spPr/>
    </dgm:pt>
    <dgm:pt modelId="{D2DA1F0F-D926-41AD-B6C9-7657A0CD4A02}" type="pres">
      <dgm:prSet presAssocID="{095FEA32-DEFC-4819-89F5-4D7045F26018}" presName="level2hierChild" presStyleCnt="0"/>
      <dgm:spPr/>
    </dgm:pt>
    <dgm:pt modelId="{648CC1C0-F883-4925-9C9F-5DEFB92FAE2B}" type="pres">
      <dgm:prSet presAssocID="{C753A9B3-9466-4B0B-A088-7FD94618291F}" presName="conn2-1" presStyleLbl="parChTrans1D2" presStyleIdx="0" presStyleCnt="2"/>
      <dgm:spPr/>
    </dgm:pt>
    <dgm:pt modelId="{1E1843D6-B75D-4BD2-B620-0BB24FAB006E}" type="pres">
      <dgm:prSet presAssocID="{C753A9B3-9466-4B0B-A088-7FD94618291F}" presName="connTx" presStyleLbl="parChTrans1D2" presStyleIdx="0" presStyleCnt="2"/>
      <dgm:spPr/>
    </dgm:pt>
    <dgm:pt modelId="{65274205-4BC8-408A-8419-3ADDA97837C6}" type="pres">
      <dgm:prSet presAssocID="{FB12C83B-5565-4B61-916A-18FBC0CCCA67}" presName="root2" presStyleCnt="0"/>
      <dgm:spPr/>
    </dgm:pt>
    <dgm:pt modelId="{D361BF51-0A93-4DF1-8553-0CFCD668C2A6}" type="pres">
      <dgm:prSet presAssocID="{FB12C83B-5565-4B61-916A-18FBC0CCCA67}" presName="LevelTwoTextNode" presStyleLbl="node2" presStyleIdx="0" presStyleCnt="2">
        <dgm:presLayoutVars>
          <dgm:chPref val="3"/>
        </dgm:presLayoutVars>
      </dgm:prSet>
      <dgm:spPr/>
    </dgm:pt>
    <dgm:pt modelId="{DAD60246-4A4A-45E7-A5DC-3BCB51FD6B52}" type="pres">
      <dgm:prSet presAssocID="{FB12C83B-5565-4B61-916A-18FBC0CCCA67}" presName="level3hierChild" presStyleCnt="0"/>
      <dgm:spPr/>
    </dgm:pt>
    <dgm:pt modelId="{06724DD0-21D3-46F2-83AC-684B3DA9BA2D}" type="pres">
      <dgm:prSet presAssocID="{F6F3C5DF-ACAB-4359-A8AF-497E456B7158}" presName="conn2-1" presStyleLbl="parChTrans1D3" presStyleIdx="0" presStyleCnt="6"/>
      <dgm:spPr/>
    </dgm:pt>
    <dgm:pt modelId="{C17E62C9-1FFB-402E-ABFA-464FDC98A370}" type="pres">
      <dgm:prSet presAssocID="{F6F3C5DF-ACAB-4359-A8AF-497E456B7158}" presName="connTx" presStyleLbl="parChTrans1D3" presStyleIdx="0" presStyleCnt="6"/>
      <dgm:spPr/>
    </dgm:pt>
    <dgm:pt modelId="{26FBF3E0-C7E8-41DB-93EF-AE4B272F87BE}" type="pres">
      <dgm:prSet presAssocID="{001A83B2-06E9-4C53-A69C-8693BDD7A774}" presName="root2" presStyleCnt="0"/>
      <dgm:spPr/>
    </dgm:pt>
    <dgm:pt modelId="{4E3587E4-274B-4C32-B169-0CFD167AC631}" type="pres">
      <dgm:prSet presAssocID="{001A83B2-06E9-4C53-A69C-8693BDD7A774}" presName="LevelTwoTextNode" presStyleLbl="node3" presStyleIdx="0" presStyleCnt="6">
        <dgm:presLayoutVars>
          <dgm:chPref val="3"/>
        </dgm:presLayoutVars>
      </dgm:prSet>
      <dgm:spPr/>
    </dgm:pt>
    <dgm:pt modelId="{B199ABD4-0386-4901-B853-96E996264957}" type="pres">
      <dgm:prSet presAssocID="{001A83B2-06E9-4C53-A69C-8693BDD7A774}" presName="level3hierChild" presStyleCnt="0"/>
      <dgm:spPr/>
    </dgm:pt>
    <dgm:pt modelId="{EF168338-8A44-4CAD-B0DD-543C2723AE40}" type="pres">
      <dgm:prSet presAssocID="{6BE3ED26-1A4C-4B24-9BF8-F64AA2E53A15}" presName="conn2-1" presStyleLbl="parChTrans1D3" presStyleIdx="1" presStyleCnt="6"/>
      <dgm:spPr/>
    </dgm:pt>
    <dgm:pt modelId="{3651EB56-87F9-49B5-94CC-3AA7F31017CC}" type="pres">
      <dgm:prSet presAssocID="{6BE3ED26-1A4C-4B24-9BF8-F64AA2E53A15}" presName="connTx" presStyleLbl="parChTrans1D3" presStyleIdx="1" presStyleCnt="6"/>
      <dgm:spPr/>
    </dgm:pt>
    <dgm:pt modelId="{9EFB9C71-4508-4D8E-B99D-D5D2718024C9}" type="pres">
      <dgm:prSet presAssocID="{2FD1065E-F46B-4BC7-A2CB-0BE35B61FD4B}" presName="root2" presStyleCnt="0"/>
      <dgm:spPr/>
    </dgm:pt>
    <dgm:pt modelId="{BBC6225B-8420-44A8-8CA7-2F4F72923871}" type="pres">
      <dgm:prSet presAssocID="{2FD1065E-F46B-4BC7-A2CB-0BE35B61FD4B}" presName="LevelTwoTextNode" presStyleLbl="node3" presStyleIdx="1" presStyleCnt="6">
        <dgm:presLayoutVars>
          <dgm:chPref val="3"/>
        </dgm:presLayoutVars>
      </dgm:prSet>
      <dgm:spPr/>
    </dgm:pt>
    <dgm:pt modelId="{6723D38F-3E25-41C6-9501-4BAD6F88E1DF}" type="pres">
      <dgm:prSet presAssocID="{2FD1065E-F46B-4BC7-A2CB-0BE35B61FD4B}" presName="level3hierChild" presStyleCnt="0"/>
      <dgm:spPr/>
    </dgm:pt>
    <dgm:pt modelId="{6E8D820F-FE07-449B-9EC7-BD4E54C23C4F}" type="pres">
      <dgm:prSet presAssocID="{49100B04-676F-400D-B29C-2D9EA8D3099E}" presName="conn2-1" presStyleLbl="parChTrans1D3" presStyleIdx="2" presStyleCnt="6"/>
      <dgm:spPr/>
    </dgm:pt>
    <dgm:pt modelId="{F8390CEF-D8CC-4E9C-B847-9C2CDBD8B6F9}" type="pres">
      <dgm:prSet presAssocID="{49100B04-676F-400D-B29C-2D9EA8D3099E}" presName="connTx" presStyleLbl="parChTrans1D3" presStyleIdx="2" presStyleCnt="6"/>
      <dgm:spPr/>
    </dgm:pt>
    <dgm:pt modelId="{18724816-DCC4-4AED-A922-5784C3830FF2}" type="pres">
      <dgm:prSet presAssocID="{0025327A-C751-4C26-A3C2-A6886C24DC89}" presName="root2" presStyleCnt="0"/>
      <dgm:spPr/>
    </dgm:pt>
    <dgm:pt modelId="{E66CB799-25FD-4B7C-A2C2-44C33CB9AC3B}" type="pres">
      <dgm:prSet presAssocID="{0025327A-C751-4C26-A3C2-A6886C24DC89}" presName="LevelTwoTextNode" presStyleLbl="node3" presStyleIdx="2" presStyleCnt="6">
        <dgm:presLayoutVars>
          <dgm:chPref val="3"/>
        </dgm:presLayoutVars>
      </dgm:prSet>
      <dgm:spPr/>
    </dgm:pt>
    <dgm:pt modelId="{C4F9AEC0-D258-45CC-9D53-8D86760DA80A}" type="pres">
      <dgm:prSet presAssocID="{0025327A-C751-4C26-A3C2-A6886C24DC89}" presName="level3hierChild" presStyleCnt="0"/>
      <dgm:spPr/>
    </dgm:pt>
    <dgm:pt modelId="{A85419E1-20A8-4575-9835-60FC8F573D3B}" type="pres">
      <dgm:prSet presAssocID="{AE6F2586-83AE-4CDC-B2FC-34B160E55D04}" presName="conn2-1" presStyleLbl="parChTrans1D2" presStyleIdx="1" presStyleCnt="2"/>
      <dgm:spPr/>
    </dgm:pt>
    <dgm:pt modelId="{322DB991-0AB8-44A1-8E60-AECC26F025C0}" type="pres">
      <dgm:prSet presAssocID="{AE6F2586-83AE-4CDC-B2FC-34B160E55D04}" presName="connTx" presStyleLbl="parChTrans1D2" presStyleIdx="1" presStyleCnt="2"/>
      <dgm:spPr/>
    </dgm:pt>
    <dgm:pt modelId="{6384EEB9-B0B5-440D-B4FF-5ED2C61CF525}" type="pres">
      <dgm:prSet presAssocID="{77D09C5C-A2F3-438A-801F-AD27CE7B42EF}" presName="root2" presStyleCnt="0"/>
      <dgm:spPr/>
    </dgm:pt>
    <dgm:pt modelId="{33147521-E19F-4DDE-9A5F-2F346E506260}" type="pres">
      <dgm:prSet presAssocID="{77D09C5C-A2F3-438A-801F-AD27CE7B42EF}" presName="LevelTwoTextNode" presStyleLbl="node2" presStyleIdx="1" presStyleCnt="2">
        <dgm:presLayoutVars>
          <dgm:chPref val="3"/>
        </dgm:presLayoutVars>
      </dgm:prSet>
      <dgm:spPr/>
    </dgm:pt>
    <dgm:pt modelId="{B3E35F03-1287-4056-9298-526D5129259F}" type="pres">
      <dgm:prSet presAssocID="{77D09C5C-A2F3-438A-801F-AD27CE7B42EF}" presName="level3hierChild" presStyleCnt="0"/>
      <dgm:spPr/>
    </dgm:pt>
    <dgm:pt modelId="{47941432-9F59-454B-A6E2-A7AA2DA5E651}" type="pres">
      <dgm:prSet presAssocID="{C7F9B267-4B30-428D-B523-8E82D6E832B1}" presName="conn2-1" presStyleLbl="parChTrans1D3" presStyleIdx="3" presStyleCnt="6"/>
      <dgm:spPr/>
    </dgm:pt>
    <dgm:pt modelId="{4596DA4F-7A3B-4BDA-A488-C6B288ABF47A}" type="pres">
      <dgm:prSet presAssocID="{C7F9B267-4B30-428D-B523-8E82D6E832B1}" presName="connTx" presStyleLbl="parChTrans1D3" presStyleIdx="3" presStyleCnt="6"/>
      <dgm:spPr/>
    </dgm:pt>
    <dgm:pt modelId="{6EDF72F0-775D-4576-B6B5-9A1EBDDEA193}" type="pres">
      <dgm:prSet presAssocID="{71488CFF-8940-46AF-9DCE-AA7A04950057}" presName="root2" presStyleCnt="0"/>
      <dgm:spPr/>
    </dgm:pt>
    <dgm:pt modelId="{F54DAD30-07EB-4EA1-A96E-7B6C428D2F90}" type="pres">
      <dgm:prSet presAssocID="{71488CFF-8940-46AF-9DCE-AA7A04950057}" presName="LevelTwoTextNode" presStyleLbl="node3" presStyleIdx="3" presStyleCnt="6">
        <dgm:presLayoutVars>
          <dgm:chPref val="3"/>
        </dgm:presLayoutVars>
      </dgm:prSet>
      <dgm:spPr/>
    </dgm:pt>
    <dgm:pt modelId="{82CB6439-F3F1-48B0-8C5C-563F57AE3908}" type="pres">
      <dgm:prSet presAssocID="{71488CFF-8940-46AF-9DCE-AA7A04950057}" presName="level3hierChild" presStyleCnt="0"/>
      <dgm:spPr/>
    </dgm:pt>
    <dgm:pt modelId="{F0A53B71-1C06-457E-A701-D55F22087B15}" type="pres">
      <dgm:prSet presAssocID="{2A108A61-4324-4DEB-8C3B-A6AAF026B284}" presName="conn2-1" presStyleLbl="parChTrans1D3" presStyleIdx="4" presStyleCnt="6"/>
      <dgm:spPr/>
    </dgm:pt>
    <dgm:pt modelId="{145CB5BE-D746-4497-8E31-4AFA9BE113CE}" type="pres">
      <dgm:prSet presAssocID="{2A108A61-4324-4DEB-8C3B-A6AAF026B284}" presName="connTx" presStyleLbl="parChTrans1D3" presStyleIdx="4" presStyleCnt="6"/>
      <dgm:spPr/>
    </dgm:pt>
    <dgm:pt modelId="{17D53811-5F89-44B2-8FF2-8BD611EAC039}" type="pres">
      <dgm:prSet presAssocID="{D93EF15D-B029-40D4-A0E0-4765B85C6545}" presName="root2" presStyleCnt="0"/>
      <dgm:spPr/>
    </dgm:pt>
    <dgm:pt modelId="{9FE88F21-6518-4386-A839-179994B02568}" type="pres">
      <dgm:prSet presAssocID="{D93EF15D-B029-40D4-A0E0-4765B85C6545}" presName="LevelTwoTextNode" presStyleLbl="node3" presStyleIdx="4" presStyleCnt="6">
        <dgm:presLayoutVars>
          <dgm:chPref val="3"/>
        </dgm:presLayoutVars>
      </dgm:prSet>
      <dgm:spPr/>
    </dgm:pt>
    <dgm:pt modelId="{3027C525-35C1-4A15-8D8D-6E584F9B9C74}" type="pres">
      <dgm:prSet presAssocID="{D93EF15D-B029-40D4-A0E0-4765B85C6545}" presName="level3hierChild" presStyleCnt="0"/>
      <dgm:spPr/>
    </dgm:pt>
    <dgm:pt modelId="{2B95F010-FBCC-4E8A-AB00-1C9C1012FCC3}" type="pres">
      <dgm:prSet presAssocID="{D1A1489C-E8A7-475F-9925-B9FF4D0B96A3}" presName="conn2-1" presStyleLbl="parChTrans1D3" presStyleIdx="5" presStyleCnt="6"/>
      <dgm:spPr/>
    </dgm:pt>
    <dgm:pt modelId="{85B3C44A-800B-466C-B6AA-358CFE8442CF}" type="pres">
      <dgm:prSet presAssocID="{D1A1489C-E8A7-475F-9925-B9FF4D0B96A3}" presName="connTx" presStyleLbl="parChTrans1D3" presStyleIdx="5" presStyleCnt="6"/>
      <dgm:spPr/>
    </dgm:pt>
    <dgm:pt modelId="{205DD835-CD32-4053-9F23-9AE679B10E27}" type="pres">
      <dgm:prSet presAssocID="{04DA6E21-315D-4E7F-8947-74DC2CD07DEF}" presName="root2" presStyleCnt="0"/>
      <dgm:spPr/>
    </dgm:pt>
    <dgm:pt modelId="{B3EE84AE-D338-412E-A2BC-23A78E2C6D12}" type="pres">
      <dgm:prSet presAssocID="{04DA6E21-315D-4E7F-8947-74DC2CD07DEF}" presName="LevelTwoTextNode" presStyleLbl="node3" presStyleIdx="5" presStyleCnt="6">
        <dgm:presLayoutVars>
          <dgm:chPref val="3"/>
        </dgm:presLayoutVars>
      </dgm:prSet>
      <dgm:spPr/>
    </dgm:pt>
    <dgm:pt modelId="{56A5576B-7544-4BF2-ADAB-5009C4BDF820}" type="pres">
      <dgm:prSet presAssocID="{04DA6E21-315D-4E7F-8947-74DC2CD07DEF}" presName="level3hierChild" presStyleCnt="0"/>
      <dgm:spPr/>
    </dgm:pt>
  </dgm:ptLst>
  <dgm:cxnLst>
    <dgm:cxn modelId="{50C2DD00-D75C-44D9-AFA9-63A1771632A7}" type="presOf" srcId="{2A108A61-4324-4DEB-8C3B-A6AAF026B284}" destId="{F0A53B71-1C06-457E-A701-D55F22087B15}" srcOrd="0" destOrd="0" presId="urn:microsoft.com/office/officeart/2008/layout/HorizontalMultiLevelHierarchy"/>
    <dgm:cxn modelId="{D1A73A03-AE8B-44C8-BECC-6BFA55843600}" type="presOf" srcId="{2A108A61-4324-4DEB-8C3B-A6AAF026B284}" destId="{145CB5BE-D746-4497-8E31-4AFA9BE113CE}" srcOrd="1" destOrd="0" presId="urn:microsoft.com/office/officeart/2008/layout/HorizontalMultiLevelHierarchy"/>
    <dgm:cxn modelId="{E568B20B-4FCA-4584-9852-4DC014EFA8BC}" srcId="{095FEA32-DEFC-4819-89F5-4D7045F26018}" destId="{77D09C5C-A2F3-438A-801F-AD27CE7B42EF}" srcOrd="1" destOrd="0" parTransId="{AE6F2586-83AE-4CDC-B2FC-34B160E55D04}" sibTransId="{04C0BA40-B800-46E4-BF4E-21935A9061EB}"/>
    <dgm:cxn modelId="{47C68710-3C43-4867-AC6B-570F15B1A13C}" type="presOf" srcId="{AE6F2586-83AE-4CDC-B2FC-34B160E55D04}" destId="{322DB991-0AB8-44A1-8E60-AECC26F025C0}" srcOrd="1" destOrd="0" presId="urn:microsoft.com/office/officeart/2008/layout/HorizontalMultiLevelHierarchy"/>
    <dgm:cxn modelId="{BFBD8F16-47F2-4D70-B2E8-DA1ABFB6CFFB}" type="presOf" srcId="{0B771462-1236-4EDF-B748-DE71D03F7FBC}" destId="{D7091792-8DAD-4623-807F-309CD64345F2}" srcOrd="0" destOrd="0" presId="urn:microsoft.com/office/officeart/2008/layout/HorizontalMultiLevelHierarchy"/>
    <dgm:cxn modelId="{9F8EB118-4BA1-4CB7-AC21-3FA07A729425}" type="presOf" srcId="{C7F9B267-4B30-428D-B523-8E82D6E832B1}" destId="{4596DA4F-7A3B-4BDA-A488-C6B288ABF47A}" srcOrd="1" destOrd="0" presId="urn:microsoft.com/office/officeart/2008/layout/HorizontalMultiLevelHierarchy"/>
    <dgm:cxn modelId="{3813751D-2789-43A5-9422-0CC0240A9615}" srcId="{FB12C83B-5565-4B61-916A-18FBC0CCCA67}" destId="{001A83B2-06E9-4C53-A69C-8693BDD7A774}" srcOrd="0" destOrd="0" parTransId="{F6F3C5DF-ACAB-4359-A8AF-497E456B7158}" sibTransId="{9CF7E223-A281-46F5-944A-CB071EEE9E0D}"/>
    <dgm:cxn modelId="{68BF0C22-E134-4BD7-A593-31126D183AD2}" type="presOf" srcId="{F6F3C5DF-ACAB-4359-A8AF-497E456B7158}" destId="{C17E62C9-1FFB-402E-ABFA-464FDC98A370}" srcOrd="1" destOrd="0" presId="urn:microsoft.com/office/officeart/2008/layout/HorizontalMultiLevelHierarchy"/>
    <dgm:cxn modelId="{6661B92A-B3C1-4B64-A679-195ED0BDA550}" type="presOf" srcId="{001A83B2-06E9-4C53-A69C-8693BDD7A774}" destId="{4E3587E4-274B-4C32-B169-0CFD167AC631}" srcOrd="0" destOrd="0" presId="urn:microsoft.com/office/officeart/2008/layout/HorizontalMultiLevelHierarchy"/>
    <dgm:cxn modelId="{63A3D334-B0B7-45FA-93B8-28E5AF903A89}" type="presOf" srcId="{F6F3C5DF-ACAB-4359-A8AF-497E456B7158}" destId="{06724DD0-21D3-46F2-83AC-684B3DA9BA2D}" srcOrd="0" destOrd="0" presId="urn:microsoft.com/office/officeart/2008/layout/HorizontalMultiLevelHierarchy"/>
    <dgm:cxn modelId="{904F2A3C-CF2F-4309-AD50-36DA85CCD143}" srcId="{FB12C83B-5565-4B61-916A-18FBC0CCCA67}" destId="{2FD1065E-F46B-4BC7-A2CB-0BE35B61FD4B}" srcOrd="1" destOrd="0" parTransId="{6BE3ED26-1A4C-4B24-9BF8-F64AA2E53A15}" sibTransId="{66152D9E-A782-43E9-8584-191F803C007C}"/>
    <dgm:cxn modelId="{9198E460-6927-40EA-8073-BC0E75A1D66D}" type="presOf" srcId="{C753A9B3-9466-4B0B-A088-7FD94618291F}" destId="{648CC1C0-F883-4925-9C9F-5DEFB92FAE2B}" srcOrd="0" destOrd="0" presId="urn:microsoft.com/office/officeart/2008/layout/HorizontalMultiLevelHierarchy"/>
    <dgm:cxn modelId="{84610068-6A1D-4501-8659-20F687CF4595}" type="presOf" srcId="{49100B04-676F-400D-B29C-2D9EA8D3099E}" destId="{6E8D820F-FE07-449B-9EC7-BD4E54C23C4F}" srcOrd="0" destOrd="0" presId="urn:microsoft.com/office/officeart/2008/layout/HorizontalMultiLevelHierarchy"/>
    <dgm:cxn modelId="{6871966A-0838-4958-B13A-0E703F509F40}" type="presOf" srcId="{2FD1065E-F46B-4BC7-A2CB-0BE35B61FD4B}" destId="{BBC6225B-8420-44A8-8CA7-2F4F72923871}" srcOrd="0" destOrd="0" presId="urn:microsoft.com/office/officeart/2008/layout/HorizontalMultiLevelHierarchy"/>
    <dgm:cxn modelId="{D168074C-B28C-4E7A-91CF-829B2ED3843D}" type="presOf" srcId="{095FEA32-DEFC-4819-89F5-4D7045F26018}" destId="{5D1C24BE-E27C-4987-BEE5-5A88430D0D8B}" srcOrd="0" destOrd="0" presId="urn:microsoft.com/office/officeart/2008/layout/HorizontalMultiLevelHierarchy"/>
    <dgm:cxn modelId="{72219851-5F75-4188-9762-4558BBC6B24F}" type="presOf" srcId="{C7F9B267-4B30-428D-B523-8E82D6E832B1}" destId="{47941432-9F59-454B-A6E2-A7AA2DA5E651}" srcOrd="0" destOrd="0" presId="urn:microsoft.com/office/officeart/2008/layout/HorizontalMultiLevelHierarchy"/>
    <dgm:cxn modelId="{3836F172-1AE5-48ED-8E01-2322713E7AF6}" type="presOf" srcId="{FB12C83B-5565-4B61-916A-18FBC0CCCA67}" destId="{D361BF51-0A93-4DF1-8553-0CFCD668C2A6}" srcOrd="0" destOrd="0" presId="urn:microsoft.com/office/officeart/2008/layout/HorizontalMultiLevelHierarchy"/>
    <dgm:cxn modelId="{7849F652-BC52-4B1A-863A-A876694A67B7}" srcId="{77D09C5C-A2F3-438A-801F-AD27CE7B42EF}" destId="{04DA6E21-315D-4E7F-8947-74DC2CD07DEF}" srcOrd="2" destOrd="0" parTransId="{D1A1489C-E8A7-475F-9925-B9FF4D0B96A3}" sibTransId="{4B9C2CA5-5C56-4805-88B7-1490DDA65CF6}"/>
    <dgm:cxn modelId="{5FD53475-9B96-42D3-82FA-C60CD07559FE}" srcId="{0B771462-1236-4EDF-B748-DE71D03F7FBC}" destId="{095FEA32-DEFC-4819-89F5-4D7045F26018}" srcOrd="0" destOrd="0" parTransId="{38DC3753-A294-4791-A905-95AC985BD89C}" sibTransId="{DA32FB45-8D8D-49A7-8F9D-C3C5D2758203}"/>
    <dgm:cxn modelId="{3AF6E78A-2A7D-46E4-9EEA-4C62C598299A}" type="presOf" srcId="{D1A1489C-E8A7-475F-9925-B9FF4D0B96A3}" destId="{85B3C44A-800B-466C-B6AA-358CFE8442CF}" srcOrd="1" destOrd="0" presId="urn:microsoft.com/office/officeart/2008/layout/HorizontalMultiLevelHierarchy"/>
    <dgm:cxn modelId="{AA53DF8C-5BF9-4999-9EA6-89E909142A0C}" type="presOf" srcId="{C753A9B3-9466-4B0B-A088-7FD94618291F}" destId="{1E1843D6-B75D-4BD2-B620-0BB24FAB006E}" srcOrd="1" destOrd="0" presId="urn:microsoft.com/office/officeart/2008/layout/HorizontalMultiLevelHierarchy"/>
    <dgm:cxn modelId="{590B9D8F-E305-49F6-8F94-3B696F31FD23}" type="presOf" srcId="{6BE3ED26-1A4C-4B24-9BF8-F64AA2E53A15}" destId="{3651EB56-87F9-49B5-94CC-3AA7F31017CC}" srcOrd="1" destOrd="0" presId="urn:microsoft.com/office/officeart/2008/layout/HorizontalMultiLevelHierarchy"/>
    <dgm:cxn modelId="{98E7E58F-B054-4D28-9116-3E9756DCBFF7}" srcId="{77D09C5C-A2F3-438A-801F-AD27CE7B42EF}" destId="{71488CFF-8940-46AF-9DCE-AA7A04950057}" srcOrd="0" destOrd="0" parTransId="{C7F9B267-4B30-428D-B523-8E82D6E832B1}" sibTransId="{1F5185D2-917A-4626-BEC2-BA8DCE68140E}"/>
    <dgm:cxn modelId="{6CACAC96-4926-4F55-A577-F36F71C7B8F1}" type="presOf" srcId="{AE6F2586-83AE-4CDC-B2FC-34B160E55D04}" destId="{A85419E1-20A8-4575-9835-60FC8F573D3B}" srcOrd="0" destOrd="0" presId="urn:microsoft.com/office/officeart/2008/layout/HorizontalMultiLevelHierarchy"/>
    <dgm:cxn modelId="{6AC07898-8D94-449C-BD77-0079472A0783}" type="presOf" srcId="{0025327A-C751-4C26-A3C2-A6886C24DC89}" destId="{E66CB799-25FD-4B7C-A2C2-44C33CB9AC3B}" srcOrd="0" destOrd="0" presId="urn:microsoft.com/office/officeart/2008/layout/HorizontalMultiLevelHierarchy"/>
    <dgm:cxn modelId="{086E1DA0-A4BD-4416-8EAF-F241DF6A2B96}" type="presOf" srcId="{04DA6E21-315D-4E7F-8947-74DC2CD07DEF}" destId="{B3EE84AE-D338-412E-A2BC-23A78E2C6D12}" srcOrd="0" destOrd="0" presId="urn:microsoft.com/office/officeart/2008/layout/HorizontalMultiLevelHierarchy"/>
    <dgm:cxn modelId="{D8E222A8-B7E7-4C5C-8CF1-4C4B11B40084}" type="presOf" srcId="{71488CFF-8940-46AF-9DCE-AA7A04950057}" destId="{F54DAD30-07EB-4EA1-A96E-7B6C428D2F90}" srcOrd="0" destOrd="0" presId="urn:microsoft.com/office/officeart/2008/layout/HorizontalMultiLevelHierarchy"/>
    <dgm:cxn modelId="{609536B0-8448-4437-9156-FA2BBEC15366}" srcId="{095FEA32-DEFC-4819-89F5-4D7045F26018}" destId="{FB12C83B-5565-4B61-916A-18FBC0CCCA67}" srcOrd="0" destOrd="0" parTransId="{C753A9B3-9466-4B0B-A088-7FD94618291F}" sibTransId="{4DF62A94-612C-4C05-B95D-0BDE5F521A7A}"/>
    <dgm:cxn modelId="{9B7138C1-80A7-41D3-B398-3D99326124B9}" type="presOf" srcId="{77D09C5C-A2F3-438A-801F-AD27CE7B42EF}" destId="{33147521-E19F-4DDE-9A5F-2F346E506260}" srcOrd="0" destOrd="0" presId="urn:microsoft.com/office/officeart/2008/layout/HorizontalMultiLevelHierarchy"/>
    <dgm:cxn modelId="{F78FBEC4-D2B2-432D-B0DA-E83BD5F8287B}" type="presOf" srcId="{49100B04-676F-400D-B29C-2D9EA8D3099E}" destId="{F8390CEF-D8CC-4E9C-B847-9C2CDBD8B6F9}" srcOrd="1" destOrd="0" presId="urn:microsoft.com/office/officeart/2008/layout/HorizontalMultiLevelHierarchy"/>
    <dgm:cxn modelId="{9C321CD2-08F3-49C9-9828-32884620F1A7}" type="presOf" srcId="{6BE3ED26-1A4C-4B24-9BF8-F64AA2E53A15}" destId="{EF168338-8A44-4CAD-B0DD-543C2723AE40}" srcOrd="0" destOrd="0" presId="urn:microsoft.com/office/officeart/2008/layout/HorizontalMultiLevelHierarchy"/>
    <dgm:cxn modelId="{6608E8D9-79DB-4806-92B8-68F095A9C167}" type="presOf" srcId="{D1A1489C-E8A7-475F-9925-B9FF4D0B96A3}" destId="{2B95F010-FBCC-4E8A-AB00-1C9C1012FCC3}" srcOrd="0" destOrd="0" presId="urn:microsoft.com/office/officeart/2008/layout/HorizontalMultiLevelHierarchy"/>
    <dgm:cxn modelId="{531BFEE1-03A1-4524-9901-CA0D12786E2F}" srcId="{FB12C83B-5565-4B61-916A-18FBC0CCCA67}" destId="{0025327A-C751-4C26-A3C2-A6886C24DC89}" srcOrd="2" destOrd="0" parTransId="{49100B04-676F-400D-B29C-2D9EA8D3099E}" sibTransId="{A24A1C34-3E75-4A7F-AC0F-42848A37193A}"/>
    <dgm:cxn modelId="{330865E2-FBDF-4CD8-A0BD-AE55AC1F11A6}" type="presOf" srcId="{D93EF15D-B029-40D4-A0E0-4765B85C6545}" destId="{9FE88F21-6518-4386-A839-179994B02568}" srcOrd="0" destOrd="0" presId="urn:microsoft.com/office/officeart/2008/layout/HorizontalMultiLevelHierarchy"/>
    <dgm:cxn modelId="{1FC7EEE4-D0F9-44E1-BF42-59D551A2774E}" srcId="{77D09C5C-A2F3-438A-801F-AD27CE7B42EF}" destId="{D93EF15D-B029-40D4-A0E0-4765B85C6545}" srcOrd="1" destOrd="0" parTransId="{2A108A61-4324-4DEB-8C3B-A6AAF026B284}" sibTransId="{A50277A0-214C-4D87-89D9-FFA5AE5D8275}"/>
    <dgm:cxn modelId="{F7072D6A-C249-42F9-B257-1339C30B5CDD}" type="presParOf" srcId="{D7091792-8DAD-4623-807F-309CD64345F2}" destId="{2F3166E6-DC04-4F2E-9334-79F892F6B606}" srcOrd="0" destOrd="0" presId="urn:microsoft.com/office/officeart/2008/layout/HorizontalMultiLevelHierarchy"/>
    <dgm:cxn modelId="{40C07D25-4DF5-4BD5-9791-4DBFA2A979C2}" type="presParOf" srcId="{2F3166E6-DC04-4F2E-9334-79F892F6B606}" destId="{5D1C24BE-E27C-4987-BEE5-5A88430D0D8B}" srcOrd="0" destOrd="0" presId="urn:microsoft.com/office/officeart/2008/layout/HorizontalMultiLevelHierarchy"/>
    <dgm:cxn modelId="{873E2BD5-38F6-4598-A4D5-2EF6F90FEBDA}" type="presParOf" srcId="{2F3166E6-DC04-4F2E-9334-79F892F6B606}" destId="{D2DA1F0F-D926-41AD-B6C9-7657A0CD4A02}" srcOrd="1" destOrd="0" presId="urn:microsoft.com/office/officeart/2008/layout/HorizontalMultiLevelHierarchy"/>
    <dgm:cxn modelId="{50885188-A3CE-434E-AF3F-04C84E1B0FFD}" type="presParOf" srcId="{D2DA1F0F-D926-41AD-B6C9-7657A0CD4A02}" destId="{648CC1C0-F883-4925-9C9F-5DEFB92FAE2B}" srcOrd="0" destOrd="0" presId="urn:microsoft.com/office/officeart/2008/layout/HorizontalMultiLevelHierarchy"/>
    <dgm:cxn modelId="{DBC4D0A4-F371-44CD-8167-3C335C032152}" type="presParOf" srcId="{648CC1C0-F883-4925-9C9F-5DEFB92FAE2B}" destId="{1E1843D6-B75D-4BD2-B620-0BB24FAB006E}" srcOrd="0" destOrd="0" presId="urn:microsoft.com/office/officeart/2008/layout/HorizontalMultiLevelHierarchy"/>
    <dgm:cxn modelId="{38F35954-4867-43ED-892F-3B5A4A368673}" type="presParOf" srcId="{D2DA1F0F-D926-41AD-B6C9-7657A0CD4A02}" destId="{65274205-4BC8-408A-8419-3ADDA97837C6}" srcOrd="1" destOrd="0" presId="urn:microsoft.com/office/officeart/2008/layout/HorizontalMultiLevelHierarchy"/>
    <dgm:cxn modelId="{8EFDD35D-C8BA-4205-9660-83BD5D6CBE80}" type="presParOf" srcId="{65274205-4BC8-408A-8419-3ADDA97837C6}" destId="{D361BF51-0A93-4DF1-8553-0CFCD668C2A6}" srcOrd="0" destOrd="0" presId="urn:microsoft.com/office/officeart/2008/layout/HorizontalMultiLevelHierarchy"/>
    <dgm:cxn modelId="{443CB054-7B41-4657-84CA-8FCF227020E6}" type="presParOf" srcId="{65274205-4BC8-408A-8419-3ADDA97837C6}" destId="{DAD60246-4A4A-45E7-A5DC-3BCB51FD6B52}" srcOrd="1" destOrd="0" presId="urn:microsoft.com/office/officeart/2008/layout/HorizontalMultiLevelHierarchy"/>
    <dgm:cxn modelId="{56386E3F-728D-4765-A357-6175DDDD4B6A}" type="presParOf" srcId="{DAD60246-4A4A-45E7-A5DC-3BCB51FD6B52}" destId="{06724DD0-21D3-46F2-83AC-684B3DA9BA2D}" srcOrd="0" destOrd="0" presId="urn:microsoft.com/office/officeart/2008/layout/HorizontalMultiLevelHierarchy"/>
    <dgm:cxn modelId="{74F77D19-AFA6-45A0-8CFA-892EA72F1CB3}" type="presParOf" srcId="{06724DD0-21D3-46F2-83AC-684B3DA9BA2D}" destId="{C17E62C9-1FFB-402E-ABFA-464FDC98A370}" srcOrd="0" destOrd="0" presId="urn:microsoft.com/office/officeart/2008/layout/HorizontalMultiLevelHierarchy"/>
    <dgm:cxn modelId="{20E570E6-556C-4319-96D0-027838876EB9}" type="presParOf" srcId="{DAD60246-4A4A-45E7-A5DC-3BCB51FD6B52}" destId="{26FBF3E0-C7E8-41DB-93EF-AE4B272F87BE}" srcOrd="1" destOrd="0" presId="urn:microsoft.com/office/officeart/2008/layout/HorizontalMultiLevelHierarchy"/>
    <dgm:cxn modelId="{EF88BD2B-694C-4E9A-B05F-39BFB8C6593D}" type="presParOf" srcId="{26FBF3E0-C7E8-41DB-93EF-AE4B272F87BE}" destId="{4E3587E4-274B-4C32-B169-0CFD167AC631}" srcOrd="0" destOrd="0" presId="urn:microsoft.com/office/officeart/2008/layout/HorizontalMultiLevelHierarchy"/>
    <dgm:cxn modelId="{8A3541CB-6B78-46D2-8108-A420625CC563}" type="presParOf" srcId="{26FBF3E0-C7E8-41DB-93EF-AE4B272F87BE}" destId="{B199ABD4-0386-4901-B853-96E996264957}" srcOrd="1" destOrd="0" presId="urn:microsoft.com/office/officeart/2008/layout/HorizontalMultiLevelHierarchy"/>
    <dgm:cxn modelId="{143504F7-601B-448E-9E70-1F3F0FE21EBC}" type="presParOf" srcId="{DAD60246-4A4A-45E7-A5DC-3BCB51FD6B52}" destId="{EF168338-8A44-4CAD-B0DD-543C2723AE40}" srcOrd="2" destOrd="0" presId="urn:microsoft.com/office/officeart/2008/layout/HorizontalMultiLevelHierarchy"/>
    <dgm:cxn modelId="{05395691-B636-47DD-8ED7-97EBB68ED2A2}" type="presParOf" srcId="{EF168338-8A44-4CAD-B0DD-543C2723AE40}" destId="{3651EB56-87F9-49B5-94CC-3AA7F31017CC}" srcOrd="0" destOrd="0" presId="urn:microsoft.com/office/officeart/2008/layout/HorizontalMultiLevelHierarchy"/>
    <dgm:cxn modelId="{BD9A1602-04E5-49C7-B276-C97DEC4512C1}" type="presParOf" srcId="{DAD60246-4A4A-45E7-A5DC-3BCB51FD6B52}" destId="{9EFB9C71-4508-4D8E-B99D-D5D2718024C9}" srcOrd="3" destOrd="0" presId="urn:microsoft.com/office/officeart/2008/layout/HorizontalMultiLevelHierarchy"/>
    <dgm:cxn modelId="{6833A72E-6918-4868-B328-7120C9A6A94D}" type="presParOf" srcId="{9EFB9C71-4508-4D8E-B99D-D5D2718024C9}" destId="{BBC6225B-8420-44A8-8CA7-2F4F72923871}" srcOrd="0" destOrd="0" presId="urn:microsoft.com/office/officeart/2008/layout/HorizontalMultiLevelHierarchy"/>
    <dgm:cxn modelId="{98C42ABD-89DE-4F9A-AA97-FCE50FDB8B4F}" type="presParOf" srcId="{9EFB9C71-4508-4D8E-B99D-D5D2718024C9}" destId="{6723D38F-3E25-41C6-9501-4BAD6F88E1DF}" srcOrd="1" destOrd="0" presId="urn:microsoft.com/office/officeart/2008/layout/HorizontalMultiLevelHierarchy"/>
    <dgm:cxn modelId="{6587B715-8FE0-4CFC-889C-31FF0EC3D13B}" type="presParOf" srcId="{DAD60246-4A4A-45E7-A5DC-3BCB51FD6B52}" destId="{6E8D820F-FE07-449B-9EC7-BD4E54C23C4F}" srcOrd="4" destOrd="0" presId="urn:microsoft.com/office/officeart/2008/layout/HorizontalMultiLevelHierarchy"/>
    <dgm:cxn modelId="{F2D46380-907C-4CEB-B71B-B7EAE5169489}" type="presParOf" srcId="{6E8D820F-FE07-449B-9EC7-BD4E54C23C4F}" destId="{F8390CEF-D8CC-4E9C-B847-9C2CDBD8B6F9}" srcOrd="0" destOrd="0" presId="urn:microsoft.com/office/officeart/2008/layout/HorizontalMultiLevelHierarchy"/>
    <dgm:cxn modelId="{99C8196F-535E-42CD-AA95-7AC4E3307AE9}" type="presParOf" srcId="{DAD60246-4A4A-45E7-A5DC-3BCB51FD6B52}" destId="{18724816-DCC4-4AED-A922-5784C3830FF2}" srcOrd="5" destOrd="0" presId="urn:microsoft.com/office/officeart/2008/layout/HorizontalMultiLevelHierarchy"/>
    <dgm:cxn modelId="{2B7CC893-CAEE-43D1-82D0-C57E6132A7EA}" type="presParOf" srcId="{18724816-DCC4-4AED-A922-5784C3830FF2}" destId="{E66CB799-25FD-4B7C-A2C2-44C33CB9AC3B}" srcOrd="0" destOrd="0" presId="urn:microsoft.com/office/officeart/2008/layout/HorizontalMultiLevelHierarchy"/>
    <dgm:cxn modelId="{36689A88-B319-4A3B-BCC5-E8719B88CC84}" type="presParOf" srcId="{18724816-DCC4-4AED-A922-5784C3830FF2}" destId="{C4F9AEC0-D258-45CC-9D53-8D86760DA80A}" srcOrd="1" destOrd="0" presId="urn:microsoft.com/office/officeart/2008/layout/HorizontalMultiLevelHierarchy"/>
    <dgm:cxn modelId="{7BCBE0F1-10DB-4E96-86CD-1B81D36F4F95}" type="presParOf" srcId="{D2DA1F0F-D926-41AD-B6C9-7657A0CD4A02}" destId="{A85419E1-20A8-4575-9835-60FC8F573D3B}" srcOrd="2" destOrd="0" presId="urn:microsoft.com/office/officeart/2008/layout/HorizontalMultiLevelHierarchy"/>
    <dgm:cxn modelId="{24FA4A4A-8911-466A-AE44-AE74A5D0288E}" type="presParOf" srcId="{A85419E1-20A8-4575-9835-60FC8F573D3B}" destId="{322DB991-0AB8-44A1-8E60-AECC26F025C0}" srcOrd="0" destOrd="0" presId="urn:microsoft.com/office/officeart/2008/layout/HorizontalMultiLevelHierarchy"/>
    <dgm:cxn modelId="{524DAD1B-A80B-4581-8A93-3BDDB3F48F49}" type="presParOf" srcId="{D2DA1F0F-D926-41AD-B6C9-7657A0CD4A02}" destId="{6384EEB9-B0B5-440D-B4FF-5ED2C61CF525}" srcOrd="3" destOrd="0" presId="urn:microsoft.com/office/officeart/2008/layout/HorizontalMultiLevelHierarchy"/>
    <dgm:cxn modelId="{F93C34C4-78DF-43AF-9D5D-640EE7C4D38C}" type="presParOf" srcId="{6384EEB9-B0B5-440D-B4FF-5ED2C61CF525}" destId="{33147521-E19F-4DDE-9A5F-2F346E506260}" srcOrd="0" destOrd="0" presId="urn:microsoft.com/office/officeart/2008/layout/HorizontalMultiLevelHierarchy"/>
    <dgm:cxn modelId="{753EFD79-1BC0-492B-8B39-3D5B475DAAC9}" type="presParOf" srcId="{6384EEB9-B0B5-440D-B4FF-5ED2C61CF525}" destId="{B3E35F03-1287-4056-9298-526D5129259F}" srcOrd="1" destOrd="0" presId="urn:microsoft.com/office/officeart/2008/layout/HorizontalMultiLevelHierarchy"/>
    <dgm:cxn modelId="{3E1C9889-612A-4F5E-AB65-5CE15C62409E}" type="presParOf" srcId="{B3E35F03-1287-4056-9298-526D5129259F}" destId="{47941432-9F59-454B-A6E2-A7AA2DA5E651}" srcOrd="0" destOrd="0" presId="urn:microsoft.com/office/officeart/2008/layout/HorizontalMultiLevelHierarchy"/>
    <dgm:cxn modelId="{01255EF3-7C17-46E6-8248-4EF466A16011}" type="presParOf" srcId="{47941432-9F59-454B-A6E2-A7AA2DA5E651}" destId="{4596DA4F-7A3B-4BDA-A488-C6B288ABF47A}" srcOrd="0" destOrd="0" presId="urn:microsoft.com/office/officeart/2008/layout/HorizontalMultiLevelHierarchy"/>
    <dgm:cxn modelId="{C9095E51-AB80-459C-B3F0-629F6783BB38}" type="presParOf" srcId="{B3E35F03-1287-4056-9298-526D5129259F}" destId="{6EDF72F0-775D-4576-B6B5-9A1EBDDEA193}" srcOrd="1" destOrd="0" presId="urn:microsoft.com/office/officeart/2008/layout/HorizontalMultiLevelHierarchy"/>
    <dgm:cxn modelId="{404341CC-8B15-4EC1-BD03-318AC0C85901}" type="presParOf" srcId="{6EDF72F0-775D-4576-B6B5-9A1EBDDEA193}" destId="{F54DAD30-07EB-4EA1-A96E-7B6C428D2F90}" srcOrd="0" destOrd="0" presId="urn:microsoft.com/office/officeart/2008/layout/HorizontalMultiLevelHierarchy"/>
    <dgm:cxn modelId="{5ED31044-3282-405A-9DB6-613D659AE4CA}" type="presParOf" srcId="{6EDF72F0-775D-4576-B6B5-9A1EBDDEA193}" destId="{82CB6439-F3F1-48B0-8C5C-563F57AE3908}" srcOrd="1" destOrd="0" presId="urn:microsoft.com/office/officeart/2008/layout/HorizontalMultiLevelHierarchy"/>
    <dgm:cxn modelId="{CBEEB963-0045-4147-901B-5205E5823DCA}" type="presParOf" srcId="{B3E35F03-1287-4056-9298-526D5129259F}" destId="{F0A53B71-1C06-457E-A701-D55F22087B15}" srcOrd="2" destOrd="0" presId="urn:microsoft.com/office/officeart/2008/layout/HorizontalMultiLevelHierarchy"/>
    <dgm:cxn modelId="{0BFDA429-85BF-4368-A696-CA9A2156FFA8}" type="presParOf" srcId="{F0A53B71-1C06-457E-A701-D55F22087B15}" destId="{145CB5BE-D746-4497-8E31-4AFA9BE113CE}" srcOrd="0" destOrd="0" presId="urn:microsoft.com/office/officeart/2008/layout/HorizontalMultiLevelHierarchy"/>
    <dgm:cxn modelId="{CE4111F6-A6FD-4B8C-B1BA-48771605C174}" type="presParOf" srcId="{B3E35F03-1287-4056-9298-526D5129259F}" destId="{17D53811-5F89-44B2-8FF2-8BD611EAC039}" srcOrd="3" destOrd="0" presId="urn:microsoft.com/office/officeart/2008/layout/HorizontalMultiLevelHierarchy"/>
    <dgm:cxn modelId="{0B4D923A-8155-4E76-B332-78D51D572DDB}" type="presParOf" srcId="{17D53811-5F89-44B2-8FF2-8BD611EAC039}" destId="{9FE88F21-6518-4386-A839-179994B02568}" srcOrd="0" destOrd="0" presId="urn:microsoft.com/office/officeart/2008/layout/HorizontalMultiLevelHierarchy"/>
    <dgm:cxn modelId="{31011EC3-885F-472C-A589-0BCA520B5A18}" type="presParOf" srcId="{17D53811-5F89-44B2-8FF2-8BD611EAC039}" destId="{3027C525-35C1-4A15-8D8D-6E584F9B9C74}" srcOrd="1" destOrd="0" presId="urn:microsoft.com/office/officeart/2008/layout/HorizontalMultiLevelHierarchy"/>
    <dgm:cxn modelId="{0DF91B1B-17EC-47AF-9739-239639AC7D40}" type="presParOf" srcId="{B3E35F03-1287-4056-9298-526D5129259F}" destId="{2B95F010-FBCC-4E8A-AB00-1C9C1012FCC3}" srcOrd="4" destOrd="0" presId="urn:microsoft.com/office/officeart/2008/layout/HorizontalMultiLevelHierarchy"/>
    <dgm:cxn modelId="{D87B1C34-BCE6-41F0-ACBF-A27B07DB464B}" type="presParOf" srcId="{2B95F010-FBCC-4E8A-AB00-1C9C1012FCC3}" destId="{85B3C44A-800B-466C-B6AA-358CFE8442CF}" srcOrd="0" destOrd="0" presId="urn:microsoft.com/office/officeart/2008/layout/HorizontalMultiLevelHierarchy"/>
    <dgm:cxn modelId="{91D0C8A3-4BC1-4E1C-93E8-AF67DDE75DCB}" type="presParOf" srcId="{B3E35F03-1287-4056-9298-526D5129259F}" destId="{205DD835-CD32-4053-9F23-9AE679B10E27}" srcOrd="5" destOrd="0" presId="urn:microsoft.com/office/officeart/2008/layout/HorizontalMultiLevelHierarchy"/>
    <dgm:cxn modelId="{CC8FCCDA-4BC2-4B04-AB5A-569ABE89EDF4}" type="presParOf" srcId="{205DD835-CD32-4053-9F23-9AE679B10E27}" destId="{B3EE84AE-D338-412E-A2BC-23A78E2C6D12}" srcOrd="0" destOrd="0" presId="urn:microsoft.com/office/officeart/2008/layout/HorizontalMultiLevelHierarchy"/>
    <dgm:cxn modelId="{B6CEA904-453C-4CD4-9C3E-D9A24CA42743}" type="presParOf" srcId="{205DD835-CD32-4053-9F23-9AE679B10E27}" destId="{56A5576B-7544-4BF2-ADAB-5009C4BDF820}"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8F31BE-621A-43D7-9D27-ABE74E82CE8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B7066AE4-0558-4D08-8F44-60D4E2A9827C}">
      <dgm:prSet phldrT="[Text]" custT="1"/>
      <dgm:spPr/>
      <dgm:t>
        <a:bodyPr/>
        <a:lstStyle/>
        <a:p>
          <a:r>
            <a:rPr lang="en-GB" sz="1000">
              <a:latin typeface="Arial" panose="020B0604020202020204" pitchFamily="34" charset="0"/>
              <a:cs typeface="Arial" panose="020B0604020202020204" pitchFamily="34" charset="0"/>
            </a:rPr>
            <a:t>Parents/ carers </a:t>
          </a:r>
        </a:p>
        <a:p>
          <a:r>
            <a:rPr lang="en-GB" sz="1000">
              <a:latin typeface="Arial" panose="020B0604020202020204" pitchFamily="34" charset="0"/>
              <a:cs typeface="Arial" panose="020B0604020202020204" pitchFamily="34" charset="0"/>
            </a:rPr>
            <a:t>(n=48,169)</a:t>
          </a:r>
        </a:p>
      </dgm:t>
    </dgm:pt>
    <dgm:pt modelId="{4369AED3-4CBC-4915-AD77-DBA9DC91ADBC}" type="parTrans" cxnId="{3D5C2CA8-E6D1-4118-974F-2DA5D6BB7AAB}">
      <dgm:prSet/>
      <dgm:spPr/>
      <dgm:t>
        <a:bodyPr/>
        <a:lstStyle/>
        <a:p>
          <a:endParaRPr lang="en-GB" sz="1000">
            <a:latin typeface="Arial" panose="020B0604020202020204" pitchFamily="34" charset="0"/>
            <a:cs typeface="Arial" panose="020B0604020202020204" pitchFamily="34" charset="0"/>
          </a:endParaRPr>
        </a:p>
      </dgm:t>
    </dgm:pt>
    <dgm:pt modelId="{80426A23-6C9E-484E-8921-19E869ABF9F7}" type="sibTrans" cxnId="{3D5C2CA8-E6D1-4118-974F-2DA5D6BB7AAB}">
      <dgm:prSet/>
      <dgm:spPr/>
      <dgm:t>
        <a:bodyPr/>
        <a:lstStyle/>
        <a:p>
          <a:endParaRPr lang="en-GB" sz="1000">
            <a:latin typeface="Arial" panose="020B0604020202020204" pitchFamily="34" charset="0"/>
            <a:cs typeface="Arial" panose="020B0604020202020204" pitchFamily="34" charset="0"/>
          </a:endParaRPr>
        </a:p>
      </dgm:t>
    </dgm:pt>
    <dgm:pt modelId="{6A59E961-95D7-4148-953F-100C981257AD}">
      <dgm:prSet phldrT="[Text]" custT="1"/>
      <dgm:spPr/>
      <dgm:t>
        <a:bodyPr/>
        <a:lstStyle/>
        <a:p>
          <a:r>
            <a:rPr lang="en-GB" sz="1000">
              <a:latin typeface="Arial" panose="020B0604020202020204" pitchFamily="34" charset="0"/>
              <a:cs typeface="Arial" panose="020B0604020202020204" pitchFamily="34" charset="0"/>
            </a:rPr>
            <a:t>Living with children (n=14,475)</a:t>
          </a:r>
        </a:p>
      </dgm:t>
    </dgm:pt>
    <dgm:pt modelId="{FE3C781F-63B5-4F29-A4F7-F41A66B1EEE3}" type="parTrans" cxnId="{F015A7AA-E293-4FCF-9A24-8D37A7B9CAD8}">
      <dgm:prSet/>
      <dgm:spPr/>
      <dgm:t>
        <a:bodyPr/>
        <a:lstStyle/>
        <a:p>
          <a:endParaRPr lang="en-GB" sz="1000">
            <a:latin typeface="Arial" panose="020B0604020202020204" pitchFamily="34" charset="0"/>
            <a:cs typeface="Arial" panose="020B0604020202020204" pitchFamily="34" charset="0"/>
          </a:endParaRPr>
        </a:p>
      </dgm:t>
    </dgm:pt>
    <dgm:pt modelId="{08C7DEB6-4965-4EBA-9394-19D0852B919D}" type="sibTrans" cxnId="{F015A7AA-E293-4FCF-9A24-8D37A7B9CAD8}">
      <dgm:prSet/>
      <dgm:spPr/>
      <dgm:t>
        <a:bodyPr/>
        <a:lstStyle/>
        <a:p>
          <a:endParaRPr lang="en-GB" sz="1000">
            <a:latin typeface="Arial" panose="020B0604020202020204" pitchFamily="34" charset="0"/>
            <a:cs typeface="Arial" panose="020B0604020202020204" pitchFamily="34" charset="0"/>
          </a:endParaRPr>
        </a:p>
      </dgm:t>
    </dgm:pt>
    <dgm:pt modelId="{CA74FF67-B93D-43F8-8629-1DA4B0CCCE9A}">
      <dgm:prSet phldrT="[Text]" custT="1"/>
      <dgm:spPr/>
      <dgm:t>
        <a:bodyPr/>
        <a:lstStyle/>
        <a:p>
          <a:r>
            <a:rPr lang="en-GB" sz="1000">
              <a:latin typeface="Arial" panose="020B0604020202020204" pitchFamily="34" charset="0"/>
              <a:cs typeface="Arial" panose="020B0604020202020204" pitchFamily="34" charset="0"/>
            </a:rPr>
            <a:t>Mothers</a:t>
          </a:r>
        </a:p>
        <a:p>
          <a:r>
            <a:rPr lang="en-GB" sz="1000">
              <a:latin typeface="Arial" panose="020B0604020202020204" pitchFamily="34" charset="0"/>
              <a:cs typeface="Arial" panose="020B0604020202020204" pitchFamily="34" charset="0"/>
            </a:rPr>
            <a:t>(n=6,588)</a:t>
          </a:r>
        </a:p>
      </dgm:t>
    </dgm:pt>
    <dgm:pt modelId="{095F1C08-25F1-461B-A2C0-9C81F2FD36BA}" type="parTrans" cxnId="{E8B7F6DA-93A6-4A20-A534-4DFA36A6F115}">
      <dgm:prSet/>
      <dgm:spPr/>
      <dgm:t>
        <a:bodyPr/>
        <a:lstStyle/>
        <a:p>
          <a:endParaRPr lang="en-GB" sz="1000">
            <a:latin typeface="Arial" panose="020B0604020202020204" pitchFamily="34" charset="0"/>
            <a:cs typeface="Arial" panose="020B0604020202020204" pitchFamily="34" charset="0"/>
          </a:endParaRPr>
        </a:p>
      </dgm:t>
    </dgm:pt>
    <dgm:pt modelId="{3178AD97-6C50-4B70-BCBC-406D56585A5F}" type="sibTrans" cxnId="{E8B7F6DA-93A6-4A20-A534-4DFA36A6F115}">
      <dgm:prSet/>
      <dgm:spPr/>
      <dgm:t>
        <a:bodyPr/>
        <a:lstStyle/>
        <a:p>
          <a:endParaRPr lang="en-GB" sz="1000">
            <a:latin typeface="Arial" panose="020B0604020202020204" pitchFamily="34" charset="0"/>
            <a:cs typeface="Arial" panose="020B0604020202020204" pitchFamily="34" charset="0"/>
          </a:endParaRPr>
        </a:p>
      </dgm:t>
    </dgm:pt>
    <dgm:pt modelId="{B19B56C3-61F5-47AF-B508-6E649DF9D214}">
      <dgm:prSet phldrT="[Text]" custT="1"/>
      <dgm:spPr/>
      <dgm:t>
        <a:bodyPr/>
        <a:lstStyle/>
        <a:p>
          <a:r>
            <a:rPr lang="en-GB" sz="1000">
              <a:latin typeface="Arial" panose="020B0604020202020204" pitchFamily="34" charset="0"/>
              <a:cs typeface="Arial" panose="020B0604020202020204" pitchFamily="34" charset="0"/>
            </a:rPr>
            <a:t>Fathers </a:t>
          </a:r>
        </a:p>
        <a:p>
          <a:r>
            <a:rPr lang="en-GB" sz="1000">
              <a:latin typeface="Arial" panose="020B0604020202020204" pitchFamily="34" charset="0"/>
              <a:cs typeface="Arial" panose="020B0604020202020204" pitchFamily="34" charset="0"/>
            </a:rPr>
            <a:t>(n=7,887)</a:t>
          </a:r>
        </a:p>
      </dgm:t>
    </dgm:pt>
    <dgm:pt modelId="{735C0871-3635-4A1A-B614-A3B7F6F994DB}" type="parTrans" cxnId="{A8D4E603-899F-4B59-AA61-151DF6BC4295}">
      <dgm:prSet/>
      <dgm:spPr/>
      <dgm:t>
        <a:bodyPr/>
        <a:lstStyle/>
        <a:p>
          <a:endParaRPr lang="en-GB" sz="1000">
            <a:latin typeface="Arial" panose="020B0604020202020204" pitchFamily="34" charset="0"/>
            <a:cs typeface="Arial" panose="020B0604020202020204" pitchFamily="34" charset="0"/>
          </a:endParaRPr>
        </a:p>
      </dgm:t>
    </dgm:pt>
    <dgm:pt modelId="{F6827833-D94E-4EBD-9338-0387ED2C853C}" type="sibTrans" cxnId="{A8D4E603-899F-4B59-AA61-151DF6BC4295}">
      <dgm:prSet/>
      <dgm:spPr/>
      <dgm:t>
        <a:bodyPr/>
        <a:lstStyle/>
        <a:p>
          <a:endParaRPr lang="en-GB" sz="1000">
            <a:latin typeface="Arial" panose="020B0604020202020204" pitchFamily="34" charset="0"/>
            <a:cs typeface="Arial" panose="020B0604020202020204" pitchFamily="34" charset="0"/>
          </a:endParaRPr>
        </a:p>
      </dgm:t>
    </dgm:pt>
    <dgm:pt modelId="{4EA97FB1-A6AD-439E-A9C0-641F37FB6A67}">
      <dgm:prSet phldrT="[Text]" custT="1"/>
      <dgm:spPr/>
      <dgm:t>
        <a:bodyPr/>
        <a:lstStyle/>
        <a:p>
          <a:r>
            <a:rPr lang="en-GB" sz="1000">
              <a:latin typeface="Arial" panose="020B0604020202020204" pitchFamily="34" charset="0"/>
              <a:cs typeface="Arial" panose="020B0604020202020204" pitchFamily="34" charset="0"/>
            </a:rPr>
            <a:t>Not living with their children (n=33,694)</a:t>
          </a:r>
        </a:p>
      </dgm:t>
    </dgm:pt>
    <dgm:pt modelId="{6FCD9B5F-CE74-49D1-ACE3-4ED57E8F6EC5}" type="parTrans" cxnId="{46859A17-0A66-40F8-A49C-267179C07895}">
      <dgm:prSet/>
      <dgm:spPr/>
      <dgm:t>
        <a:bodyPr/>
        <a:lstStyle/>
        <a:p>
          <a:endParaRPr lang="en-GB" sz="1000">
            <a:latin typeface="Arial" panose="020B0604020202020204" pitchFamily="34" charset="0"/>
            <a:cs typeface="Arial" panose="020B0604020202020204" pitchFamily="34" charset="0"/>
          </a:endParaRPr>
        </a:p>
      </dgm:t>
    </dgm:pt>
    <dgm:pt modelId="{9C1905B0-198C-4D07-91EE-495E228E45D3}" type="sibTrans" cxnId="{46859A17-0A66-40F8-A49C-267179C07895}">
      <dgm:prSet/>
      <dgm:spPr/>
      <dgm:t>
        <a:bodyPr/>
        <a:lstStyle/>
        <a:p>
          <a:endParaRPr lang="en-GB" sz="1000">
            <a:latin typeface="Arial" panose="020B0604020202020204" pitchFamily="34" charset="0"/>
            <a:cs typeface="Arial" panose="020B0604020202020204" pitchFamily="34" charset="0"/>
          </a:endParaRPr>
        </a:p>
      </dgm:t>
    </dgm:pt>
    <dgm:pt modelId="{7DB34648-9297-461E-9A69-04BD09AA94CB}">
      <dgm:prSet phldrT="[Text]" custT="1"/>
      <dgm:spPr/>
      <dgm:t>
        <a:bodyPr/>
        <a:lstStyle/>
        <a:p>
          <a:r>
            <a:rPr lang="en-GB" sz="1000">
              <a:latin typeface="Arial" panose="020B0604020202020204" pitchFamily="34" charset="0"/>
              <a:cs typeface="Arial" panose="020B0604020202020204" pitchFamily="34" charset="0"/>
            </a:rPr>
            <a:t>Mothers</a:t>
          </a:r>
        </a:p>
        <a:p>
          <a:r>
            <a:rPr lang="en-GB" sz="1000">
              <a:latin typeface="Arial" panose="020B0604020202020204" pitchFamily="34" charset="0"/>
              <a:cs typeface="Arial" panose="020B0604020202020204" pitchFamily="34" charset="0"/>
            </a:rPr>
            <a:t>(n=8,541)</a:t>
          </a:r>
        </a:p>
      </dgm:t>
    </dgm:pt>
    <dgm:pt modelId="{03A54369-761B-4146-A059-4A0E7A186879}" type="parTrans" cxnId="{D03E1911-BE30-4D78-9236-BA3B73314F19}">
      <dgm:prSet/>
      <dgm:spPr/>
      <dgm:t>
        <a:bodyPr/>
        <a:lstStyle/>
        <a:p>
          <a:endParaRPr lang="en-GB" sz="1000">
            <a:latin typeface="Arial" panose="020B0604020202020204" pitchFamily="34" charset="0"/>
            <a:cs typeface="Arial" panose="020B0604020202020204" pitchFamily="34" charset="0"/>
          </a:endParaRPr>
        </a:p>
      </dgm:t>
    </dgm:pt>
    <dgm:pt modelId="{95FCE3DB-65EE-48B4-8ABB-5BCF2BE1D2D7}" type="sibTrans" cxnId="{D03E1911-BE30-4D78-9236-BA3B73314F19}">
      <dgm:prSet/>
      <dgm:spPr/>
      <dgm:t>
        <a:bodyPr/>
        <a:lstStyle/>
        <a:p>
          <a:endParaRPr lang="en-GB" sz="1000">
            <a:latin typeface="Arial" panose="020B0604020202020204" pitchFamily="34" charset="0"/>
            <a:cs typeface="Arial" panose="020B0604020202020204" pitchFamily="34" charset="0"/>
          </a:endParaRPr>
        </a:p>
      </dgm:t>
    </dgm:pt>
    <dgm:pt modelId="{EED6CF0C-BA85-4172-84E7-AB726C3591BC}">
      <dgm:prSet custT="1"/>
      <dgm:spPr/>
      <dgm:t>
        <a:bodyPr/>
        <a:lstStyle/>
        <a:p>
          <a:r>
            <a:rPr lang="en-GB" sz="1000">
              <a:latin typeface="Arial" panose="020B0604020202020204" pitchFamily="34" charset="0"/>
              <a:cs typeface="Arial" panose="020B0604020202020204" pitchFamily="34" charset="0"/>
            </a:rPr>
            <a:t>Fathers </a:t>
          </a:r>
        </a:p>
        <a:p>
          <a:r>
            <a:rPr lang="en-GB" sz="1000">
              <a:latin typeface="Arial" panose="020B0604020202020204" pitchFamily="34" charset="0"/>
              <a:cs typeface="Arial" panose="020B0604020202020204" pitchFamily="34" charset="0"/>
            </a:rPr>
            <a:t>(n=25,153)</a:t>
          </a:r>
        </a:p>
      </dgm:t>
    </dgm:pt>
    <dgm:pt modelId="{8DB60083-4349-4626-B2A0-1B96E4508549}" type="parTrans" cxnId="{533C706B-29EA-4FED-ADDD-57B82EB195D4}">
      <dgm:prSet/>
      <dgm:spPr/>
      <dgm:t>
        <a:bodyPr/>
        <a:lstStyle/>
        <a:p>
          <a:endParaRPr lang="en-GB" sz="1000">
            <a:latin typeface="Arial" panose="020B0604020202020204" pitchFamily="34" charset="0"/>
            <a:cs typeface="Arial" panose="020B0604020202020204" pitchFamily="34" charset="0"/>
          </a:endParaRPr>
        </a:p>
      </dgm:t>
    </dgm:pt>
    <dgm:pt modelId="{EF3792C5-19C2-4BD2-8AD1-9CE41EDEB704}" type="sibTrans" cxnId="{533C706B-29EA-4FED-ADDD-57B82EB195D4}">
      <dgm:prSet/>
      <dgm:spPr/>
      <dgm:t>
        <a:bodyPr/>
        <a:lstStyle/>
        <a:p>
          <a:endParaRPr lang="en-GB" sz="1000">
            <a:latin typeface="Arial" panose="020B0604020202020204" pitchFamily="34" charset="0"/>
            <a:cs typeface="Arial" panose="020B0604020202020204" pitchFamily="34" charset="0"/>
          </a:endParaRPr>
        </a:p>
      </dgm:t>
    </dgm:pt>
    <dgm:pt modelId="{48CFFD06-BD0A-4762-9F27-DBCF337B781B}">
      <dgm:prSet custT="1"/>
      <dgm:spPr/>
      <dgm:t>
        <a:bodyPr/>
        <a:lstStyle/>
        <a:p>
          <a:r>
            <a:rPr lang="en-GB" sz="1000">
              <a:latin typeface="Arial" panose="020B0604020202020204" pitchFamily="34" charset="0"/>
              <a:cs typeface="Arial" panose="020B0604020202020204" pitchFamily="34" charset="0"/>
            </a:rPr>
            <a:t>Opiate users (OUs, n=1,178 )</a:t>
          </a:r>
        </a:p>
      </dgm:t>
    </dgm:pt>
    <dgm:pt modelId="{3F1BDFFE-B50E-4EA0-8EFC-1AD33C4376E4}" type="parTrans" cxnId="{DBE03DE9-2003-425C-AC28-3A16EC3DB107}">
      <dgm:prSet/>
      <dgm:spPr/>
      <dgm:t>
        <a:bodyPr/>
        <a:lstStyle/>
        <a:p>
          <a:endParaRPr lang="en-GB" sz="1000">
            <a:latin typeface="Arial" panose="020B0604020202020204" pitchFamily="34" charset="0"/>
            <a:cs typeface="Arial" panose="020B0604020202020204" pitchFamily="34" charset="0"/>
          </a:endParaRPr>
        </a:p>
      </dgm:t>
    </dgm:pt>
    <dgm:pt modelId="{C0286A3D-5AD6-4F9F-B164-76C112F9244C}" type="sibTrans" cxnId="{DBE03DE9-2003-425C-AC28-3A16EC3DB107}">
      <dgm:prSet/>
      <dgm:spPr/>
      <dgm:t>
        <a:bodyPr/>
        <a:lstStyle/>
        <a:p>
          <a:endParaRPr lang="en-GB" sz="1000">
            <a:latin typeface="Arial" panose="020B0604020202020204" pitchFamily="34" charset="0"/>
            <a:cs typeface="Arial" panose="020B0604020202020204" pitchFamily="34" charset="0"/>
          </a:endParaRPr>
        </a:p>
      </dgm:t>
    </dgm:pt>
    <dgm:pt modelId="{24D9856E-EB5D-46E2-961D-DA0EEFF06E3B}">
      <dgm:prSet custT="1"/>
      <dgm:spPr/>
      <dgm:t>
        <a:bodyPr/>
        <a:lstStyle/>
        <a:p>
          <a:r>
            <a:rPr lang="en-GB" sz="1000">
              <a:latin typeface="Arial" panose="020B0604020202020204" pitchFamily="34" charset="0"/>
              <a:cs typeface="Arial" panose="020B0604020202020204" pitchFamily="34" charset="0"/>
            </a:rPr>
            <a:t>Non-OUs</a:t>
          </a:r>
        </a:p>
        <a:p>
          <a:r>
            <a:rPr lang="en-GB" sz="1000">
              <a:latin typeface="Arial" panose="020B0604020202020204" pitchFamily="34" charset="0"/>
              <a:cs typeface="Arial" panose="020B0604020202020204" pitchFamily="34" charset="0"/>
            </a:rPr>
            <a:t>(n=1,538)</a:t>
          </a:r>
        </a:p>
      </dgm:t>
    </dgm:pt>
    <dgm:pt modelId="{FAFBF896-B700-4C76-8869-A4A9EFD00D56}" type="parTrans" cxnId="{16356376-8030-428F-A6AD-9EB71E492435}">
      <dgm:prSet/>
      <dgm:spPr/>
      <dgm:t>
        <a:bodyPr/>
        <a:lstStyle/>
        <a:p>
          <a:endParaRPr lang="en-GB" sz="1000">
            <a:latin typeface="Arial" panose="020B0604020202020204" pitchFamily="34" charset="0"/>
            <a:cs typeface="Arial" panose="020B0604020202020204" pitchFamily="34" charset="0"/>
          </a:endParaRPr>
        </a:p>
      </dgm:t>
    </dgm:pt>
    <dgm:pt modelId="{8FDD3518-7B9E-43B7-B291-9D397BCF3729}" type="sibTrans" cxnId="{16356376-8030-428F-A6AD-9EB71E492435}">
      <dgm:prSet/>
      <dgm:spPr/>
      <dgm:t>
        <a:bodyPr/>
        <a:lstStyle/>
        <a:p>
          <a:endParaRPr lang="en-GB" sz="1000">
            <a:latin typeface="Arial" panose="020B0604020202020204" pitchFamily="34" charset="0"/>
            <a:cs typeface="Arial" panose="020B0604020202020204" pitchFamily="34" charset="0"/>
          </a:endParaRPr>
        </a:p>
      </dgm:t>
    </dgm:pt>
    <dgm:pt modelId="{DA23A61C-2545-4DBF-85C9-9D23566CE311}">
      <dgm:prSet custT="1"/>
      <dgm:spPr/>
      <dgm:t>
        <a:bodyPr/>
        <a:lstStyle/>
        <a:p>
          <a:r>
            <a:rPr lang="en-GB" sz="1000">
              <a:latin typeface="Arial" panose="020B0604020202020204" pitchFamily="34" charset="0"/>
              <a:cs typeface="Arial" panose="020B0604020202020204" pitchFamily="34" charset="0"/>
            </a:rPr>
            <a:t>Alcohol only</a:t>
          </a:r>
        </a:p>
        <a:p>
          <a:r>
            <a:rPr lang="en-GB" sz="1000">
              <a:latin typeface="Arial" panose="020B0604020202020204" pitchFamily="34" charset="0"/>
              <a:cs typeface="Arial" panose="020B0604020202020204" pitchFamily="34" charset="0"/>
            </a:rPr>
            <a:t>(n=3,872)</a:t>
          </a:r>
        </a:p>
      </dgm:t>
    </dgm:pt>
    <dgm:pt modelId="{6CDDFC5B-53D0-4E80-BAC3-CF50DFFDA190}" type="parTrans" cxnId="{5323091A-898C-49ED-848E-163942439030}">
      <dgm:prSet/>
      <dgm:spPr/>
      <dgm:t>
        <a:bodyPr/>
        <a:lstStyle/>
        <a:p>
          <a:endParaRPr lang="en-GB" sz="1000">
            <a:latin typeface="Arial" panose="020B0604020202020204" pitchFamily="34" charset="0"/>
            <a:cs typeface="Arial" panose="020B0604020202020204" pitchFamily="34" charset="0"/>
          </a:endParaRPr>
        </a:p>
      </dgm:t>
    </dgm:pt>
    <dgm:pt modelId="{7161AD2E-F5C4-4A92-9743-694C7B82B165}" type="sibTrans" cxnId="{5323091A-898C-49ED-848E-163942439030}">
      <dgm:prSet/>
      <dgm:spPr/>
      <dgm:t>
        <a:bodyPr/>
        <a:lstStyle/>
        <a:p>
          <a:endParaRPr lang="en-GB" sz="1000">
            <a:latin typeface="Arial" panose="020B0604020202020204" pitchFamily="34" charset="0"/>
            <a:cs typeface="Arial" panose="020B0604020202020204" pitchFamily="34" charset="0"/>
          </a:endParaRPr>
        </a:p>
      </dgm:t>
    </dgm:pt>
    <dgm:pt modelId="{13577321-CAAE-4129-936B-5D488481ACC1}">
      <dgm:prSet custT="1"/>
      <dgm:spPr/>
      <dgm:t>
        <a:bodyPr/>
        <a:lstStyle/>
        <a:p>
          <a:r>
            <a:rPr lang="en-GB" sz="1000">
              <a:latin typeface="Arial" panose="020B0604020202020204" pitchFamily="34" charset="0"/>
              <a:cs typeface="Arial" panose="020B0604020202020204" pitchFamily="34" charset="0"/>
            </a:rPr>
            <a:t>OUs</a:t>
          </a:r>
        </a:p>
        <a:p>
          <a:r>
            <a:rPr lang="en-GB" sz="1000">
              <a:latin typeface="Arial" panose="020B0604020202020204" pitchFamily="34" charset="0"/>
              <a:cs typeface="Arial" panose="020B0604020202020204" pitchFamily="34" charset="0"/>
            </a:rPr>
            <a:t>(n=1,736)</a:t>
          </a:r>
        </a:p>
      </dgm:t>
    </dgm:pt>
    <dgm:pt modelId="{1D764992-25A4-4334-8EB2-9CBF744EAD6C}" type="parTrans" cxnId="{115B07DC-0C9D-4E3E-AC2A-C78D8BBB851B}">
      <dgm:prSet/>
      <dgm:spPr/>
      <dgm:t>
        <a:bodyPr/>
        <a:lstStyle/>
        <a:p>
          <a:endParaRPr lang="en-GB" sz="1000">
            <a:latin typeface="Arial" panose="020B0604020202020204" pitchFamily="34" charset="0"/>
            <a:cs typeface="Arial" panose="020B0604020202020204" pitchFamily="34" charset="0"/>
          </a:endParaRPr>
        </a:p>
      </dgm:t>
    </dgm:pt>
    <dgm:pt modelId="{7C55E22D-67BD-4B17-B1B6-A266667B8501}" type="sibTrans" cxnId="{115B07DC-0C9D-4E3E-AC2A-C78D8BBB851B}">
      <dgm:prSet/>
      <dgm:spPr/>
      <dgm:t>
        <a:bodyPr/>
        <a:lstStyle/>
        <a:p>
          <a:endParaRPr lang="en-GB" sz="1000">
            <a:latin typeface="Arial" panose="020B0604020202020204" pitchFamily="34" charset="0"/>
            <a:cs typeface="Arial" panose="020B0604020202020204" pitchFamily="34" charset="0"/>
          </a:endParaRPr>
        </a:p>
      </dgm:t>
    </dgm:pt>
    <dgm:pt modelId="{5B1CFE35-77F2-4AD8-B62E-6A5BE238AE49}">
      <dgm:prSet custT="1"/>
      <dgm:spPr/>
      <dgm:t>
        <a:bodyPr/>
        <a:lstStyle/>
        <a:p>
          <a:r>
            <a:rPr lang="en-GB" sz="1000">
              <a:latin typeface="Arial" panose="020B0604020202020204" pitchFamily="34" charset="0"/>
              <a:cs typeface="Arial" panose="020B0604020202020204" pitchFamily="34" charset="0"/>
            </a:rPr>
            <a:t>Alcohol only</a:t>
          </a:r>
        </a:p>
        <a:p>
          <a:r>
            <a:rPr lang="en-GB" sz="1000">
              <a:latin typeface="Arial" panose="020B0604020202020204" pitchFamily="34" charset="0"/>
              <a:cs typeface="Arial" panose="020B0604020202020204" pitchFamily="34" charset="0"/>
            </a:rPr>
            <a:t>(n=3,525)</a:t>
          </a:r>
        </a:p>
      </dgm:t>
    </dgm:pt>
    <dgm:pt modelId="{8954122D-525D-4608-B76C-57EBAA9732FF}" type="parTrans" cxnId="{148A8224-7A6F-424A-ACB3-3FB137DF5E80}">
      <dgm:prSet/>
      <dgm:spPr/>
      <dgm:t>
        <a:bodyPr/>
        <a:lstStyle/>
        <a:p>
          <a:endParaRPr lang="en-GB" sz="1000">
            <a:latin typeface="Arial" panose="020B0604020202020204" pitchFamily="34" charset="0"/>
            <a:cs typeface="Arial" panose="020B0604020202020204" pitchFamily="34" charset="0"/>
          </a:endParaRPr>
        </a:p>
      </dgm:t>
    </dgm:pt>
    <dgm:pt modelId="{AA7FFEFB-FD87-4737-9343-EC6C7FAEDD1E}" type="sibTrans" cxnId="{148A8224-7A6F-424A-ACB3-3FB137DF5E80}">
      <dgm:prSet/>
      <dgm:spPr/>
      <dgm:t>
        <a:bodyPr/>
        <a:lstStyle/>
        <a:p>
          <a:endParaRPr lang="en-GB" sz="1000">
            <a:latin typeface="Arial" panose="020B0604020202020204" pitchFamily="34" charset="0"/>
            <a:cs typeface="Arial" panose="020B0604020202020204" pitchFamily="34" charset="0"/>
          </a:endParaRPr>
        </a:p>
      </dgm:t>
    </dgm:pt>
    <dgm:pt modelId="{2C51C8FF-9901-43E7-9841-AFD7C1B2DB4B}">
      <dgm:prSet custT="1"/>
      <dgm:spPr/>
      <dgm:t>
        <a:bodyPr/>
        <a:lstStyle/>
        <a:p>
          <a:r>
            <a:rPr lang="en-GB" sz="1000">
              <a:latin typeface="Arial" panose="020B0604020202020204" pitchFamily="34" charset="0"/>
              <a:cs typeface="Arial" panose="020B0604020202020204" pitchFamily="34" charset="0"/>
            </a:rPr>
            <a:t>OUs</a:t>
          </a:r>
        </a:p>
        <a:p>
          <a:r>
            <a:rPr lang="en-GB" sz="1000">
              <a:latin typeface="Arial" panose="020B0604020202020204" pitchFamily="34" charset="0"/>
              <a:cs typeface="Arial" panose="020B0604020202020204" pitchFamily="34" charset="0"/>
            </a:rPr>
            <a:t>(n=3,609)</a:t>
          </a:r>
        </a:p>
      </dgm:t>
    </dgm:pt>
    <dgm:pt modelId="{F933E6F2-11D4-47AD-A3CB-D04F8BBBC2B6}" type="parTrans" cxnId="{3A0F5DCE-1CD3-44BA-9894-D11C2ADB10D2}">
      <dgm:prSet/>
      <dgm:spPr/>
      <dgm:t>
        <a:bodyPr/>
        <a:lstStyle/>
        <a:p>
          <a:endParaRPr lang="en-GB" sz="1000">
            <a:latin typeface="Arial" panose="020B0604020202020204" pitchFamily="34" charset="0"/>
            <a:cs typeface="Arial" panose="020B0604020202020204" pitchFamily="34" charset="0"/>
          </a:endParaRPr>
        </a:p>
      </dgm:t>
    </dgm:pt>
    <dgm:pt modelId="{018B484A-6B43-4E8F-AB2A-2CCB7B675B9E}" type="sibTrans" cxnId="{3A0F5DCE-1CD3-44BA-9894-D11C2ADB10D2}">
      <dgm:prSet/>
      <dgm:spPr/>
      <dgm:t>
        <a:bodyPr/>
        <a:lstStyle/>
        <a:p>
          <a:endParaRPr lang="en-GB" sz="1000">
            <a:latin typeface="Arial" panose="020B0604020202020204" pitchFamily="34" charset="0"/>
            <a:cs typeface="Arial" panose="020B0604020202020204" pitchFamily="34" charset="0"/>
          </a:endParaRPr>
        </a:p>
      </dgm:t>
    </dgm:pt>
    <dgm:pt modelId="{855D1E5B-9296-4EAE-8343-881755CD8BD8}">
      <dgm:prSet custT="1"/>
      <dgm:spPr/>
      <dgm:t>
        <a:bodyPr/>
        <a:lstStyle/>
        <a:p>
          <a:r>
            <a:rPr lang="en-GB" sz="1000">
              <a:latin typeface="Arial" panose="020B0604020202020204" pitchFamily="34" charset="0"/>
              <a:cs typeface="Arial" panose="020B0604020202020204" pitchFamily="34" charset="0"/>
            </a:rPr>
            <a:t>Non-OUs</a:t>
          </a:r>
        </a:p>
        <a:p>
          <a:r>
            <a:rPr lang="en-GB" sz="1000">
              <a:latin typeface="Arial" panose="020B0604020202020204" pitchFamily="34" charset="0"/>
              <a:cs typeface="Arial" panose="020B0604020202020204" pitchFamily="34" charset="0"/>
            </a:rPr>
            <a:t>(n=1,347)</a:t>
          </a:r>
        </a:p>
      </dgm:t>
    </dgm:pt>
    <dgm:pt modelId="{ECAB780B-0320-478B-BA95-E67AEF6DB03E}" type="parTrans" cxnId="{1A8BD4CD-F190-4498-89F6-8F56026A9E2C}">
      <dgm:prSet/>
      <dgm:spPr/>
      <dgm:t>
        <a:bodyPr/>
        <a:lstStyle/>
        <a:p>
          <a:endParaRPr lang="en-GB" sz="1000">
            <a:latin typeface="Arial" panose="020B0604020202020204" pitchFamily="34" charset="0"/>
            <a:cs typeface="Arial" panose="020B0604020202020204" pitchFamily="34" charset="0"/>
          </a:endParaRPr>
        </a:p>
      </dgm:t>
    </dgm:pt>
    <dgm:pt modelId="{FD441DE2-1456-4EEA-A1E4-9015F10B256F}" type="sibTrans" cxnId="{1A8BD4CD-F190-4498-89F6-8F56026A9E2C}">
      <dgm:prSet/>
      <dgm:spPr/>
      <dgm:t>
        <a:bodyPr/>
        <a:lstStyle/>
        <a:p>
          <a:endParaRPr lang="en-GB" sz="1000">
            <a:latin typeface="Arial" panose="020B0604020202020204" pitchFamily="34" charset="0"/>
            <a:cs typeface="Arial" panose="020B0604020202020204" pitchFamily="34" charset="0"/>
          </a:endParaRPr>
        </a:p>
      </dgm:t>
    </dgm:pt>
    <dgm:pt modelId="{F226CC95-FD25-4EBC-8C65-28F81CC28EC0}">
      <dgm:prSet custT="1"/>
      <dgm:spPr/>
      <dgm:t>
        <a:bodyPr/>
        <a:lstStyle/>
        <a:p>
          <a:r>
            <a:rPr lang="en-GB" sz="1000">
              <a:latin typeface="Arial" panose="020B0604020202020204" pitchFamily="34" charset="0"/>
              <a:cs typeface="Arial" panose="020B0604020202020204" pitchFamily="34" charset="0"/>
            </a:rPr>
            <a:t>Alcohol only</a:t>
          </a:r>
        </a:p>
        <a:p>
          <a:r>
            <a:rPr lang="en-GB" sz="1000">
              <a:latin typeface="Arial" panose="020B0604020202020204" pitchFamily="34" charset="0"/>
              <a:cs typeface="Arial" panose="020B0604020202020204" pitchFamily="34" charset="0"/>
            </a:rPr>
            <a:t>(n=3,585)</a:t>
          </a:r>
        </a:p>
      </dgm:t>
    </dgm:pt>
    <dgm:pt modelId="{10850C7C-D00A-4406-AC96-BE6D5E5093AA}" type="parTrans" cxnId="{AE943AF9-C147-41A1-AE63-BFD60CC0C11F}">
      <dgm:prSet/>
      <dgm:spPr/>
      <dgm:t>
        <a:bodyPr/>
        <a:lstStyle/>
        <a:p>
          <a:endParaRPr lang="en-GB" sz="1000">
            <a:latin typeface="Arial" panose="020B0604020202020204" pitchFamily="34" charset="0"/>
            <a:cs typeface="Arial" panose="020B0604020202020204" pitchFamily="34" charset="0"/>
          </a:endParaRPr>
        </a:p>
      </dgm:t>
    </dgm:pt>
    <dgm:pt modelId="{E39A81D9-5DF4-4F2D-8E65-4FA1F42A3ABC}" type="sibTrans" cxnId="{AE943AF9-C147-41A1-AE63-BFD60CC0C11F}">
      <dgm:prSet/>
      <dgm:spPr/>
      <dgm:t>
        <a:bodyPr/>
        <a:lstStyle/>
        <a:p>
          <a:endParaRPr lang="en-GB" sz="1000">
            <a:latin typeface="Arial" panose="020B0604020202020204" pitchFamily="34" charset="0"/>
            <a:cs typeface="Arial" panose="020B0604020202020204" pitchFamily="34" charset="0"/>
          </a:endParaRPr>
        </a:p>
      </dgm:t>
    </dgm:pt>
    <dgm:pt modelId="{B3A30BCF-EEBD-48A3-97D2-5548BF2649BC}">
      <dgm:prSet custT="1"/>
      <dgm:spPr/>
      <dgm:t>
        <a:bodyPr/>
        <a:lstStyle/>
        <a:p>
          <a:r>
            <a:rPr lang="en-GB" sz="1000">
              <a:latin typeface="Arial" panose="020B0604020202020204" pitchFamily="34" charset="0"/>
              <a:cs typeface="Arial" panose="020B0604020202020204" pitchFamily="34" charset="0"/>
            </a:rPr>
            <a:t>OUs</a:t>
          </a:r>
        </a:p>
        <a:p>
          <a:r>
            <a:rPr lang="en-GB" sz="1000">
              <a:latin typeface="Arial" panose="020B0604020202020204" pitchFamily="34" charset="0"/>
              <a:cs typeface="Arial" panose="020B0604020202020204" pitchFamily="34" charset="0"/>
            </a:rPr>
            <a:t>(n=10,608)</a:t>
          </a:r>
        </a:p>
      </dgm:t>
    </dgm:pt>
    <dgm:pt modelId="{D990DF9C-FFEC-4C96-9837-CE4D555B89E5}" type="parTrans" cxnId="{A8287E96-C918-43F0-93F6-F0CE41638D23}">
      <dgm:prSet/>
      <dgm:spPr/>
      <dgm:t>
        <a:bodyPr/>
        <a:lstStyle/>
        <a:p>
          <a:endParaRPr lang="en-GB" sz="1000">
            <a:latin typeface="Arial" panose="020B0604020202020204" pitchFamily="34" charset="0"/>
            <a:cs typeface="Arial" panose="020B0604020202020204" pitchFamily="34" charset="0"/>
          </a:endParaRPr>
        </a:p>
      </dgm:t>
    </dgm:pt>
    <dgm:pt modelId="{D143F330-B953-4606-A27B-D75753B1919B}" type="sibTrans" cxnId="{A8287E96-C918-43F0-93F6-F0CE41638D23}">
      <dgm:prSet/>
      <dgm:spPr/>
      <dgm:t>
        <a:bodyPr/>
        <a:lstStyle/>
        <a:p>
          <a:endParaRPr lang="en-GB" sz="1000">
            <a:latin typeface="Arial" panose="020B0604020202020204" pitchFamily="34" charset="0"/>
            <a:cs typeface="Arial" panose="020B0604020202020204" pitchFamily="34" charset="0"/>
          </a:endParaRPr>
        </a:p>
      </dgm:t>
    </dgm:pt>
    <dgm:pt modelId="{D904A4A8-A52A-434E-9CB9-B1CD87AD69D1}">
      <dgm:prSet custT="1"/>
      <dgm:spPr/>
      <dgm:t>
        <a:bodyPr/>
        <a:lstStyle/>
        <a:p>
          <a:r>
            <a:rPr lang="en-GB" sz="1000">
              <a:latin typeface="Arial" panose="020B0604020202020204" pitchFamily="34" charset="0"/>
              <a:cs typeface="Arial" panose="020B0604020202020204" pitchFamily="34" charset="0"/>
            </a:rPr>
            <a:t>Non-OUs</a:t>
          </a:r>
        </a:p>
        <a:p>
          <a:r>
            <a:rPr lang="en-GB" sz="1000">
              <a:latin typeface="Arial" panose="020B0604020202020204" pitchFamily="34" charset="0"/>
              <a:cs typeface="Arial" panose="020B0604020202020204" pitchFamily="34" charset="0"/>
            </a:rPr>
            <a:t>(n=6,527)</a:t>
          </a:r>
        </a:p>
      </dgm:t>
    </dgm:pt>
    <dgm:pt modelId="{13C7D31C-FE17-4F8E-BE11-4FC1CAF2FB4A}" type="parTrans" cxnId="{03C94D7E-CFBA-403F-9246-3F1FA9611DF4}">
      <dgm:prSet/>
      <dgm:spPr/>
      <dgm:t>
        <a:bodyPr/>
        <a:lstStyle/>
        <a:p>
          <a:endParaRPr lang="en-GB" sz="1000">
            <a:latin typeface="Arial" panose="020B0604020202020204" pitchFamily="34" charset="0"/>
            <a:cs typeface="Arial" panose="020B0604020202020204" pitchFamily="34" charset="0"/>
          </a:endParaRPr>
        </a:p>
      </dgm:t>
    </dgm:pt>
    <dgm:pt modelId="{06D19B95-D16D-4405-A9FD-DA200797C2FA}" type="sibTrans" cxnId="{03C94D7E-CFBA-403F-9246-3F1FA9611DF4}">
      <dgm:prSet/>
      <dgm:spPr/>
      <dgm:t>
        <a:bodyPr/>
        <a:lstStyle/>
        <a:p>
          <a:endParaRPr lang="en-GB" sz="1000">
            <a:latin typeface="Arial" panose="020B0604020202020204" pitchFamily="34" charset="0"/>
            <a:cs typeface="Arial" panose="020B0604020202020204" pitchFamily="34" charset="0"/>
          </a:endParaRPr>
        </a:p>
      </dgm:t>
    </dgm:pt>
    <dgm:pt modelId="{54664A91-EC84-4935-81A0-E5B7295BC4BA}">
      <dgm:prSet custT="1"/>
      <dgm:spPr/>
      <dgm:t>
        <a:bodyPr/>
        <a:lstStyle/>
        <a:p>
          <a:r>
            <a:rPr lang="en-GB" sz="1000">
              <a:latin typeface="Arial" panose="020B0604020202020204" pitchFamily="34" charset="0"/>
              <a:cs typeface="Arial" panose="020B0604020202020204" pitchFamily="34" charset="0"/>
            </a:rPr>
            <a:t>Alcohol only</a:t>
          </a:r>
        </a:p>
        <a:p>
          <a:r>
            <a:rPr lang="en-GB" sz="1000">
              <a:latin typeface="Arial" panose="020B0604020202020204" pitchFamily="34" charset="0"/>
              <a:cs typeface="Arial" panose="020B0604020202020204" pitchFamily="34" charset="0"/>
            </a:rPr>
            <a:t>(n=8,018)</a:t>
          </a:r>
        </a:p>
      </dgm:t>
    </dgm:pt>
    <dgm:pt modelId="{2340DFB4-3EF6-4AE4-B78E-64FC45AAEFF4}" type="parTrans" cxnId="{DA7D1F67-63FE-4CB3-B6A5-57C6854C971C}">
      <dgm:prSet/>
      <dgm:spPr/>
      <dgm:t>
        <a:bodyPr/>
        <a:lstStyle/>
        <a:p>
          <a:endParaRPr lang="en-GB" sz="1000">
            <a:latin typeface="Arial" panose="020B0604020202020204" pitchFamily="34" charset="0"/>
            <a:cs typeface="Arial" panose="020B0604020202020204" pitchFamily="34" charset="0"/>
          </a:endParaRPr>
        </a:p>
      </dgm:t>
    </dgm:pt>
    <dgm:pt modelId="{BA1127C5-FF6D-40E3-92A8-24FB12BBD842}" type="sibTrans" cxnId="{DA7D1F67-63FE-4CB3-B6A5-57C6854C971C}">
      <dgm:prSet/>
      <dgm:spPr/>
      <dgm:t>
        <a:bodyPr/>
        <a:lstStyle/>
        <a:p>
          <a:endParaRPr lang="en-GB" sz="1000">
            <a:latin typeface="Arial" panose="020B0604020202020204" pitchFamily="34" charset="0"/>
            <a:cs typeface="Arial" panose="020B0604020202020204" pitchFamily="34" charset="0"/>
          </a:endParaRPr>
        </a:p>
      </dgm:t>
    </dgm:pt>
    <dgm:pt modelId="{67B252A3-A149-46A6-9324-488FE7106C11}">
      <dgm:prSet custT="1"/>
      <dgm:spPr/>
      <dgm:t>
        <a:bodyPr/>
        <a:lstStyle/>
        <a:p>
          <a:r>
            <a:rPr lang="en-GB" sz="1000">
              <a:latin typeface="Arial" panose="020B0604020202020204" pitchFamily="34" charset="0"/>
              <a:cs typeface="Arial" panose="020B0604020202020204" pitchFamily="34" charset="0"/>
            </a:rPr>
            <a:t>Non-OUs</a:t>
          </a:r>
        </a:p>
        <a:p>
          <a:r>
            <a:rPr lang="en-GB" sz="1000">
              <a:latin typeface="Arial" panose="020B0604020202020204" pitchFamily="34" charset="0"/>
              <a:cs typeface="Arial" panose="020B0604020202020204" pitchFamily="34" charset="0"/>
            </a:rPr>
            <a:t>(n=2,626)</a:t>
          </a:r>
        </a:p>
      </dgm:t>
    </dgm:pt>
    <dgm:pt modelId="{EAA93D8B-C9BB-41B4-B0A8-7E39E77E4447}" type="parTrans" cxnId="{CA8F5C43-0976-490A-A8B4-D754431DCE8E}">
      <dgm:prSet/>
      <dgm:spPr/>
      <dgm:t>
        <a:bodyPr/>
        <a:lstStyle/>
        <a:p>
          <a:endParaRPr lang="en-GB">
            <a:latin typeface="Arial" panose="020B0604020202020204" pitchFamily="34" charset="0"/>
            <a:cs typeface="Arial" panose="020B0604020202020204" pitchFamily="34" charset="0"/>
          </a:endParaRPr>
        </a:p>
      </dgm:t>
    </dgm:pt>
    <dgm:pt modelId="{C16339DC-1839-4808-BF62-87A0EDBB5B7B}" type="sibTrans" cxnId="{CA8F5C43-0976-490A-A8B4-D754431DCE8E}">
      <dgm:prSet/>
      <dgm:spPr/>
      <dgm:t>
        <a:bodyPr/>
        <a:lstStyle/>
        <a:p>
          <a:endParaRPr lang="en-GB">
            <a:latin typeface="Arial" panose="020B0604020202020204" pitchFamily="34" charset="0"/>
            <a:cs typeface="Arial" panose="020B0604020202020204" pitchFamily="34" charset="0"/>
          </a:endParaRPr>
        </a:p>
      </dgm:t>
    </dgm:pt>
    <dgm:pt modelId="{13058F2D-09B0-4690-888C-A5CCCE2380DE}" type="pres">
      <dgm:prSet presAssocID="{FD8F31BE-621A-43D7-9D27-ABE74E82CE85}" presName="hierChild1" presStyleCnt="0">
        <dgm:presLayoutVars>
          <dgm:orgChart val="1"/>
          <dgm:chPref val="1"/>
          <dgm:dir/>
          <dgm:animOne val="branch"/>
          <dgm:animLvl val="lvl"/>
          <dgm:resizeHandles/>
        </dgm:presLayoutVars>
      </dgm:prSet>
      <dgm:spPr/>
    </dgm:pt>
    <dgm:pt modelId="{BDC7728D-98AB-4329-A51D-AD6DAB5133B8}" type="pres">
      <dgm:prSet presAssocID="{B7066AE4-0558-4D08-8F44-60D4E2A9827C}" presName="hierRoot1" presStyleCnt="0">
        <dgm:presLayoutVars>
          <dgm:hierBranch val="init"/>
        </dgm:presLayoutVars>
      </dgm:prSet>
      <dgm:spPr/>
    </dgm:pt>
    <dgm:pt modelId="{D14DD66F-36F7-4ACD-B6E1-8294316CE96C}" type="pres">
      <dgm:prSet presAssocID="{B7066AE4-0558-4D08-8F44-60D4E2A9827C}" presName="rootComposite1" presStyleCnt="0"/>
      <dgm:spPr/>
    </dgm:pt>
    <dgm:pt modelId="{93E9B00D-4767-4A2C-9C94-6932CB151CBB}" type="pres">
      <dgm:prSet presAssocID="{B7066AE4-0558-4D08-8F44-60D4E2A9827C}" presName="rootText1" presStyleLbl="node0" presStyleIdx="0" presStyleCnt="1" custScaleX="195228">
        <dgm:presLayoutVars>
          <dgm:chPref val="3"/>
        </dgm:presLayoutVars>
      </dgm:prSet>
      <dgm:spPr/>
    </dgm:pt>
    <dgm:pt modelId="{618912E5-060A-4BC5-809B-3C29CE1429DD}" type="pres">
      <dgm:prSet presAssocID="{B7066AE4-0558-4D08-8F44-60D4E2A9827C}" presName="rootConnector1" presStyleLbl="node1" presStyleIdx="0" presStyleCnt="0"/>
      <dgm:spPr/>
    </dgm:pt>
    <dgm:pt modelId="{1C8057A3-F851-4E6B-A639-DAB61254C573}" type="pres">
      <dgm:prSet presAssocID="{B7066AE4-0558-4D08-8F44-60D4E2A9827C}" presName="hierChild2" presStyleCnt="0"/>
      <dgm:spPr/>
    </dgm:pt>
    <dgm:pt modelId="{E1931599-E0AC-45FD-907F-BEDBF9473B9E}" type="pres">
      <dgm:prSet presAssocID="{FE3C781F-63B5-4F29-A4F7-F41A66B1EEE3}" presName="Name37" presStyleLbl="parChTrans1D2" presStyleIdx="0" presStyleCnt="2"/>
      <dgm:spPr/>
    </dgm:pt>
    <dgm:pt modelId="{3B20DD31-089A-4988-B75E-075066A07206}" type="pres">
      <dgm:prSet presAssocID="{6A59E961-95D7-4148-953F-100C981257AD}" presName="hierRoot2" presStyleCnt="0">
        <dgm:presLayoutVars>
          <dgm:hierBranch val="init"/>
        </dgm:presLayoutVars>
      </dgm:prSet>
      <dgm:spPr/>
    </dgm:pt>
    <dgm:pt modelId="{04018FE8-255C-4131-AB78-039287E1F4E6}" type="pres">
      <dgm:prSet presAssocID="{6A59E961-95D7-4148-953F-100C981257AD}" presName="rootComposite" presStyleCnt="0"/>
      <dgm:spPr/>
    </dgm:pt>
    <dgm:pt modelId="{3BA5BEB3-526A-4DD7-814A-600AE17D345D}" type="pres">
      <dgm:prSet presAssocID="{6A59E961-95D7-4148-953F-100C981257AD}" presName="rootText" presStyleLbl="node2" presStyleIdx="0" presStyleCnt="2">
        <dgm:presLayoutVars>
          <dgm:chPref val="3"/>
        </dgm:presLayoutVars>
      </dgm:prSet>
      <dgm:spPr/>
    </dgm:pt>
    <dgm:pt modelId="{28EB22C9-F883-4E67-A9FC-8DDAEC56FFBE}" type="pres">
      <dgm:prSet presAssocID="{6A59E961-95D7-4148-953F-100C981257AD}" presName="rootConnector" presStyleLbl="node2" presStyleIdx="0" presStyleCnt="2"/>
      <dgm:spPr/>
    </dgm:pt>
    <dgm:pt modelId="{1A49E759-F967-4D80-8242-304EDAD33641}" type="pres">
      <dgm:prSet presAssocID="{6A59E961-95D7-4148-953F-100C981257AD}" presName="hierChild4" presStyleCnt="0"/>
      <dgm:spPr/>
    </dgm:pt>
    <dgm:pt modelId="{2AD82BA3-349F-4F96-9C9D-E2DAC87CA349}" type="pres">
      <dgm:prSet presAssocID="{095F1C08-25F1-461B-A2C0-9C81F2FD36BA}" presName="Name37" presStyleLbl="parChTrans1D3" presStyleIdx="0" presStyleCnt="4"/>
      <dgm:spPr/>
    </dgm:pt>
    <dgm:pt modelId="{6A82D0E9-0F75-4F66-9A81-0A8433E8FD00}" type="pres">
      <dgm:prSet presAssocID="{CA74FF67-B93D-43F8-8629-1DA4B0CCCE9A}" presName="hierRoot2" presStyleCnt="0">
        <dgm:presLayoutVars>
          <dgm:hierBranch val="init"/>
        </dgm:presLayoutVars>
      </dgm:prSet>
      <dgm:spPr/>
    </dgm:pt>
    <dgm:pt modelId="{590FB91A-0BF9-4C2F-B169-C2E7A0971F8A}" type="pres">
      <dgm:prSet presAssocID="{CA74FF67-B93D-43F8-8629-1DA4B0CCCE9A}" presName="rootComposite" presStyleCnt="0"/>
      <dgm:spPr/>
    </dgm:pt>
    <dgm:pt modelId="{224F1475-BD95-4750-8850-2A573C3930E4}" type="pres">
      <dgm:prSet presAssocID="{CA74FF67-B93D-43F8-8629-1DA4B0CCCE9A}" presName="rootText" presStyleLbl="node3" presStyleIdx="0" presStyleCnt="4">
        <dgm:presLayoutVars>
          <dgm:chPref val="3"/>
        </dgm:presLayoutVars>
      </dgm:prSet>
      <dgm:spPr/>
    </dgm:pt>
    <dgm:pt modelId="{D3BCC275-DB90-4AF1-B574-24EF660E0E96}" type="pres">
      <dgm:prSet presAssocID="{CA74FF67-B93D-43F8-8629-1DA4B0CCCE9A}" presName="rootConnector" presStyleLbl="node3" presStyleIdx="0" presStyleCnt="4"/>
      <dgm:spPr/>
    </dgm:pt>
    <dgm:pt modelId="{EAB2876E-12FD-41F6-A558-84498290735D}" type="pres">
      <dgm:prSet presAssocID="{CA74FF67-B93D-43F8-8629-1DA4B0CCCE9A}" presName="hierChild4" presStyleCnt="0"/>
      <dgm:spPr/>
    </dgm:pt>
    <dgm:pt modelId="{FBF79D27-FB89-4CA2-B7B3-FDA4D830AC07}" type="pres">
      <dgm:prSet presAssocID="{3F1BDFFE-B50E-4EA0-8EFC-1AD33C4376E4}" presName="Name37" presStyleLbl="parChTrans1D4" presStyleIdx="0" presStyleCnt="12"/>
      <dgm:spPr/>
    </dgm:pt>
    <dgm:pt modelId="{EF35EE97-58C5-4C35-8F57-3CEDCDA77105}" type="pres">
      <dgm:prSet presAssocID="{48CFFD06-BD0A-4762-9F27-DBCF337B781B}" presName="hierRoot2" presStyleCnt="0">
        <dgm:presLayoutVars>
          <dgm:hierBranch val="init"/>
        </dgm:presLayoutVars>
      </dgm:prSet>
      <dgm:spPr/>
    </dgm:pt>
    <dgm:pt modelId="{5C81D6D6-FDC6-4007-BF6D-F486DAB2F64B}" type="pres">
      <dgm:prSet presAssocID="{48CFFD06-BD0A-4762-9F27-DBCF337B781B}" presName="rootComposite" presStyleCnt="0"/>
      <dgm:spPr/>
    </dgm:pt>
    <dgm:pt modelId="{8E08C326-D8DC-4980-A876-C3AB46095263}" type="pres">
      <dgm:prSet presAssocID="{48CFFD06-BD0A-4762-9F27-DBCF337B781B}" presName="rootText" presStyleLbl="node4" presStyleIdx="0" presStyleCnt="12">
        <dgm:presLayoutVars>
          <dgm:chPref val="3"/>
        </dgm:presLayoutVars>
      </dgm:prSet>
      <dgm:spPr/>
    </dgm:pt>
    <dgm:pt modelId="{53CFA682-8584-445A-BF6B-9FDCFB6F794F}" type="pres">
      <dgm:prSet presAssocID="{48CFFD06-BD0A-4762-9F27-DBCF337B781B}" presName="rootConnector" presStyleLbl="node4" presStyleIdx="0" presStyleCnt="12"/>
      <dgm:spPr/>
    </dgm:pt>
    <dgm:pt modelId="{90E01B48-CC7A-48D6-9747-58BBF2B3BFE7}" type="pres">
      <dgm:prSet presAssocID="{48CFFD06-BD0A-4762-9F27-DBCF337B781B}" presName="hierChild4" presStyleCnt="0"/>
      <dgm:spPr/>
    </dgm:pt>
    <dgm:pt modelId="{BEF2B4C6-418C-41E7-921B-363CCAEF1A74}" type="pres">
      <dgm:prSet presAssocID="{48CFFD06-BD0A-4762-9F27-DBCF337B781B}" presName="hierChild5" presStyleCnt="0"/>
      <dgm:spPr/>
    </dgm:pt>
    <dgm:pt modelId="{4B59FA50-F8A6-42C2-AC1E-6ED95BA27309}" type="pres">
      <dgm:prSet presAssocID="{FAFBF896-B700-4C76-8869-A4A9EFD00D56}" presName="Name37" presStyleLbl="parChTrans1D4" presStyleIdx="1" presStyleCnt="12"/>
      <dgm:spPr/>
    </dgm:pt>
    <dgm:pt modelId="{478CEBDD-369D-4E16-B47F-12DBC4E82AEC}" type="pres">
      <dgm:prSet presAssocID="{24D9856E-EB5D-46E2-961D-DA0EEFF06E3B}" presName="hierRoot2" presStyleCnt="0">
        <dgm:presLayoutVars>
          <dgm:hierBranch val="init"/>
        </dgm:presLayoutVars>
      </dgm:prSet>
      <dgm:spPr/>
    </dgm:pt>
    <dgm:pt modelId="{7C18BF91-9B26-4D01-BD6F-CD1466240E56}" type="pres">
      <dgm:prSet presAssocID="{24D9856E-EB5D-46E2-961D-DA0EEFF06E3B}" presName="rootComposite" presStyleCnt="0"/>
      <dgm:spPr/>
    </dgm:pt>
    <dgm:pt modelId="{79FED076-6817-42B9-8729-FB0B83922145}" type="pres">
      <dgm:prSet presAssocID="{24D9856E-EB5D-46E2-961D-DA0EEFF06E3B}" presName="rootText" presStyleLbl="node4" presStyleIdx="1" presStyleCnt="12">
        <dgm:presLayoutVars>
          <dgm:chPref val="3"/>
        </dgm:presLayoutVars>
      </dgm:prSet>
      <dgm:spPr/>
    </dgm:pt>
    <dgm:pt modelId="{556F94D4-18EF-424B-9F83-3C8924DF474D}" type="pres">
      <dgm:prSet presAssocID="{24D9856E-EB5D-46E2-961D-DA0EEFF06E3B}" presName="rootConnector" presStyleLbl="node4" presStyleIdx="1" presStyleCnt="12"/>
      <dgm:spPr/>
    </dgm:pt>
    <dgm:pt modelId="{846DC8E0-D9C9-4F0F-AC07-D12039E4CA1B}" type="pres">
      <dgm:prSet presAssocID="{24D9856E-EB5D-46E2-961D-DA0EEFF06E3B}" presName="hierChild4" presStyleCnt="0"/>
      <dgm:spPr/>
    </dgm:pt>
    <dgm:pt modelId="{6860D188-A783-4791-B97C-D133DC3F35D1}" type="pres">
      <dgm:prSet presAssocID="{24D9856E-EB5D-46E2-961D-DA0EEFF06E3B}" presName="hierChild5" presStyleCnt="0"/>
      <dgm:spPr/>
    </dgm:pt>
    <dgm:pt modelId="{DC1A4D81-B3F0-4911-B373-8ECDC92BCC33}" type="pres">
      <dgm:prSet presAssocID="{6CDDFC5B-53D0-4E80-BAC3-CF50DFFDA190}" presName="Name37" presStyleLbl="parChTrans1D4" presStyleIdx="2" presStyleCnt="12"/>
      <dgm:spPr/>
    </dgm:pt>
    <dgm:pt modelId="{A8003868-7685-499A-9B88-69B049AB1467}" type="pres">
      <dgm:prSet presAssocID="{DA23A61C-2545-4DBF-85C9-9D23566CE311}" presName="hierRoot2" presStyleCnt="0">
        <dgm:presLayoutVars>
          <dgm:hierBranch val="init"/>
        </dgm:presLayoutVars>
      </dgm:prSet>
      <dgm:spPr/>
    </dgm:pt>
    <dgm:pt modelId="{0DDC3DA0-0645-430E-98D3-9B18A1728F4A}" type="pres">
      <dgm:prSet presAssocID="{DA23A61C-2545-4DBF-85C9-9D23566CE311}" presName="rootComposite" presStyleCnt="0"/>
      <dgm:spPr/>
    </dgm:pt>
    <dgm:pt modelId="{FE30A760-6930-4324-9383-4652061B8625}" type="pres">
      <dgm:prSet presAssocID="{DA23A61C-2545-4DBF-85C9-9D23566CE311}" presName="rootText" presStyleLbl="node4" presStyleIdx="2" presStyleCnt="12">
        <dgm:presLayoutVars>
          <dgm:chPref val="3"/>
        </dgm:presLayoutVars>
      </dgm:prSet>
      <dgm:spPr/>
    </dgm:pt>
    <dgm:pt modelId="{34DA6619-D447-4776-8A9D-41EC9F3B43F6}" type="pres">
      <dgm:prSet presAssocID="{DA23A61C-2545-4DBF-85C9-9D23566CE311}" presName="rootConnector" presStyleLbl="node4" presStyleIdx="2" presStyleCnt="12"/>
      <dgm:spPr/>
    </dgm:pt>
    <dgm:pt modelId="{CD021F11-B0C4-44D7-A8EA-2CD9BAFAFB54}" type="pres">
      <dgm:prSet presAssocID="{DA23A61C-2545-4DBF-85C9-9D23566CE311}" presName="hierChild4" presStyleCnt="0"/>
      <dgm:spPr/>
    </dgm:pt>
    <dgm:pt modelId="{B904AA55-FE5F-4539-B13B-5C1C25F37ECF}" type="pres">
      <dgm:prSet presAssocID="{DA23A61C-2545-4DBF-85C9-9D23566CE311}" presName="hierChild5" presStyleCnt="0"/>
      <dgm:spPr/>
    </dgm:pt>
    <dgm:pt modelId="{801F8D1C-5347-4CE9-BCBC-633F7D7199DF}" type="pres">
      <dgm:prSet presAssocID="{CA74FF67-B93D-43F8-8629-1DA4B0CCCE9A}" presName="hierChild5" presStyleCnt="0"/>
      <dgm:spPr/>
    </dgm:pt>
    <dgm:pt modelId="{E5AFC083-BCF8-480F-B757-C0A2903F35B9}" type="pres">
      <dgm:prSet presAssocID="{735C0871-3635-4A1A-B614-A3B7F6F994DB}" presName="Name37" presStyleLbl="parChTrans1D3" presStyleIdx="1" presStyleCnt="4"/>
      <dgm:spPr/>
    </dgm:pt>
    <dgm:pt modelId="{1FD15002-7EAF-4B27-A23A-A25054CD379C}" type="pres">
      <dgm:prSet presAssocID="{B19B56C3-61F5-47AF-B508-6E649DF9D214}" presName="hierRoot2" presStyleCnt="0">
        <dgm:presLayoutVars>
          <dgm:hierBranch val="init"/>
        </dgm:presLayoutVars>
      </dgm:prSet>
      <dgm:spPr/>
    </dgm:pt>
    <dgm:pt modelId="{E85786AD-E057-459F-AB6A-5AD3EFBD5C72}" type="pres">
      <dgm:prSet presAssocID="{B19B56C3-61F5-47AF-B508-6E649DF9D214}" presName="rootComposite" presStyleCnt="0"/>
      <dgm:spPr/>
    </dgm:pt>
    <dgm:pt modelId="{A05AFE4B-6817-40BD-A5CB-6635CE2F523D}" type="pres">
      <dgm:prSet presAssocID="{B19B56C3-61F5-47AF-B508-6E649DF9D214}" presName="rootText" presStyleLbl="node3" presStyleIdx="1" presStyleCnt="4">
        <dgm:presLayoutVars>
          <dgm:chPref val="3"/>
        </dgm:presLayoutVars>
      </dgm:prSet>
      <dgm:spPr/>
    </dgm:pt>
    <dgm:pt modelId="{540A3357-E396-47EA-9431-B3424B4F868A}" type="pres">
      <dgm:prSet presAssocID="{B19B56C3-61F5-47AF-B508-6E649DF9D214}" presName="rootConnector" presStyleLbl="node3" presStyleIdx="1" presStyleCnt="4"/>
      <dgm:spPr/>
    </dgm:pt>
    <dgm:pt modelId="{B63D8EE2-3097-4226-96C1-CE2E8A116CE6}" type="pres">
      <dgm:prSet presAssocID="{B19B56C3-61F5-47AF-B508-6E649DF9D214}" presName="hierChild4" presStyleCnt="0"/>
      <dgm:spPr/>
    </dgm:pt>
    <dgm:pt modelId="{FD650382-6235-44C4-AFDC-13B7D5A2F7D2}" type="pres">
      <dgm:prSet presAssocID="{1D764992-25A4-4334-8EB2-9CBF744EAD6C}" presName="Name37" presStyleLbl="parChTrans1D4" presStyleIdx="3" presStyleCnt="12"/>
      <dgm:spPr/>
    </dgm:pt>
    <dgm:pt modelId="{63312E14-CA10-45A4-B8D7-C17556C4A9D5}" type="pres">
      <dgm:prSet presAssocID="{13577321-CAAE-4129-936B-5D488481ACC1}" presName="hierRoot2" presStyleCnt="0">
        <dgm:presLayoutVars>
          <dgm:hierBranch val="init"/>
        </dgm:presLayoutVars>
      </dgm:prSet>
      <dgm:spPr/>
    </dgm:pt>
    <dgm:pt modelId="{6FC9A80D-3E6E-4D55-8A31-09CEA26DABFA}" type="pres">
      <dgm:prSet presAssocID="{13577321-CAAE-4129-936B-5D488481ACC1}" presName="rootComposite" presStyleCnt="0"/>
      <dgm:spPr/>
    </dgm:pt>
    <dgm:pt modelId="{D5071D38-C833-4BE0-A908-01652DC46906}" type="pres">
      <dgm:prSet presAssocID="{13577321-CAAE-4129-936B-5D488481ACC1}" presName="rootText" presStyleLbl="node4" presStyleIdx="3" presStyleCnt="12">
        <dgm:presLayoutVars>
          <dgm:chPref val="3"/>
        </dgm:presLayoutVars>
      </dgm:prSet>
      <dgm:spPr/>
    </dgm:pt>
    <dgm:pt modelId="{CE448795-BE47-459F-A538-3160AB63BB43}" type="pres">
      <dgm:prSet presAssocID="{13577321-CAAE-4129-936B-5D488481ACC1}" presName="rootConnector" presStyleLbl="node4" presStyleIdx="3" presStyleCnt="12"/>
      <dgm:spPr/>
    </dgm:pt>
    <dgm:pt modelId="{88A2C421-B3DF-435F-B6CE-60AE9788F4AF}" type="pres">
      <dgm:prSet presAssocID="{13577321-CAAE-4129-936B-5D488481ACC1}" presName="hierChild4" presStyleCnt="0"/>
      <dgm:spPr/>
    </dgm:pt>
    <dgm:pt modelId="{12756C8E-B856-41B2-BB81-E25C71502A35}" type="pres">
      <dgm:prSet presAssocID="{13577321-CAAE-4129-936B-5D488481ACC1}" presName="hierChild5" presStyleCnt="0"/>
      <dgm:spPr/>
    </dgm:pt>
    <dgm:pt modelId="{1C41F492-2990-4BE4-9314-EB48BD65514D}" type="pres">
      <dgm:prSet presAssocID="{EAA93D8B-C9BB-41B4-B0A8-7E39E77E4447}" presName="Name37" presStyleLbl="parChTrans1D4" presStyleIdx="4" presStyleCnt="12"/>
      <dgm:spPr/>
    </dgm:pt>
    <dgm:pt modelId="{096F7EC8-C31A-41C1-B6C2-A454881F621C}" type="pres">
      <dgm:prSet presAssocID="{67B252A3-A149-46A6-9324-488FE7106C11}" presName="hierRoot2" presStyleCnt="0">
        <dgm:presLayoutVars>
          <dgm:hierBranch val="init"/>
        </dgm:presLayoutVars>
      </dgm:prSet>
      <dgm:spPr/>
    </dgm:pt>
    <dgm:pt modelId="{1BE4FAAC-2982-481D-A140-4C683C737802}" type="pres">
      <dgm:prSet presAssocID="{67B252A3-A149-46A6-9324-488FE7106C11}" presName="rootComposite" presStyleCnt="0"/>
      <dgm:spPr/>
    </dgm:pt>
    <dgm:pt modelId="{3A863F37-C3AC-4458-8574-3AD003DD6F56}" type="pres">
      <dgm:prSet presAssocID="{67B252A3-A149-46A6-9324-488FE7106C11}" presName="rootText" presStyleLbl="node4" presStyleIdx="4" presStyleCnt="12">
        <dgm:presLayoutVars>
          <dgm:chPref val="3"/>
        </dgm:presLayoutVars>
      </dgm:prSet>
      <dgm:spPr/>
    </dgm:pt>
    <dgm:pt modelId="{30871230-B08E-4EBC-B074-6F43AA5D5AF4}" type="pres">
      <dgm:prSet presAssocID="{67B252A3-A149-46A6-9324-488FE7106C11}" presName="rootConnector" presStyleLbl="node4" presStyleIdx="4" presStyleCnt="12"/>
      <dgm:spPr/>
    </dgm:pt>
    <dgm:pt modelId="{7986CAFF-483B-4DBE-8C03-9B5D1A12525C}" type="pres">
      <dgm:prSet presAssocID="{67B252A3-A149-46A6-9324-488FE7106C11}" presName="hierChild4" presStyleCnt="0"/>
      <dgm:spPr/>
    </dgm:pt>
    <dgm:pt modelId="{920B338D-90F0-4681-9789-A1EBBEDC209A}" type="pres">
      <dgm:prSet presAssocID="{67B252A3-A149-46A6-9324-488FE7106C11}" presName="hierChild5" presStyleCnt="0"/>
      <dgm:spPr/>
    </dgm:pt>
    <dgm:pt modelId="{4F941574-88BA-400A-AD6A-E9B7DC95341F}" type="pres">
      <dgm:prSet presAssocID="{8954122D-525D-4608-B76C-57EBAA9732FF}" presName="Name37" presStyleLbl="parChTrans1D4" presStyleIdx="5" presStyleCnt="12"/>
      <dgm:spPr/>
    </dgm:pt>
    <dgm:pt modelId="{868DCC0F-8989-4BBB-A5D6-1CB131D3DD22}" type="pres">
      <dgm:prSet presAssocID="{5B1CFE35-77F2-4AD8-B62E-6A5BE238AE49}" presName="hierRoot2" presStyleCnt="0">
        <dgm:presLayoutVars>
          <dgm:hierBranch val="init"/>
        </dgm:presLayoutVars>
      </dgm:prSet>
      <dgm:spPr/>
    </dgm:pt>
    <dgm:pt modelId="{79CBED2B-81E4-4BE8-8B5F-8ADA7FE5AD17}" type="pres">
      <dgm:prSet presAssocID="{5B1CFE35-77F2-4AD8-B62E-6A5BE238AE49}" presName="rootComposite" presStyleCnt="0"/>
      <dgm:spPr/>
    </dgm:pt>
    <dgm:pt modelId="{20C6C4B9-9A5A-45C3-9807-209E4361EFA2}" type="pres">
      <dgm:prSet presAssocID="{5B1CFE35-77F2-4AD8-B62E-6A5BE238AE49}" presName="rootText" presStyleLbl="node4" presStyleIdx="5" presStyleCnt="12">
        <dgm:presLayoutVars>
          <dgm:chPref val="3"/>
        </dgm:presLayoutVars>
      </dgm:prSet>
      <dgm:spPr/>
    </dgm:pt>
    <dgm:pt modelId="{BA2D4A18-C1EC-428E-95CC-5D64491F00BE}" type="pres">
      <dgm:prSet presAssocID="{5B1CFE35-77F2-4AD8-B62E-6A5BE238AE49}" presName="rootConnector" presStyleLbl="node4" presStyleIdx="5" presStyleCnt="12"/>
      <dgm:spPr/>
    </dgm:pt>
    <dgm:pt modelId="{31CF4544-96E4-4663-82BA-834C7E886317}" type="pres">
      <dgm:prSet presAssocID="{5B1CFE35-77F2-4AD8-B62E-6A5BE238AE49}" presName="hierChild4" presStyleCnt="0"/>
      <dgm:spPr/>
    </dgm:pt>
    <dgm:pt modelId="{91394AF7-56E4-4E03-A549-5A91EF85ED30}" type="pres">
      <dgm:prSet presAssocID="{5B1CFE35-77F2-4AD8-B62E-6A5BE238AE49}" presName="hierChild5" presStyleCnt="0"/>
      <dgm:spPr/>
    </dgm:pt>
    <dgm:pt modelId="{64D187C2-D084-482D-8675-62EECCEAD20F}" type="pres">
      <dgm:prSet presAssocID="{B19B56C3-61F5-47AF-B508-6E649DF9D214}" presName="hierChild5" presStyleCnt="0"/>
      <dgm:spPr/>
    </dgm:pt>
    <dgm:pt modelId="{BD82891E-F8CF-4B15-A4E8-28DB369D4CC0}" type="pres">
      <dgm:prSet presAssocID="{6A59E961-95D7-4148-953F-100C981257AD}" presName="hierChild5" presStyleCnt="0"/>
      <dgm:spPr/>
    </dgm:pt>
    <dgm:pt modelId="{3E1FFD9D-62C1-4398-A1E9-537E84CFCBCD}" type="pres">
      <dgm:prSet presAssocID="{6FCD9B5F-CE74-49D1-ACE3-4ED57E8F6EC5}" presName="Name37" presStyleLbl="parChTrans1D2" presStyleIdx="1" presStyleCnt="2"/>
      <dgm:spPr/>
    </dgm:pt>
    <dgm:pt modelId="{03040226-A09D-40CF-A751-EC9B78C006A5}" type="pres">
      <dgm:prSet presAssocID="{4EA97FB1-A6AD-439E-A9C0-641F37FB6A67}" presName="hierRoot2" presStyleCnt="0">
        <dgm:presLayoutVars>
          <dgm:hierBranch val="init"/>
        </dgm:presLayoutVars>
      </dgm:prSet>
      <dgm:spPr/>
    </dgm:pt>
    <dgm:pt modelId="{F76D9B49-0233-49F0-8B09-F0B698FBB4AC}" type="pres">
      <dgm:prSet presAssocID="{4EA97FB1-A6AD-439E-A9C0-641F37FB6A67}" presName="rootComposite" presStyleCnt="0"/>
      <dgm:spPr/>
    </dgm:pt>
    <dgm:pt modelId="{EC5E56BE-31F3-42DF-A27B-34178939EDE6}" type="pres">
      <dgm:prSet presAssocID="{4EA97FB1-A6AD-439E-A9C0-641F37FB6A67}" presName="rootText" presStyleLbl="node2" presStyleIdx="1" presStyleCnt="2" custScaleX="117523">
        <dgm:presLayoutVars>
          <dgm:chPref val="3"/>
        </dgm:presLayoutVars>
      </dgm:prSet>
      <dgm:spPr/>
    </dgm:pt>
    <dgm:pt modelId="{97527912-B1F6-4A6B-B117-847E82112F7B}" type="pres">
      <dgm:prSet presAssocID="{4EA97FB1-A6AD-439E-A9C0-641F37FB6A67}" presName="rootConnector" presStyleLbl="node2" presStyleIdx="1" presStyleCnt="2"/>
      <dgm:spPr/>
    </dgm:pt>
    <dgm:pt modelId="{4026DA88-E168-41C8-8108-9756040F8613}" type="pres">
      <dgm:prSet presAssocID="{4EA97FB1-A6AD-439E-A9C0-641F37FB6A67}" presName="hierChild4" presStyleCnt="0"/>
      <dgm:spPr/>
    </dgm:pt>
    <dgm:pt modelId="{96C689CC-101E-4D63-B85A-82B19092B322}" type="pres">
      <dgm:prSet presAssocID="{03A54369-761B-4146-A059-4A0E7A186879}" presName="Name37" presStyleLbl="parChTrans1D3" presStyleIdx="2" presStyleCnt="4"/>
      <dgm:spPr/>
    </dgm:pt>
    <dgm:pt modelId="{57EBB9C7-5CC3-49E1-BDC0-B130F6BA7FEA}" type="pres">
      <dgm:prSet presAssocID="{7DB34648-9297-461E-9A69-04BD09AA94CB}" presName="hierRoot2" presStyleCnt="0">
        <dgm:presLayoutVars>
          <dgm:hierBranch val="init"/>
        </dgm:presLayoutVars>
      </dgm:prSet>
      <dgm:spPr/>
    </dgm:pt>
    <dgm:pt modelId="{DD0BFD81-FD40-4EB2-B13B-2857AA158B0B}" type="pres">
      <dgm:prSet presAssocID="{7DB34648-9297-461E-9A69-04BD09AA94CB}" presName="rootComposite" presStyleCnt="0"/>
      <dgm:spPr/>
    </dgm:pt>
    <dgm:pt modelId="{F2F5AAF5-2142-4BE5-8DC1-0DFA7315EF63}" type="pres">
      <dgm:prSet presAssocID="{7DB34648-9297-461E-9A69-04BD09AA94CB}" presName="rootText" presStyleLbl="node3" presStyleIdx="2" presStyleCnt="4">
        <dgm:presLayoutVars>
          <dgm:chPref val="3"/>
        </dgm:presLayoutVars>
      </dgm:prSet>
      <dgm:spPr/>
    </dgm:pt>
    <dgm:pt modelId="{B86FD87E-B3D2-4257-9F54-2C52D9DCE53B}" type="pres">
      <dgm:prSet presAssocID="{7DB34648-9297-461E-9A69-04BD09AA94CB}" presName="rootConnector" presStyleLbl="node3" presStyleIdx="2" presStyleCnt="4"/>
      <dgm:spPr/>
    </dgm:pt>
    <dgm:pt modelId="{391BA632-8698-44F1-AAD4-84082FFAE0F6}" type="pres">
      <dgm:prSet presAssocID="{7DB34648-9297-461E-9A69-04BD09AA94CB}" presName="hierChild4" presStyleCnt="0"/>
      <dgm:spPr/>
    </dgm:pt>
    <dgm:pt modelId="{0161E30F-4093-4997-B3F1-1201673578E1}" type="pres">
      <dgm:prSet presAssocID="{F933E6F2-11D4-47AD-A3CB-D04F8BBBC2B6}" presName="Name37" presStyleLbl="parChTrans1D4" presStyleIdx="6" presStyleCnt="12"/>
      <dgm:spPr/>
    </dgm:pt>
    <dgm:pt modelId="{B00EAF69-B24E-4CA5-B026-59DD7700CD14}" type="pres">
      <dgm:prSet presAssocID="{2C51C8FF-9901-43E7-9841-AFD7C1B2DB4B}" presName="hierRoot2" presStyleCnt="0">
        <dgm:presLayoutVars>
          <dgm:hierBranch val="init"/>
        </dgm:presLayoutVars>
      </dgm:prSet>
      <dgm:spPr/>
    </dgm:pt>
    <dgm:pt modelId="{7849A711-94B7-4D03-B1DC-B24C6C5055A5}" type="pres">
      <dgm:prSet presAssocID="{2C51C8FF-9901-43E7-9841-AFD7C1B2DB4B}" presName="rootComposite" presStyleCnt="0"/>
      <dgm:spPr/>
    </dgm:pt>
    <dgm:pt modelId="{8799E431-6FA9-405E-AFC0-FC474A0E47B7}" type="pres">
      <dgm:prSet presAssocID="{2C51C8FF-9901-43E7-9841-AFD7C1B2DB4B}" presName="rootText" presStyleLbl="node4" presStyleIdx="6" presStyleCnt="12">
        <dgm:presLayoutVars>
          <dgm:chPref val="3"/>
        </dgm:presLayoutVars>
      </dgm:prSet>
      <dgm:spPr/>
    </dgm:pt>
    <dgm:pt modelId="{81BAF2C6-251E-4A70-A91D-76B8D24741FC}" type="pres">
      <dgm:prSet presAssocID="{2C51C8FF-9901-43E7-9841-AFD7C1B2DB4B}" presName="rootConnector" presStyleLbl="node4" presStyleIdx="6" presStyleCnt="12"/>
      <dgm:spPr/>
    </dgm:pt>
    <dgm:pt modelId="{7F5AFD6E-4DCF-4A05-91FB-D97AB635CD92}" type="pres">
      <dgm:prSet presAssocID="{2C51C8FF-9901-43E7-9841-AFD7C1B2DB4B}" presName="hierChild4" presStyleCnt="0"/>
      <dgm:spPr/>
    </dgm:pt>
    <dgm:pt modelId="{8EE34C08-0D33-463D-B0AF-37B972B1EEFB}" type="pres">
      <dgm:prSet presAssocID="{2C51C8FF-9901-43E7-9841-AFD7C1B2DB4B}" presName="hierChild5" presStyleCnt="0"/>
      <dgm:spPr/>
    </dgm:pt>
    <dgm:pt modelId="{B5A96947-ABEF-401A-96D0-3836E812C03D}" type="pres">
      <dgm:prSet presAssocID="{ECAB780B-0320-478B-BA95-E67AEF6DB03E}" presName="Name37" presStyleLbl="parChTrans1D4" presStyleIdx="7" presStyleCnt="12"/>
      <dgm:spPr/>
    </dgm:pt>
    <dgm:pt modelId="{20CD56AD-225B-4B05-A81B-FE997AEC90FB}" type="pres">
      <dgm:prSet presAssocID="{855D1E5B-9296-4EAE-8343-881755CD8BD8}" presName="hierRoot2" presStyleCnt="0">
        <dgm:presLayoutVars>
          <dgm:hierBranch val="init"/>
        </dgm:presLayoutVars>
      </dgm:prSet>
      <dgm:spPr/>
    </dgm:pt>
    <dgm:pt modelId="{C9847241-A402-4ED9-B7DB-1BF7602D6049}" type="pres">
      <dgm:prSet presAssocID="{855D1E5B-9296-4EAE-8343-881755CD8BD8}" presName="rootComposite" presStyleCnt="0"/>
      <dgm:spPr/>
    </dgm:pt>
    <dgm:pt modelId="{116BC929-D6BC-4F34-9C09-1260A0B58BAA}" type="pres">
      <dgm:prSet presAssocID="{855D1E5B-9296-4EAE-8343-881755CD8BD8}" presName="rootText" presStyleLbl="node4" presStyleIdx="7" presStyleCnt="12">
        <dgm:presLayoutVars>
          <dgm:chPref val="3"/>
        </dgm:presLayoutVars>
      </dgm:prSet>
      <dgm:spPr/>
    </dgm:pt>
    <dgm:pt modelId="{D41847F8-A290-4AE9-9728-2CCC36FBC561}" type="pres">
      <dgm:prSet presAssocID="{855D1E5B-9296-4EAE-8343-881755CD8BD8}" presName="rootConnector" presStyleLbl="node4" presStyleIdx="7" presStyleCnt="12"/>
      <dgm:spPr/>
    </dgm:pt>
    <dgm:pt modelId="{2D234E31-717A-4B2C-9686-21A338070B8C}" type="pres">
      <dgm:prSet presAssocID="{855D1E5B-9296-4EAE-8343-881755CD8BD8}" presName="hierChild4" presStyleCnt="0"/>
      <dgm:spPr/>
    </dgm:pt>
    <dgm:pt modelId="{E9722A6E-B20E-4C57-AE18-F3144E2F5A41}" type="pres">
      <dgm:prSet presAssocID="{855D1E5B-9296-4EAE-8343-881755CD8BD8}" presName="hierChild5" presStyleCnt="0"/>
      <dgm:spPr/>
    </dgm:pt>
    <dgm:pt modelId="{1B2BB266-D19F-4DBE-ADBE-D69D354D9284}" type="pres">
      <dgm:prSet presAssocID="{10850C7C-D00A-4406-AC96-BE6D5E5093AA}" presName="Name37" presStyleLbl="parChTrans1D4" presStyleIdx="8" presStyleCnt="12"/>
      <dgm:spPr/>
    </dgm:pt>
    <dgm:pt modelId="{0ECB1B7C-DFB5-4C86-B420-28E275522396}" type="pres">
      <dgm:prSet presAssocID="{F226CC95-FD25-4EBC-8C65-28F81CC28EC0}" presName="hierRoot2" presStyleCnt="0">
        <dgm:presLayoutVars>
          <dgm:hierBranch val="init"/>
        </dgm:presLayoutVars>
      </dgm:prSet>
      <dgm:spPr/>
    </dgm:pt>
    <dgm:pt modelId="{C3B5747F-3DCC-4AFF-9351-07387C94B46B}" type="pres">
      <dgm:prSet presAssocID="{F226CC95-FD25-4EBC-8C65-28F81CC28EC0}" presName="rootComposite" presStyleCnt="0"/>
      <dgm:spPr/>
    </dgm:pt>
    <dgm:pt modelId="{25BAE859-04A4-4B09-B312-4C8D5A4996E1}" type="pres">
      <dgm:prSet presAssocID="{F226CC95-FD25-4EBC-8C65-28F81CC28EC0}" presName="rootText" presStyleLbl="node4" presStyleIdx="8" presStyleCnt="12">
        <dgm:presLayoutVars>
          <dgm:chPref val="3"/>
        </dgm:presLayoutVars>
      </dgm:prSet>
      <dgm:spPr/>
    </dgm:pt>
    <dgm:pt modelId="{C370D5D3-01AB-447D-ACD8-FAF26E6B139B}" type="pres">
      <dgm:prSet presAssocID="{F226CC95-FD25-4EBC-8C65-28F81CC28EC0}" presName="rootConnector" presStyleLbl="node4" presStyleIdx="8" presStyleCnt="12"/>
      <dgm:spPr/>
    </dgm:pt>
    <dgm:pt modelId="{48B9D83B-0B5A-4697-B4F2-BD8461B3D97D}" type="pres">
      <dgm:prSet presAssocID="{F226CC95-FD25-4EBC-8C65-28F81CC28EC0}" presName="hierChild4" presStyleCnt="0"/>
      <dgm:spPr/>
    </dgm:pt>
    <dgm:pt modelId="{8224E776-4F76-4A49-BD99-57A0AF346242}" type="pres">
      <dgm:prSet presAssocID="{F226CC95-FD25-4EBC-8C65-28F81CC28EC0}" presName="hierChild5" presStyleCnt="0"/>
      <dgm:spPr/>
    </dgm:pt>
    <dgm:pt modelId="{5CD306DD-07BC-49D6-9F87-0A047228950D}" type="pres">
      <dgm:prSet presAssocID="{7DB34648-9297-461E-9A69-04BD09AA94CB}" presName="hierChild5" presStyleCnt="0"/>
      <dgm:spPr/>
    </dgm:pt>
    <dgm:pt modelId="{1B49B9F1-5F91-4399-8FD0-E0C6C1FDD215}" type="pres">
      <dgm:prSet presAssocID="{8DB60083-4349-4626-B2A0-1B96E4508549}" presName="Name37" presStyleLbl="parChTrans1D3" presStyleIdx="3" presStyleCnt="4"/>
      <dgm:spPr/>
    </dgm:pt>
    <dgm:pt modelId="{BA5D766B-22DF-4BC3-8B3F-A9C8BCA0BF41}" type="pres">
      <dgm:prSet presAssocID="{EED6CF0C-BA85-4172-84E7-AB726C3591BC}" presName="hierRoot2" presStyleCnt="0">
        <dgm:presLayoutVars>
          <dgm:hierBranch val="init"/>
        </dgm:presLayoutVars>
      </dgm:prSet>
      <dgm:spPr/>
    </dgm:pt>
    <dgm:pt modelId="{DAB8C791-DD15-4907-BD77-823E61566150}" type="pres">
      <dgm:prSet presAssocID="{EED6CF0C-BA85-4172-84E7-AB726C3591BC}" presName="rootComposite" presStyleCnt="0"/>
      <dgm:spPr/>
    </dgm:pt>
    <dgm:pt modelId="{C6FAE481-67BA-4D7E-BD1A-F67ED416B205}" type="pres">
      <dgm:prSet presAssocID="{EED6CF0C-BA85-4172-84E7-AB726C3591BC}" presName="rootText" presStyleLbl="node3" presStyleIdx="3" presStyleCnt="4">
        <dgm:presLayoutVars>
          <dgm:chPref val="3"/>
        </dgm:presLayoutVars>
      </dgm:prSet>
      <dgm:spPr/>
    </dgm:pt>
    <dgm:pt modelId="{75427552-2D0A-4F1C-8079-4B4827973E52}" type="pres">
      <dgm:prSet presAssocID="{EED6CF0C-BA85-4172-84E7-AB726C3591BC}" presName="rootConnector" presStyleLbl="node3" presStyleIdx="3" presStyleCnt="4"/>
      <dgm:spPr/>
    </dgm:pt>
    <dgm:pt modelId="{C78131B2-9EE3-45DF-95B0-DBFB8B884303}" type="pres">
      <dgm:prSet presAssocID="{EED6CF0C-BA85-4172-84E7-AB726C3591BC}" presName="hierChild4" presStyleCnt="0"/>
      <dgm:spPr/>
    </dgm:pt>
    <dgm:pt modelId="{74C1649D-EF19-49F0-9BF9-C6425D9F64B5}" type="pres">
      <dgm:prSet presAssocID="{D990DF9C-FFEC-4C96-9837-CE4D555B89E5}" presName="Name37" presStyleLbl="parChTrans1D4" presStyleIdx="9" presStyleCnt="12"/>
      <dgm:spPr/>
    </dgm:pt>
    <dgm:pt modelId="{3FC7A68F-AC8D-4566-9565-85F317217343}" type="pres">
      <dgm:prSet presAssocID="{B3A30BCF-EEBD-48A3-97D2-5548BF2649BC}" presName="hierRoot2" presStyleCnt="0">
        <dgm:presLayoutVars>
          <dgm:hierBranch val="init"/>
        </dgm:presLayoutVars>
      </dgm:prSet>
      <dgm:spPr/>
    </dgm:pt>
    <dgm:pt modelId="{61B599DB-8D90-42FB-AEAC-70920058FF2F}" type="pres">
      <dgm:prSet presAssocID="{B3A30BCF-EEBD-48A3-97D2-5548BF2649BC}" presName="rootComposite" presStyleCnt="0"/>
      <dgm:spPr/>
    </dgm:pt>
    <dgm:pt modelId="{BA318FA3-3732-47A2-BFDB-25B111F1CC72}" type="pres">
      <dgm:prSet presAssocID="{B3A30BCF-EEBD-48A3-97D2-5548BF2649BC}" presName="rootText" presStyleLbl="node4" presStyleIdx="9" presStyleCnt="12">
        <dgm:presLayoutVars>
          <dgm:chPref val="3"/>
        </dgm:presLayoutVars>
      </dgm:prSet>
      <dgm:spPr/>
    </dgm:pt>
    <dgm:pt modelId="{0199E8D5-030D-48B5-BA68-3A351492EA87}" type="pres">
      <dgm:prSet presAssocID="{B3A30BCF-EEBD-48A3-97D2-5548BF2649BC}" presName="rootConnector" presStyleLbl="node4" presStyleIdx="9" presStyleCnt="12"/>
      <dgm:spPr/>
    </dgm:pt>
    <dgm:pt modelId="{C00C011B-E31D-48B3-B7DF-6B13E0AFFCC5}" type="pres">
      <dgm:prSet presAssocID="{B3A30BCF-EEBD-48A3-97D2-5548BF2649BC}" presName="hierChild4" presStyleCnt="0"/>
      <dgm:spPr/>
    </dgm:pt>
    <dgm:pt modelId="{9B633D3F-BBD4-43FB-B394-55AB66957496}" type="pres">
      <dgm:prSet presAssocID="{B3A30BCF-EEBD-48A3-97D2-5548BF2649BC}" presName="hierChild5" presStyleCnt="0"/>
      <dgm:spPr/>
    </dgm:pt>
    <dgm:pt modelId="{C899FC0A-A3D9-4A60-8EB7-BCB8FD3B2E91}" type="pres">
      <dgm:prSet presAssocID="{13C7D31C-FE17-4F8E-BE11-4FC1CAF2FB4A}" presName="Name37" presStyleLbl="parChTrans1D4" presStyleIdx="10" presStyleCnt="12"/>
      <dgm:spPr/>
    </dgm:pt>
    <dgm:pt modelId="{F7118A62-5410-4FAE-91D8-DB03A73EDC00}" type="pres">
      <dgm:prSet presAssocID="{D904A4A8-A52A-434E-9CB9-B1CD87AD69D1}" presName="hierRoot2" presStyleCnt="0">
        <dgm:presLayoutVars>
          <dgm:hierBranch val="init"/>
        </dgm:presLayoutVars>
      </dgm:prSet>
      <dgm:spPr/>
    </dgm:pt>
    <dgm:pt modelId="{99757DE8-75E0-4A63-BBC9-80424FDA5AC3}" type="pres">
      <dgm:prSet presAssocID="{D904A4A8-A52A-434E-9CB9-B1CD87AD69D1}" presName="rootComposite" presStyleCnt="0"/>
      <dgm:spPr/>
    </dgm:pt>
    <dgm:pt modelId="{A9AA7563-F92E-4645-892D-47A7CE5B8F08}" type="pres">
      <dgm:prSet presAssocID="{D904A4A8-A52A-434E-9CB9-B1CD87AD69D1}" presName="rootText" presStyleLbl="node4" presStyleIdx="10" presStyleCnt="12">
        <dgm:presLayoutVars>
          <dgm:chPref val="3"/>
        </dgm:presLayoutVars>
      </dgm:prSet>
      <dgm:spPr/>
    </dgm:pt>
    <dgm:pt modelId="{F6F70596-404F-423F-AC40-F4EF83467B87}" type="pres">
      <dgm:prSet presAssocID="{D904A4A8-A52A-434E-9CB9-B1CD87AD69D1}" presName="rootConnector" presStyleLbl="node4" presStyleIdx="10" presStyleCnt="12"/>
      <dgm:spPr/>
    </dgm:pt>
    <dgm:pt modelId="{93A75C0B-FE6B-4BEF-817B-E3F6E68DC628}" type="pres">
      <dgm:prSet presAssocID="{D904A4A8-A52A-434E-9CB9-B1CD87AD69D1}" presName="hierChild4" presStyleCnt="0"/>
      <dgm:spPr/>
    </dgm:pt>
    <dgm:pt modelId="{DB975C75-0FD1-48E7-BE9F-0688054D0B30}" type="pres">
      <dgm:prSet presAssocID="{D904A4A8-A52A-434E-9CB9-B1CD87AD69D1}" presName="hierChild5" presStyleCnt="0"/>
      <dgm:spPr/>
    </dgm:pt>
    <dgm:pt modelId="{6215E18D-827F-4004-9550-6662DF0B1FD5}" type="pres">
      <dgm:prSet presAssocID="{2340DFB4-3EF6-4AE4-B78E-64FC45AAEFF4}" presName="Name37" presStyleLbl="parChTrans1D4" presStyleIdx="11" presStyleCnt="12"/>
      <dgm:spPr/>
    </dgm:pt>
    <dgm:pt modelId="{B4C9983E-DDBE-481D-B4D9-5AB02BD01E5B}" type="pres">
      <dgm:prSet presAssocID="{54664A91-EC84-4935-81A0-E5B7295BC4BA}" presName="hierRoot2" presStyleCnt="0">
        <dgm:presLayoutVars>
          <dgm:hierBranch val="init"/>
        </dgm:presLayoutVars>
      </dgm:prSet>
      <dgm:spPr/>
    </dgm:pt>
    <dgm:pt modelId="{8C17F6F2-9D28-4E09-A872-1D994DE8E47B}" type="pres">
      <dgm:prSet presAssocID="{54664A91-EC84-4935-81A0-E5B7295BC4BA}" presName="rootComposite" presStyleCnt="0"/>
      <dgm:spPr/>
    </dgm:pt>
    <dgm:pt modelId="{A8238D60-84C2-41B2-B134-97EF17FFCCA1}" type="pres">
      <dgm:prSet presAssocID="{54664A91-EC84-4935-81A0-E5B7295BC4BA}" presName="rootText" presStyleLbl="node4" presStyleIdx="11" presStyleCnt="12">
        <dgm:presLayoutVars>
          <dgm:chPref val="3"/>
        </dgm:presLayoutVars>
      </dgm:prSet>
      <dgm:spPr/>
    </dgm:pt>
    <dgm:pt modelId="{58910E52-ADA4-4700-81E4-99471B02D1E1}" type="pres">
      <dgm:prSet presAssocID="{54664A91-EC84-4935-81A0-E5B7295BC4BA}" presName="rootConnector" presStyleLbl="node4" presStyleIdx="11" presStyleCnt="12"/>
      <dgm:spPr/>
    </dgm:pt>
    <dgm:pt modelId="{DB36443E-9512-4E9D-854B-6205A2458CF9}" type="pres">
      <dgm:prSet presAssocID="{54664A91-EC84-4935-81A0-E5B7295BC4BA}" presName="hierChild4" presStyleCnt="0"/>
      <dgm:spPr/>
    </dgm:pt>
    <dgm:pt modelId="{9D6A31FB-1034-4F56-AC46-178FAF261A5A}" type="pres">
      <dgm:prSet presAssocID="{54664A91-EC84-4935-81A0-E5B7295BC4BA}" presName="hierChild5" presStyleCnt="0"/>
      <dgm:spPr/>
    </dgm:pt>
    <dgm:pt modelId="{BBA35DC0-AC7C-4B50-B04D-0B2A1D91FA0E}" type="pres">
      <dgm:prSet presAssocID="{EED6CF0C-BA85-4172-84E7-AB726C3591BC}" presName="hierChild5" presStyleCnt="0"/>
      <dgm:spPr/>
    </dgm:pt>
    <dgm:pt modelId="{E4A34329-6BB1-4205-AC0B-B26B211D9C68}" type="pres">
      <dgm:prSet presAssocID="{4EA97FB1-A6AD-439E-A9C0-641F37FB6A67}" presName="hierChild5" presStyleCnt="0"/>
      <dgm:spPr/>
    </dgm:pt>
    <dgm:pt modelId="{263935F3-C9C4-419A-9CF8-34E721114DAC}" type="pres">
      <dgm:prSet presAssocID="{B7066AE4-0558-4D08-8F44-60D4E2A9827C}" presName="hierChild3" presStyleCnt="0"/>
      <dgm:spPr/>
    </dgm:pt>
  </dgm:ptLst>
  <dgm:cxnLst>
    <dgm:cxn modelId="{A8D4E603-899F-4B59-AA61-151DF6BC4295}" srcId="{6A59E961-95D7-4148-953F-100C981257AD}" destId="{B19B56C3-61F5-47AF-B508-6E649DF9D214}" srcOrd="1" destOrd="0" parTransId="{735C0871-3635-4A1A-B614-A3B7F6F994DB}" sibTransId="{F6827833-D94E-4EBD-9338-0387ED2C853C}"/>
    <dgm:cxn modelId="{E08A740D-226F-4D5F-8BAF-4BD8C273D35A}" type="presOf" srcId="{7DB34648-9297-461E-9A69-04BD09AA94CB}" destId="{B86FD87E-B3D2-4257-9F54-2C52D9DCE53B}" srcOrd="1" destOrd="0" presId="urn:microsoft.com/office/officeart/2005/8/layout/orgChart1"/>
    <dgm:cxn modelId="{6C1F2410-E1AB-4353-A59F-BF926DF77384}" type="presOf" srcId="{CA74FF67-B93D-43F8-8629-1DA4B0CCCE9A}" destId="{D3BCC275-DB90-4AF1-B574-24EF660E0E96}" srcOrd="1" destOrd="0" presId="urn:microsoft.com/office/officeart/2005/8/layout/orgChart1"/>
    <dgm:cxn modelId="{D03E1911-BE30-4D78-9236-BA3B73314F19}" srcId="{4EA97FB1-A6AD-439E-A9C0-641F37FB6A67}" destId="{7DB34648-9297-461E-9A69-04BD09AA94CB}" srcOrd="0" destOrd="0" parTransId="{03A54369-761B-4146-A059-4A0E7A186879}" sibTransId="{95FCE3DB-65EE-48B4-8ABB-5BCF2BE1D2D7}"/>
    <dgm:cxn modelId="{64401113-DCDC-4B63-9E0A-9D994EA2D94A}" type="presOf" srcId="{6CDDFC5B-53D0-4E80-BAC3-CF50DFFDA190}" destId="{DC1A4D81-B3F0-4911-B373-8ECDC92BCC33}" srcOrd="0" destOrd="0" presId="urn:microsoft.com/office/officeart/2005/8/layout/orgChart1"/>
    <dgm:cxn modelId="{46859A17-0A66-40F8-A49C-267179C07895}" srcId="{B7066AE4-0558-4D08-8F44-60D4E2A9827C}" destId="{4EA97FB1-A6AD-439E-A9C0-641F37FB6A67}" srcOrd="1" destOrd="0" parTransId="{6FCD9B5F-CE74-49D1-ACE3-4ED57E8F6EC5}" sibTransId="{9C1905B0-198C-4D07-91EE-495E228E45D3}"/>
    <dgm:cxn modelId="{5323091A-898C-49ED-848E-163942439030}" srcId="{CA74FF67-B93D-43F8-8629-1DA4B0CCCE9A}" destId="{DA23A61C-2545-4DBF-85C9-9D23566CE311}" srcOrd="2" destOrd="0" parTransId="{6CDDFC5B-53D0-4E80-BAC3-CF50DFFDA190}" sibTransId="{7161AD2E-F5C4-4A92-9743-694C7B82B165}"/>
    <dgm:cxn modelId="{0056151C-F1F8-4574-8A9E-AE1D38F2A5A2}" type="presOf" srcId="{B3A30BCF-EEBD-48A3-97D2-5548BF2649BC}" destId="{0199E8D5-030D-48B5-BA68-3A351492EA87}" srcOrd="1" destOrd="0" presId="urn:microsoft.com/office/officeart/2005/8/layout/orgChart1"/>
    <dgm:cxn modelId="{02B7411F-350F-41C7-BCF7-C3826F49A41C}" type="presOf" srcId="{24D9856E-EB5D-46E2-961D-DA0EEFF06E3B}" destId="{556F94D4-18EF-424B-9F83-3C8924DF474D}" srcOrd="1" destOrd="0" presId="urn:microsoft.com/office/officeart/2005/8/layout/orgChart1"/>
    <dgm:cxn modelId="{86C1EA22-5629-49DE-81E4-D6EFA196DC92}" type="presOf" srcId="{13C7D31C-FE17-4F8E-BE11-4FC1CAF2FB4A}" destId="{C899FC0A-A3D9-4A60-8EB7-BCB8FD3B2E91}" srcOrd="0" destOrd="0" presId="urn:microsoft.com/office/officeart/2005/8/layout/orgChart1"/>
    <dgm:cxn modelId="{148A8224-7A6F-424A-ACB3-3FB137DF5E80}" srcId="{B19B56C3-61F5-47AF-B508-6E649DF9D214}" destId="{5B1CFE35-77F2-4AD8-B62E-6A5BE238AE49}" srcOrd="2" destOrd="0" parTransId="{8954122D-525D-4608-B76C-57EBAA9732FF}" sibTransId="{AA7FFEFB-FD87-4737-9343-EC6C7FAEDD1E}"/>
    <dgm:cxn modelId="{1D9CCD2B-B88C-4575-8315-01B1AF19DA1B}" type="presOf" srcId="{48CFFD06-BD0A-4762-9F27-DBCF337B781B}" destId="{53CFA682-8584-445A-BF6B-9FDCFB6F794F}" srcOrd="1" destOrd="0" presId="urn:microsoft.com/office/officeart/2005/8/layout/orgChart1"/>
    <dgm:cxn modelId="{A3513930-F963-4C8D-B377-2E4A78472B3E}" type="presOf" srcId="{8DB60083-4349-4626-B2A0-1B96E4508549}" destId="{1B49B9F1-5F91-4399-8FD0-E0C6C1FDD215}" srcOrd="0" destOrd="0" presId="urn:microsoft.com/office/officeart/2005/8/layout/orgChart1"/>
    <dgm:cxn modelId="{7AA1013A-BAEC-4A7C-8B8B-90D4E5274497}" type="presOf" srcId="{7DB34648-9297-461E-9A69-04BD09AA94CB}" destId="{F2F5AAF5-2142-4BE5-8DC1-0DFA7315EF63}" srcOrd="0" destOrd="0" presId="urn:microsoft.com/office/officeart/2005/8/layout/orgChart1"/>
    <dgm:cxn modelId="{9CC1323B-7C70-449B-B293-E72946CCFFF1}" type="presOf" srcId="{B7066AE4-0558-4D08-8F44-60D4E2A9827C}" destId="{618912E5-060A-4BC5-809B-3C29CE1429DD}" srcOrd="1" destOrd="0" presId="urn:microsoft.com/office/officeart/2005/8/layout/orgChart1"/>
    <dgm:cxn modelId="{B3873F3B-9308-46B8-AAEF-131D38850BAC}" type="presOf" srcId="{F226CC95-FD25-4EBC-8C65-28F81CC28EC0}" destId="{25BAE859-04A4-4B09-B312-4C8D5A4996E1}" srcOrd="0" destOrd="0" presId="urn:microsoft.com/office/officeart/2005/8/layout/orgChart1"/>
    <dgm:cxn modelId="{B2D2713B-11B9-4E8A-BA63-D6D19FE39DBF}" type="presOf" srcId="{095F1C08-25F1-461B-A2C0-9C81F2FD36BA}" destId="{2AD82BA3-349F-4F96-9C9D-E2DAC87CA349}" srcOrd="0" destOrd="0" presId="urn:microsoft.com/office/officeart/2005/8/layout/orgChart1"/>
    <dgm:cxn modelId="{C554D83B-4D85-411B-8564-53ED4B11C18A}" type="presOf" srcId="{855D1E5B-9296-4EAE-8343-881755CD8BD8}" destId="{D41847F8-A290-4AE9-9728-2CCC36FBC561}" srcOrd="1" destOrd="0" presId="urn:microsoft.com/office/officeart/2005/8/layout/orgChart1"/>
    <dgm:cxn modelId="{B001493E-3636-4226-9ED9-F50F6384DFBC}" type="presOf" srcId="{D904A4A8-A52A-434E-9CB9-B1CD87AD69D1}" destId="{F6F70596-404F-423F-AC40-F4EF83467B87}" srcOrd="1" destOrd="0" presId="urn:microsoft.com/office/officeart/2005/8/layout/orgChart1"/>
    <dgm:cxn modelId="{CA269B5F-684F-4FCA-8D0D-9470583A3E4C}" type="presOf" srcId="{8954122D-525D-4608-B76C-57EBAA9732FF}" destId="{4F941574-88BA-400A-AD6A-E9B7DC95341F}" srcOrd="0" destOrd="0" presId="urn:microsoft.com/office/officeart/2005/8/layout/orgChart1"/>
    <dgm:cxn modelId="{47BFE760-DDF7-47C3-8997-55CF0F508E08}" type="presOf" srcId="{F226CC95-FD25-4EBC-8C65-28F81CC28EC0}" destId="{C370D5D3-01AB-447D-ACD8-FAF26E6B139B}" srcOrd="1" destOrd="0" presId="urn:microsoft.com/office/officeart/2005/8/layout/orgChart1"/>
    <dgm:cxn modelId="{54359F42-CD11-489F-B30A-FBCE4C27F764}" type="presOf" srcId="{24D9856E-EB5D-46E2-961D-DA0EEFF06E3B}" destId="{79FED076-6817-42B9-8729-FB0B83922145}" srcOrd="0" destOrd="0" presId="urn:microsoft.com/office/officeart/2005/8/layout/orgChart1"/>
    <dgm:cxn modelId="{CA8F5C43-0976-490A-A8B4-D754431DCE8E}" srcId="{B19B56C3-61F5-47AF-B508-6E649DF9D214}" destId="{67B252A3-A149-46A6-9324-488FE7106C11}" srcOrd="1" destOrd="0" parTransId="{EAA93D8B-C9BB-41B4-B0A8-7E39E77E4447}" sibTransId="{C16339DC-1839-4808-BF62-87A0EDBB5B7B}"/>
    <dgm:cxn modelId="{98A39063-952B-4504-8E7D-550B044722F1}" type="presOf" srcId="{D904A4A8-A52A-434E-9CB9-B1CD87AD69D1}" destId="{A9AA7563-F92E-4645-892D-47A7CE5B8F08}" srcOrd="0" destOrd="0" presId="urn:microsoft.com/office/officeart/2005/8/layout/orgChart1"/>
    <dgm:cxn modelId="{3EA72D64-2EA2-49B0-A2F8-C39F59AA83E1}" type="presOf" srcId="{B19B56C3-61F5-47AF-B508-6E649DF9D214}" destId="{A05AFE4B-6817-40BD-A5CB-6635CE2F523D}" srcOrd="0" destOrd="0" presId="urn:microsoft.com/office/officeart/2005/8/layout/orgChart1"/>
    <dgm:cxn modelId="{F1639E45-5F9B-4815-BC44-6E65A6A79A4F}" type="presOf" srcId="{5B1CFE35-77F2-4AD8-B62E-6A5BE238AE49}" destId="{20C6C4B9-9A5A-45C3-9807-209E4361EFA2}" srcOrd="0" destOrd="0" presId="urn:microsoft.com/office/officeart/2005/8/layout/orgChart1"/>
    <dgm:cxn modelId="{B829B465-C2D5-4134-832B-FA445BB5E247}" type="presOf" srcId="{6A59E961-95D7-4148-953F-100C981257AD}" destId="{3BA5BEB3-526A-4DD7-814A-600AE17D345D}" srcOrd="0" destOrd="0" presId="urn:microsoft.com/office/officeart/2005/8/layout/orgChart1"/>
    <dgm:cxn modelId="{25C3D766-174F-475C-98D3-B149319C43FE}" type="presOf" srcId="{5B1CFE35-77F2-4AD8-B62E-6A5BE238AE49}" destId="{BA2D4A18-C1EC-428E-95CC-5D64491F00BE}" srcOrd="1" destOrd="0" presId="urn:microsoft.com/office/officeart/2005/8/layout/orgChart1"/>
    <dgm:cxn modelId="{DA7D1F67-63FE-4CB3-B6A5-57C6854C971C}" srcId="{EED6CF0C-BA85-4172-84E7-AB726C3591BC}" destId="{54664A91-EC84-4935-81A0-E5B7295BC4BA}" srcOrd="2" destOrd="0" parTransId="{2340DFB4-3EF6-4AE4-B78E-64FC45AAEFF4}" sibTransId="{BA1127C5-FF6D-40E3-92A8-24FB12BBD842}"/>
    <dgm:cxn modelId="{76A3F149-B433-45DA-9EAD-459C6A52EAC7}" type="presOf" srcId="{4EA97FB1-A6AD-439E-A9C0-641F37FB6A67}" destId="{EC5E56BE-31F3-42DF-A27B-34178939EDE6}" srcOrd="0" destOrd="0" presId="urn:microsoft.com/office/officeart/2005/8/layout/orgChart1"/>
    <dgm:cxn modelId="{533C706B-29EA-4FED-ADDD-57B82EB195D4}" srcId="{4EA97FB1-A6AD-439E-A9C0-641F37FB6A67}" destId="{EED6CF0C-BA85-4172-84E7-AB726C3591BC}" srcOrd="1" destOrd="0" parTransId="{8DB60083-4349-4626-B2A0-1B96E4508549}" sibTransId="{EF3792C5-19C2-4BD2-8AD1-9CE41EDEB704}"/>
    <dgm:cxn modelId="{EC21A350-50B8-45E5-8264-7D470F78BECD}" type="presOf" srcId="{6A59E961-95D7-4148-953F-100C981257AD}" destId="{28EB22C9-F883-4E67-A9FC-8DDAEC56FFBE}" srcOrd="1" destOrd="0" presId="urn:microsoft.com/office/officeart/2005/8/layout/orgChart1"/>
    <dgm:cxn modelId="{DFE51272-DA42-4811-8B59-5EAAC44C1C38}" type="presOf" srcId="{B7066AE4-0558-4D08-8F44-60D4E2A9827C}" destId="{93E9B00D-4767-4A2C-9C94-6932CB151CBB}" srcOrd="0" destOrd="0" presId="urn:microsoft.com/office/officeart/2005/8/layout/orgChart1"/>
    <dgm:cxn modelId="{B6F5DD72-1A93-4389-8EB1-1C220C45E5CB}" type="presOf" srcId="{13577321-CAAE-4129-936B-5D488481ACC1}" destId="{CE448795-BE47-459F-A538-3160AB63BB43}" srcOrd="1" destOrd="0" presId="urn:microsoft.com/office/officeart/2005/8/layout/orgChart1"/>
    <dgm:cxn modelId="{8949D873-EB00-45DA-90A7-5A82A6B600F0}" type="presOf" srcId="{2340DFB4-3EF6-4AE4-B78E-64FC45AAEFF4}" destId="{6215E18D-827F-4004-9550-6662DF0B1FD5}" srcOrd="0" destOrd="0" presId="urn:microsoft.com/office/officeart/2005/8/layout/orgChart1"/>
    <dgm:cxn modelId="{16356376-8030-428F-A6AD-9EB71E492435}" srcId="{CA74FF67-B93D-43F8-8629-1DA4B0CCCE9A}" destId="{24D9856E-EB5D-46E2-961D-DA0EEFF06E3B}" srcOrd="1" destOrd="0" parTransId="{FAFBF896-B700-4C76-8869-A4A9EFD00D56}" sibTransId="{8FDD3518-7B9E-43B7-B291-9D397BCF3729}"/>
    <dgm:cxn modelId="{247BDB78-70FA-42E7-A31F-5531D2B279E3}" type="presOf" srcId="{FE3C781F-63B5-4F29-A4F7-F41A66B1EEE3}" destId="{E1931599-E0AC-45FD-907F-BEDBF9473B9E}" srcOrd="0" destOrd="0" presId="urn:microsoft.com/office/officeart/2005/8/layout/orgChart1"/>
    <dgm:cxn modelId="{A3501A59-7E7D-457C-9CF2-0C396F1392AA}" type="presOf" srcId="{1D764992-25A4-4334-8EB2-9CBF744EAD6C}" destId="{FD650382-6235-44C4-AFDC-13B7D5A2F7D2}" srcOrd="0" destOrd="0" presId="urn:microsoft.com/office/officeart/2005/8/layout/orgChart1"/>
    <dgm:cxn modelId="{8D2E5B7B-8392-4017-82A6-3C390AC41577}" type="presOf" srcId="{F933E6F2-11D4-47AD-A3CB-D04F8BBBC2B6}" destId="{0161E30F-4093-4997-B3F1-1201673578E1}" srcOrd="0" destOrd="0" presId="urn:microsoft.com/office/officeart/2005/8/layout/orgChart1"/>
    <dgm:cxn modelId="{CC5A077D-1644-4657-861E-4CD0FFCE3BB4}" type="presOf" srcId="{67B252A3-A149-46A6-9324-488FE7106C11}" destId="{3A863F37-C3AC-4458-8574-3AD003DD6F56}" srcOrd="0" destOrd="0" presId="urn:microsoft.com/office/officeart/2005/8/layout/orgChart1"/>
    <dgm:cxn modelId="{72491A7D-D5C8-45A2-A45B-268909064128}" type="presOf" srcId="{DA23A61C-2545-4DBF-85C9-9D23566CE311}" destId="{34DA6619-D447-4776-8A9D-41EC9F3B43F6}" srcOrd="1" destOrd="0" presId="urn:microsoft.com/office/officeart/2005/8/layout/orgChart1"/>
    <dgm:cxn modelId="{D021AD7D-1117-4D50-B1C5-129A3F90103E}" type="presOf" srcId="{DA23A61C-2545-4DBF-85C9-9D23566CE311}" destId="{FE30A760-6930-4324-9383-4652061B8625}" srcOrd="0" destOrd="0" presId="urn:microsoft.com/office/officeart/2005/8/layout/orgChart1"/>
    <dgm:cxn modelId="{1E15BB7D-7D90-4DD2-A5E9-E081B6B1A792}" type="presOf" srcId="{6FCD9B5F-CE74-49D1-ACE3-4ED57E8F6EC5}" destId="{3E1FFD9D-62C1-4398-A1E9-537E84CFCBCD}" srcOrd="0" destOrd="0" presId="urn:microsoft.com/office/officeart/2005/8/layout/orgChart1"/>
    <dgm:cxn modelId="{03C94D7E-CFBA-403F-9246-3F1FA9611DF4}" srcId="{EED6CF0C-BA85-4172-84E7-AB726C3591BC}" destId="{D904A4A8-A52A-434E-9CB9-B1CD87AD69D1}" srcOrd="1" destOrd="0" parTransId="{13C7D31C-FE17-4F8E-BE11-4FC1CAF2FB4A}" sibTransId="{06D19B95-D16D-4405-A9FD-DA200797C2FA}"/>
    <dgm:cxn modelId="{E00EA47F-8D77-4C73-BF97-0E1577005459}" type="presOf" srcId="{48CFFD06-BD0A-4762-9F27-DBCF337B781B}" destId="{8E08C326-D8DC-4980-A876-C3AB46095263}" srcOrd="0" destOrd="0" presId="urn:microsoft.com/office/officeart/2005/8/layout/orgChart1"/>
    <dgm:cxn modelId="{AEE7D081-F1E3-4A9F-B2F3-773637665E68}" type="presOf" srcId="{03A54369-761B-4146-A059-4A0E7A186879}" destId="{96C689CC-101E-4D63-B85A-82B19092B322}" srcOrd="0" destOrd="0" presId="urn:microsoft.com/office/officeart/2005/8/layout/orgChart1"/>
    <dgm:cxn modelId="{66C8AF83-A341-4805-93D2-EC974FAEDA3E}" type="presOf" srcId="{B3A30BCF-EEBD-48A3-97D2-5548BF2649BC}" destId="{BA318FA3-3732-47A2-BFDB-25B111F1CC72}" srcOrd="0" destOrd="0" presId="urn:microsoft.com/office/officeart/2005/8/layout/orgChart1"/>
    <dgm:cxn modelId="{11548C85-C1D9-4924-AA19-6B91E06D430D}" type="presOf" srcId="{D990DF9C-FFEC-4C96-9837-CE4D555B89E5}" destId="{74C1649D-EF19-49F0-9BF9-C6425D9F64B5}" srcOrd="0" destOrd="0" presId="urn:microsoft.com/office/officeart/2005/8/layout/orgChart1"/>
    <dgm:cxn modelId="{539B3991-B800-487F-A89B-113543297499}" type="presOf" srcId="{CA74FF67-B93D-43F8-8629-1DA4B0CCCE9A}" destId="{224F1475-BD95-4750-8850-2A573C3930E4}" srcOrd="0" destOrd="0" presId="urn:microsoft.com/office/officeart/2005/8/layout/orgChart1"/>
    <dgm:cxn modelId="{8F37CB91-8AF0-422D-9505-FB4F9B3164A9}" type="presOf" srcId="{10850C7C-D00A-4406-AC96-BE6D5E5093AA}" destId="{1B2BB266-D19F-4DBE-ADBE-D69D354D9284}" srcOrd="0" destOrd="0" presId="urn:microsoft.com/office/officeart/2005/8/layout/orgChart1"/>
    <dgm:cxn modelId="{A8287E96-C918-43F0-93F6-F0CE41638D23}" srcId="{EED6CF0C-BA85-4172-84E7-AB726C3591BC}" destId="{B3A30BCF-EEBD-48A3-97D2-5548BF2649BC}" srcOrd="0" destOrd="0" parTransId="{D990DF9C-FFEC-4C96-9837-CE4D555B89E5}" sibTransId="{D143F330-B953-4606-A27B-D75753B1919B}"/>
    <dgm:cxn modelId="{89556098-13A7-472F-8EBD-2A357C1A58DA}" type="presOf" srcId="{67B252A3-A149-46A6-9324-488FE7106C11}" destId="{30871230-B08E-4EBC-B074-6F43AA5D5AF4}" srcOrd="1" destOrd="0" presId="urn:microsoft.com/office/officeart/2005/8/layout/orgChart1"/>
    <dgm:cxn modelId="{6E13A599-89D8-4617-BFA3-D74DE8084926}" type="presOf" srcId="{13577321-CAAE-4129-936B-5D488481ACC1}" destId="{D5071D38-C833-4BE0-A908-01652DC46906}" srcOrd="0" destOrd="0" presId="urn:microsoft.com/office/officeart/2005/8/layout/orgChart1"/>
    <dgm:cxn modelId="{C704799B-37D1-454C-9AF0-4A2D3B3ADF65}" type="presOf" srcId="{3F1BDFFE-B50E-4EA0-8EFC-1AD33C4376E4}" destId="{FBF79D27-FB89-4CA2-B7B3-FDA4D830AC07}" srcOrd="0" destOrd="0" presId="urn:microsoft.com/office/officeart/2005/8/layout/orgChart1"/>
    <dgm:cxn modelId="{2F2C57A4-7439-412A-9CA3-B95FEBF63A72}" type="presOf" srcId="{2C51C8FF-9901-43E7-9841-AFD7C1B2DB4B}" destId="{8799E431-6FA9-405E-AFC0-FC474A0E47B7}" srcOrd="0" destOrd="0" presId="urn:microsoft.com/office/officeart/2005/8/layout/orgChart1"/>
    <dgm:cxn modelId="{998840A5-7120-47FA-8746-AC880205CCF9}" type="presOf" srcId="{ECAB780B-0320-478B-BA95-E67AEF6DB03E}" destId="{B5A96947-ABEF-401A-96D0-3836E812C03D}" srcOrd="0" destOrd="0" presId="urn:microsoft.com/office/officeart/2005/8/layout/orgChart1"/>
    <dgm:cxn modelId="{3D5C2CA8-E6D1-4118-974F-2DA5D6BB7AAB}" srcId="{FD8F31BE-621A-43D7-9D27-ABE74E82CE85}" destId="{B7066AE4-0558-4D08-8F44-60D4E2A9827C}" srcOrd="0" destOrd="0" parTransId="{4369AED3-4CBC-4915-AD77-DBA9DC91ADBC}" sibTransId="{80426A23-6C9E-484E-8921-19E869ABF9F7}"/>
    <dgm:cxn modelId="{BED7A8A9-A5EE-484F-B71E-CF26BA28998C}" type="presOf" srcId="{FD8F31BE-621A-43D7-9D27-ABE74E82CE85}" destId="{13058F2D-09B0-4690-888C-A5CCCE2380DE}" srcOrd="0" destOrd="0" presId="urn:microsoft.com/office/officeart/2005/8/layout/orgChart1"/>
    <dgm:cxn modelId="{F015A7AA-E293-4FCF-9A24-8D37A7B9CAD8}" srcId="{B7066AE4-0558-4D08-8F44-60D4E2A9827C}" destId="{6A59E961-95D7-4148-953F-100C981257AD}" srcOrd="0" destOrd="0" parTransId="{FE3C781F-63B5-4F29-A4F7-F41A66B1EEE3}" sibTransId="{08C7DEB6-4965-4EBA-9394-19D0852B919D}"/>
    <dgm:cxn modelId="{133400AC-0895-47BA-8432-C064B9E09550}" type="presOf" srcId="{54664A91-EC84-4935-81A0-E5B7295BC4BA}" destId="{58910E52-ADA4-4700-81E4-99471B02D1E1}" srcOrd="1" destOrd="0" presId="urn:microsoft.com/office/officeart/2005/8/layout/orgChart1"/>
    <dgm:cxn modelId="{1A8EB9AE-C36D-4E88-8238-0DD73343F5DC}" type="presOf" srcId="{4EA97FB1-A6AD-439E-A9C0-641F37FB6A67}" destId="{97527912-B1F6-4A6B-B117-847E82112F7B}" srcOrd="1" destOrd="0" presId="urn:microsoft.com/office/officeart/2005/8/layout/orgChart1"/>
    <dgm:cxn modelId="{6AE5AEAF-DA44-49DE-8E4C-6ABFB587D715}" type="presOf" srcId="{FAFBF896-B700-4C76-8869-A4A9EFD00D56}" destId="{4B59FA50-F8A6-42C2-AC1E-6ED95BA27309}" srcOrd="0" destOrd="0" presId="urn:microsoft.com/office/officeart/2005/8/layout/orgChart1"/>
    <dgm:cxn modelId="{BAB046B3-F273-4F54-B6CA-128680024ABA}" type="presOf" srcId="{B19B56C3-61F5-47AF-B508-6E649DF9D214}" destId="{540A3357-E396-47EA-9431-B3424B4F868A}" srcOrd="1" destOrd="0" presId="urn:microsoft.com/office/officeart/2005/8/layout/orgChart1"/>
    <dgm:cxn modelId="{C1CE7FB6-239A-4332-A927-113BB15A16BE}" type="presOf" srcId="{2C51C8FF-9901-43E7-9841-AFD7C1B2DB4B}" destId="{81BAF2C6-251E-4A70-A91D-76B8D24741FC}" srcOrd="1" destOrd="0" presId="urn:microsoft.com/office/officeart/2005/8/layout/orgChart1"/>
    <dgm:cxn modelId="{ED377CBA-7424-4BBB-901F-8C66AFAB0DB8}" type="presOf" srcId="{54664A91-EC84-4935-81A0-E5B7295BC4BA}" destId="{A8238D60-84C2-41B2-B134-97EF17FFCCA1}" srcOrd="0" destOrd="0" presId="urn:microsoft.com/office/officeart/2005/8/layout/orgChart1"/>
    <dgm:cxn modelId="{962228BC-70CC-468F-A4DA-FE7FD74ADF8E}" type="presOf" srcId="{EED6CF0C-BA85-4172-84E7-AB726C3591BC}" destId="{75427552-2D0A-4F1C-8079-4B4827973E52}" srcOrd="1" destOrd="0" presId="urn:microsoft.com/office/officeart/2005/8/layout/orgChart1"/>
    <dgm:cxn modelId="{1A8BD4CD-F190-4498-89F6-8F56026A9E2C}" srcId="{7DB34648-9297-461E-9A69-04BD09AA94CB}" destId="{855D1E5B-9296-4EAE-8343-881755CD8BD8}" srcOrd="1" destOrd="0" parTransId="{ECAB780B-0320-478B-BA95-E67AEF6DB03E}" sibTransId="{FD441DE2-1456-4EEA-A1E4-9015F10B256F}"/>
    <dgm:cxn modelId="{3A0F5DCE-1CD3-44BA-9894-D11C2ADB10D2}" srcId="{7DB34648-9297-461E-9A69-04BD09AA94CB}" destId="{2C51C8FF-9901-43E7-9841-AFD7C1B2DB4B}" srcOrd="0" destOrd="0" parTransId="{F933E6F2-11D4-47AD-A3CB-D04F8BBBC2B6}" sibTransId="{018B484A-6B43-4E8F-AB2A-2CCB7B675B9E}"/>
    <dgm:cxn modelId="{AD3B5FD3-9C38-49BF-9934-ACF4525C6C57}" type="presOf" srcId="{855D1E5B-9296-4EAE-8343-881755CD8BD8}" destId="{116BC929-D6BC-4F34-9C09-1260A0B58BAA}" srcOrd="0" destOrd="0" presId="urn:microsoft.com/office/officeart/2005/8/layout/orgChart1"/>
    <dgm:cxn modelId="{E8B7F6DA-93A6-4A20-A534-4DFA36A6F115}" srcId="{6A59E961-95D7-4148-953F-100C981257AD}" destId="{CA74FF67-B93D-43F8-8629-1DA4B0CCCE9A}" srcOrd="0" destOrd="0" parTransId="{095F1C08-25F1-461B-A2C0-9C81F2FD36BA}" sibTransId="{3178AD97-6C50-4B70-BCBC-406D56585A5F}"/>
    <dgm:cxn modelId="{115B07DC-0C9D-4E3E-AC2A-C78D8BBB851B}" srcId="{B19B56C3-61F5-47AF-B508-6E649DF9D214}" destId="{13577321-CAAE-4129-936B-5D488481ACC1}" srcOrd="0" destOrd="0" parTransId="{1D764992-25A4-4334-8EB2-9CBF744EAD6C}" sibTransId="{7C55E22D-67BD-4B17-B1B6-A266667B8501}"/>
    <dgm:cxn modelId="{F2331DDE-D54A-4041-9BDF-AAD1A945E481}" type="presOf" srcId="{EAA93D8B-C9BB-41B4-B0A8-7E39E77E4447}" destId="{1C41F492-2990-4BE4-9314-EB48BD65514D}" srcOrd="0" destOrd="0" presId="urn:microsoft.com/office/officeart/2005/8/layout/orgChart1"/>
    <dgm:cxn modelId="{DBE03DE9-2003-425C-AC28-3A16EC3DB107}" srcId="{CA74FF67-B93D-43F8-8629-1DA4B0CCCE9A}" destId="{48CFFD06-BD0A-4762-9F27-DBCF337B781B}" srcOrd="0" destOrd="0" parTransId="{3F1BDFFE-B50E-4EA0-8EFC-1AD33C4376E4}" sibTransId="{C0286A3D-5AD6-4F9F-B164-76C112F9244C}"/>
    <dgm:cxn modelId="{AC4E99EB-B5F2-4BDE-A217-B3BC16F55407}" type="presOf" srcId="{EED6CF0C-BA85-4172-84E7-AB726C3591BC}" destId="{C6FAE481-67BA-4D7E-BD1A-F67ED416B205}" srcOrd="0" destOrd="0" presId="urn:microsoft.com/office/officeart/2005/8/layout/orgChart1"/>
    <dgm:cxn modelId="{0D0B10F2-791B-4B77-8AF6-90D5D0C1A4C7}" type="presOf" srcId="{735C0871-3635-4A1A-B614-A3B7F6F994DB}" destId="{E5AFC083-BCF8-480F-B757-C0A2903F35B9}" srcOrd="0" destOrd="0" presId="urn:microsoft.com/office/officeart/2005/8/layout/orgChart1"/>
    <dgm:cxn modelId="{AE943AF9-C147-41A1-AE63-BFD60CC0C11F}" srcId="{7DB34648-9297-461E-9A69-04BD09AA94CB}" destId="{F226CC95-FD25-4EBC-8C65-28F81CC28EC0}" srcOrd="2" destOrd="0" parTransId="{10850C7C-D00A-4406-AC96-BE6D5E5093AA}" sibTransId="{E39A81D9-5DF4-4F2D-8E65-4FA1F42A3ABC}"/>
    <dgm:cxn modelId="{AB82FC31-5556-4E6C-8B45-0E8B98A123D7}" type="presParOf" srcId="{13058F2D-09B0-4690-888C-A5CCCE2380DE}" destId="{BDC7728D-98AB-4329-A51D-AD6DAB5133B8}" srcOrd="0" destOrd="0" presId="urn:microsoft.com/office/officeart/2005/8/layout/orgChart1"/>
    <dgm:cxn modelId="{0ADCF893-CB3E-4693-A9B6-4CBDF4975290}" type="presParOf" srcId="{BDC7728D-98AB-4329-A51D-AD6DAB5133B8}" destId="{D14DD66F-36F7-4ACD-B6E1-8294316CE96C}" srcOrd="0" destOrd="0" presId="urn:microsoft.com/office/officeart/2005/8/layout/orgChart1"/>
    <dgm:cxn modelId="{7BDDDCAE-3C4B-491F-A320-0CF376293BBA}" type="presParOf" srcId="{D14DD66F-36F7-4ACD-B6E1-8294316CE96C}" destId="{93E9B00D-4767-4A2C-9C94-6932CB151CBB}" srcOrd="0" destOrd="0" presId="urn:microsoft.com/office/officeart/2005/8/layout/orgChart1"/>
    <dgm:cxn modelId="{49EBF4D6-6189-4260-AA38-2C67A0F73295}" type="presParOf" srcId="{D14DD66F-36F7-4ACD-B6E1-8294316CE96C}" destId="{618912E5-060A-4BC5-809B-3C29CE1429DD}" srcOrd="1" destOrd="0" presId="urn:microsoft.com/office/officeart/2005/8/layout/orgChart1"/>
    <dgm:cxn modelId="{177FA4BC-DD88-463B-BBBB-3B50103EFA8F}" type="presParOf" srcId="{BDC7728D-98AB-4329-A51D-AD6DAB5133B8}" destId="{1C8057A3-F851-4E6B-A639-DAB61254C573}" srcOrd="1" destOrd="0" presId="urn:microsoft.com/office/officeart/2005/8/layout/orgChart1"/>
    <dgm:cxn modelId="{F3700B01-C5B4-4364-8C35-39FDD7A0D5E8}" type="presParOf" srcId="{1C8057A3-F851-4E6B-A639-DAB61254C573}" destId="{E1931599-E0AC-45FD-907F-BEDBF9473B9E}" srcOrd="0" destOrd="0" presId="urn:microsoft.com/office/officeart/2005/8/layout/orgChart1"/>
    <dgm:cxn modelId="{6A4FC1AF-882F-4D1F-A7CE-6FDA79A4D3C5}" type="presParOf" srcId="{1C8057A3-F851-4E6B-A639-DAB61254C573}" destId="{3B20DD31-089A-4988-B75E-075066A07206}" srcOrd="1" destOrd="0" presId="urn:microsoft.com/office/officeart/2005/8/layout/orgChart1"/>
    <dgm:cxn modelId="{F7A63686-E5C4-49CA-BDC9-536CBA7437FF}" type="presParOf" srcId="{3B20DD31-089A-4988-B75E-075066A07206}" destId="{04018FE8-255C-4131-AB78-039287E1F4E6}" srcOrd="0" destOrd="0" presId="urn:microsoft.com/office/officeart/2005/8/layout/orgChart1"/>
    <dgm:cxn modelId="{3DA31F5F-6EC1-4B19-94C1-8CD9E0C815A0}" type="presParOf" srcId="{04018FE8-255C-4131-AB78-039287E1F4E6}" destId="{3BA5BEB3-526A-4DD7-814A-600AE17D345D}" srcOrd="0" destOrd="0" presId="urn:microsoft.com/office/officeart/2005/8/layout/orgChart1"/>
    <dgm:cxn modelId="{DDAC9959-A7BC-4874-9EE7-EB0B324F1677}" type="presParOf" srcId="{04018FE8-255C-4131-AB78-039287E1F4E6}" destId="{28EB22C9-F883-4E67-A9FC-8DDAEC56FFBE}" srcOrd="1" destOrd="0" presId="urn:microsoft.com/office/officeart/2005/8/layout/orgChart1"/>
    <dgm:cxn modelId="{B4D11656-59A2-46D7-AC90-7CCD2F46959F}" type="presParOf" srcId="{3B20DD31-089A-4988-B75E-075066A07206}" destId="{1A49E759-F967-4D80-8242-304EDAD33641}" srcOrd="1" destOrd="0" presId="urn:microsoft.com/office/officeart/2005/8/layout/orgChart1"/>
    <dgm:cxn modelId="{39247FE2-C25C-421F-9559-D1279E9881E2}" type="presParOf" srcId="{1A49E759-F967-4D80-8242-304EDAD33641}" destId="{2AD82BA3-349F-4F96-9C9D-E2DAC87CA349}" srcOrd="0" destOrd="0" presId="urn:microsoft.com/office/officeart/2005/8/layout/orgChart1"/>
    <dgm:cxn modelId="{BC840BF5-4F09-42C2-8B75-961F1D83801C}" type="presParOf" srcId="{1A49E759-F967-4D80-8242-304EDAD33641}" destId="{6A82D0E9-0F75-4F66-9A81-0A8433E8FD00}" srcOrd="1" destOrd="0" presId="urn:microsoft.com/office/officeart/2005/8/layout/orgChart1"/>
    <dgm:cxn modelId="{D9D68FA3-C572-440D-977F-5460D4B6C3EF}" type="presParOf" srcId="{6A82D0E9-0F75-4F66-9A81-0A8433E8FD00}" destId="{590FB91A-0BF9-4C2F-B169-C2E7A0971F8A}" srcOrd="0" destOrd="0" presId="urn:microsoft.com/office/officeart/2005/8/layout/orgChart1"/>
    <dgm:cxn modelId="{5A6587C6-6201-4593-9359-90D3810036A6}" type="presParOf" srcId="{590FB91A-0BF9-4C2F-B169-C2E7A0971F8A}" destId="{224F1475-BD95-4750-8850-2A573C3930E4}" srcOrd="0" destOrd="0" presId="urn:microsoft.com/office/officeart/2005/8/layout/orgChart1"/>
    <dgm:cxn modelId="{0FA8D322-EEE2-4D00-8D4B-AD6CD3BC225F}" type="presParOf" srcId="{590FB91A-0BF9-4C2F-B169-C2E7A0971F8A}" destId="{D3BCC275-DB90-4AF1-B574-24EF660E0E96}" srcOrd="1" destOrd="0" presId="urn:microsoft.com/office/officeart/2005/8/layout/orgChart1"/>
    <dgm:cxn modelId="{B9C604BB-405B-47B1-AE0A-5AEEFCD5DA1C}" type="presParOf" srcId="{6A82D0E9-0F75-4F66-9A81-0A8433E8FD00}" destId="{EAB2876E-12FD-41F6-A558-84498290735D}" srcOrd="1" destOrd="0" presId="urn:microsoft.com/office/officeart/2005/8/layout/orgChart1"/>
    <dgm:cxn modelId="{BC0EA1C7-6872-4911-9266-9B06C61E4D79}" type="presParOf" srcId="{EAB2876E-12FD-41F6-A558-84498290735D}" destId="{FBF79D27-FB89-4CA2-B7B3-FDA4D830AC07}" srcOrd="0" destOrd="0" presId="urn:microsoft.com/office/officeart/2005/8/layout/orgChart1"/>
    <dgm:cxn modelId="{116711DB-30C9-4492-9A18-54E9EFD0418F}" type="presParOf" srcId="{EAB2876E-12FD-41F6-A558-84498290735D}" destId="{EF35EE97-58C5-4C35-8F57-3CEDCDA77105}" srcOrd="1" destOrd="0" presId="urn:microsoft.com/office/officeart/2005/8/layout/orgChart1"/>
    <dgm:cxn modelId="{E11D3C06-36E8-40B3-AB6F-536663094F26}" type="presParOf" srcId="{EF35EE97-58C5-4C35-8F57-3CEDCDA77105}" destId="{5C81D6D6-FDC6-4007-BF6D-F486DAB2F64B}" srcOrd="0" destOrd="0" presId="urn:microsoft.com/office/officeart/2005/8/layout/orgChart1"/>
    <dgm:cxn modelId="{C5156F26-4CF1-4254-A82C-AB52B6A8A51F}" type="presParOf" srcId="{5C81D6D6-FDC6-4007-BF6D-F486DAB2F64B}" destId="{8E08C326-D8DC-4980-A876-C3AB46095263}" srcOrd="0" destOrd="0" presId="urn:microsoft.com/office/officeart/2005/8/layout/orgChart1"/>
    <dgm:cxn modelId="{9CA826C1-CED9-40B1-8928-C9E701145934}" type="presParOf" srcId="{5C81D6D6-FDC6-4007-BF6D-F486DAB2F64B}" destId="{53CFA682-8584-445A-BF6B-9FDCFB6F794F}" srcOrd="1" destOrd="0" presId="urn:microsoft.com/office/officeart/2005/8/layout/orgChart1"/>
    <dgm:cxn modelId="{EB6D497B-B967-4234-ACE5-D90C326FAC8A}" type="presParOf" srcId="{EF35EE97-58C5-4C35-8F57-3CEDCDA77105}" destId="{90E01B48-CC7A-48D6-9747-58BBF2B3BFE7}" srcOrd="1" destOrd="0" presId="urn:microsoft.com/office/officeart/2005/8/layout/orgChart1"/>
    <dgm:cxn modelId="{E926DF3F-FE07-44AA-8E0A-8FF9ADD25D20}" type="presParOf" srcId="{EF35EE97-58C5-4C35-8F57-3CEDCDA77105}" destId="{BEF2B4C6-418C-41E7-921B-363CCAEF1A74}" srcOrd="2" destOrd="0" presId="urn:microsoft.com/office/officeart/2005/8/layout/orgChart1"/>
    <dgm:cxn modelId="{F9DEAF80-5DB6-4566-98D6-03AD05DE2CC5}" type="presParOf" srcId="{EAB2876E-12FD-41F6-A558-84498290735D}" destId="{4B59FA50-F8A6-42C2-AC1E-6ED95BA27309}" srcOrd="2" destOrd="0" presId="urn:microsoft.com/office/officeart/2005/8/layout/orgChart1"/>
    <dgm:cxn modelId="{3D8D9E7C-5C36-4185-9574-3F552D061CDF}" type="presParOf" srcId="{EAB2876E-12FD-41F6-A558-84498290735D}" destId="{478CEBDD-369D-4E16-B47F-12DBC4E82AEC}" srcOrd="3" destOrd="0" presId="urn:microsoft.com/office/officeart/2005/8/layout/orgChart1"/>
    <dgm:cxn modelId="{8FEBF8A9-D550-4E81-90B1-24C37EECAAFD}" type="presParOf" srcId="{478CEBDD-369D-4E16-B47F-12DBC4E82AEC}" destId="{7C18BF91-9B26-4D01-BD6F-CD1466240E56}" srcOrd="0" destOrd="0" presId="urn:microsoft.com/office/officeart/2005/8/layout/orgChart1"/>
    <dgm:cxn modelId="{5B311CD5-C17A-4B72-BEF4-5B1D71D54247}" type="presParOf" srcId="{7C18BF91-9B26-4D01-BD6F-CD1466240E56}" destId="{79FED076-6817-42B9-8729-FB0B83922145}" srcOrd="0" destOrd="0" presId="urn:microsoft.com/office/officeart/2005/8/layout/orgChart1"/>
    <dgm:cxn modelId="{4C85E68A-23DA-49C2-A3D6-08FC52612721}" type="presParOf" srcId="{7C18BF91-9B26-4D01-BD6F-CD1466240E56}" destId="{556F94D4-18EF-424B-9F83-3C8924DF474D}" srcOrd="1" destOrd="0" presId="urn:microsoft.com/office/officeart/2005/8/layout/orgChart1"/>
    <dgm:cxn modelId="{E7B77047-38B2-4F49-B5AC-F3D5D7B6DE4E}" type="presParOf" srcId="{478CEBDD-369D-4E16-B47F-12DBC4E82AEC}" destId="{846DC8E0-D9C9-4F0F-AC07-D12039E4CA1B}" srcOrd="1" destOrd="0" presId="urn:microsoft.com/office/officeart/2005/8/layout/orgChart1"/>
    <dgm:cxn modelId="{3C324B0F-68AE-4C73-B589-25415EB7FB75}" type="presParOf" srcId="{478CEBDD-369D-4E16-B47F-12DBC4E82AEC}" destId="{6860D188-A783-4791-B97C-D133DC3F35D1}" srcOrd="2" destOrd="0" presId="urn:microsoft.com/office/officeart/2005/8/layout/orgChart1"/>
    <dgm:cxn modelId="{5A502DF4-AEB0-483B-A68A-7D235370B95C}" type="presParOf" srcId="{EAB2876E-12FD-41F6-A558-84498290735D}" destId="{DC1A4D81-B3F0-4911-B373-8ECDC92BCC33}" srcOrd="4" destOrd="0" presId="urn:microsoft.com/office/officeart/2005/8/layout/orgChart1"/>
    <dgm:cxn modelId="{34CB4F7C-A4EA-48BD-AF8D-7FBB05FD0D47}" type="presParOf" srcId="{EAB2876E-12FD-41F6-A558-84498290735D}" destId="{A8003868-7685-499A-9B88-69B049AB1467}" srcOrd="5" destOrd="0" presId="urn:microsoft.com/office/officeart/2005/8/layout/orgChart1"/>
    <dgm:cxn modelId="{A90C8A47-A71F-4E7A-90E5-4CC402FC05BB}" type="presParOf" srcId="{A8003868-7685-499A-9B88-69B049AB1467}" destId="{0DDC3DA0-0645-430E-98D3-9B18A1728F4A}" srcOrd="0" destOrd="0" presId="urn:microsoft.com/office/officeart/2005/8/layout/orgChart1"/>
    <dgm:cxn modelId="{0B9393BD-0E61-4B17-ADFC-59F3711CC29C}" type="presParOf" srcId="{0DDC3DA0-0645-430E-98D3-9B18A1728F4A}" destId="{FE30A760-6930-4324-9383-4652061B8625}" srcOrd="0" destOrd="0" presId="urn:microsoft.com/office/officeart/2005/8/layout/orgChart1"/>
    <dgm:cxn modelId="{9D5FF40D-84D7-4423-B131-DC00B42E6E1B}" type="presParOf" srcId="{0DDC3DA0-0645-430E-98D3-9B18A1728F4A}" destId="{34DA6619-D447-4776-8A9D-41EC9F3B43F6}" srcOrd="1" destOrd="0" presId="urn:microsoft.com/office/officeart/2005/8/layout/orgChart1"/>
    <dgm:cxn modelId="{C19E90F6-FF9F-4B2C-807A-C57956BAA801}" type="presParOf" srcId="{A8003868-7685-499A-9B88-69B049AB1467}" destId="{CD021F11-B0C4-44D7-A8EA-2CD9BAFAFB54}" srcOrd="1" destOrd="0" presId="urn:microsoft.com/office/officeart/2005/8/layout/orgChart1"/>
    <dgm:cxn modelId="{E49C111C-3F71-4FA4-B771-149AA7FCF585}" type="presParOf" srcId="{A8003868-7685-499A-9B88-69B049AB1467}" destId="{B904AA55-FE5F-4539-B13B-5C1C25F37ECF}" srcOrd="2" destOrd="0" presId="urn:microsoft.com/office/officeart/2005/8/layout/orgChart1"/>
    <dgm:cxn modelId="{79A85617-F85D-4CF7-97B1-3330E9F9996E}" type="presParOf" srcId="{6A82D0E9-0F75-4F66-9A81-0A8433E8FD00}" destId="{801F8D1C-5347-4CE9-BCBC-633F7D7199DF}" srcOrd="2" destOrd="0" presId="urn:microsoft.com/office/officeart/2005/8/layout/orgChart1"/>
    <dgm:cxn modelId="{6FE6BE45-C7D2-44FF-BB44-B226409437A1}" type="presParOf" srcId="{1A49E759-F967-4D80-8242-304EDAD33641}" destId="{E5AFC083-BCF8-480F-B757-C0A2903F35B9}" srcOrd="2" destOrd="0" presId="urn:microsoft.com/office/officeart/2005/8/layout/orgChart1"/>
    <dgm:cxn modelId="{301D98AE-A8AD-47B7-8440-E7EB6FCECE1D}" type="presParOf" srcId="{1A49E759-F967-4D80-8242-304EDAD33641}" destId="{1FD15002-7EAF-4B27-A23A-A25054CD379C}" srcOrd="3" destOrd="0" presId="urn:microsoft.com/office/officeart/2005/8/layout/orgChart1"/>
    <dgm:cxn modelId="{37762C7A-9B09-4315-91F6-E1A489043C50}" type="presParOf" srcId="{1FD15002-7EAF-4B27-A23A-A25054CD379C}" destId="{E85786AD-E057-459F-AB6A-5AD3EFBD5C72}" srcOrd="0" destOrd="0" presId="urn:microsoft.com/office/officeart/2005/8/layout/orgChart1"/>
    <dgm:cxn modelId="{9519DE6B-EC96-48D0-92CC-27752B745BC5}" type="presParOf" srcId="{E85786AD-E057-459F-AB6A-5AD3EFBD5C72}" destId="{A05AFE4B-6817-40BD-A5CB-6635CE2F523D}" srcOrd="0" destOrd="0" presId="urn:microsoft.com/office/officeart/2005/8/layout/orgChart1"/>
    <dgm:cxn modelId="{DB14EEF1-79E4-4068-9911-524CF34325B6}" type="presParOf" srcId="{E85786AD-E057-459F-AB6A-5AD3EFBD5C72}" destId="{540A3357-E396-47EA-9431-B3424B4F868A}" srcOrd="1" destOrd="0" presId="urn:microsoft.com/office/officeart/2005/8/layout/orgChart1"/>
    <dgm:cxn modelId="{78BACC7D-9B5D-4F07-B9D9-A5A98A65F45B}" type="presParOf" srcId="{1FD15002-7EAF-4B27-A23A-A25054CD379C}" destId="{B63D8EE2-3097-4226-96C1-CE2E8A116CE6}" srcOrd="1" destOrd="0" presId="urn:microsoft.com/office/officeart/2005/8/layout/orgChart1"/>
    <dgm:cxn modelId="{7B2D2980-D261-44CD-8DA8-EA42FCF2B643}" type="presParOf" srcId="{B63D8EE2-3097-4226-96C1-CE2E8A116CE6}" destId="{FD650382-6235-44C4-AFDC-13B7D5A2F7D2}" srcOrd="0" destOrd="0" presId="urn:microsoft.com/office/officeart/2005/8/layout/orgChart1"/>
    <dgm:cxn modelId="{F54D05C1-70D8-4C8F-9BE9-D90E60F89D85}" type="presParOf" srcId="{B63D8EE2-3097-4226-96C1-CE2E8A116CE6}" destId="{63312E14-CA10-45A4-B8D7-C17556C4A9D5}" srcOrd="1" destOrd="0" presId="urn:microsoft.com/office/officeart/2005/8/layout/orgChart1"/>
    <dgm:cxn modelId="{1EF3EADD-CA26-42D7-B15C-2EDD50C5E4E5}" type="presParOf" srcId="{63312E14-CA10-45A4-B8D7-C17556C4A9D5}" destId="{6FC9A80D-3E6E-4D55-8A31-09CEA26DABFA}" srcOrd="0" destOrd="0" presId="urn:microsoft.com/office/officeart/2005/8/layout/orgChart1"/>
    <dgm:cxn modelId="{A3312C41-85B1-441E-A33E-3F8B86D596AB}" type="presParOf" srcId="{6FC9A80D-3E6E-4D55-8A31-09CEA26DABFA}" destId="{D5071D38-C833-4BE0-A908-01652DC46906}" srcOrd="0" destOrd="0" presId="urn:microsoft.com/office/officeart/2005/8/layout/orgChart1"/>
    <dgm:cxn modelId="{ADEA088B-0CCA-45BD-BC07-ED05AF3EF085}" type="presParOf" srcId="{6FC9A80D-3E6E-4D55-8A31-09CEA26DABFA}" destId="{CE448795-BE47-459F-A538-3160AB63BB43}" srcOrd="1" destOrd="0" presId="urn:microsoft.com/office/officeart/2005/8/layout/orgChart1"/>
    <dgm:cxn modelId="{D0E56D79-852F-446A-82C0-8A994EC51E57}" type="presParOf" srcId="{63312E14-CA10-45A4-B8D7-C17556C4A9D5}" destId="{88A2C421-B3DF-435F-B6CE-60AE9788F4AF}" srcOrd="1" destOrd="0" presId="urn:microsoft.com/office/officeart/2005/8/layout/orgChart1"/>
    <dgm:cxn modelId="{8871546C-625E-46F2-A7AA-7F4DC026F379}" type="presParOf" srcId="{63312E14-CA10-45A4-B8D7-C17556C4A9D5}" destId="{12756C8E-B856-41B2-BB81-E25C71502A35}" srcOrd="2" destOrd="0" presId="urn:microsoft.com/office/officeart/2005/8/layout/orgChart1"/>
    <dgm:cxn modelId="{357EF606-24DD-4402-B1A1-7C3805727BED}" type="presParOf" srcId="{B63D8EE2-3097-4226-96C1-CE2E8A116CE6}" destId="{1C41F492-2990-4BE4-9314-EB48BD65514D}" srcOrd="2" destOrd="0" presId="urn:microsoft.com/office/officeart/2005/8/layout/orgChart1"/>
    <dgm:cxn modelId="{0934158A-A315-4438-9E89-B2A4F1E11036}" type="presParOf" srcId="{B63D8EE2-3097-4226-96C1-CE2E8A116CE6}" destId="{096F7EC8-C31A-41C1-B6C2-A454881F621C}" srcOrd="3" destOrd="0" presId="urn:microsoft.com/office/officeart/2005/8/layout/orgChart1"/>
    <dgm:cxn modelId="{222C2315-33A8-480F-BDB6-213C7FE97C5E}" type="presParOf" srcId="{096F7EC8-C31A-41C1-B6C2-A454881F621C}" destId="{1BE4FAAC-2982-481D-A140-4C683C737802}" srcOrd="0" destOrd="0" presId="urn:microsoft.com/office/officeart/2005/8/layout/orgChart1"/>
    <dgm:cxn modelId="{E930B537-C406-4DF0-ACA5-EAD5642FB940}" type="presParOf" srcId="{1BE4FAAC-2982-481D-A140-4C683C737802}" destId="{3A863F37-C3AC-4458-8574-3AD003DD6F56}" srcOrd="0" destOrd="0" presId="urn:microsoft.com/office/officeart/2005/8/layout/orgChart1"/>
    <dgm:cxn modelId="{88632F4E-DBF5-4ED6-95DB-29D0F86123AD}" type="presParOf" srcId="{1BE4FAAC-2982-481D-A140-4C683C737802}" destId="{30871230-B08E-4EBC-B074-6F43AA5D5AF4}" srcOrd="1" destOrd="0" presId="urn:microsoft.com/office/officeart/2005/8/layout/orgChart1"/>
    <dgm:cxn modelId="{F6A77BBE-FCC7-4EC1-9FBE-072D70D4456B}" type="presParOf" srcId="{096F7EC8-C31A-41C1-B6C2-A454881F621C}" destId="{7986CAFF-483B-4DBE-8C03-9B5D1A12525C}" srcOrd="1" destOrd="0" presId="urn:microsoft.com/office/officeart/2005/8/layout/orgChart1"/>
    <dgm:cxn modelId="{47C4D2A0-C8CC-4019-941C-EB56A922CE71}" type="presParOf" srcId="{096F7EC8-C31A-41C1-B6C2-A454881F621C}" destId="{920B338D-90F0-4681-9789-A1EBBEDC209A}" srcOrd="2" destOrd="0" presId="urn:microsoft.com/office/officeart/2005/8/layout/orgChart1"/>
    <dgm:cxn modelId="{5085ED7E-A964-4229-ACB1-7418A9AC1153}" type="presParOf" srcId="{B63D8EE2-3097-4226-96C1-CE2E8A116CE6}" destId="{4F941574-88BA-400A-AD6A-E9B7DC95341F}" srcOrd="4" destOrd="0" presId="urn:microsoft.com/office/officeart/2005/8/layout/orgChart1"/>
    <dgm:cxn modelId="{E376ECC6-E966-4A2E-8AE9-E61BD2642D74}" type="presParOf" srcId="{B63D8EE2-3097-4226-96C1-CE2E8A116CE6}" destId="{868DCC0F-8989-4BBB-A5D6-1CB131D3DD22}" srcOrd="5" destOrd="0" presId="urn:microsoft.com/office/officeart/2005/8/layout/orgChart1"/>
    <dgm:cxn modelId="{0D1BC0AA-C2D0-4865-90F4-50FBB74B8812}" type="presParOf" srcId="{868DCC0F-8989-4BBB-A5D6-1CB131D3DD22}" destId="{79CBED2B-81E4-4BE8-8B5F-8ADA7FE5AD17}" srcOrd="0" destOrd="0" presId="urn:microsoft.com/office/officeart/2005/8/layout/orgChart1"/>
    <dgm:cxn modelId="{834BA878-307A-4EFA-83BB-C05BE550353D}" type="presParOf" srcId="{79CBED2B-81E4-4BE8-8B5F-8ADA7FE5AD17}" destId="{20C6C4B9-9A5A-45C3-9807-209E4361EFA2}" srcOrd="0" destOrd="0" presId="urn:microsoft.com/office/officeart/2005/8/layout/orgChart1"/>
    <dgm:cxn modelId="{A874ED93-51E4-49E2-9381-103FC066FA3F}" type="presParOf" srcId="{79CBED2B-81E4-4BE8-8B5F-8ADA7FE5AD17}" destId="{BA2D4A18-C1EC-428E-95CC-5D64491F00BE}" srcOrd="1" destOrd="0" presId="urn:microsoft.com/office/officeart/2005/8/layout/orgChart1"/>
    <dgm:cxn modelId="{978E7335-4C99-4595-8B39-F6C37E8095F3}" type="presParOf" srcId="{868DCC0F-8989-4BBB-A5D6-1CB131D3DD22}" destId="{31CF4544-96E4-4663-82BA-834C7E886317}" srcOrd="1" destOrd="0" presId="urn:microsoft.com/office/officeart/2005/8/layout/orgChart1"/>
    <dgm:cxn modelId="{8E084E8D-92F8-4384-B3BA-44F75D940BE5}" type="presParOf" srcId="{868DCC0F-8989-4BBB-A5D6-1CB131D3DD22}" destId="{91394AF7-56E4-4E03-A549-5A91EF85ED30}" srcOrd="2" destOrd="0" presId="urn:microsoft.com/office/officeart/2005/8/layout/orgChart1"/>
    <dgm:cxn modelId="{2769F8DC-D1DD-4DAA-8B38-21985903CE44}" type="presParOf" srcId="{1FD15002-7EAF-4B27-A23A-A25054CD379C}" destId="{64D187C2-D084-482D-8675-62EECCEAD20F}" srcOrd="2" destOrd="0" presId="urn:microsoft.com/office/officeart/2005/8/layout/orgChart1"/>
    <dgm:cxn modelId="{13100CE7-C57F-476D-8689-A33B99B97966}" type="presParOf" srcId="{3B20DD31-089A-4988-B75E-075066A07206}" destId="{BD82891E-F8CF-4B15-A4E8-28DB369D4CC0}" srcOrd="2" destOrd="0" presId="urn:microsoft.com/office/officeart/2005/8/layout/orgChart1"/>
    <dgm:cxn modelId="{AC86DC9C-15DE-4B0D-BDA2-B8AD19A034A7}" type="presParOf" srcId="{1C8057A3-F851-4E6B-A639-DAB61254C573}" destId="{3E1FFD9D-62C1-4398-A1E9-537E84CFCBCD}" srcOrd="2" destOrd="0" presId="urn:microsoft.com/office/officeart/2005/8/layout/orgChart1"/>
    <dgm:cxn modelId="{1BAC8EE1-A1DE-4A95-BC38-A951EBA1342E}" type="presParOf" srcId="{1C8057A3-F851-4E6B-A639-DAB61254C573}" destId="{03040226-A09D-40CF-A751-EC9B78C006A5}" srcOrd="3" destOrd="0" presId="urn:microsoft.com/office/officeart/2005/8/layout/orgChart1"/>
    <dgm:cxn modelId="{A188CFC5-2B43-474F-8111-96D0CCA6BE34}" type="presParOf" srcId="{03040226-A09D-40CF-A751-EC9B78C006A5}" destId="{F76D9B49-0233-49F0-8B09-F0B698FBB4AC}" srcOrd="0" destOrd="0" presId="urn:microsoft.com/office/officeart/2005/8/layout/orgChart1"/>
    <dgm:cxn modelId="{579473B1-4608-4067-ADBA-339A1D79FA1C}" type="presParOf" srcId="{F76D9B49-0233-49F0-8B09-F0B698FBB4AC}" destId="{EC5E56BE-31F3-42DF-A27B-34178939EDE6}" srcOrd="0" destOrd="0" presId="urn:microsoft.com/office/officeart/2005/8/layout/orgChart1"/>
    <dgm:cxn modelId="{712AF062-C575-4759-85D1-451E3D2D27BD}" type="presParOf" srcId="{F76D9B49-0233-49F0-8B09-F0B698FBB4AC}" destId="{97527912-B1F6-4A6B-B117-847E82112F7B}" srcOrd="1" destOrd="0" presId="urn:microsoft.com/office/officeart/2005/8/layout/orgChart1"/>
    <dgm:cxn modelId="{AFF70C1E-D642-4B60-BB5D-5433AB25354F}" type="presParOf" srcId="{03040226-A09D-40CF-A751-EC9B78C006A5}" destId="{4026DA88-E168-41C8-8108-9756040F8613}" srcOrd="1" destOrd="0" presId="urn:microsoft.com/office/officeart/2005/8/layout/orgChart1"/>
    <dgm:cxn modelId="{D8EFB229-70D5-4B38-A041-653E106B7B0B}" type="presParOf" srcId="{4026DA88-E168-41C8-8108-9756040F8613}" destId="{96C689CC-101E-4D63-B85A-82B19092B322}" srcOrd="0" destOrd="0" presId="urn:microsoft.com/office/officeart/2005/8/layout/orgChart1"/>
    <dgm:cxn modelId="{9D1F50E4-77EC-474C-A466-D40DDF02F97B}" type="presParOf" srcId="{4026DA88-E168-41C8-8108-9756040F8613}" destId="{57EBB9C7-5CC3-49E1-BDC0-B130F6BA7FEA}" srcOrd="1" destOrd="0" presId="urn:microsoft.com/office/officeart/2005/8/layout/orgChart1"/>
    <dgm:cxn modelId="{0729F6CD-E97D-4648-B140-C47EF69646FC}" type="presParOf" srcId="{57EBB9C7-5CC3-49E1-BDC0-B130F6BA7FEA}" destId="{DD0BFD81-FD40-4EB2-B13B-2857AA158B0B}" srcOrd="0" destOrd="0" presId="urn:microsoft.com/office/officeart/2005/8/layout/orgChart1"/>
    <dgm:cxn modelId="{D7EAC2BC-2C02-4208-9405-FB299DFAC8D6}" type="presParOf" srcId="{DD0BFD81-FD40-4EB2-B13B-2857AA158B0B}" destId="{F2F5AAF5-2142-4BE5-8DC1-0DFA7315EF63}" srcOrd="0" destOrd="0" presId="urn:microsoft.com/office/officeart/2005/8/layout/orgChart1"/>
    <dgm:cxn modelId="{9F3FB0A3-568F-4AB5-8ECD-446A88DE1259}" type="presParOf" srcId="{DD0BFD81-FD40-4EB2-B13B-2857AA158B0B}" destId="{B86FD87E-B3D2-4257-9F54-2C52D9DCE53B}" srcOrd="1" destOrd="0" presId="urn:microsoft.com/office/officeart/2005/8/layout/orgChart1"/>
    <dgm:cxn modelId="{5D96CBA5-589F-4AD7-AD60-C0F85D38367B}" type="presParOf" srcId="{57EBB9C7-5CC3-49E1-BDC0-B130F6BA7FEA}" destId="{391BA632-8698-44F1-AAD4-84082FFAE0F6}" srcOrd="1" destOrd="0" presId="urn:microsoft.com/office/officeart/2005/8/layout/orgChart1"/>
    <dgm:cxn modelId="{DD315712-52FB-4606-AB02-2F323B08BD49}" type="presParOf" srcId="{391BA632-8698-44F1-AAD4-84082FFAE0F6}" destId="{0161E30F-4093-4997-B3F1-1201673578E1}" srcOrd="0" destOrd="0" presId="urn:microsoft.com/office/officeart/2005/8/layout/orgChart1"/>
    <dgm:cxn modelId="{19AFB46E-0D77-4260-B2A7-9B2677EED375}" type="presParOf" srcId="{391BA632-8698-44F1-AAD4-84082FFAE0F6}" destId="{B00EAF69-B24E-4CA5-B026-59DD7700CD14}" srcOrd="1" destOrd="0" presId="urn:microsoft.com/office/officeart/2005/8/layout/orgChart1"/>
    <dgm:cxn modelId="{1D63FFEB-F66E-4282-9370-023131E08475}" type="presParOf" srcId="{B00EAF69-B24E-4CA5-B026-59DD7700CD14}" destId="{7849A711-94B7-4D03-B1DC-B24C6C5055A5}" srcOrd="0" destOrd="0" presId="urn:microsoft.com/office/officeart/2005/8/layout/orgChart1"/>
    <dgm:cxn modelId="{FDBB4FFE-4D86-4781-8AF8-4F1D6D5CB323}" type="presParOf" srcId="{7849A711-94B7-4D03-B1DC-B24C6C5055A5}" destId="{8799E431-6FA9-405E-AFC0-FC474A0E47B7}" srcOrd="0" destOrd="0" presId="urn:microsoft.com/office/officeart/2005/8/layout/orgChart1"/>
    <dgm:cxn modelId="{DE68AD70-8C80-427C-9678-A5B5281CFF51}" type="presParOf" srcId="{7849A711-94B7-4D03-B1DC-B24C6C5055A5}" destId="{81BAF2C6-251E-4A70-A91D-76B8D24741FC}" srcOrd="1" destOrd="0" presId="urn:microsoft.com/office/officeart/2005/8/layout/orgChart1"/>
    <dgm:cxn modelId="{957BC563-F4CC-424F-9E2E-F827E1696783}" type="presParOf" srcId="{B00EAF69-B24E-4CA5-B026-59DD7700CD14}" destId="{7F5AFD6E-4DCF-4A05-91FB-D97AB635CD92}" srcOrd="1" destOrd="0" presId="urn:microsoft.com/office/officeart/2005/8/layout/orgChart1"/>
    <dgm:cxn modelId="{CD5DFCFA-7DCF-44DF-B51B-D45CB21D1564}" type="presParOf" srcId="{B00EAF69-B24E-4CA5-B026-59DD7700CD14}" destId="{8EE34C08-0D33-463D-B0AF-37B972B1EEFB}" srcOrd="2" destOrd="0" presId="urn:microsoft.com/office/officeart/2005/8/layout/orgChart1"/>
    <dgm:cxn modelId="{2FFD560B-A2DE-49CB-BAFC-07AA84A0DA7C}" type="presParOf" srcId="{391BA632-8698-44F1-AAD4-84082FFAE0F6}" destId="{B5A96947-ABEF-401A-96D0-3836E812C03D}" srcOrd="2" destOrd="0" presId="urn:microsoft.com/office/officeart/2005/8/layout/orgChart1"/>
    <dgm:cxn modelId="{AE356ECD-B9AB-4A85-96CB-820D36BC51F4}" type="presParOf" srcId="{391BA632-8698-44F1-AAD4-84082FFAE0F6}" destId="{20CD56AD-225B-4B05-A81B-FE997AEC90FB}" srcOrd="3" destOrd="0" presId="urn:microsoft.com/office/officeart/2005/8/layout/orgChart1"/>
    <dgm:cxn modelId="{269AA6C5-9BD9-418E-812F-3CAB64D6DCAD}" type="presParOf" srcId="{20CD56AD-225B-4B05-A81B-FE997AEC90FB}" destId="{C9847241-A402-4ED9-B7DB-1BF7602D6049}" srcOrd="0" destOrd="0" presId="urn:microsoft.com/office/officeart/2005/8/layout/orgChart1"/>
    <dgm:cxn modelId="{DA279189-73FF-44BA-9345-618D408805AA}" type="presParOf" srcId="{C9847241-A402-4ED9-B7DB-1BF7602D6049}" destId="{116BC929-D6BC-4F34-9C09-1260A0B58BAA}" srcOrd="0" destOrd="0" presId="urn:microsoft.com/office/officeart/2005/8/layout/orgChart1"/>
    <dgm:cxn modelId="{775303B6-38E1-4674-B9FA-1A9D41BC545E}" type="presParOf" srcId="{C9847241-A402-4ED9-B7DB-1BF7602D6049}" destId="{D41847F8-A290-4AE9-9728-2CCC36FBC561}" srcOrd="1" destOrd="0" presId="urn:microsoft.com/office/officeart/2005/8/layout/orgChart1"/>
    <dgm:cxn modelId="{A0858429-FB48-45B8-85E3-93D066758D09}" type="presParOf" srcId="{20CD56AD-225B-4B05-A81B-FE997AEC90FB}" destId="{2D234E31-717A-4B2C-9686-21A338070B8C}" srcOrd="1" destOrd="0" presId="urn:microsoft.com/office/officeart/2005/8/layout/orgChart1"/>
    <dgm:cxn modelId="{CCBE827C-6560-477D-83D8-3A96133670E3}" type="presParOf" srcId="{20CD56AD-225B-4B05-A81B-FE997AEC90FB}" destId="{E9722A6E-B20E-4C57-AE18-F3144E2F5A41}" srcOrd="2" destOrd="0" presId="urn:microsoft.com/office/officeart/2005/8/layout/orgChart1"/>
    <dgm:cxn modelId="{DE379EFC-7128-409B-9827-88F57A49F3F6}" type="presParOf" srcId="{391BA632-8698-44F1-AAD4-84082FFAE0F6}" destId="{1B2BB266-D19F-4DBE-ADBE-D69D354D9284}" srcOrd="4" destOrd="0" presId="urn:microsoft.com/office/officeart/2005/8/layout/orgChart1"/>
    <dgm:cxn modelId="{923E34AB-B1CA-4C25-B482-9DB64305FE40}" type="presParOf" srcId="{391BA632-8698-44F1-AAD4-84082FFAE0F6}" destId="{0ECB1B7C-DFB5-4C86-B420-28E275522396}" srcOrd="5" destOrd="0" presId="urn:microsoft.com/office/officeart/2005/8/layout/orgChart1"/>
    <dgm:cxn modelId="{C4D998CB-42C8-40EF-8168-FB21E7C8865F}" type="presParOf" srcId="{0ECB1B7C-DFB5-4C86-B420-28E275522396}" destId="{C3B5747F-3DCC-4AFF-9351-07387C94B46B}" srcOrd="0" destOrd="0" presId="urn:microsoft.com/office/officeart/2005/8/layout/orgChart1"/>
    <dgm:cxn modelId="{E0606DF6-38E0-4F8B-8587-D293750BAADB}" type="presParOf" srcId="{C3B5747F-3DCC-4AFF-9351-07387C94B46B}" destId="{25BAE859-04A4-4B09-B312-4C8D5A4996E1}" srcOrd="0" destOrd="0" presId="urn:microsoft.com/office/officeart/2005/8/layout/orgChart1"/>
    <dgm:cxn modelId="{215671DD-E8CF-4429-8913-9AF47A21EBDD}" type="presParOf" srcId="{C3B5747F-3DCC-4AFF-9351-07387C94B46B}" destId="{C370D5D3-01AB-447D-ACD8-FAF26E6B139B}" srcOrd="1" destOrd="0" presId="urn:microsoft.com/office/officeart/2005/8/layout/orgChart1"/>
    <dgm:cxn modelId="{E2DF19FA-F8B7-467B-AC0E-D70B4B2DCBA5}" type="presParOf" srcId="{0ECB1B7C-DFB5-4C86-B420-28E275522396}" destId="{48B9D83B-0B5A-4697-B4F2-BD8461B3D97D}" srcOrd="1" destOrd="0" presId="urn:microsoft.com/office/officeart/2005/8/layout/orgChart1"/>
    <dgm:cxn modelId="{38FF3032-B036-4AE3-AC5D-619EB8797E57}" type="presParOf" srcId="{0ECB1B7C-DFB5-4C86-B420-28E275522396}" destId="{8224E776-4F76-4A49-BD99-57A0AF346242}" srcOrd="2" destOrd="0" presId="urn:microsoft.com/office/officeart/2005/8/layout/orgChart1"/>
    <dgm:cxn modelId="{73DD12D1-4BF1-47AC-8379-228CDCB41A87}" type="presParOf" srcId="{57EBB9C7-5CC3-49E1-BDC0-B130F6BA7FEA}" destId="{5CD306DD-07BC-49D6-9F87-0A047228950D}" srcOrd="2" destOrd="0" presId="urn:microsoft.com/office/officeart/2005/8/layout/orgChart1"/>
    <dgm:cxn modelId="{C58541BB-BD20-4D70-8950-35F4CA192CF4}" type="presParOf" srcId="{4026DA88-E168-41C8-8108-9756040F8613}" destId="{1B49B9F1-5F91-4399-8FD0-E0C6C1FDD215}" srcOrd="2" destOrd="0" presId="urn:microsoft.com/office/officeart/2005/8/layout/orgChart1"/>
    <dgm:cxn modelId="{19B446F4-F5ED-4453-B30D-7D089651F81F}" type="presParOf" srcId="{4026DA88-E168-41C8-8108-9756040F8613}" destId="{BA5D766B-22DF-4BC3-8B3F-A9C8BCA0BF41}" srcOrd="3" destOrd="0" presId="urn:microsoft.com/office/officeart/2005/8/layout/orgChart1"/>
    <dgm:cxn modelId="{1F0C79F5-EA9F-44F4-A20E-A1204BEF8141}" type="presParOf" srcId="{BA5D766B-22DF-4BC3-8B3F-A9C8BCA0BF41}" destId="{DAB8C791-DD15-4907-BD77-823E61566150}" srcOrd="0" destOrd="0" presId="urn:microsoft.com/office/officeart/2005/8/layout/orgChart1"/>
    <dgm:cxn modelId="{F215B8A6-78E0-4E9F-A934-5B40EC9893FC}" type="presParOf" srcId="{DAB8C791-DD15-4907-BD77-823E61566150}" destId="{C6FAE481-67BA-4D7E-BD1A-F67ED416B205}" srcOrd="0" destOrd="0" presId="urn:microsoft.com/office/officeart/2005/8/layout/orgChart1"/>
    <dgm:cxn modelId="{762299CE-ACA3-4D98-9E16-0A70E7CBBA9D}" type="presParOf" srcId="{DAB8C791-DD15-4907-BD77-823E61566150}" destId="{75427552-2D0A-4F1C-8079-4B4827973E52}" srcOrd="1" destOrd="0" presId="urn:microsoft.com/office/officeart/2005/8/layout/orgChart1"/>
    <dgm:cxn modelId="{ABA03785-61B2-4F23-BA66-5D54D5B8C3C6}" type="presParOf" srcId="{BA5D766B-22DF-4BC3-8B3F-A9C8BCA0BF41}" destId="{C78131B2-9EE3-45DF-95B0-DBFB8B884303}" srcOrd="1" destOrd="0" presId="urn:microsoft.com/office/officeart/2005/8/layout/orgChart1"/>
    <dgm:cxn modelId="{A1F4615C-B46E-4BF1-8B64-BD5C96121568}" type="presParOf" srcId="{C78131B2-9EE3-45DF-95B0-DBFB8B884303}" destId="{74C1649D-EF19-49F0-9BF9-C6425D9F64B5}" srcOrd="0" destOrd="0" presId="urn:microsoft.com/office/officeart/2005/8/layout/orgChart1"/>
    <dgm:cxn modelId="{1D7D037C-E6BF-4C39-871D-98D79C70D252}" type="presParOf" srcId="{C78131B2-9EE3-45DF-95B0-DBFB8B884303}" destId="{3FC7A68F-AC8D-4566-9565-85F317217343}" srcOrd="1" destOrd="0" presId="urn:microsoft.com/office/officeart/2005/8/layout/orgChart1"/>
    <dgm:cxn modelId="{DA5C578E-8BC3-4E52-9961-1B39D021E21A}" type="presParOf" srcId="{3FC7A68F-AC8D-4566-9565-85F317217343}" destId="{61B599DB-8D90-42FB-AEAC-70920058FF2F}" srcOrd="0" destOrd="0" presId="urn:microsoft.com/office/officeart/2005/8/layout/orgChart1"/>
    <dgm:cxn modelId="{3B57A456-A12A-4BB9-BB79-272AF97DF0AC}" type="presParOf" srcId="{61B599DB-8D90-42FB-AEAC-70920058FF2F}" destId="{BA318FA3-3732-47A2-BFDB-25B111F1CC72}" srcOrd="0" destOrd="0" presId="urn:microsoft.com/office/officeart/2005/8/layout/orgChart1"/>
    <dgm:cxn modelId="{DE54DF4B-446F-41BA-AD2A-06C4E6015D16}" type="presParOf" srcId="{61B599DB-8D90-42FB-AEAC-70920058FF2F}" destId="{0199E8D5-030D-48B5-BA68-3A351492EA87}" srcOrd="1" destOrd="0" presId="urn:microsoft.com/office/officeart/2005/8/layout/orgChart1"/>
    <dgm:cxn modelId="{F82AEC56-5C9D-4D3F-A696-263B87CB1901}" type="presParOf" srcId="{3FC7A68F-AC8D-4566-9565-85F317217343}" destId="{C00C011B-E31D-48B3-B7DF-6B13E0AFFCC5}" srcOrd="1" destOrd="0" presId="urn:microsoft.com/office/officeart/2005/8/layout/orgChart1"/>
    <dgm:cxn modelId="{ADA31729-2F76-4296-A6D6-F874670A46E9}" type="presParOf" srcId="{3FC7A68F-AC8D-4566-9565-85F317217343}" destId="{9B633D3F-BBD4-43FB-B394-55AB66957496}" srcOrd="2" destOrd="0" presId="urn:microsoft.com/office/officeart/2005/8/layout/orgChart1"/>
    <dgm:cxn modelId="{B11A5DF5-BA65-4A73-9DCC-161C664723C3}" type="presParOf" srcId="{C78131B2-9EE3-45DF-95B0-DBFB8B884303}" destId="{C899FC0A-A3D9-4A60-8EB7-BCB8FD3B2E91}" srcOrd="2" destOrd="0" presId="urn:microsoft.com/office/officeart/2005/8/layout/orgChart1"/>
    <dgm:cxn modelId="{E1E5EA41-7E36-42F5-B4FD-074667D10590}" type="presParOf" srcId="{C78131B2-9EE3-45DF-95B0-DBFB8B884303}" destId="{F7118A62-5410-4FAE-91D8-DB03A73EDC00}" srcOrd="3" destOrd="0" presId="urn:microsoft.com/office/officeart/2005/8/layout/orgChart1"/>
    <dgm:cxn modelId="{8443A104-E05D-46AC-B5CA-1E8A35C3ED52}" type="presParOf" srcId="{F7118A62-5410-4FAE-91D8-DB03A73EDC00}" destId="{99757DE8-75E0-4A63-BBC9-80424FDA5AC3}" srcOrd="0" destOrd="0" presId="urn:microsoft.com/office/officeart/2005/8/layout/orgChart1"/>
    <dgm:cxn modelId="{C2809FF5-4CA8-4F82-B0EC-FEEA5A50373A}" type="presParOf" srcId="{99757DE8-75E0-4A63-BBC9-80424FDA5AC3}" destId="{A9AA7563-F92E-4645-892D-47A7CE5B8F08}" srcOrd="0" destOrd="0" presId="urn:microsoft.com/office/officeart/2005/8/layout/orgChart1"/>
    <dgm:cxn modelId="{305CBC89-EE85-47DA-934F-9F184DD87043}" type="presParOf" srcId="{99757DE8-75E0-4A63-BBC9-80424FDA5AC3}" destId="{F6F70596-404F-423F-AC40-F4EF83467B87}" srcOrd="1" destOrd="0" presId="urn:microsoft.com/office/officeart/2005/8/layout/orgChart1"/>
    <dgm:cxn modelId="{6BCDB936-1871-499D-91A2-56C140B906C7}" type="presParOf" srcId="{F7118A62-5410-4FAE-91D8-DB03A73EDC00}" destId="{93A75C0B-FE6B-4BEF-817B-E3F6E68DC628}" srcOrd="1" destOrd="0" presId="urn:microsoft.com/office/officeart/2005/8/layout/orgChart1"/>
    <dgm:cxn modelId="{75138556-C2AA-4123-A235-FF93597A3784}" type="presParOf" srcId="{F7118A62-5410-4FAE-91D8-DB03A73EDC00}" destId="{DB975C75-0FD1-48E7-BE9F-0688054D0B30}" srcOrd="2" destOrd="0" presId="urn:microsoft.com/office/officeart/2005/8/layout/orgChart1"/>
    <dgm:cxn modelId="{FA7BCABA-8C64-4F49-9C25-221CA82925B7}" type="presParOf" srcId="{C78131B2-9EE3-45DF-95B0-DBFB8B884303}" destId="{6215E18D-827F-4004-9550-6662DF0B1FD5}" srcOrd="4" destOrd="0" presId="urn:microsoft.com/office/officeart/2005/8/layout/orgChart1"/>
    <dgm:cxn modelId="{2D89F40A-F567-45E8-8D22-18DAD96EBB5F}" type="presParOf" srcId="{C78131B2-9EE3-45DF-95B0-DBFB8B884303}" destId="{B4C9983E-DDBE-481D-B4D9-5AB02BD01E5B}" srcOrd="5" destOrd="0" presId="urn:microsoft.com/office/officeart/2005/8/layout/orgChart1"/>
    <dgm:cxn modelId="{09F5FE74-4B59-4FD9-9CE3-64451398ED84}" type="presParOf" srcId="{B4C9983E-DDBE-481D-B4D9-5AB02BD01E5B}" destId="{8C17F6F2-9D28-4E09-A872-1D994DE8E47B}" srcOrd="0" destOrd="0" presId="urn:microsoft.com/office/officeart/2005/8/layout/orgChart1"/>
    <dgm:cxn modelId="{AD0A9406-2551-4E0E-9F78-E81361A5F52B}" type="presParOf" srcId="{8C17F6F2-9D28-4E09-A872-1D994DE8E47B}" destId="{A8238D60-84C2-41B2-B134-97EF17FFCCA1}" srcOrd="0" destOrd="0" presId="urn:microsoft.com/office/officeart/2005/8/layout/orgChart1"/>
    <dgm:cxn modelId="{3C3E2A08-810B-4B88-B101-0633F42ACCD9}" type="presParOf" srcId="{8C17F6F2-9D28-4E09-A872-1D994DE8E47B}" destId="{58910E52-ADA4-4700-81E4-99471B02D1E1}" srcOrd="1" destOrd="0" presId="urn:microsoft.com/office/officeart/2005/8/layout/orgChart1"/>
    <dgm:cxn modelId="{FFD17004-257D-4F79-A3EE-9E092FF05E22}" type="presParOf" srcId="{B4C9983E-DDBE-481D-B4D9-5AB02BD01E5B}" destId="{DB36443E-9512-4E9D-854B-6205A2458CF9}" srcOrd="1" destOrd="0" presId="urn:microsoft.com/office/officeart/2005/8/layout/orgChart1"/>
    <dgm:cxn modelId="{01F88D41-1155-4FB5-8865-477980830600}" type="presParOf" srcId="{B4C9983E-DDBE-481D-B4D9-5AB02BD01E5B}" destId="{9D6A31FB-1034-4F56-AC46-178FAF261A5A}" srcOrd="2" destOrd="0" presId="urn:microsoft.com/office/officeart/2005/8/layout/orgChart1"/>
    <dgm:cxn modelId="{84A9E968-DCDB-4D9B-8685-37A64DF65285}" type="presParOf" srcId="{BA5D766B-22DF-4BC3-8B3F-A9C8BCA0BF41}" destId="{BBA35DC0-AC7C-4B50-B04D-0B2A1D91FA0E}" srcOrd="2" destOrd="0" presId="urn:microsoft.com/office/officeart/2005/8/layout/orgChart1"/>
    <dgm:cxn modelId="{78342D88-08CC-46BF-81D1-AC15C328B85E}" type="presParOf" srcId="{03040226-A09D-40CF-A751-EC9B78C006A5}" destId="{E4A34329-6BB1-4205-AC0B-B26B211D9C68}" srcOrd="2" destOrd="0" presId="urn:microsoft.com/office/officeart/2005/8/layout/orgChart1"/>
    <dgm:cxn modelId="{9DDE3186-F5DA-4C33-B44C-30BF88090ADB}" type="presParOf" srcId="{BDC7728D-98AB-4329-A51D-AD6DAB5133B8}" destId="{263935F3-C9C4-419A-9CF8-34E721114DAC}"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8F31BE-621A-43D7-9D27-ABE74E82CE8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B7066AE4-0558-4D08-8F44-60D4E2A9827C}">
      <dgm:prSet phldrT="[Text]" custT="1"/>
      <dgm:spPr/>
      <dgm:t>
        <a:bodyPr/>
        <a:lstStyle/>
        <a:p>
          <a:r>
            <a:rPr lang="en-GB" sz="1000">
              <a:latin typeface="Arial" panose="020B0604020202020204" pitchFamily="34" charset="0"/>
              <a:cs typeface="Arial" panose="020B0604020202020204" pitchFamily="34" charset="0"/>
            </a:rPr>
            <a:t>Parents/ carers with an AUD (n=17,120)</a:t>
          </a:r>
        </a:p>
      </dgm:t>
    </dgm:pt>
    <dgm:pt modelId="{4369AED3-4CBC-4915-AD77-DBA9DC91ADBC}" type="parTrans" cxnId="{3D5C2CA8-E6D1-4118-974F-2DA5D6BB7AAB}">
      <dgm:prSet/>
      <dgm:spPr/>
      <dgm:t>
        <a:bodyPr/>
        <a:lstStyle/>
        <a:p>
          <a:endParaRPr lang="en-GB" sz="1000">
            <a:latin typeface="Arial" panose="020B0604020202020204" pitchFamily="34" charset="0"/>
            <a:cs typeface="Arial" panose="020B0604020202020204" pitchFamily="34" charset="0"/>
          </a:endParaRPr>
        </a:p>
      </dgm:t>
    </dgm:pt>
    <dgm:pt modelId="{80426A23-6C9E-484E-8921-19E869ABF9F7}" type="sibTrans" cxnId="{3D5C2CA8-E6D1-4118-974F-2DA5D6BB7AAB}">
      <dgm:prSet/>
      <dgm:spPr/>
      <dgm:t>
        <a:bodyPr/>
        <a:lstStyle/>
        <a:p>
          <a:endParaRPr lang="en-GB" sz="1000">
            <a:latin typeface="Arial" panose="020B0604020202020204" pitchFamily="34" charset="0"/>
            <a:cs typeface="Arial" panose="020B0604020202020204" pitchFamily="34" charset="0"/>
          </a:endParaRPr>
        </a:p>
      </dgm:t>
    </dgm:pt>
    <dgm:pt modelId="{6A59E961-95D7-4148-953F-100C981257AD}">
      <dgm:prSet phldrT="[Text]" custT="1"/>
      <dgm:spPr/>
      <dgm:t>
        <a:bodyPr/>
        <a:lstStyle/>
        <a:p>
          <a:r>
            <a:rPr lang="en-GB" sz="1000">
              <a:latin typeface="Arial" panose="020B0604020202020204" pitchFamily="34" charset="0"/>
              <a:cs typeface="Arial" panose="020B0604020202020204" pitchFamily="34" charset="0"/>
            </a:rPr>
            <a:t>Living with children (n=6,332)</a:t>
          </a:r>
        </a:p>
      </dgm:t>
    </dgm:pt>
    <dgm:pt modelId="{FE3C781F-63B5-4F29-A4F7-F41A66B1EEE3}" type="parTrans" cxnId="{F015A7AA-E293-4FCF-9A24-8D37A7B9CAD8}">
      <dgm:prSet/>
      <dgm:spPr/>
      <dgm:t>
        <a:bodyPr/>
        <a:lstStyle/>
        <a:p>
          <a:endParaRPr lang="en-GB" sz="1000">
            <a:latin typeface="Arial" panose="020B0604020202020204" pitchFamily="34" charset="0"/>
            <a:cs typeface="Arial" panose="020B0604020202020204" pitchFamily="34" charset="0"/>
          </a:endParaRPr>
        </a:p>
      </dgm:t>
    </dgm:pt>
    <dgm:pt modelId="{08C7DEB6-4965-4EBA-9394-19D0852B919D}" type="sibTrans" cxnId="{F015A7AA-E293-4FCF-9A24-8D37A7B9CAD8}">
      <dgm:prSet/>
      <dgm:spPr/>
      <dgm:t>
        <a:bodyPr/>
        <a:lstStyle/>
        <a:p>
          <a:endParaRPr lang="en-GB" sz="1000">
            <a:latin typeface="Arial" panose="020B0604020202020204" pitchFamily="34" charset="0"/>
            <a:cs typeface="Arial" panose="020B0604020202020204" pitchFamily="34" charset="0"/>
          </a:endParaRPr>
        </a:p>
      </dgm:t>
    </dgm:pt>
    <dgm:pt modelId="{CA74FF67-B93D-43F8-8629-1DA4B0CCCE9A}">
      <dgm:prSet phldrT="[Text]" custT="1"/>
      <dgm:spPr/>
      <dgm:t>
        <a:bodyPr/>
        <a:lstStyle/>
        <a:p>
          <a:r>
            <a:rPr lang="en-GB" sz="1000">
              <a:latin typeface="Arial" panose="020B0604020202020204" pitchFamily="34" charset="0"/>
              <a:cs typeface="Arial" panose="020B0604020202020204" pitchFamily="34" charset="0"/>
            </a:rPr>
            <a:t>Women </a:t>
          </a:r>
        </a:p>
        <a:p>
          <a:r>
            <a:rPr lang="en-GB" sz="1000">
              <a:latin typeface="Arial" panose="020B0604020202020204" pitchFamily="34" charset="0"/>
              <a:cs typeface="Arial" panose="020B0604020202020204" pitchFamily="34" charset="0"/>
            </a:rPr>
            <a:t>(n=3,165)</a:t>
          </a:r>
        </a:p>
      </dgm:t>
    </dgm:pt>
    <dgm:pt modelId="{095F1C08-25F1-461B-A2C0-9C81F2FD36BA}" type="parTrans" cxnId="{E8B7F6DA-93A6-4A20-A534-4DFA36A6F115}">
      <dgm:prSet/>
      <dgm:spPr/>
      <dgm:t>
        <a:bodyPr/>
        <a:lstStyle/>
        <a:p>
          <a:endParaRPr lang="en-GB" sz="1000">
            <a:latin typeface="Arial" panose="020B0604020202020204" pitchFamily="34" charset="0"/>
            <a:cs typeface="Arial" panose="020B0604020202020204" pitchFamily="34" charset="0"/>
          </a:endParaRPr>
        </a:p>
      </dgm:t>
    </dgm:pt>
    <dgm:pt modelId="{3178AD97-6C50-4B70-BCBC-406D56585A5F}" type="sibTrans" cxnId="{E8B7F6DA-93A6-4A20-A534-4DFA36A6F115}">
      <dgm:prSet/>
      <dgm:spPr/>
      <dgm:t>
        <a:bodyPr/>
        <a:lstStyle/>
        <a:p>
          <a:endParaRPr lang="en-GB" sz="1000">
            <a:latin typeface="Arial" panose="020B0604020202020204" pitchFamily="34" charset="0"/>
            <a:cs typeface="Arial" panose="020B0604020202020204" pitchFamily="34" charset="0"/>
          </a:endParaRPr>
        </a:p>
      </dgm:t>
    </dgm:pt>
    <dgm:pt modelId="{B19B56C3-61F5-47AF-B508-6E649DF9D214}">
      <dgm:prSet phldrT="[Text]" custT="1"/>
      <dgm:spPr/>
      <dgm:t>
        <a:bodyPr/>
        <a:lstStyle/>
        <a:p>
          <a:r>
            <a:rPr lang="en-GB" sz="1000">
              <a:latin typeface="Arial" panose="020B0604020202020204" pitchFamily="34" charset="0"/>
              <a:cs typeface="Arial" panose="020B0604020202020204" pitchFamily="34" charset="0"/>
            </a:rPr>
            <a:t>Men </a:t>
          </a:r>
        </a:p>
        <a:p>
          <a:r>
            <a:rPr lang="en-GB" sz="1000">
              <a:latin typeface="Arial" panose="020B0604020202020204" pitchFamily="34" charset="0"/>
              <a:cs typeface="Arial" panose="020B0604020202020204" pitchFamily="34" charset="0"/>
            </a:rPr>
            <a:t>(n=3,167)</a:t>
          </a:r>
        </a:p>
      </dgm:t>
    </dgm:pt>
    <dgm:pt modelId="{735C0871-3635-4A1A-B614-A3B7F6F994DB}" type="parTrans" cxnId="{A8D4E603-899F-4B59-AA61-151DF6BC4295}">
      <dgm:prSet/>
      <dgm:spPr/>
      <dgm:t>
        <a:bodyPr/>
        <a:lstStyle/>
        <a:p>
          <a:endParaRPr lang="en-GB" sz="1000">
            <a:latin typeface="Arial" panose="020B0604020202020204" pitchFamily="34" charset="0"/>
            <a:cs typeface="Arial" panose="020B0604020202020204" pitchFamily="34" charset="0"/>
          </a:endParaRPr>
        </a:p>
      </dgm:t>
    </dgm:pt>
    <dgm:pt modelId="{F6827833-D94E-4EBD-9338-0387ED2C853C}" type="sibTrans" cxnId="{A8D4E603-899F-4B59-AA61-151DF6BC4295}">
      <dgm:prSet/>
      <dgm:spPr/>
      <dgm:t>
        <a:bodyPr/>
        <a:lstStyle/>
        <a:p>
          <a:endParaRPr lang="en-GB" sz="1000">
            <a:latin typeface="Arial" panose="020B0604020202020204" pitchFamily="34" charset="0"/>
            <a:cs typeface="Arial" panose="020B0604020202020204" pitchFamily="34" charset="0"/>
          </a:endParaRPr>
        </a:p>
      </dgm:t>
    </dgm:pt>
    <dgm:pt modelId="{4EA97FB1-A6AD-439E-A9C0-641F37FB6A67}">
      <dgm:prSet phldrT="[Text]" custT="1"/>
      <dgm:spPr/>
      <dgm:t>
        <a:bodyPr/>
        <a:lstStyle/>
        <a:p>
          <a:r>
            <a:rPr lang="en-GB" sz="1000">
              <a:latin typeface="Arial" panose="020B0604020202020204" pitchFamily="34" charset="0"/>
              <a:cs typeface="Arial" panose="020B0604020202020204" pitchFamily="34" charset="0"/>
            </a:rPr>
            <a:t>Not living with their children (n=10,788)</a:t>
          </a:r>
        </a:p>
      </dgm:t>
    </dgm:pt>
    <dgm:pt modelId="{6FCD9B5F-CE74-49D1-ACE3-4ED57E8F6EC5}" type="parTrans" cxnId="{46859A17-0A66-40F8-A49C-267179C07895}">
      <dgm:prSet/>
      <dgm:spPr/>
      <dgm:t>
        <a:bodyPr/>
        <a:lstStyle/>
        <a:p>
          <a:endParaRPr lang="en-GB" sz="1000">
            <a:latin typeface="Arial" panose="020B0604020202020204" pitchFamily="34" charset="0"/>
            <a:cs typeface="Arial" panose="020B0604020202020204" pitchFamily="34" charset="0"/>
          </a:endParaRPr>
        </a:p>
      </dgm:t>
    </dgm:pt>
    <dgm:pt modelId="{9C1905B0-198C-4D07-91EE-495E228E45D3}" type="sibTrans" cxnId="{46859A17-0A66-40F8-A49C-267179C07895}">
      <dgm:prSet/>
      <dgm:spPr/>
      <dgm:t>
        <a:bodyPr/>
        <a:lstStyle/>
        <a:p>
          <a:endParaRPr lang="en-GB" sz="1000">
            <a:latin typeface="Arial" panose="020B0604020202020204" pitchFamily="34" charset="0"/>
            <a:cs typeface="Arial" panose="020B0604020202020204" pitchFamily="34" charset="0"/>
          </a:endParaRPr>
        </a:p>
      </dgm:t>
    </dgm:pt>
    <dgm:pt modelId="{7DB34648-9297-461E-9A69-04BD09AA94CB}">
      <dgm:prSet phldrT="[Text]" custT="1"/>
      <dgm:spPr/>
      <dgm:t>
        <a:bodyPr/>
        <a:lstStyle/>
        <a:p>
          <a:r>
            <a:rPr lang="en-GB" sz="1000">
              <a:latin typeface="Arial" panose="020B0604020202020204" pitchFamily="34" charset="0"/>
              <a:cs typeface="Arial" panose="020B0604020202020204" pitchFamily="34" charset="0"/>
            </a:rPr>
            <a:t>Women </a:t>
          </a:r>
        </a:p>
        <a:p>
          <a:r>
            <a:rPr lang="en-GB" sz="1000">
              <a:latin typeface="Arial" panose="020B0604020202020204" pitchFamily="34" charset="0"/>
              <a:cs typeface="Arial" panose="020B0604020202020204" pitchFamily="34" charset="0"/>
            </a:rPr>
            <a:t>(n=3,259)</a:t>
          </a:r>
        </a:p>
      </dgm:t>
    </dgm:pt>
    <dgm:pt modelId="{03A54369-761B-4146-A059-4A0E7A186879}" type="parTrans" cxnId="{D03E1911-BE30-4D78-9236-BA3B73314F19}">
      <dgm:prSet/>
      <dgm:spPr/>
      <dgm:t>
        <a:bodyPr/>
        <a:lstStyle/>
        <a:p>
          <a:endParaRPr lang="en-GB" sz="1000">
            <a:latin typeface="Arial" panose="020B0604020202020204" pitchFamily="34" charset="0"/>
            <a:cs typeface="Arial" panose="020B0604020202020204" pitchFamily="34" charset="0"/>
          </a:endParaRPr>
        </a:p>
      </dgm:t>
    </dgm:pt>
    <dgm:pt modelId="{95FCE3DB-65EE-48B4-8ABB-5BCF2BE1D2D7}" type="sibTrans" cxnId="{D03E1911-BE30-4D78-9236-BA3B73314F19}">
      <dgm:prSet/>
      <dgm:spPr/>
      <dgm:t>
        <a:bodyPr/>
        <a:lstStyle/>
        <a:p>
          <a:endParaRPr lang="en-GB" sz="1000">
            <a:latin typeface="Arial" panose="020B0604020202020204" pitchFamily="34" charset="0"/>
            <a:cs typeface="Arial" panose="020B0604020202020204" pitchFamily="34" charset="0"/>
          </a:endParaRPr>
        </a:p>
      </dgm:t>
    </dgm:pt>
    <dgm:pt modelId="{EED6CF0C-BA85-4172-84E7-AB726C3591BC}">
      <dgm:prSet custT="1"/>
      <dgm:spPr/>
      <dgm:t>
        <a:bodyPr/>
        <a:lstStyle/>
        <a:p>
          <a:r>
            <a:rPr lang="en-GB" sz="1000">
              <a:latin typeface="Arial" panose="020B0604020202020204" pitchFamily="34" charset="0"/>
              <a:cs typeface="Arial" panose="020B0604020202020204" pitchFamily="34" charset="0"/>
            </a:rPr>
            <a:t>Men </a:t>
          </a:r>
        </a:p>
        <a:p>
          <a:r>
            <a:rPr lang="en-GB" sz="1000">
              <a:latin typeface="Arial" panose="020B0604020202020204" pitchFamily="34" charset="0"/>
              <a:cs typeface="Arial" panose="020B0604020202020204" pitchFamily="34" charset="0"/>
            </a:rPr>
            <a:t>(n=7,529)</a:t>
          </a:r>
        </a:p>
      </dgm:t>
    </dgm:pt>
    <dgm:pt modelId="{8DB60083-4349-4626-B2A0-1B96E4508549}" type="parTrans" cxnId="{533C706B-29EA-4FED-ADDD-57B82EB195D4}">
      <dgm:prSet/>
      <dgm:spPr/>
      <dgm:t>
        <a:bodyPr/>
        <a:lstStyle/>
        <a:p>
          <a:endParaRPr lang="en-GB" sz="1000">
            <a:latin typeface="Arial" panose="020B0604020202020204" pitchFamily="34" charset="0"/>
            <a:cs typeface="Arial" panose="020B0604020202020204" pitchFamily="34" charset="0"/>
          </a:endParaRPr>
        </a:p>
      </dgm:t>
    </dgm:pt>
    <dgm:pt modelId="{EF3792C5-19C2-4BD2-8AD1-9CE41EDEB704}" type="sibTrans" cxnId="{533C706B-29EA-4FED-ADDD-57B82EB195D4}">
      <dgm:prSet/>
      <dgm:spPr/>
      <dgm:t>
        <a:bodyPr/>
        <a:lstStyle/>
        <a:p>
          <a:endParaRPr lang="en-GB" sz="1000">
            <a:latin typeface="Arial" panose="020B0604020202020204" pitchFamily="34" charset="0"/>
            <a:cs typeface="Arial" panose="020B0604020202020204" pitchFamily="34" charset="0"/>
          </a:endParaRPr>
        </a:p>
      </dgm:t>
    </dgm:pt>
    <dgm:pt modelId="{48CFFD06-BD0A-4762-9F27-DBCF337B781B}">
      <dgm:prSet custT="1"/>
      <dgm:spPr/>
      <dgm:t>
        <a:bodyPr/>
        <a:lstStyle/>
        <a:p>
          <a:r>
            <a:rPr lang="en-GB" sz="1000">
              <a:latin typeface="Arial" panose="020B0604020202020204" pitchFamily="34" charset="0"/>
              <a:cs typeface="Arial" panose="020B0604020202020204" pitchFamily="34" charset="0"/>
            </a:rPr>
            <a:t>18-24 </a:t>
          </a:r>
        </a:p>
        <a:p>
          <a:r>
            <a:rPr lang="en-GB" sz="1000">
              <a:latin typeface="Arial" panose="020B0604020202020204" pitchFamily="34" charset="0"/>
              <a:cs typeface="Arial" panose="020B0604020202020204" pitchFamily="34" charset="0"/>
            </a:rPr>
            <a:t>(n=37)</a:t>
          </a:r>
        </a:p>
      </dgm:t>
    </dgm:pt>
    <dgm:pt modelId="{3F1BDFFE-B50E-4EA0-8EFC-1AD33C4376E4}" type="parTrans" cxnId="{DBE03DE9-2003-425C-AC28-3A16EC3DB107}">
      <dgm:prSet/>
      <dgm:spPr/>
      <dgm:t>
        <a:bodyPr/>
        <a:lstStyle/>
        <a:p>
          <a:endParaRPr lang="en-GB" sz="1000">
            <a:latin typeface="Arial" panose="020B0604020202020204" pitchFamily="34" charset="0"/>
            <a:cs typeface="Arial" panose="020B0604020202020204" pitchFamily="34" charset="0"/>
          </a:endParaRPr>
        </a:p>
      </dgm:t>
    </dgm:pt>
    <dgm:pt modelId="{C0286A3D-5AD6-4F9F-B164-76C112F9244C}" type="sibTrans" cxnId="{DBE03DE9-2003-425C-AC28-3A16EC3DB107}">
      <dgm:prSet/>
      <dgm:spPr/>
      <dgm:t>
        <a:bodyPr/>
        <a:lstStyle/>
        <a:p>
          <a:endParaRPr lang="en-GB" sz="1000">
            <a:latin typeface="Arial" panose="020B0604020202020204" pitchFamily="34" charset="0"/>
            <a:cs typeface="Arial" panose="020B0604020202020204" pitchFamily="34" charset="0"/>
          </a:endParaRPr>
        </a:p>
      </dgm:t>
    </dgm:pt>
    <dgm:pt modelId="{24D9856E-EB5D-46E2-961D-DA0EEFF06E3B}">
      <dgm:prSet custT="1"/>
      <dgm:spPr/>
      <dgm:t>
        <a:bodyPr/>
        <a:lstStyle/>
        <a:p>
          <a:r>
            <a:rPr lang="en-GB" sz="1000">
              <a:latin typeface="Arial" panose="020B0604020202020204" pitchFamily="34" charset="0"/>
              <a:cs typeface="Arial" panose="020B0604020202020204" pitchFamily="34" charset="0"/>
            </a:rPr>
            <a:t>25-34 </a:t>
          </a:r>
        </a:p>
        <a:p>
          <a:r>
            <a:rPr lang="en-GB" sz="1000">
              <a:latin typeface="Arial" panose="020B0604020202020204" pitchFamily="34" charset="0"/>
              <a:cs typeface="Arial" panose="020B0604020202020204" pitchFamily="34" charset="0"/>
            </a:rPr>
            <a:t>(n=455)</a:t>
          </a:r>
        </a:p>
      </dgm:t>
    </dgm:pt>
    <dgm:pt modelId="{FAFBF896-B700-4C76-8869-A4A9EFD00D56}" type="parTrans" cxnId="{16356376-8030-428F-A6AD-9EB71E492435}">
      <dgm:prSet/>
      <dgm:spPr/>
      <dgm:t>
        <a:bodyPr/>
        <a:lstStyle/>
        <a:p>
          <a:endParaRPr lang="en-GB" sz="1000">
            <a:latin typeface="Arial" panose="020B0604020202020204" pitchFamily="34" charset="0"/>
            <a:cs typeface="Arial" panose="020B0604020202020204" pitchFamily="34" charset="0"/>
          </a:endParaRPr>
        </a:p>
      </dgm:t>
    </dgm:pt>
    <dgm:pt modelId="{8FDD3518-7B9E-43B7-B291-9D397BCF3729}" type="sibTrans" cxnId="{16356376-8030-428F-A6AD-9EB71E492435}">
      <dgm:prSet/>
      <dgm:spPr/>
      <dgm:t>
        <a:bodyPr/>
        <a:lstStyle/>
        <a:p>
          <a:endParaRPr lang="en-GB" sz="1000">
            <a:latin typeface="Arial" panose="020B0604020202020204" pitchFamily="34" charset="0"/>
            <a:cs typeface="Arial" panose="020B0604020202020204" pitchFamily="34" charset="0"/>
          </a:endParaRPr>
        </a:p>
      </dgm:t>
    </dgm:pt>
    <dgm:pt modelId="{DA23A61C-2545-4DBF-85C9-9D23566CE311}">
      <dgm:prSet custT="1"/>
      <dgm:spPr/>
      <dgm:t>
        <a:bodyPr/>
        <a:lstStyle/>
        <a:p>
          <a:r>
            <a:rPr lang="en-GB" sz="1000">
              <a:latin typeface="Arial" panose="020B0604020202020204" pitchFamily="34" charset="0"/>
              <a:cs typeface="Arial" panose="020B0604020202020204" pitchFamily="34" charset="0"/>
            </a:rPr>
            <a:t>35-44 </a:t>
          </a:r>
        </a:p>
        <a:p>
          <a:r>
            <a:rPr lang="en-GB" sz="1000">
              <a:latin typeface="Arial" panose="020B0604020202020204" pitchFamily="34" charset="0"/>
              <a:cs typeface="Arial" panose="020B0604020202020204" pitchFamily="34" charset="0"/>
            </a:rPr>
            <a:t>(n=927)</a:t>
          </a:r>
        </a:p>
      </dgm:t>
    </dgm:pt>
    <dgm:pt modelId="{6CDDFC5B-53D0-4E80-BAC3-CF50DFFDA190}" type="parTrans" cxnId="{5323091A-898C-49ED-848E-163942439030}">
      <dgm:prSet/>
      <dgm:spPr/>
      <dgm:t>
        <a:bodyPr/>
        <a:lstStyle/>
        <a:p>
          <a:endParaRPr lang="en-GB" sz="1000">
            <a:latin typeface="Arial" panose="020B0604020202020204" pitchFamily="34" charset="0"/>
            <a:cs typeface="Arial" panose="020B0604020202020204" pitchFamily="34" charset="0"/>
          </a:endParaRPr>
        </a:p>
      </dgm:t>
    </dgm:pt>
    <dgm:pt modelId="{7161AD2E-F5C4-4A92-9743-694C7B82B165}" type="sibTrans" cxnId="{5323091A-898C-49ED-848E-163942439030}">
      <dgm:prSet/>
      <dgm:spPr/>
      <dgm:t>
        <a:bodyPr/>
        <a:lstStyle/>
        <a:p>
          <a:endParaRPr lang="en-GB" sz="1000">
            <a:latin typeface="Arial" panose="020B0604020202020204" pitchFamily="34" charset="0"/>
            <a:cs typeface="Arial" panose="020B0604020202020204" pitchFamily="34" charset="0"/>
          </a:endParaRPr>
        </a:p>
      </dgm:t>
    </dgm:pt>
    <dgm:pt modelId="{FAA6DE44-9088-42C2-9884-8B707CAC1D0D}">
      <dgm:prSet custT="1"/>
      <dgm:spPr/>
      <dgm:t>
        <a:bodyPr/>
        <a:lstStyle/>
        <a:p>
          <a:r>
            <a:rPr lang="en-GB" sz="1000">
              <a:latin typeface="Arial" panose="020B0604020202020204" pitchFamily="34" charset="0"/>
              <a:cs typeface="Arial" panose="020B0604020202020204" pitchFamily="34" charset="0"/>
            </a:rPr>
            <a:t>45+</a:t>
          </a:r>
        </a:p>
        <a:p>
          <a:r>
            <a:rPr lang="en-GB" sz="1000">
              <a:latin typeface="Arial" panose="020B0604020202020204" pitchFamily="34" charset="0"/>
              <a:cs typeface="Arial" panose="020B0604020202020204" pitchFamily="34" charset="0"/>
            </a:rPr>
            <a:t> (n=1,745)</a:t>
          </a:r>
        </a:p>
      </dgm:t>
    </dgm:pt>
    <dgm:pt modelId="{1A4D8FA8-AA55-48FA-B121-7AEF892C77C1}" type="parTrans" cxnId="{18ED18C4-2A90-4C36-B73F-427887DC060F}">
      <dgm:prSet/>
      <dgm:spPr/>
      <dgm:t>
        <a:bodyPr/>
        <a:lstStyle/>
        <a:p>
          <a:endParaRPr lang="en-GB" sz="1000">
            <a:latin typeface="Arial" panose="020B0604020202020204" pitchFamily="34" charset="0"/>
            <a:cs typeface="Arial" panose="020B0604020202020204" pitchFamily="34" charset="0"/>
          </a:endParaRPr>
        </a:p>
      </dgm:t>
    </dgm:pt>
    <dgm:pt modelId="{4E9623FA-87B9-4533-B211-FA9B32396B18}" type="sibTrans" cxnId="{18ED18C4-2A90-4C36-B73F-427887DC060F}">
      <dgm:prSet/>
      <dgm:spPr/>
      <dgm:t>
        <a:bodyPr/>
        <a:lstStyle/>
        <a:p>
          <a:endParaRPr lang="en-GB" sz="1000">
            <a:latin typeface="Arial" panose="020B0604020202020204" pitchFamily="34" charset="0"/>
            <a:cs typeface="Arial" panose="020B0604020202020204" pitchFamily="34" charset="0"/>
          </a:endParaRPr>
        </a:p>
      </dgm:t>
    </dgm:pt>
    <dgm:pt modelId="{13577321-CAAE-4129-936B-5D488481ACC1}">
      <dgm:prSet custT="1"/>
      <dgm:spPr/>
      <dgm:t>
        <a:bodyPr/>
        <a:lstStyle/>
        <a:p>
          <a:r>
            <a:rPr lang="en-GB" sz="1000">
              <a:latin typeface="Arial" panose="020B0604020202020204" pitchFamily="34" charset="0"/>
              <a:cs typeface="Arial" panose="020B0604020202020204" pitchFamily="34" charset="0"/>
            </a:rPr>
            <a:t>18-24 </a:t>
          </a:r>
        </a:p>
        <a:p>
          <a:r>
            <a:rPr lang="en-GB" sz="1000">
              <a:latin typeface="Arial" panose="020B0604020202020204" pitchFamily="34" charset="0"/>
              <a:cs typeface="Arial" panose="020B0604020202020204" pitchFamily="34" charset="0"/>
            </a:rPr>
            <a:t>(n=25)</a:t>
          </a:r>
        </a:p>
      </dgm:t>
    </dgm:pt>
    <dgm:pt modelId="{1D764992-25A4-4334-8EB2-9CBF744EAD6C}" type="parTrans" cxnId="{115B07DC-0C9D-4E3E-AC2A-C78D8BBB851B}">
      <dgm:prSet/>
      <dgm:spPr/>
      <dgm:t>
        <a:bodyPr/>
        <a:lstStyle/>
        <a:p>
          <a:endParaRPr lang="en-GB" sz="1000">
            <a:latin typeface="Arial" panose="020B0604020202020204" pitchFamily="34" charset="0"/>
            <a:cs typeface="Arial" panose="020B0604020202020204" pitchFamily="34" charset="0"/>
          </a:endParaRPr>
        </a:p>
      </dgm:t>
    </dgm:pt>
    <dgm:pt modelId="{7C55E22D-67BD-4B17-B1B6-A266667B8501}" type="sibTrans" cxnId="{115B07DC-0C9D-4E3E-AC2A-C78D8BBB851B}">
      <dgm:prSet/>
      <dgm:spPr/>
      <dgm:t>
        <a:bodyPr/>
        <a:lstStyle/>
        <a:p>
          <a:endParaRPr lang="en-GB" sz="1000">
            <a:latin typeface="Arial" panose="020B0604020202020204" pitchFamily="34" charset="0"/>
            <a:cs typeface="Arial" panose="020B0604020202020204" pitchFamily="34" charset="0"/>
          </a:endParaRPr>
        </a:p>
      </dgm:t>
    </dgm:pt>
    <dgm:pt modelId="{5B1CFE35-77F2-4AD8-B62E-6A5BE238AE49}">
      <dgm:prSet custT="1"/>
      <dgm:spPr/>
      <dgm:t>
        <a:bodyPr/>
        <a:lstStyle/>
        <a:p>
          <a:r>
            <a:rPr lang="en-GB" sz="1000">
              <a:latin typeface="Arial" panose="020B0604020202020204" pitchFamily="34" charset="0"/>
              <a:cs typeface="Arial" panose="020B0604020202020204" pitchFamily="34" charset="0"/>
            </a:rPr>
            <a:t>35-44</a:t>
          </a:r>
        </a:p>
        <a:p>
          <a:r>
            <a:rPr lang="en-GB" sz="1000">
              <a:latin typeface="Arial" panose="020B0604020202020204" pitchFamily="34" charset="0"/>
              <a:cs typeface="Arial" panose="020B0604020202020204" pitchFamily="34" charset="0"/>
            </a:rPr>
            <a:t> (n=1,288)</a:t>
          </a:r>
        </a:p>
      </dgm:t>
    </dgm:pt>
    <dgm:pt modelId="{8954122D-525D-4608-B76C-57EBAA9732FF}" type="parTrans" cxnId="{148A8224-7A6F-424A-ACB3-3FB137DF5E80}">
      <dgm:prSet/>
      <dgm:spPr/>
      <dgm:t>
        <a:bodyPr/>
        <a:lstStyle/>
        <a:p>
          <a:endParaRPr lang="en-GB" sz="1000">
            <a:latin typeface="Arial" panose="020B0604020202020204" pitchFamily="34" charset="0"/>
            <a:cs typeface="Arial" panose="020B0604020202020204" pitchFamily="34" charset="0"/>
          </a:endParaRPr>
        </a:p>
      </dgm:t>
    </dgm:pt>
    <dgm:pt modelId="{AA7FFEFB-FD87-4737-9343-EC6C7FAEDD1E}" type="sibTrans" cxnId="{148A8224-7A6F-424A-ACB3-3FB137DF5E80}">
      <dgm:prSet/>
      <dgm:spPr/>
      <dgm:t>
        <a:bodyPr/>
        <a:lstStyle/>
        <a:p>
          <a:endParaRPr lang="en-GB" sz="1000">
            <a:latin typeface="Arial" panose="020B0604020202020204" pitchFamily="34" charset="0"/>
            <a:cs typeface="Arial" panose="020B0604020202020204" pitchFamily="34" charset="0"/>
          </a:endParaRPr>
        </a:p>
      </dgm:t>
    </dgm:pt>
    <dgm:pt modelId="{0ED981E5-8C9B-4958-9A12-003F139EB33B}">
      <dgm:prSet custT="1"/>
      <dgm:spPr/>
      <dgm:t>
        <a:bodyPr/>
        <a:lstStyle/>
        <a:p>
          <a:r>
            <a:rPr lang="en-GB" sz="1000">
              <a:latin typeface="Arial" panose="020B0604020202020204" pitchFamily="34" charset="0"/>
              <a:cs typeface="Arial" panose="020B0604020202020204" pitchFamily="34" charset="0"/>
            </a:rPr>
            <a:t>45+ </a:t>
          </a:r>
        </a:p>
        <a:p>
          <a:r>
            <a:rPr lang="en-GB" sz="1000">
              <a:latin typeface="Arial" panose="020B0604020202020204" pitchFamily="34" charset="0"/>
              <a:cs typeface="Arial" panose="020B0604020202020204" pitchFamily="34" charset="0"/>
            </a:rPr>
            <a:t>(n=1,316)</a:t>
          </a:r>
        </a:p>
      </dgm:t>
    </dgm:pt>
    <dgm:pt modelId="{37B35455-5607-448B-8706-F2BD939CBD8D}" type="parTrans" cxnId="{74E3ACF6-DAB4-415D-ABB0-3431DF00D72C}">
      <dgm:prSet/>
      <dgm:spPr/>
      <dgm:t>
        <a:bodyPr/>
        <a:lstStyle/>
        <a:p>
          <a:endParaRPr lang="en-GB" sz="1000">
            <a:latin typeface="Arial" panose="020B0604020202020204" pitchFamily="34" charset="0"/>
            <a:cs typeface="Arial" panose="020B0604020202020204" pitchFamily="34" charset="0"/>
          </a:endParaRPr>
        </a:p>
      </dgm:t>
    </dgm:pt>
    <dgm:pt modelId="{F8CF9B1C-8E03-433D-A83D-4CA64BE05979}" type="sibTrans" cxnId="{74E3ACF6-DAB4-415D-ABB0-3431DF00D72C}">
      <dgm:prSet/>
      <dgm:spPr/>
      <dgm:t>
        <a:bodyPr/>
        <a:lstStyle/>
        <a:p>
          <a:endParaRPr lang="en-GB" sz="1000">
            <a:latin typeface="Arial" panose="020B0604020202020204" pitchFamily="34" charset="0"/>
            <a:cs typeface="Arial" panose="020B0604020202020204" pitchFamily="34" charset="0"/>
          </a:endParaRPr>
        </a:p>
      </dgm:t>
    </dgm:pt>
    <dgm:pt modelId="{2C51C8FF-9901-43E7-9841-AFD7C1B2DB4B}">
      <dgm:prSet custT="1"/>
      <dgm:spPr/>
      <dgm:t>
        <a:bodyPr/>
        <a:lstStyle/>
        <a:p>
          <a:r>
            <a:rPr lang="en-GB" sz="1000">
              <a:latin typeface="Arial" panose="020B0604020202020204" pitchFamily="34" charset="0"/>
              <a:cs typeface="Arial" panose="020B0604020202020204" pitchFamily="34" charset="0"/>
            </a:rPr>
            <a:t>18-24 </a:t>
          </a:r>
        </a:p>
        <a:p>
          <a:r>
            <a:rPr lang="en-GB" sz="1000">
              <a:latin typeface="Arial" panose="020B0604020202020204" pitchFamily="34" charset="0"/>
              <a:cs typeface="Arial" panose="020B0604020202020204" pitchFamily="34" charset="0"/>
            </a:rPr>
            <a:t>(n=39)</a:t>
          </a:r>
        </a:p>
      </dgm:t>
    </dgm:pt>
    <dgm:pt modelId="{F933E6F2-11D4-47AD-A3CB-D04F8BBBC2B6}" type="parTrans" cxnId="{3A0F5DCE-1CD3-44BA-9894-D11C2ADB10D2}">
      <dgm:prSet/>
      <dgm:spPr/>
      <dgm:t>
        <a:bodyPr/>
        <a:lstStyle/>
        <a:p>
          <a:endParaRPr lang="en-GB" sz="1000">
            <a:latin typeface="Arial" panose="020B0604020202020204" pitchFamily="34" charset="0"/>
            <a:cs typeface="Arial" panose="020B0604020202020204" pitchFamily="34" charset="0"/>
          </a:endParaRPr>
        </a:p>
      </dgm:t>
    </dgm:pt>
    <dgm:pt modelId="{018B484A-6B43-4E8F-AB2A-2CCB7B675B9E}" type="sibTrans" cxnId="{3A0F5DCE-1CD3-44BA-9894-D11C2ADB10D2}">
      <dgm:prSet/>
      <dgm:spPr/>
      <dgm:t>
        <a:bodyPr/>
        <a:lstStyle/>
        <a:p>
          <a:endParaRPr lang="en-GB" sz="1000">
            <a:latin typeface="Arial" panose="020B0604020202020204" pitchFamily="34" charset="0"/>
            <a:cs typeface="Arial" panose="020B0604020202020204" pitchFamily="34" charset="0"/>
          </a:endParaRPr>
        </a:p>
      </dgm:t>
    </dgm:pt>
    <dgm:pt modelId="{855D1E5B-9296-4EAE-8343-881755CD8BD8}">
      <dgm:prSet custT="1"/>
      <dgm:spPr/>
      <dgm:t>
        <a:bodyPr/>
        <a:lstStyle/>
        <a:p>
          <a:r>
            <a:rPr lang="en-GB" sz="1000">
              <a:latin typeface="Arial" panose="020B0604020202020204" pitchFamily="34" charset="0"/>
              <a:cs typeface="Arial" panose="020B0604020202020204" pitchFamily="34" charset="0"/>
            </a:rPr>
            <a:t>25-34</a:t>
          </a:r>
        </a:p>
        <a:p>
          <a:r>
            <a:rPr lang="en-GB" sz="1000">
              <a:latin typeface="Arial" panose="020B0604020202020204" pitchFamily="34" charset="0"/>
              <a:cs typeface="Arial" panose="020B0604020202020204" pitchFamily="34" charset="0"/>
            </a:rPr>
            <a:t> (n=468)</a:t>
          </a:r>
        </a:p>
      </dgm:t>
    </dgm:pt>
    <dgm:pt modelId="{ECAB780B-0320-478B-BA95-E67AEF6DB03E}" type="parTrans" cxnId="{1A8BD4CD-F190-4498-89F6-8F56026A9E2C}">
      <dgm:prSet/>
      <dgm:spPr/>
      <dgm:t>
        <a:bodyPr/>
        <a:lstStyle/>
        <a:p>
          <a:endParaRPr lang="en-GB" sz="1000">
            <a:latin typeface="Arial" panose="020B0604020202020204" pitchFamily="34" charset="0"/>
            <a:cs typeface="Arial" panose="020B0604020202020204" pitchFamily="34" charset="0"/>
          </a:endParaRPr>
        </a:p>
      </dgm:t>
    </dgm:pt>
    <dgm:pt modelId="{FD441DE2-1456-4EEA-A1E4-9015F10B256F}" type="sibTrans" cxnId="{1A8BD4CD-F190-4498-89F6-8F56026A9E2C}">
      <dgm:prSet/>
      <dgm:spPr/>
      <dgm:t>
        <a:bodyPr/>
        <a:lstStyle/>
        <a:p>
          <a:endParaRPr lang="en-GB" sz="1000">
            <a:latin typeface="Arial" panose="020B0604020202020204" pitchFamily="34" charset="0"/>
            <a:cs typeface="Arial" panose="020B0604020202020204" pitchFamily="34" charset="0"/>
          </a:endParaRPr>
        </a:p>
      </dgm:t>
    </dgm:pt>
    <dgm:pt modelId="{F226CC95-FD25-4EBC-8C65-28F81CC28EC0}">
      <dgm:prSet custT="1"/>
      <dgm:spPr/>
      <dgm:t>
        <a:bodyPr/>
        <a:lstStyle/>
        <a:p>
          <a:r>
            <a:rPr lang="en-GB" sz="1000">
              <a:latin typeface="Arial" panose="020B0604020202020204" pitchFamily="34" charset="0"/>
              <a:cs typeface="Arial" panose="020B0604020202020204" pitchFamily="34" charset="0"/>
            </a:rPr>
            <a:t>35-44 </a:t>
          </a:r>
        </a:p>
        <a:p>
          <a:r>
            <a:rPr lang="en-GB" sz="1000">
              <a:latin typeface="Arial" panose="020B0604020202020204" pitchFamily="34" charset="0"/>
              <a:cs typeface="Arial" panose="020B0604020202020204" pitchFamily="34" charset="0"/>
            </a:rPr>
            <a:t>(n=954)</a:t>
          </a:r>
        </a:p>
      </dgm:t>
    </dgm:pt>
    <dgm:pt modelId="{10850C7C-D00A-4406-AC96-BE6D5E5093AA}" type="parTrans" cxnId="{AE943AF9-C147-41A1-AE63-BFD60CC0C11F}">
      <dgm:prSet/>
      <dgm:spPr/>
      <dgm:t>
        <a:bodyPr/>
        <a:lstStyle/>
        <a:p>
          <a:endParaRPr lang="en-GB" sz="1000">
            <a:latin typeface="Arial" panose="020B0604020202020204" pitchFamily="34" charset="0"/>
            <a:cs typeface="Arial" panose="020B0604020202020204" pitchFamily="34" charset="0"/>
          </a:endParaRPr>
        </a:p>
      </dgm:t>
    </dgm:pt>
    <dgm:pt modelId="{E39A81D9-5DF4-4F2D-8E65-4FA1F42A3ABC}" type="sibTrans" cxnId="{AE943AF9-C147-41A1-AE63-BFD60CC0C11F}">
      <dgm:prSet/>
      <dgm:spPr/>
      <dgm:t>
        <a:bodyPr/>
        <a:lstStyle/>
        <a:p>
          <a:endParaRPr lang="en-GB" sz="1000">
            <a:latin typeface="Arial" panose="020B0604020202020204" pitchFamily="34" charset="0"/>
            <a:cs typeface="Arial" panose="020B0604020202020204" pitchFamily="34" charset="0"/>
          </a:endParaRPr>
        </a:p>
      </dgm:t>
    </dgm:pt>
    <dgm:pt modelId="{F24D0663-8126-44EC-8857-3EFDD27F17FA}">
      <dgm:prSet custT="1"/>
      <dgm:spPr/>
      <dgm:t>
        <a:bodyPr/>
        <a:lstStyle/>
        <a:p>
          <a:r>
            <a:rPr lang="en-GB" sz="1000">
              <a:latin typeface="Arial" panose="020B0604020202020204" pitchFamily="34" charset="0"/>
              <a:cs typeface="Arial" panose="020B0604020202020204" pitchFamily="34" charset="0"/>
            </a:rPr>
            <a:t>45+ </a:t>
          </a:r>
        </a:p>
        <a:p>
          <a:r>
            <a:rPr lang="en-GB" sz="1000">
              <a:latin typeface="Arial" panose="020B0604020202020204" pitchFamily="34" charset="0"/>
              <a:cs typeface="Arial" panose="020B0604020202020204" pitchFamily="34" charset="0"/>
            </a:rPr>
            <a:t>(n=1,798)</a:t>
          </a:r>
        </a:p>
      </dgm:t>
    </dgm:pt>
    <dgm:pt modelId="{501731E0-710E-40BB-B702-57EACAD090F2}" type="parTrans" cxnId="{3C3D7F8A-15A3-4C3E-BA21-B98CAC2B126E}">
      <dgm:prSet/>
      <dgm:spPr/>
      <dgm:t>
        <a:bodyPr/>
        <a:lstStyle/>
        <a:p>
          <a:endParaRPr lang="en-GB" sz="1000">
            <a:latin typeface="Arial" panose="020B0604020202020204" pitchFamily="34" charset="0"/>
            <a:cs typeface="Arial" panose="020B0604020202020204" pitchFamily="34" charset="0"/>
          </a:endParaRPr>
        </a:p>
      </dgm:t>
    </dgm:pt>
    <dgm:pt modelId="{CD85C72E-FB4A-420D-82C7-53E7FCFB08C0}" type="sibTrans" cxnId="{3C3D7F8A-15A3-4C3E-BA21-B98CAC2B126E}">
      <dgm:prSet/>
      <dgm:spPr/>
      <dgm:t>
        <a:bodyPr/>
        <a:lstStyle/>
        <a:p>
          <a:endParaRPr lang="en-GB" sz="1000">
            <a:latin typeface="Arial" panose="020B0604020202020204" pitchFamily="34" charset="0"/>
            <a:cs typeface="Arial" panose="020B0604020202020204" pitchFamily="34" charset="0"/>
          </a:endParaRPr>
        </a:p>
      </dgm:t>
    </dgm:pt>
    <dgm:pt modelId="{B3A30BCF-EEBD-48A3-97D2-5548BF2649BC}">
      <dgm:prSet custT="1"/>
      <dgm:spPr/>
      <dgm:t>
        <a:bodyPr/>
        <a:lstStyle/>
        <a:p>
          <a:r>
            <a:rPr lang="en-GB" sz="1000">
              <a:latin typeface="Arial" panose="020B0604020202020204" pitchFamily="34" charset="0"/>
              <a:cs typeface="Arial" panose="020B0604020202020204" pitchFamily="34" charset="0"/>
            </a:rPr>
            <a:t>18-24 </a:t>
          </a:r>
        </a:p>
        <a:p>
          <a:r>
            <a:rPr lang="en-GB" sz="1000">
              <a:latin typeface="Arial" panose="020B0604020202020204" pitchFamily="34" charset="0"/>
              <a:cs typeface="Arial" panose="020B0604020202020204" pitchFamily="34" charset="0"/>
            </a:rPr>
            <a:t>(n=89)</a:t>
          </a:r>
        </a:p>
      </dgm:t>
    </dgm:pt>
    <dgm:pt modelId="{D990DF9C-FFEC-4C96-9837-CE4D555B89E5}" type="parTrans" cxnId="{A8287E96-C918-43F0-93F6-F0CE41638D23}">
      <dgm:prSet/>
      <dgm:spPr/>
      <dgm:t>
        <a:bodyPr/>
        <a:lstStyle/>
        <a:p>
          <a:endParaRPr lang="en-GB" sz="1000">
            <a:latin typeface="Arial" panose="020B0604020202020204" pitchFamily="34" charset="0"/>
            <a:cs typeface="Arial" panose="020B0604020202020204" pitchFamily="34" charset="0"/>
          </a:endParaRPr>
        </a:p>
      </dgm:t>
    </dgm:pt>
    <dgm:pt modelId="{D143F330-B953-4606-A27B-D75753B1919B}" type="sibTrans" cxnId="{A8287E96-C918-43F0-93F6-F0CE41638D23}">
      <dgm:prSet/>
      <dgm:spPr/>
      <dgm:t>
        <a:bodyPr/>
        <a:lstStyle/>
        <a:p>
          <a:endParaRPr lang="en-GB" sz="1000">
            <a:latin typeface="Arial" panose="020B0604020202020204" pitchFamily="34" charset="0"/>
            <a:cs typeface="Arial" panose="020B0604020202020204" pitchFamily="34" charset="0"/>
          </a:endParaRPr>
        </a:p>
      </dgm:t>
    </dgm:pt>
    <dgm:pt modelId="{D904A4A8-A52A-434E-9CB9-B1CD87AD69D1}">
      <dgm:prSet custT="1"/>
      <dgm:spPr/>
      <dgm:t>
        <a:bodyPr/>
        <a:lstStyle/>
        <a:p>
          <a:r>
            <a:rPr lang="en-GB" sz="1000">
              <a:latin typeface="Arial" panose="020B0604020202020204" pitchFamily="34" charset="0"/>
              <a:cs typeface="Arial" panose="020B0604020202020204" pitchFamily="34" charset="0"/>
            </a:rPr>
            <a:t>25-34 </a:t>
          </a:r>
        </a:p>
        <a:p>
          <a:r>
            <a:rPr lang="en-GB" sz="1000">
              <a:latin typeface="Arial" panose="020B0604020202020204" pitchFamily="34" charset="0"/>
              <a:cs typeface="Arial" panose="020B0604020202020204" pitchFamily="34" charset="0"/>
            </a:rPr>
            <a:t>(n=1,082)</a:t>
          </a:r>
        </a:p>
      </dgm:t>
    </dgm:pt>
    <dgm:pt modelId="{13C7D31C-FE17-4F8E-BE11-4FC1CAF2FB4A}" type="parTrans" cxnId="{03C94D7E-CFBA-403F-9246-3F1FA9611DF4}">
      <dgm:prSet/>
      <dgm:spPr/>
      <dgm:t>
        <a:bodyPr/>
        <a:lstStyle/>
        <a:p>
          <a:endParaRPr lang="en-GB" sz="1000">
            <a:latin typeface="Arial" panose="020B0604020202020204" pitchFamily="34" charset="0"/>
            <a:cs typeface="Arial" panose="020B0604020202020204" pitchFamily="34" charset="0"/>
          </a:endParaRPr>
        </a:p>
      </dgm:t>
    </dgm:pt>
    <dgm:pt modelId="{06D19B95-D16D-4405-A9FD-DA200797C2FA}" type="sibTrans" cxnId="{03C94D7E-CFBA-403F-9246-3F1FA9611DF4}">
      <dgm:prSet/>
      <dgm:spPr/>
      <dgm:t>
        <a:bodyPr/>
        <a:lstStyle/>
        <a:p>
          <a:endParaRPr lang="en-GB" sz="1000">
            <a:latin typeface="Arial" panose="020B0604020202020204" pitchFamily="34" charset="0"/>
            <a:cs typeface="Arial" panose="020B0604020202020204" pitchFamily="34" charset="0"/>
          </a:endParaRPr>
        </a:p>
      </dgm:t>
    </dgm:pt>
    <dgm:pt modelId="{54664A91-EC84-4935-81A0-E5B7295BC4BA}">
      <dgm:prSet custT="1"/>
      <dgm:spPr/>
      <dgm:t>
        <a:bodyPr/>
        <a:lstStyle/>
        <a:p>
          <a:r>
            <a:rPr lang="en-GB" sz="1000">
              <a:latin typeface="Arial" panose="020B0604020202020204" pitchFamily="34" charset="0"/>
              <a:cs typeface="Arial" panose="020B0604020202020204" pitchFamily="34" charset="0"/>
            </a:rPr>
            <a:t>35-44 </a:t>
          </a:r>
        </a:p>
        <a:p>
          <a:r>
            <a:rPr lang="en-GB" sz="1000">
              <a:latin typeface="Arial" panose="020B0604020202020204" pitchFamily="34" charset="0"/>
              <a:cs typeface="Arial" panose="020B0604020202020204" pitchFamily="34" charset="0"/>
            </a:rPr>
            <a:t>(n=2,204)</a:t>
          </a:r>
        </a:p>
      </dgm:t>
    </dgm:pt>
    <dgm:pt modelId="{2340DFB4-3EF6-4AE4-B78E-64FC45AAEFF4}" type="parTrans" cxnId="{DA7D1F67-63FE-4CB3-B6A5-57C6854C971C}">
      <dgm:prSet/>
      <dgm:spPr/>
      <dgm:t>
        <a:bodyPr/>
        <a:lstStyle/>
        <a:p>
          <a:endParaRPr lang="en-GB" sz="1000">
            <a:latin typeface="Arial" panose="020B0604020202020204" pitchFamily="34" charset="0"/>
            <a:cs typeface="Arial" panose="020B0604020202020204" pitchFamily="34" charset="0"/>
          </a:endParaRPr>
        </a:p>
      </dgm:t>
    </dgm:pt>
    <dgm:pt modelId="{BA1127C5-FF6D-40E3-92A8-24FB12BBD842}" type="sibTrans" cxnId="{DA7D1F67-63FE-4CB3-B6A5-57C6854C971C}">
      <dgm:prSet/>
      <dgm:spPr/>
      <dgm:t>
        <a:bodyPr/>
        <a:lstStyle/>
        <a:p>
          <a:endParaRPr lang="en-GB" sz="1000">
            <a:latin typeface="Arial" panose="020B0604020202020204" pitchFamily="34" charset="0"/>
            <a:cs typeface="Arial" panose="020B0604020202020204" pitchFamily="34" charset="0"/>
          </a:endParaRPr>
        </a:p>
      </dgm:t>
    </dgm:pt>
    <dgm:pt modelId="{62FA7DCC-0D13-45B8-96BD-4DABF1240805}">
      <dgm:prSet custT="1"/>
      <dgm:spPr/>
      <dgm:t>
        <a:bodyPr/>
        <a:lstStyle/>
        <a:p>
          <a:r>
            <a:rPr lang="en-GB" sz="1000">
              <a:latin typeface="Arial" panose="020B0604020202020204" pitchFamily="34" charset="0"/>
              <a:cs typeface="Arial" panose="020B0604020202020204" pitchFamily="34" charset="0"/>
            </a:rPr>
            <a:t>45+ </a:t>
          </a:r>
        </a:p>
        <a:p>
          <a:r>
            <a:rPr lang="en-GB" sz="1000">
              <a:latin typeface="Arial" panose="020B0604020202020204" pitchFamily="34" charset="0"/>
              <a:cs typeface="Arial" panose="020B0604020202020204" pitchFamily="34" charset="0"/>
            </a:rPr>
            <a:t>(n=4,154)</a:t>
          </a:r>
        </a:p>
      </dgm:t>
    </dgm:pt>
    <dgm:pt modelId="{00450BEA-8855-4367-A37A-EF70F035D785}" type="parTrans" cxnId="{E37018FF-DC33-44F4-91F7-C17494387DC5}">
      <dgm:prSet/>
      <dgm:spPr/>
      <dgm:t>
        <a:bodyPr/>
        <a:lstStyle/>
        <a:p>
          <a:endParaRPr lang="en-GB" sz="1000">
            <a:latin typeface="Arial" panose="020B0604020202020204" pitchFamily="34" charset="0"/>
            <a:cs typeface="Arial" panose="020B0604020202020204" pitchFamily="34" charset="0"/>
          </a:endParaRPr>
        </a:p>
      </dgm:t>
    </dgm:pt>
    <dgm:pt modelId="{D8A4911F-2D58-4A54-85B6-6E6950630ABA}" type="sibTrans" cxnId="{E37018FF-DC33-44F4-91F7-C17494387DC5}">
      <dgm:prSet/>
      <dgm:spPr/>
      <dgm:t>
        <a:bodyPr/>
        <a:lstStyle/>
        <a:p>
          <a:endParaRPr lang="en-GB" sz="1000">
            <a:latin typeface="Arial" panose="020B0604020202020204" pitchFamily="34" charset="0"/>
            <a:cs typeface="Arial" panose="020B0604020202020204" pitchFamily="34" charset="0"/>
          </a:endParaRPr>
        </a:p>
      </dgm:t>
    </dgm:pt>
    <dgm:pt modelId="{67B252A3-A149-46A6-9324-488FE7106C11}">
      <dgm:prSet custT="1"/>
      <dgm:spPr/>
      <dgm:t>
        <a:bodyPr/>
        <a:lstStyle/>
        <a:p>
          <a:r>
            <a:rPr lang="en-GB" sz="1000">
              <a:latin typeface="Arial" panose="020B0604020202020204" pitchFamily="34" charset="0"/>
              <a:cs typeface="Arial" panose="020B0604020202020204" pitchFamily="34" charset="0"/>
            </a:rPr>
            <a:t>25-34 </a:t>
          </a:r>
        </a:p>
        <a:p>
          <a:r>
            <a:rPr lang="en-GB" sz="1000">
              <a:latin typeface="Arial" panose="020B0604020202020204" pitchFamily="34" charset="0"/>
              <a:cs typeface="Arial" panose="020B0604020202020204" pitchFamily="34" charset="0"/>
            </a:rPr>
            <a:t>(n=538)</a:t>
          </a:r>
          <a:endParaRPr lang="en-GB" sz="1000"/>
        </a:p>
      </dgm:t>
    </dgm:pt>
    <dgm:pt modelId="{EAA93D8B-C9BB-41B4-B0A8-7E39E77E4447}" type="parTrans" cxnId="{CA8F5C43-0976-490A-A8B4-D754431DCE8E}">
      <dgm:prSet/>
      <dgm:spPr/>
      <dgm:t>
        <a:bodyPr/>
        <a:lstStyle/>
        <a:p>
          <a:endParaRPr lang="en-GB"/>
        </a:p>
      </dgm:t>
    </dgm:pt>
    <dgm:pt modelId="{C16339DC-1839-4808-BF62-87A0EDBB5B7B}" type="sibTrans" cxnId="{CA8F5C43-0976-490A-A8B4-D754431DCE8E}">
      <dgm:prSet/>
      <dgm:spPr/>
      <dgm:t>
        <a:bodyPr/>
        <a:lstStyle/>
        <a:p>
          <a:endParaRPr lang="en-GB"/>
        </a:p>
      </dgm:t>
    </dgm:pt>
    <dgm:pt modelId="{13058F2D-09B0-4690-888C-A5CCCE2380DE}" type="pres">
      <dgm:prSet presAssocID="{FD8F31BE-621A-43D7-9D27-ABE74E82CE85}" presName="hierChild1" presStyleCnt="0">
        <dgm:presLayoutVars>
          <dgm:orgChart val="1"/>
          <dgm:chPref val="1"/>
          <dgm:dir/>
          <dgm:animOne val="branch"/>
          <dgm:animLvl val="lvl"/>
          <dgm:resizeHandles/>
        </dgm:presLayoutVars>
      </dgm:prSet>
      <dgm:spPr/>
    </dgm:pt>
    <dgm:pt modelId="{BDC7728D-98AB-4329-A51D-AD6DAB5133B8}" type="pres">
      <dgm:prSet presAssocID="{B7066AE4-0558-4D08-8F44-60D4E2A9827C}" presName="hierRoot1" presStyleCnt="0">
        <dgm:presLayoutVars>
          <dgm:hierBranch val="init"/>
        </dgm:presLayoutVars>
      </dgm:prSet>
      <dgm:spPr/>
    </dgm:pt>
    <dgm:pt modelId="{D14DD66F-36F7-4ACD-B6E1-8294316CE96C}" type="pres">
      <dgm:prSet presAssocID="{B7066AE4-0558-4D08-8F44-60D4E2A9827C}" presName="rootComposite1" presStyleCnt="0"/>
      <dgm:spPr/>
    </dgm:pt>
    <dgm:pt modelId="{93E9B00D-4767-4A2C-9C94-6932CB151CBB}" type="pres">
      <dgm:prSet presAssocID="{B7066AE4-0558-4D08-8F44-60D4E2A9827C}" presName="rootText1" presStyleLbl="node0" presStyleIdx="0" presStyleCnt="1">
        <dgm:presLayoutVars>
          <dgm:chPref val="3"/>
        </dgm:presLayoutVars>
      </dgm:prSet>
      <dgm:spPr/>
    </dgm:pt>
    <dgm:pt modelId="{618912E5-060A-4BC5-809B-3C29CE1429DD}" type="pres">
      <dgm:prSet presAssocID="{B7066AE4-0558-4D08-8F44-60D4E2A9827C}" presName="rootConnector1" presStyleLbl="node1" presStyleIdx="0" presStyleCnt="0"/>
      <dgm:spPr/>
    </dgm:pt>
    <dgm:pt modelId="{1C8057A3-F851-4E6B-A639-DAB61254C573}" type="pres">
      <dgm:prSet presAssocID="{B7066AE4-0558-4D08-8F44-60D4E2A9827C}" presName="hierChild2" presStyleCnt="0"/>
      <dgm:spPr/>
    </dgm:pt>
    <dgm:pt modelId="{E1931599-E0AC-45FD-907F-BEDBF9473B9E}" type="pres">
      <dgm:prSet presAssocID="{FE3C781F-63B5-4F29-A4F7-F41A66B1EEE3}" presName="Name37" presStyleLbl="parChTrans1D2" presStyleIdx="0" presStyleCnt="2"/>
      <dgm:spPr/>
    </dgm:pt>
    <dgm:pt modelId="{3B20DD31-089A-4988-B75E-075066A07206}" type="pres">
      <dgm:prSet presAssocID="{6A59E961-95D7-4148-953F-100C981257AD}" presName="hierRoot2" presStyleCnt="0">
        <dgm:presLayoutVars>
          <dgm:hierBranch val="init"/>
        </dgm:presLayoutVars>
      </dgm:prSet>
      <dgm:spPr/>
    </dgm:pt>
    <dgm:pt modelId="{04018FE8-255C-4131-AB78-039287E1F4E6}" type="pres">
      <dgm:prSet presAssocID="{6A59E961-95D7-4148-953F-100C981257AD}" presName="rootComposite" presStyleCnt="0"/>
      <dgm:spPr/>
    </dgm:pt>
    <dgm:pt modelId="{3BA5BEB3-526A-4DD7-814A-600AE17D345D}" type="pres">
      <dgm:prSet presAssocID="{6A59E961-95D7-4148-953F-100C981257AD}" presName="rootText" presStyleLbl="node2" presStyleIdx="0" presStyleCnt="2">
        <dgm:presLayoutVars>
          <dgm:chPref val="3"/>
        </dgm:presLayoutVars>
      </dgm:prSet>
      <dgm:spPr/>
    </dgm:pt>
    <dgm:pt modelId="{28EB22C9-F883-4E67-A9FC-8DDAEC56FFBE}" type="pres">
      <dgm:prSet presAssocID="{6A59E961-95D7-4148-953F-100C981257AD}" presName="rootConnector" presStyleLbl="node2" presStyleIdx="0" presStyleCnt="2"/>
      <dgm:spPr/>
    </dgm:pt>
    <dgm:pt modelId="{1A49E759-F967-4D80-8242-304EDAD33641}" type="pres">
      <dgm:prSet presAssocID="{6A59E961-95D7-4148-953F-100C981257AD}" presName="hierChild4" presStyleCnt="0"/>
      <dgm:spPr/>
    </dgm:pt>
    <dgm:pt modelId="{2AD82BA3-349F-4F96-9C9D-E2DAC87CA349}" type="pres">
      <dgm:prSet presAssocID="{095F1C08-25F1-461B-A2C0-9C81F2FD36BA}" presName="Name37" presStyleLbl="parChTrans1D3" presStyleIdx="0" presStyleCnt="4"/>
      <dgm:spPr/>
    </dgm:pt>
    <dgm:pt modelId="{6A82D0E9-0F75-4F66-9A81-0A8433E8FD00}" type="pres">
      <dgm:prSet presAssocID="{CA74FF67-B93D-43F8-8629-1DA4B0CCCE9A}" presName="hierRoot2" presStyleCnt="0">
        <dgm:presLayoutVars>
          <dgm:hierBranch val="init"/>
        </dgm:presLayoutVars>
      </dgm:prSet>
      <dgm:spPr/>
    </dgm:pt>
    <dgm:pt modelId="{590FB91A-0BF9-4C2F-B169-C2E7A0971F8A}" type="pres">
      <dgm:prSet presAssocID="{CA74FF67-B93D-43F8-8629-1DA4B0CCCE9A}" presName="rootComposite" presStyleCnt="0"/>
      <dgm:spPr/>
    </dgm:pt>
    <dgm:pt modelId="{224F1475-BD95-4750-8850-2A573C3930E4}" type="pres">
      <dgm:prSet presAssocID="{CA74FF67-B93D-43F8-8629-1DA4B0CCCE9A}" presName="rootText" presStyleLbl="node3" presStyleIdx="0" presStyleCnt="4">
        <dgm:presLayoutVars>
          <dgm:chPref val="3"/>
        </dgm:presLayoutVars>
      </dgm:prSet>
      <dgm:spPr/>
    </dgm:pt>
    <dgm:pt modelId="{D3BCC275-DB90-4AF1-B574-24EF660E0E96}" type="pres">
      <dgm:prSet presAssocID="{CA74FF67-B93D-43F8-8629-1DA4B0CCCE9A}" presName="rootConnector" presStyleLbl="node3" presStyleIdx="0" presStyleCnt="4"/>
      <dgm:spPr/>
    </dgm:pt>
    <dgm:pt modelId="{EAB2876E-12FD-41F6-A558-84498290735D}" type="pres">
      <dgm:prSet presAssocID="{CA74FF67-B93D-43F8-8629-1DA4B0CCCE9A}" presName="hierChild4" presStyleCnt="0"/>
      <dgm:spPr/>
    </dgm:pt>
    <dgm:pt modelId="{FBF79D27-FB89-4CA2-B7B3-FDA4D830AC07}" type="pres">
      <dgm:prSet presAssocID="{3F1BDFFE-B50E-4EA0-8EFC-1AD33C4376E4}" presName="Name37" presStyleLbl="parChTrans1D4" presStyleIdx="0" presStyleCnt="16"/>
      <dgm:spPr/>
    </dgm:pt>
    <dgm:pt modelId="{EF35EE97-58C5-4C35-8F57-3CEDCDA77105}" type="pres">
      <dgm:prSet presAssocID="{48CFFD06-BD0A-4762-9F27-DBCF337B781B}" presName="hierRoot2" presStyleCnt="0">
        <dgm:presLayoutVars>
          <dgm:hierBranch val="init"/>
        </dgm:presLayoutVars>
      </dgm:prSet>
      <dgm:spPr/>
    </dgm:pt>
    <dgm:pt modelId="{5C81D6D6-FDC6-4007-BF6D-F486DAB2F64B}" type="pres">
      <dgm:prSet presAssocID="{48CFFD06-BD0A-4762-9F27-DBCF337B781B}" presName="rootComposite" presStyleCnt="0"/>
      <dgm:spPr/>
    </dgm:pt>
    <dgm:pt modelId="{8E08C326-D8DC-4980-A876-C3AB46095263}" type="pres">
      <dgm:prSet presAssocID="{48CFFD06-BD0A-4762-9F27-DBCF337B781B}" presName="rootText" presStyleLbl="node4" presStyleIdx="0" presStyleCnt="16">
        <dgm:presLayoutVars>
          <dgm:chPref val="3"/>
        </dgm:presLayoutVars>
      </dgm:prSet>
      <dgm:spPr/>
    </dgm:pt>
    <dgm:pt modelId="{53CFA682-8584-445A-BF6B-9FDCFB6F794F}" type="pres">
      <dgm:prSet presAssocID="{48CFFD06-BD0A-4762-9F27-DBCF337B781B}" presName="rootConnector" presStyleLbl="node4" presStyleIdx="0" presStyleCnt="16"/>
      <dgm:spPr/>
    </dgm:pt>
    <dgm:pt modelId="{90E01B48-CC7A-48D6-9747-58BBF2B3BFE7}" type="pres">
      <dgm:prSet presAssocID="{48CFFD06-BD0A-4762-9F27-DBCF337B781B}" presName="hierChild4" presStyleCnt="0"/>
      <dgm:spPr/>
    </dgm:pt>
    <dgm:pt modelId="{BEF2B4C6-418C-41E7-921B-363CCAEF1A74}" type="pres">
      <dgm:prSet presAssocID="{48CFFD06-BD0A-4762-9F27-DBCF337B781B}" presName="hierChild5" presStyleCnt="0"/>
      <dgm:spPr/>
    </dgm:pt>
    <dgm:pt modelId="{4B59FA50-F8A6-42C2-AC1E-6ED95BA27309}" type="pres">
      <dgm:prSet presAssocID="{FAFBF896-B700-4C76-8869-A4A9EFD00D56}" presName="Name37" presStyleLbl="parChTrans1D4" presStyleIdx="1" presStyleCnt="16"/>
      <dgm:spPr/>
    </dgm:pt>
    <dgm:pt modelId="{478CEBDD-369D-4E16-B47F-12DBC4E82AEC}" type="pres">
      <dgm:prSet presAssocID="{24D9856E-EB5D-46E2-961D-DA0EEFF06E3B}" presName="hierRoot2" presStyleCnt="0">
        <dgm:presLayoutVars>
          <dgm:hierBranch val="init"/>
        </dgm:presLayoutVars>
      </dgm:prSet>
      <dgm:spPr/>
    </dgm:pt>
    <dgm:pt modelId="{7C18BF91-9B26-4D01-BD6F-CD1466240E56}" type="pres">
      <dgm:prSet presAssocID="{24D9856E-EB5D-46E2-961D-DA0EEFF06E3B}" presName="rootComposite" presStyleCnt="0"/>
      <dgm:spPr/>
    </dgm:pt>
    <dgm:pt modelId="{79FED076-6817-42B9-8729-FB0B83922145}" type="pres">
      <dgm:prSet presAssocID="{24D9856E-EB5D-46E2-961D-DA0EEFF06E3B}" presName="rootText" presStyleLbl="node4" presStyleIdx="1" presStyleCnt="16">
        <dgm:presLayoutVars>
          <dgm:chPref val="3"/>
        </dgm:presLayoutVars>
      </dgm:prSet>
      <dgm:spPr/>
    </dgm:pt>
    <dgm:pt modelId="{556F94D4-18EF-424B-9F83-3C8924DF474D}" type="pres">
      <dgm:prSet presAssocID="{24D9856E-EB5D-46E2-961D-DA0EEFF06E3B}" presName="rootConnector" presStyleLbl="node4" presStyleIdx="1" presStyleCnt="16"/>
      <dgm:spPr/>
    </dgm:pt>
    <dgm:pt modelId="{846DC8E0-D9C9-4F0F-AC07-D12039E4CA1B}" type="pres">
      <dgm:prSet presAssocID="{24D9856E-EB5D-46E2-961D-DA0EEFF06E3B}" presName="hierChild4" presStyleCnt="0"/>
      <dgm:spPr/>
    </dgm:pt>
    <dgm:pt modelId="{6860D188-A783-4791-B97C-D133DC3F35D1}" type="pres">
      <dgm:prSet presAssocID="{24D9856E-EB5D-46E2-961D-DA0EEFF06E3B}" presName="hierChild5" presStyleCnt="0"/>
      <dgm:spPr/>
    </dgm:pt>
    <dgm:pt modelId="{DC1A4D81-B3F0-4911-B373-8ECDC92BCC33}" type="pres">
      <dgm:prSet presAssocID="{6CDDFC5B-53D0-4E80-BAC3-CF50DFFDA190}" presName="Name37" presStyleLbl="parChTrans1D4" presStyleIdx="2" presStyleCnt="16"/>
      <dgm:spPr/>
    </dgm:pt>
    <dgm:pt modelId="{A8003868-7685-499A-9B88-69B049AB1467}" type="pres">
      <dgm:prSet presAssocID="{DA23A61C-2545-4DBF-85C9-9D23566CE311}" presName="hierRoot2" presStyleCnt="0">
        <dgm:presLayoutVars>
          <dgm:hierBranch val="init"/>
        </dgm:presLayoutVars>
      </dgm:prSet>
      <dgm:spPr/>
    </dgm:pt>
    <dgm:pt modelId="{0DDC3DA0-0645-430E-98D3-9B18A1728F4A}" type="pres">
      <dgm:prSet presAssocID="{DA23A61C-2545-4DBF-85C9-9D23566CE311}" presName="rootComposite" presStyleCnt="0"/>
      <dgm:spPr/>
    </dgm:pt>
    <dgm:pt modelId="{FE30A760-6930-4324-9383-4652061B8625}" type="pres">
      <dgm:prSet presAssocID="{DA23A61C-2545-4DBF-85C9-9D23566CE311}" presName="rootText" presStyleLbl="node4" presStyleIdx="2" presStyleCnt="16">
        <dgm:presLayoutVars>
          <dgm:chPref val="3"/>
        </dgm:presLayoutVars>
      </dgm:prSet>
      <dgm:spPr/>
    </dgm:pt>
    <dgm:pt modelId="{34DA6619-D447-4776-8A9D-41EC9F3B43F6}" type="pres">
      <dgm:prSet presAssocID="{DA23A61C-2545-4DBF-85C9-9D23566CE311}" presName="rootConnector" presStyleLbl="node4" presStyleIdx="2" presStyleCnt="16"/>
      <dgm:spPr/>
    </dgm:pt>
    <dgm:pt modelId="{CD021F11-B0C4-44D7-A8EA-2CD9BAFAFB54}" type="pres">
      <dgm:prSet presAssocID="{DA23A61C-2545-4DBF-85C9-9D23566CE311}" presName="hierChild4" presStyleCnt="0"/>
      <dgm:spPr/>
    </dgm:pt>
    <dgm:pt modelId="{B904AA55-FE5F-4539-B13B-5C1C25F37ECF}" type="pres">
      <dgm:prSet presAssocID="{DA23A61C-2545-4DBF-85C9-9D23566CE311}" presName="hierChild5" presStyleCnt="0"/>
      <dgm:spPr/>
    </dgm:pt>
    <dgm:pt modelId="{E7DADF9E-5E8D-491E-BD2C-427F7CE213B8}" type="pres">
      <dgm:prSet presAssocID="{1A4D8FA8-AA55-48FA-B121-7AEF892C77C1}" presName="Name37" presStyleLbl="parChTrans1D4" presStyleIdx="3" presStyleCnt="16"/>
      <dgm:spPr/>
    </dgm:pt>
    <dgm:pt modelId="{ED300CCF-EC10-4CBD-B7D1-BCF4D66BC59E}" type="pres">
      <dgm:prSet presAssocID="{FAA6DE44-9088-42C2-9884-8B707CAC1D0D}" presName="hierRoot2" presStyleCnt="0">
        <dgm:presLayoutVars>
          <dgm:hierBranch val="init"/>
        </dgm:presLayoutVars>
      </dgm:prSet>
      <dgm:spPr/>
    </dgm:pt>
    <dgm:pt modelId="{BA14A92F-4086-4A2E-98FA-E64F9EAFDF35}" type="pres">
      <dgm:prSet presAssocID="{FAA6DE44-9088-42C2-9884-8B707CAC1D0D}" presName="rootComposite" presStyleCnt="0"/>
      <dgm:spPr/>
    </dgm:pt>
    <dgm:pt modelId="{F4ED83BB-C855-4493-A168-9505906B6127}" type="pres">
      <dgm:prSet presAssocID="{FAA6DE44-9088-42C2-9884-8B707CAC1D0D}" presName="rootText" presStyleLbl="node4" presStyleIdx="3" presStyleCnt="16">
        <dgm:presLayoutVars>
          <dgm:chPref val="3"/>
        </dgm:presLayoutVars>
      </dgm:prSet>
      <dgm:spPr/>
    </dgm:pt>
    <dgm:pt modelId="{71A79520-8446-4B83-BE83-9B0937F12AEC}" type="pres">
      <dgm:prSet presAssocID="{FAA6DE44-9088-42C2-9884-8B707CAC1D0D}" presName="rootConnector" presStyleLbl="node4" presStyleIdx="3" presStyleCnt="16"/>
      <dgm:spPr/>
    </dgm:pt>
    <dgm:pt modelId="{76B4EF7D-A117-46F1-93B6-8A8FD5CB723D}" type="pres">
      <dgm:prSet presAssocID="{FAA6DE44-9088-42C2-9884-8B707CAC1D0D}" presName="hierChild4" presStyleCnt="0"/>
      <dgm:spPr/>
    </dgm:pt>
    <dgm:pt modelId="{8D256B50-E01B-41A6-A396-40679628EF23}" type="pres">
      <dgm:prSet presAssocID="{FAA6DE44-9088-42C2-9884-8B707CAC1D0D}" presName="hierChild5" presStyleCnt="0"/>
      <dgm:spPr/>
    </dgm:pt>
    <dgm:pt modelId="{801F8D1C-5347-4CE9-BCBC-633F7D7199DF}" type="pres">
      <dgm:prSet presAssocID="{CA74FF67-B93D-43F8-8629-1DA4B0CCCE9A}" presName="hierChild5" presStyleCnt="0"/>
      <dgm:spPr/>
    </dgm:pt>
    <dgm:pt modelId="{E5AFC083-BCF8-480F-B757-C0A2903F35B9}" type="pres">
      <dgm:prSet presAssocID="{735C0871-3635-4A1A-B614-A3B7F6F994DB}" presName="Name37" presStyleLbl="parChTrans1D3" presStyleIdx="1" presStyleCnt="4"/>
      <dgm:spPr/>
    </dgm:pt>
    <dgm:pt modelId="{1FD15002-7EAF-4B27-A23A-A25054CD379C}" type="pres">
      <dgm:prSet presAssocID="{B19B56C3-61F5-47AF-B508-6E649DF9D214}" presName="hierRoot2" presStyleCnt="0">
        <dgm:presLayoutVars>
          <dgm:hierBranch val="init"/>
        </dgm:presLayoutVars>
      </dgm:prSet>
      <dgm:spPr/>
    </dgm:pt>
    <dgm:pt modelId="{E85786AD-E057-459F-AB6A-5AD3EFBD5C72}" type="pres">
      <dgm:prSet presAssocID="{B19B56C3-61F5-47AF-B508-6E649DF9D214}" presName="rootComposite" presStyleCnt="0"/>
      <dgm:spPr/>
    </dgm:pt>
    <dgm:pt modelId="{A05AFE4B-6817-40BD-A5CB-6635CE2F523D}" type="pres">
      <dgm:prSet presAssocID="{B19B56C3-61F5-47AF-B508-6E649DF9D214}" presName="rootText" presStyleLbl="node3" presStyleIdx="1" presStyleCnt="4">
        <dgm:presLayoutVars>
          <dgm:chPref val="3"/>
        </dgm:presLayoutVars>
      </dgm:prSet>
      <dgm:spPr/>
    </dgm:pt>
    <dgm:pt modelId="{540A3357-E396-47EA-9431-B3424B4F868A}" type="pres">
      <dgm:prSet presAssocID="{B19B56C3-61F5-47AF-B508-6E649DF9D214}" presName="rootConnector" presStyleLbl="node3" presStyleIdx="1" presStyleCnt="4"/>
      <dgm:spPr/>
    </dgm:pt>
    <dgm:pt modelId="{B63D8EE2-3097-4226-96C1-CE2E8A116CE6}" type="pres">
      <dgm:prSet presAssocID="{B19B56C3-61F5-47AF-B508-6E649DF9D214}" presName="hierChild4" presStyleCnt="0"/>
      <dgm:spPr/>
    </dgm:pt>
    <dgm:pt modelId="{FD650382-6235-44C4-AFDC-13B7D5A2F7D2}" type="pres">
      <dgm:prSet presAssocID="{1D764992-25A4-4334-8EB2-9CBF744EAD6C}" presName="Name37" presStyleLbl="parChTrans1D4" presStyleIdx="4" presStyleCnt="16"/>
      <dgm:spPr/>
    </dgm:pt>
    <dgm:pt modelId="{63312E14-CA10-45A4-B8D7-C17556C4A9D5}" type="pres">
      <dgm:prSet presAssocID="{13577321-CAAE-4129-936B-5D488481ACC1}" presName="hierRoot2" presStyleCnt="0">
        <dgm:presLayoutVars>
          <dgm:hierBranch val="init"/>
        </dgm:presLayoutVars>
      </dgm:prSet>
      <dgm:spPr/>
    </dgm:pt>
    <dgm:pt modelId="{6FC9A80D-3E6E-4D55-8A31-09CEA26DABFA}" type="pres">
      <dgm:prSet presAssocID="{13577321-CAAE-4129-936B-5D488481ACC1}" presName="rootComposite" presStyleCnt="0"/>
      <dgm:spPr/>
    </dgm:pt>
    <dgm:pt modelId="{D5071D38-C833-4BE0-A908-01652DC46906}" type="pres">
      <dgm:prSet presAssocID="{13577321-CAAE-4129-936B-5D488481ACC1}" presName="rootText" presStyleLbl="node4" presStyleIdx="4" presStyleCnt="16">
        <dgm:presLayoutVars>
          <dgm:chPref val="3"/>
        </dgm:presLayoutVars>
      </dgm:prSet>
      <dgm:spPr/>
    </dgm:pt>
    <dgm:pt modelId="{CE448795-BE47-459F-A538-3160AB63BB43}" type="pres">
      <dgm:prSet presAssocID="{13577321-CAAE-4129-936B-5D488481ACC1}" presName="rootConnector" presStyleLbl="node4" presStyleIdx="4" presStyleCnt="16"/>
      <dgm:spPr/>
    </dgm:pt>
    <dgm:pt modelId="{88A2C421-B3DF-435F-B6CE-60AE9788F4AF}" type="pres">
      <dgm:prSet presAssocID="{13577321-CAAE-4129-936B-5D488481ACC1}" presName="hierChild4" presStyleCnt="0"/>
      <dgm:spPr/>
    </dgm:pt>
    <dgm:pt modelId="{12756C8E-B856-41B2-BB81-E25C71502A35}" type="pres">
      <dgm:prSet presAssocID="{13577321-CAAE-4129-936B-5D488481ACC1}" presName="hierChild5" presStyleCnt="0"/>
      <dgm:spPr/>
    </dgm:pt>
    <dgm:pt modelId="{1C41F492-2990-4BE4-9314-EB48BD65514D}" type="pres">
      <dgm:prSet presAssocID="{EAA93D8B-C9BB-41B4-B0A8-7E39E77E4447}" presName="Name37" presStyleLbl="parChTrans1D4" presStyleIdx="5" presStyleCnt="16"/>
      <dgm:spPr/>
    </dgm:pt>
    <dgm:pt modelId="{096F7EC8-C31A-41C1-B6C2-A454881F621C}" type="pres">
      <dgm:prSet presAssocID="{67B252A3-A149-46A6-9324-488FE7106C11}" presName="hierRoot2" presStyleCnt="0">
        <dgm:presLayoutVars>
          <dgm:hierBranch val="init"/>
        </dgm:presLayoutVars>
      </dgm:prSet>
      <dgm:spPr/>
    </dgm:pt>
    <dgm:pt modelId="{1BE4FAAC-2982-481D-A140-4C683C737802}" type="pres">
      <dgm:prSet presAssocID="{67B252A3-A149-46A6-9324-488FE7106C11}" presName="rootComposite" presStyleCnt="0"/>
      <dgm:spPr/>
    </dgm:pt>
    <dgm:pt modelId="{3A863F37-C3AC-4458-8574-3AD003DD6F56}" type="pres">
      <dgm:prSet presAssocID="{67B252A3-A149-46A6-9324-488FE7106C11}" presName="rootText" presStyleLbl="node4" presStyleIdx="5" presStyleCnt="16">
        <dgm:presLayoutVars>
          <dgm:chPref val="3"/>
        </dgm:presLayoutVars>
      </dgm:prSet>
      <dgm:spPr/>
    </dgm:pt>
    <dgm:pt modelId="{30871230-B08E-4EBC-B074-6F43AA5D5AF4}" type="pres">
      <dgm:prSet presAssocID="{67B252A3-A149-46A6-9324-488FE7106C11}" presName="rootConnector" presStyleLbl="node4" presStyleIdx="5" presStyleCnt="16"/>
      <dgm:spPr/>
    </dgm:pt>
    <dgm:pt modelId="{7986CAFF-483B-4DBE-8C03-9B5D1A12525C}" type="pres">
      <dgm:prSet presAssocID="{67B252A3-A149-46A6-9324-488FE7106C11}" presName="hierChild4" presStyleCnt="0"/>
      <dgm:spPr/>
    </dgm:pt>
    <dgm:pt modelId="{920B338D-90F0-4681-9789-A1EBBEDC209A}" type="pres">
      <dgm:prSet presAssocID="{67B252A3-A149-46A6-9324-488FE7106C11}" presName="hierChild5" presStyleCnt="0"/>
      <dgm:spPr/>
    </dgm:pt>
    <dgm:pt modelId="{4F941574-88BA-400A-AD6A-E9B7DC95341F}" type="pres">
      <dgm:prSet presAssocID="{8954122D-525D-4608-B76C-57EBAA9732FF}" presName="Name37" presStyleLbl="parChTrans1D4" presStyleIdx="6" presStyleCnt="16"/>
      <dgm:spPr/>
    </dgm:pt>
    <dgm:pt modelId="{868DCC0F-8989-4BBB-A5D6-1CB131D3DD22}" type="pres">
      <dgm:prSet presAssocID="{5B1CFE35-77F2-4AD8-B62E-6A5BE238AE49}" presName="hierRoot2" presStyleCnt="0">
        <dgm:presLayoutVars>
          <dgm:hierBranch val="init"/>
        </dgm:presLayoutVars>
      </dgm:prSet>
      <dgm:spPr/>
    </dgm:pt>
    <dgm:pt modelId="{79CBED2B-81E4-4BE8-8B5F-8ADA7FE5AD17}" type="pres">
      <dgm:prSet presAssocID="{5B1CFE35-77F2-4AD8-B62E-6A5BE238AE49}" presName="rootComposite" presStyleCnt="0"/>
      <dgm:spPr/>
    </dgm:pt>
    <dgm:pt modelId="{20C6C4B9-9A5A-45C3-9807-209E4361EFA2}" type="pres">
      <dgm:prSet presAssocID="{5B1CFE35-77F2-4AD8-B62E-6A5BE238AE49}" presName="rootText" presStyleLbl="node4" presStyleIdx="6" presStyleCnt="16">
        <dgm:presLayoutVars>
          <dgm:chPref val="3"/>
        </dgm:presLayoutVars>
      </dgm:prSet>
      <dgm:spPr/>
    </dgm:pt>
    <dgm:pt modelId="{BA2D4A18-C1EC-428E-95CC-5D64491F00BE}" type="pres">
      <dgm:prSet presAssocID="{5B1CFE35-77F2-4AD8-B62E-6A5BE238AE49}" presName="rootConnector" presStyleLbl="node4" presStyleIdx="6" presStyleCnt="16"/>
      <dgm:spPr/>
    </dgm:pt>
    <dgm:pt modelId="{31CF4544-96E4-4663-82BA-834C7E886317}" type="pres">
      <dgm:prSet presAssocID="{5B1CFE35-77F2-4AD8-B62E-6A5BE238AE49}" presName="hierChild4" presStyleCnt="0"/>
      <dgm:spPr/>
    </dgm:pt>
    <dgm:pt modelId="{91394AF7-56E4-4E03-A549-5A91EF85ED30}" type="pres">
      <dgm:prSet presAssocID="{5B1CFE35-77F2-4AD8-B62E-6A5BE238AE49}" presName="hierChild5" presStyleCnt="0"/>
      <dgm:spPr/>
    </dgm:pt>
    <dgm:pt modelId="{14E59879-57CD-4221-ACB9-12A64F3024E2}" type="pres">
      <dgm:prSet presAssocID="{37B35455-5607-448B-8706-F2BD939CBD8D}" presName="Name37" presStyleLbl="parChTrans1D4" presStyleIdx="7" presStyleCnt="16"/>
      <dgm:spPr/>
    </dgm:pt>
    <dgm:pt modelId="{E296A00D-54E0-46D6-93F7-B6BA857080BE}" type="pres">
      <dgm:prSet presAssocID="{0ED981E5-8C9B-4958-9A12-003F139EB33B}" presName="hierRoot2" presStyleCnt="0">
        <dgm:presLayoutVars>
          <dgm:hierBranch val="init"/>
        </dgm:presLayoutVars>
      </dgm:prSet>
      <dgm:spPr/>
    </dgm:pt>
    <dgm:pt modelId="{12DF9719-3802-4A16-A9B2-3E5D504E442C}" type="pres">
      <dgm:prSet presAssocID="{0ED981E5-8C9B-4958-9A12-003F139EB33B}" presName="rootComposite" presStyleCnt="0"/>
      <dgm:spPr/>
    </dgm:pt>
    <dgm:pt modelId="{7DE9F97D-F8F3-4B8A-9974-AB98AE76E03A}" type="pres">
      <dgm:prSet presAssocID="{0ED981E5-8C9B-4958-9A12-003F139EB33B}" presName="rootText" presStyleLbl="node4" presStyleIdx="7" presStyleCnt="16">
        <dgm:presLayoutVars>
          <dgm:chPref val="3"/>
        </dgm:presLayoutVars>
      </dgm:prSet>
      <dgm:spPr/>
    </dgm:pt>
    <dgm:pt modelId="{E8D67A08-814A-41E3-BFDE-CF69333176FE}" type="pres">
      <dgm:prSet presAssocID="{0ED981E5-8C9B-4958-9A12-003F139EB33B}" presName="rootConnector" presStyleLbl="node4" presStyleIdx="7" presStyleCnt="16"/>
      <dgm:spPr/>
    </dgm:pt>
    <dgm:pt modelId="{72F6E5C8-D776-4523-8B5C-DB6A93C05A4B}" type="pres">
      <dgm:prSet presAssocID="{0ED981E5-8C9B-4958-9A12-003F139EB33B}" presName="hierChild4" presStyleCnt="0"/>
      <dgm:spPr/>
    </dgm:pt>
    <dgm:pt modelId="{A09F7F84-3BDF-45BF-B029-B47AE5F8FB3C}" type="pres">
      <dgm:prSet presAssocID="{0ED981E5-8C9B-4958-9A12-003F139EB33B}" presName="hierChild5" presStyleCnt="0"/>
      <dgm:spPr/>
    </dgm:pt>
    <dgm:pt modelId="{64D187C2-D084-482D-8675-62EECCEAD20F}" type="pres">
      <dgm:prSet presAssocID="{B19B56C3-61F5-47AF-B508-6E649DF9D214}" presName="hierChild5" presStyleCnt="0"/>
      <dgm:spPr/>
    </dgm:pt>
    <dgm:pt modelId="{BD82891E-F8CF-4B15-A4E8-28DB369D4CC0}" type="pres">
      <dgm:prSet presAssocID="{6A59E961-95D7-4148-953F-100C981257AD}" presName="hierChild5" presStyleCnt="0"/>
      <dgm:spPr/>
    </dgm:pt>
    <dgm:pt modelId="{3E1FFD9D-62C1-4398-A1E9-537E84CFCBCD}" type="pres">
      <dgm:prSet presAssocID="{6FCD9B5F-CE74-49D1-ACE3-4ED57E8F6EC5}" presName="Name37" presStyleLbl="parChTrans1D2" presStyleIdx="1" presStyleCnt="2"/>
      <dgm:spPr/>
    </dgm:pt>
    <dgm:pt modelId="{03040226-A09D-40CF-A751-EC9B78C006A5}" type="pres">
      <dgm:prSet presAssocID="{4EA97FB1-A6AD-439E-A9C0-641F37FB6A67}" presName="hierRoot2" presStyleCnt="0">
        <dgm:presLayoutVars>
          <dgm:hierBranch val="init"/>
        </dgm:presLayoutVars>
      </dgm:prSet>
      <dgm:spPr/>
    </dgm:pt>
    <dgm:pt modelId="{F76D9B49-0233-49F0-8B09-F0B698FBB4AC}" type="pres">
      <dgm:prSet presAssocID="{4EA97FB1-A6AD-439E-A9C0-641F37FB6A67}" presName="rootComposite" presStyleCnt="0"/>
      <dgm:spPr/>
    </dgm:pt>
    <dgm:pt modelId="{EC5E56BE-31F3-42DF-A27B-34178939EDE6}" type="pres">
      <dgm:prSet presAssocID="{4EA97FB1-A6AD-439E-A9C0-641F37FB6A67}" presName="rootText" presStyleLbl="node2" presStyleIdx="1" presStyleCnt="2" custScaleX="117523">
        <dgm:presLayoutVars>
          <dgm:chPref val="3"/>
        </dgm:presLayoutVars>
      </dgm:prSet>
      <dgm:spPr/>
    </dgm:pt>
    <dgm:pt modelId="{97527912-B1F6-4A6B-B117-847E82112F7B}" type="pres">
      <dgm:prSet presAssocID="{4EA97FB1-A6AD-439E-A9C0-641F37FB6A67}" presName="rootConnector" presStyleLbl="node2" presStyleIdx="1" presStyleCnt="2"/>
      <dgm:spPr/>
    </dgm:pt>
    <dgm:pt modelId="{4026DA88-E168-41C8-8108-9756040F8613}" type="pres">
      <dgm:prSet presAssocID="{4EA97FB1-A6AD-439E-A9C0-641F37FB6A67}" presName="hierChild4" presStyleCnt="0"/>
      <dgm:spPr/>
    </dgm:pt>
    <dgm:pt modelId="{96C689CC-101E-4D63-B85A-82B19092B322}" type="pres">
      <dgm:prSet presAssocID="{03A54369-761B-4146-A059-4A0E7A186879}" presName="Name37" presStyleLbl="parChTrans1D3" presStyleIdx="2" presStyleCnt="4"/>
      <dgm:spPr/>
    </dgm:pt>
    <dgm:pt modelId="{57EBB9C7-5CC3-49E1-BDC0-B130F6BA7FEA}" type="pres">
      <dgm:prSet presAssocID="{7DB34648-9297-461E-9A69-04BD09AA94CB}" presName="hierRoot2" presStyleCnt="0">
        <dgm:presLayoutVars>
          <dgm:hierBranch val="init"/>
        </dgm:presLayoutVars>
      </dgm:prSet>
      <dgm:spPr/>
    </dgm:pt>
    <dgm:pt modelId="{DD0BFD81-FD40-4EB2-B13B-2857AA158B0B}" type="pres">
      <dgm:prSet presAssocID="{7DB34648-9297-461E-9A69-04BD09AA94CB}" presName="rootComposite" presStyleCnt="0"/>
      <dgm:spPr/>
    </dgm:pt>
    <dgm:pt modelId="{F2F5AAF5-2142-4BE5-8DC1-0DFA7315EF63}" type="pres">
      <dgm:prSet presAssocID="{7DB34648-9297-461E-9A69-04BD09AA94CB}" presName="rootText" presStyleLbl="node3" presStyleIdx="2" presStyleCnt="4">
        <dgm:presLayoutVars>
          <dgm:chPref val="3"/>
        </dgm:presLayoutVars>
      </dgm:prSet>
      <dgm:spPr/>
    </dgm:pt>
    <dgm:pt modelId="{B86FD87E-B3D2-4257-9F54-2C52D9DCE53B}" type="pres">
      <dgm:prSet presAssocID="{7DB34648-9297-461E-9A69-04BD09AA94CB}" presName="rootConnector" presStyleLbl="node3" presStyleIdx="2" presStyleCnt="4"/>
      <dgm:spPr/>
    </dgm:pt>
    <dgm:pt modelId="{391BA632-8698-44F1-AAD4-84082FFAE0F6}" type="pres">
      <dgm:prSet presAssocID="{7DB34648-9297-461E-9A69-04BD09AA94CB}" presName="hierChild4" presStyleCnt="0"/>
      <dgm:spPr/>
    </dgm:pt>
    <dgm:pt modelId="{0161E30F-4093-4997-B3F1-1201673578E1}" type="pres">
      <dgm:prSet presAssocID="{F933E6F2-11D4-47AD-A3CB-D04F8BBBC2B6}" presName="Name37" presStyleLbl="parChTrans1D4" presStyleIdx="8" presStyleCnt="16"/>
      <dgm:spPr/>
    </dgm:pt>
    <dgm:pt modelId="{B00EAF69-B24E-4CA5-B026-59DD7700CD14}" type="pres">
      <dgm:prSet presAssocID="{2C51C8FF-9901-43E7-9841-AFD7C1B2DB4B}" presName="hierRoot2" presStyleCnt="0">
        <dgm:presLayoutVars>
          <dgm:hierBranch val="init"/>
        </dgm:presLayoutVars>
      </dgm:prSet>
      <dgm:spPr/>
    </dgm:pt>
    <dgm:pt modelId="{7849A711-94B7-4D03-B1DC-B24C6C5055A5}" type="pres">
      <dgm:prSet presAssocID="{2C51C8FF-9901-43E7-9841-AFD7C1B2DB4B}" presName="rootComposite" presStyleCnt="0"/>
      <dgm:spPr/>
    </dgm:pt>
    <dgm:pt modelId="{8799E431-6FA9-405E-AFC0-FC474A0E47B7}" type="pres">
      <dgm:prSet presAssocID="{2C51C8FF-9901-43E7-9841-AFD7C1B2DB4B}" presName="rootText" presStyleLbl="node4" presStyleIdx="8" presStyleCnt="16">
        <dgm:presLayoutVars>
          <dgm:chPref val="3"/>
        </dgm:presLayoutVars>
      </dgm:prSet>
      <dgm:spPr/>
    </dgm:pt>
    <dgm:pt modelId="{81BAF2C6-251E-4A70-A91D-76B8D24741FC}" type="pres">
      <dgm:prSet presAssocID="{2C51C8FF-9901-43E7-9841-AFD7C1B2DB4B}" presName="rootConnector" presStyleLbl="node4" presStyleIdx="8" presStyleCnt="16"/>
      <dgm:spPr/>
    </dgm:pt>
    <dgm:pt modelId="{7F5AFD6E-4DCF-4A05-91FB-D97AB635CD92}" type="pres">
      <dgm:prSet presAssocID="{2C51C8FF-9901-43E7-9841-AFD7C1B2DB4B}" presName="hierChild4" presStyleCnt="0"/>
      <dgm:spPr/>
    </dgm:pt>
    <dgm:pt modelId="{8EE34C08-0D33-463D-B0AF-37B972B1EEFB}" type="pres">
      <dgm:prSet presAssocID="{2C51C8FF-9901-43E7-9841-AFD7C1B2DB4B}" presName="hierChild5" presStyleCnt="0"/>
      <dgm:spPr/>
    </dgm:pt>
    <dgm:pt modelId="{B5A96947-ABEF-401A-96D0-3836E812C03D}" type="pres">
      <dgm:prSet presAssocID="{ECAB780B-0320-478B-BA95-E67AEF6DB03E}" presName="Name37" presStyleLbl="parChTrans1D4" presStyleIdx="9" presStyleCnt="16"/>
      <dgm:spPr/>
    </dgm:pt>
    <dgm:pt modelId="{20CD56AD-225B-4B05-A81B-FE997AEC90FB}" type="pres">
      <dgm:prSet presAssocID="{855D1E5B-9296-4EAE-8343-881755CD8BD8}" presName="hierRoot2" presStyleCnt="0">
        <dgm:presLayoutVars>
          <dgm:hierBranch val="init"/>
        </dgm:presLayoutVars>
      </dgm:prSet>
      <dgm:spPr/>
    </dgm:pt>
    <dgm:pt modelId="{C9847241-A402-4ED9-B7DB-1BF7602D6049}" type="pres">
      <dgm:prSet presAssocID="{855D1E5B-9296-4EAE-8343-881755CD8BD8}" presName="rootComposite" presStyleCnt="0"/>
      <dgm:spPr/>
    </dgm:pt>
    <dgm:pt modelId="{116BC929-D6BC-4F34-9C09-1260A0B58BAA}" type="pres">
      <dgm:prSet presAssocID="{855D1E5B-9296-4EAE-8343-881755CD8BD8}" presName="rootText" presStyleLbl="node4" presStyleIdx="9" presStyleCnt="16">
        <dgm:presLayoutVars>
          <dgm:chPref val="3"/>
        </dgm:presLayoutVars>
      </dgm:prSet>
      <dgm:spPr/>
    </dgm:pt>
    <dgm:pt modelId="{D41847F8-A290-4AE9-9728-2CCC36FBC561}" type="pres">
      <dgm:prSet presAssocID="{855D1E5B-9296-4EAE-8343-881755CD8BD8}" presName="rootConnector" presStyleLbl="node4" presStyleIdx="9" presStyleCnt="16"/>
      <dgm:spPr/>
    </dgm:pt>
    <dgm:pt modelId="{2D234E31-717A-4B2C-9686-21A338070B8C}" type="pres">
      <dgm:prSet presAssocID="{855D1E5B-9296-4EAE-8343-881755CD8BD8}" presName="hierChild4" presStyleCnt="0"/>
      <dgm:spPr/>
    </dgm:pt>
    <dgm:pt modelId="{E9722A6E-B20E-4C57-AE18-F3144E2F5A41}" type="pres">
      <dgm:prSet presAssocID="{855D1E5B-9296-4EAE-8343-881755CD8BD8}" presName="hierChild5" presStyleCnt="0"/>
      <dgm:spPr/>
    </dgm:pt>
    <dgm:pt modelId="{1B2BB266-D19F-4DBE-ADBE-D69D354D9284}" type="pres">
      <dgm:prSet presAssocID="{10850C7C-D00A-4406-AC96-BE6D5E5093AA}" presName="Name37" presStyleLbl="parChTrans1D4" presStyleIdx="10" presStyleCnt="16"/>
      <dgm:spPr/>
    </dgm:pt>
    <dgm:pt modelId="{0ECB1B7C-DFB5-4C86-B420-28E275522396}" type="pres">
      <dgm:prSet presAssocID="{F226CC95-FD25-4EBC-8C65-28F81CC28EC0}" presName="hierRoot2" presStyleCnt="0">
        <dgm:presLayoutVars>
          <dgm:hierBranch val="init"/>
        </dgm:presLayoutVars>
      </dgm:prSet>
      <dgm:spPr/>
    </dgm:pt>
    <dgm:pt modelId="{C3B5747F-3DCC-4AFF-9351-07387C94B46B}" type="pres">
      <dgm:prSet presAssocID="{F226CC95-FD25-4EBC-8C65-28F81CC28EC0}" presName="rootComposite" presStyleCnt="0"/>
      <dgm:spPr/>
    </dgm:pt>
    <dgm:pt modelId="{25BAE859-04A4-4B09-B312-4C8D5A4996E1}" type="pres">
      <dgm:prSet presAssocID="{F226CC95-FD25-4EBC-8C65-28F81CC28EC0}" presName="rootText" presStyleLbl="node4" presStyleIdx="10" presStyleCnt="16">
        <dgm:presLayoutVars>
          <dgm:chPref val="3"/>
        </dgm:presLayoutVars>
      </dgm:prSet>
      <dgm:spPr/>
    </dgm:pt>
    <dgm:pt modelId="{C370D5D3-01AB-447D-ACD8-FAF26E6B139B}" type="pres">
      <dgm:prSet presAssocID="{F226CC95-FD25-4EBC-8C65-28F81CC28EC0}" presName="rootConnector" presStyleLbl="node4" presStyleIdx="10" presStyleCnt="16"/>
      <dgm:spPr/>
    </dgm:pt>
    <dgm:pt modelId="{48B9D83B-0B5A-4697-B4F2-BD8461B3D97D}" type="pres">
      <dgm:prSet presAssocID="{F226CC95-FD25-4EBC-8C65-28F81CC28EC0}" presName="hierChild4" presStyleCnt="0"/>
      <dgm:spPr/>
    </dgm:pt>
    <dgm:pt modelId="{8224E776-4F76-4A49-BD99-57A0AF346242}" type="pres">
      <dgm:prSet presAssocID="{F226CC95-FD25-4EBC-8C65-28F81CC28EC0}" presName="hierChild5" presStyleCnt="0"/>
      <dgm:spPr/>
    </dgm:pt>
    <dgm:pt modelId="{B9EF1DAB-1A94-43A2-9C73-A55175EDB3FF}" type="pres">
      <dgm:prSet presAssocID="{501731E0-710E-40BB-B702-57EACAD090F2}" presName="Name37" presStyleLbl="parChTrans1D4" presStyleIdx="11" presStyleCnt="16"/>
      <dgm:spPr/>
    </dgm:pt>
    <dgm:pt modelId="{97FA0607-FCF7-4B17-BFF3-0336989E8DB9}" type="pres">
      <dgm:prSet presAssocID="{F24D0663-8126-44EC-8857-3EFDD27F17FA}" presName="hierRoot2" presStyleCnt="0">
        <dgm:presLayoutVars>
          <dgm:hierBranch val="init"/>
        </dgm:presLayoutVars>
      </dgm:prSet>
      <dgm:spPr/>
    </dgm:pt>
    <dgm:pt modelId="{317AD701-B026-4A7F-81E5-F5741986C822}" type="pres">
      <dgm:prSet presAssocID="{F24D0663-8126-44EC-8857-3EFDD27F17FA}" presName="rootComposite" presStyleCnt="0"/>
      <dgm:spPr/>
    </dgm:pt>
    <dgm:pt modelId="{3D6E0426-545E-47D1-BA7F-E34D2A728842}" type="pres">
      <dgm:prSet presAssocID="{F24D0663-8126-44EC-8857-3EFDD27F17FA}" presName="rootText" presStyleLbl="node4" presStyleIdx="11" presStyleCnt="16">
        <dgm:presLayoutVars>
          <dgm:chPref val="3"/>
        </dgm:presLayoutVars>
      </dgm:prSet>
      <dgm:spPr/>
    </dgm:pt>
    <dgm:pt modelId="{B1427FC6-C4A1-416D-ABAB-4BC4B6327F3E}" type="pres">
      <dgm:prSet presAssocID="{F24D0663-8126-44EC-8857-3EFDD27F17FA}" presName="rootConnector" presStyleLbl="node4" presStyleIdx="11" presStyleCnt="16"/>
      <dgm:spPr/>
    </dgm:pt>
    <dgm:pt modelId="{8B2E5D8F-AB7F-403B-8124-B8397D723689}" type="pres">
      <dgm:prSet presAssocID="{F24D0663-8126-44EC-8857-3EFDD27F17FA}" presName="hierChild4" presStyleCnt="0"/>
      <dgm:spPr/>
    </dgm:pt>
    <dgm:pt modelId="{5DFD2E6B-2145-4A81-9EE9-E512D0294F8F}" type="pres">
      <dgm:prSet presAssocID="{F24D0663-8126-44EC-8857-3EFDD27F17FA}" presName="hierChild5" presStyleCnt="0"/>
      <dgm:spPr/>
    </dgm:pt>
    <dgm:pt modelId="{5CD306DD-07BC-49D6-9F87-0A047228950D}" type="pres">
      <dgm:prSet presAssocID="{7DB34648-9297-461E-9A69-04BD09AA94CB}" presName="hierChild5" presStyleCnt="0"/>
      <dgm:spPr/>
    </dgm:pt>
    <dgm:pt modelId="{1B49B9F1-5F91-4399-8FD0-E0C6C1FDD215}" type="pres">
      <dgm:prSet presAssocID="{8DB60083-4349-4626-B2A0-1B96E4508549}" presName="Name37" presStyleLbl="parChTrans1D3" presStyleIdx="3" presStyleCnt="4"/>
      <dgm:spPr/>
    </dgm:pt>
    <dgm:pt modelId="{BA5D766B-22DF-4BC3-8B3F-A9C8BCA0BF41}" type="pres">
      <dgm:prSet presAssocID="{EED6CF0C-BA85-4172-84E7-AB726C3591BC}" presName="hierRoot2" presStyleCnt="0">
        <dgm:presLayoutVars>
          <dgm:hierBranch val="init"/>
        </dgm:presLayoutVars>
      </dgm:prSet>
      <dgm:spPr/>
    </dgm:pt>
    <dgm:pt modelId="{DAB8C791-DD15-4907-BD77-823E61566150}" type="pres">
      <dgm:prSet presAssocID="{EED6CF0C-BA85-4172-84E7-AB726C3591BC}" presName="rootComposite" presStyleCnt="0"/>
      <dgm:spPr/>
    </dgm:pt>
    <dgm:pt modelId="{C6FAE481-67BA-4D7E-BD1A-F67ED416B205}" type="pres">
      <dgm:prSet presAssocID="{EED6CF0C-BA85-4172-84E7-AB726C3591BC}" presName="rootText" presStyleLbl="node3" presStyleIdx="3" presStyleCnt="4">
        <dgm:presLayoutVars>
          <dgm:chPref val="3"/>
        </dgm:presLayoutVars>
      </dgm:prSet>
      <dgm:spPr/>
    </dgm:pt>
    <dgm:pt modelId="{75427552-2D0A-4F1C-8079-4B4827973E52}" type="pres">
      <dgm:prSet presAssocID="{EED6CF0C-BA85-4172-84E7-AB726C3591BC}" presName="rootConnector" presStyleLbl="node3" presStyleIdx="3" presStyleCnt="4"/>
      <dgm:spPr/>
    </dgm:pt>
    <dgm:pt modelId="{C78131B2-9EE3-45DF-95B0-DBFB8B884303}" type="pres">
      <dgm:prSet presAssocID="{EED6CF0C-BA85-4172-84E7-AB726C3591BC}" presName="hierChild4" presStyleCnt="0"/>
      <dgm:spPr/>
    </dgm:pt>
    <dgm:pt modelId="{74C1649D-EF19-49F0-9BF9-C6425D9F64B5}" type="pres">
      <dgm:prSet presAssocID="{D990DF9C-FFEC-4C96-9837-CE4D555B89E5}" presName="Name37" presStyleLbl="parChTrans1D4" presStyleIdx="12" presStyleCnt="16"/>
      <dgm:spPr/>
    </dgm:pt>
    <dgm:pt modelId="{3FC7A68F-AC8D-4566-9565-85F317217343}" type="pres">
      <dgm:prSet presAssocID="{B3A30BCF-EEBD-48A3-97D2-5548BF2649BC}" presName="hierRoot2" presStyleCnt="0">
        <dgm:presLayoutVars>
          <dgm:hierBranch val="init"/>
        </dgm:presLayoutVars>
      </dgm:prSet>
      <dgm:spPr/>
    </dgm:pt>
    <dgm:pt modelId="{61B599DB-8D90-42FB-AEAC-70920058FF2F}" type="pres">
      <dgm:prSet presAssocID="{B3A30BCF-EEBD-48A3-97D2-5548BF2649BC}" presName="rootComposite" presStyleCnt="0"/>
      <dgm:spPr/>
    </dgm:pt>
    <dgm:pt modelId="{BA318FA3-3732-47A2-BFDB-25B111F1CC72}" type="pres">
      <dgm:prSet presAssocID="{B3A30BCF-EEBD-48A3-97D2-5548BF2649BC}" presName="rootText" presStyleLbl="node4" presStyleIdx="12" presStyleCnt="16">
        <dgm:presLayoutVars>
          <dgm:chPref val="3"/>
        </dgm:presLayoutVars>
      </dgm:prSet>
      <dgm:spPr/>
    </dgm:pt>
    <dgm:pt modelId="{0199E8D5-030D-48B5-BA68-3A351492EA87}" type="pres">
      <dgm:prSet presAssocID="{B3A30BCF-EEBD-48A3-97D2-5548BF2649BC}" presName="rootConnector" presStyleLbl="node4" presStyleIdx="12" presStyleCnt="16"/>
      <dgm:spPr/>
    </dgm:pt>
    <dgm:pt modelId="{C00C011B-E31D-48B3-B7DF-6B13E0AFFCC5}" type="pres">
      <dgm:prSet presAssocID="{B3A30BCF-EEBD-48A3-97D2-5548BF2649BC}" presName="hierChild4" presStyleCnt="0"/>
      <dgm:spPr/>
    </dgm:pt>
    <dgm:pt modelId="{9B633D3F-BBD4-43FB-B394-55AB66957496}" type="pres">
      <dgm:prSet presAssocID="{B3A30BCF-EEBD-48A3-97D2-5548BF2649BC}" presName="hierChild5" presStyleCnt="0"/>
      <dgm:spPr/>
    </dgm:pt>
    <dgm:pt modelId="{C899FC0A-A3D9-4A60-8EB7-BCB8FD3B2E91}" type="pres">
      <dgm:prSet presAssocID="{13C7D31C-FE17-4F8E-BE11-4FC1CAF2FB4A}" presName="Name37" presStyleLbl="parChTrans1D4" presStyleIdx="13" presStyleCnt="16"/>
      <dgm:spPr/>
    </dgm:pt>
    <dgm:pt modelId="{F7118A62-5410-4FAE-91D8-DB03A73EDC00}" type="pres">
      <dgm:prSet presAssocID="{D904A4A8-A52A-434E-9CB9-B1CD87AD69D1}" presName="hierRoot2" presStyleCnt="0">
        <dgm:presLayoutVars>
          <dgm:hierBranch val="init"/>
        </dgm:presLayoutVars>
      </dgm:prSet>
      <dgm:spPr/>
    </dgm:pt>
    <dgm:pt modelId="{99757DE8-75E0-4A63-BBC9-80424FDA5AC3}" type="pres">
      <dgm:prSet presAssocID="{D904A4A8-A52A-434E-9CB9-B1CD87AD69D1}" presName="rootComposite" presStyleCnt="0"/>
      <dgm:spPr/>
    </dgm:pt>
    <dgm:pt modelId="{A9AA7563-F92E-4645-892D-47A7CE5B8F08}" type="pres">
      <dgm:prSet presAssocID="{D904A4A8-A52A-434E-9CB9-B1CD87AD69D1}" presName="rootText" presStyleLbl="node4" presStyleIdx="13" presStyleCnt="16">
        <dgm:presLayoutVars>
          <dgm:chPref val="3"/>
        </dgm:presLayoutVars>
      </dgm:prSet>
      <dgm:spPr/>
    </dgm:pt>
    <dgm:pt modelId="{F6F70596-404F-423F-AC40-F4EF83467B87}" type="pres">
      <dgm:prSet presAssocID="{D904A4A8-A52A-434E-9CB9-B1CD87AD69D1}" presName="rootConnector" presStyleLbl="node4" presStyleIdx="13" presStyleCnt="16"/>
      <dgm:spPr/>
    </dgm:pt>
    <dgm:pt modelId="{93A75C0B-FE6B-4BEF-817B-E3F6E68DC628}" type="pres">
      <dgm:prSet presAssocID="{D904A4A8-A52A-434E-9CB9-B1CD87AD69D1}" presName="hierChild4" presStyleCnt="0"/>
      <dgm:spPr/>
    </dgm:pt>
    <dgm:pt modelId="{DB975C75-0FD1-48E7-BE9F-0688054D0B30}" type="pres">
      <dgm:prSet presAssocID="{D904A4A8-A52A-434E-9CB9-B1CD87AD69D1}" presName="hierChild5" presStyleCnt="0"/>
      <dgm:spPr/>
    </dgm:pt>
    <dgm:pt modelId="{6215E18D-827F-4004-9550-6662DF0B1FD5}" type="pres">
      <dgm:prSet presAssocID="{2340DFB4-3EF6-4AE4-B78E-64FC45AAEFF4}" presName="Name37" presStyleLbl="parChTrans1D4" presStyleIdx="14" presStyleCnt="16"/>
      <dgm:spPr/>
    </dgm:pt>
    <dgm:pt modelId="{B4C9983E-DDBE-481D-B4D9-5AB02BD01E5B}" type="pres">
      <dgm:prSet presAssocID="{54664A91-EC84-4935-81A0-E5B7295BC4BA}" presName="hierRoot2" presStyleCnt="0">
        <dgm:presLayoutVars>
          <dgm:hierBranch val="init"/>
        </dgm:presLayoutVars>
      </dgm:prSet>
      <dgm:spPr/>
    </dgm:pt>
    <dgm:pt modelId="{8C17F6F2-9D28-4E09-A872-1D994DE8E47B}" type="pres">
      <dgm:prSet presAssocID="{54664A91-EC84-4935-81A0-E5B7295BC4BA}" presName="rootComposite" presStyleCnt="0"/>
      <dgm:spPr/>
    </dgm:pt>
    <dgm:pt modelId="{A8238D60-84C2-41B2-B134-97EF17FFCCA1}" type="pres">
      <dgm:prSet presAssocID="{54664A91-EC84-4935-81A0-E5B7295BC4BA}" presName="rootText" presStyleLbl="node4" presStyleIdx="14" presStyleCnt="16">
        <dgm:presLayoutVars>
          <dgm:chPref val="3"/>
        </dgm:presLayoutVars>
      </dgm:prSet>
      <dgm:spPr/>
    </dgm:pt>
    <dgm:pt modelId="{58910E52-ADA4-4700-81E4-99471B02D1E1}" type="pres">
      <dgm:prSet presAssocID="{54664A91-EC84-4935-81A0-E5B7295BC4BA}" presName="rootConnector" presStyleLbl="node4" presStyleIdx="14" presStyleCnt="16"/>
      <dgm:spPr/>
    </dgm:pt>
    <dgm:pt modelId="{DB36443E-9512-4E9D-854B-6205A2458CF9}" type="pres">
      <dgm:prSet presAssocID="{54664A91-EC84-4935-81A0-E5B7295BC4BA}" presName="hierChild4" presStyleCnt="0"/>
      <dgm:spPr/>
    </dgm:pt>
    <dgm:pt modelId="{9D6A31FB-1034-4F56-AC46-178FAF261A5A}" type="pres">
      <dgm:prSet presAssocID="{54664A91-EC84-4935-81A0-E5B7295BC4BA}" presName="hierChild5" presStyleCnt="0"/>
      <dgm:spPr/>
    </dgm:pt>
    <dgm:pt modelId="{928DB27E-CC00-461B-8254-81AB6C10B6B5}" type="pres">
      <dgm:prSet presAssocID="{00450BEA-8855-4367-A37A-EF70F035D785}" presName="Name37" presStyleLbl="parChTrans1D4" presStyleIdx="15" presStyleCnt="16"/>
      <dgm:spPr/>
    </dgm:pt>
    <dgm:pt modelId="{FEBED6C3-D8F9-4FEF-8757-D3F3592F9592}" type="pres">
      <dgm:prSet presAssocID="{62FA7DCC-0D13-45B8-96BD-4DABF1240805}" presName="hierRoot2" presStyleCnt="0">
        <dgm:presLayoutVars>
          <dgm:hierBranch val="init"/>
        </dgm:presLayoutVars>
      </dgm:prSet>
      <dgm:spPr/>
    </dgm:pt>
    <dgm:pt modelId="{3FED5C30-54DE-491F-854E-5190A7C99AA8}" type="pres">
      <dgm:prSet presAssocID="{62FA7DCC-0D13-45B8-96BD-4DABF1240805}" presName="rootComposite" presStyleCnt="0"/>
      <dgm:spPr/>
    </dgm:pt>
    <dgm:pt modelId="{4B501979-9FF3-4740-9FA6-2CAF6E40F362}" type="pres">
      <dgm:prSet presAssocID="{62FA7DCC-0D13-45B8-96BD-4DABF1240805}" presName="rootText" presStyleLbl="node4" presStyleIdx="15" presStyleCnt="16">
        <dgm:presLayoutVars>
          <dgm:chPref val="3"/>
        </dgm:presLayoutVars>
      </dgm:prSet>
      <dgm:spPr/>
    </dgm:pt>
    <dgm:pt modelId="{573CFB7F-A4DC-4376-844F-80E9625D6CDD}" type="pres">
      <dgm:prSet presAssocID="{62FA7DCC-0D13-45B8-96BD-4DABF1240805}" presName="rootConnector" presStyleLbl="node4" presStyleIdx="15" presStyleCnt="16"/>
      <dgm:spPr/>
    </dgm:pt>
    <dgm:pt modelId="{979EF6AB-B5D7-4BAF-9035-2793B1C01131}" type="pres">
      <dgm:prSet presAssocID="{62FA7DCC-0D13-45B8-96BD-4DABF1240805}" presName="hierChild4" presStyleCnt="0"/>
      <dgm:spPr/>
    </dgm:pt>
    <dgm:pt modelId="{7C083399-6238-48E0-9E35-BB0700DD935B}" type="pres">
      <dgm:prSet presAssocID="{62FA7DCC-0D13-45B8-96BD-4DABF1240805}" presName="hierChild5" presStyleCnt="0"/>
      <dgm:spPr/>
    </dgm:pt>
    <dgm:pt modelId="{BBA35DC0-AC7C-4B50-B04D-0B2A1D91FA0E}" type="pres">
      <dgm:prSet presAssocID="{EED6CF0C-BA85-4172-84E7-AB726C3591BC}" presName="hierChild5" presStyleCnt="0"/>
      <dgm:spPr/>
    </dgm:pt>
    <dgm:pt modelId="{E4A34329-6BB1-4205-AC0B-B26B211D9C68}" type="pres">
      <dgm:prSet presAssocID="{4EA97FB1-A6AD-439E-A9C0-641F37FB6A67}" presName="hierChild5" presStyleCnt="0"/>
      <dgm:spPr/>
    </dgm:pt>
    <dgm:pt modelId="{263935F3-C9C4-419A-9CF8-34E721114DAC}" type="pres">
      <dgm:prSet presAssocID="{B7066AE4-0558-4D08-8F44-60D4E2A9827C}" presName="hierChild3" presStyleCnt="0"/>
      <dgm:spPr/>
    </dgm:pt>
  </dgm:ptLst>
  <dgm:cxnLst>
    <dgm:cxn modelId="{A8D4E603-899F-4B59-AA61-151DF6BC4295}" srcId="{6A59E961-95D7-4148-953F-100C981257AD}" destId="{B19B56C3-61F5-47AF-B508-6E649DF9D214}" srcOrd="1" destOrd="0" parTransId="{735C0871-3635-4A1A-B614-A3B7F6F994DB}" sibTransId="{F6827833-D94E-4EBD-9338-0387ED2C853C}"/>
    <dgm:cxn modelId="{E08A740D-226F-4D5F-8BAF-4BD8C273D35A}" type="presOf" srcId="{7DB34648-9297-461E-9A69-04BD09AA94CB}" destId="{B86FD87E-B3D2-4257-9F54-2C52D9DCE53B}" srcOrd="1" destOrd="0" presId="urn:microsoft.com/office/officeart/2005/8/layout/orgChart1"/>
    <dgm:cxn modelId="{6C1F2410-E1AB-4353-A59F-BF926DF77384}" type="presOf" srcId="{CA74FF67-B93D-43F8-8629-1DA4B0CCCE9A}" destId="{D3BCC275-DB90-4AF1-B574-24EF660E0E96}" srcOrd="1" destOrd="0" presId="urn:microsoft.com/office/officeart/2005/8/layout/orgChart1"/>
    <dgm:cxn modelId="{D03E1911-BE30-4D78-9236-BA3B73314F19}" srcId="{4EA97FB1-A6AD-439E-A9C0-641F37FB6A67}" destId="{7DB34648-9297-461E-9A69-04BD09AA94CB}" srcOrd="0" destOrd="0" parTransId="{03A54369-761B-4146-A059-4A0E7A186879}" sibTransId="{95FCE3DB-65EE-48B4-8ABB-5BCF2BE1D2D7}"/>
    <dgm:cxn modelId="{64401113-DCDC-4B63-9E0A-9D994EA2D94A}" type="presOf" srcId="{6CDDFC5B-53D0-4E80-BAC3-CF50DFFDA190}" destId="{DC1A4D81-B3F0-4911-B373-8ECDC92BCC33}" srcOrd="0" destOrd="0" presId="urn:microsoft.com/office/officeart/2005/8/layout/orgChart1"/>
    <dgm:cxn modelId="{46859A17-0A66-40F8-A49C-267179C07895}" srcId="{B7066AE4-0558-4D08-8F44-60D4E2A9827C}" destId="{4EA97FB1-A6AD-439E-A9C0-641F37FB6A67}" srcOrd="1" destOrd="0" parTransId="{6FCD9B5F-CE74-49D1-ACE3-4ED57E8F6EC5}" sibTransId="{9C1905B0-198C-4D07-91EE-495E228E45D3}"/>
    <dgm:cxn modelId="{5323091A-898C-49ED-848E-163942439030}" srcId="{CA74FF67-B93D-43F8-8629-1DA4B0CCCE9A}" destId="{DA23A61C-2545-4DBF-85C9-9D23566CE311}" srcOrd="2" destOrd="0" parTransId="{6CDDFC5B-53D0-4E80-BAC3-CF50DFFDA190}" sibTransId="{7161AD2E-F5C4-4A92-9743-694C7B82B165}"/>
    <dgm:cxn modelId="{0056151C-F1F8-4574-8A9E-AE1D38F2A5A2}" type="presOf" srcId="{B3A30BCF-EEBD-48A3-97D2-5548BF2649BC}" destId="{0199E8D5-030D-48B5-BA68-3A351492EA87}" srcOrd="1" destOrd="0" presId="urn:microsoft.com/office/officeart/2005/8/layout/orgChart1"/>
    <dgm:cxn modelId="{09F9441C-8B68-4E4B-A772-459C6F1920AF}" type="presOf" srcId="{00450BEA-8855-4367-A37A-EF70F035D785}" destId="{928DB27E-CC00-461B-8254-81AB6C10B6B5}" srcOrd="0" destOrd="0" presId="urn:microsoft.com/office/officeart/2005/8/layout/orgChart1"/>
    <dgm:cxn modelId="{02B7411F-350F-41C7-BCF7-C3826F49A41C}" type="presOf" srcId="{24D9856E-EB5D-46E2-961D-DA0EEFF06E3B}" destId="{556F94D4-18EF-424B-9F83-3C8924DF474D}" srcOrd="1" destOrd="0" presId="urn:microsoft.com/office/officeart/2005/8/layout/orgChart1"/>
    <dgm:cxn modelId="{86C1EA22-5629-49DE-81E4-D6EFA196DC92}" type="presOf" srcId="{13C7D31C-FE17-4F8E-BE11-4FC1CAF2FB4A}" destId="{C899FC0A-A3D9-4A60-8EB7-BCB8FD3B2E91}" srcOrd="0" destOrd="0" presId="urn:microsoft.com/office/officeart/2005/8/layout/orgChart1"/>
    <dgm:cxn modelId="{148A8224-7A6F-424A-ACB3-3FB137DF5E80}" srcId="{B19B56C3-61F5-47AF-B508-6E649DF9D214}" destId="{5B1CFE35-77F2-4AD8-B62E-6A5BE238AE49}" srcOrd="2" destOrd="0" parTransId="{8954122D-525D-4608-B76C-57EBAA9732FF}" sibTransId="{AA7FFEFB-FD87-4737-9343-EC6C7FAEDD1E}"/>
    <dgm:cxn modelId="{1D9CCD2B-B88C-4575-8315-01B1AF19DA1B}" type="presOf" srcId="{48CFFD06-BD0A-4762-9F27-DBCF337B781B}" destId="{53CFA682-8584-445A-BF6B-9FDCFB6F794F}" srcOrd="1" destOrd="0" presId="urn:microsoft.com/office/officeart/2005/8/layout/orgChart1"/>
    <dgm:cxn modelId="{A3513930-F963-4C8D-B377-2E4A78472B3E}" type="presOf" srcId="{8DB60083-4349-4626-B2A0-1B96E4508549}" destId="{1B49B9F1-5F91-4399-8FD0-E0C6C1FDD215}" srcOrd="0" destOrd="0" presId="urn:microsoft.com/office/officeart/2005/8/layout/orgChart1"/>
    <dgm:cxn modelId="{5648C632-88A8-40E2-B638-A160470BA2A1}" type="presOf" srcId="{501731E0-710E-40BB-B702-57EACAD090F2}" destId="{B9EF1DAB-1A94-43A2-9C73-A55175EDB3FF}" srcOrd="0" destOrd="0" presId="urn:microsoft.com/office/officeart/2005/8/layout/orgChart1"/>
    <dgm:cxn modelId="{D490CC36-B319-46A7-834F-E5378FEC5866}" type="presOf" srcId="{F24D0663-8126-44EC-8857-3EFDD27F17FA}" destId="{B1427FC6-C4A1-416D-ABAB-4BC4B6327F3E}" srcOrd="1" destOrd="0" presId="urn:microsoft.com/office/officeart/2005/8/layout/orgChart1"/>
    <dgm:cxn modelId="{7AA1013A-BAEC-4A7C-8B8B-90D4E5274497}" type="presOf" srcId="{7DB34648-9297-461E-9A69-04BD09AA94CB}" destId="{F2F5AAF5-2142-4BE5-8DC1-0DFA7315EF63}" srcOrd="0" destOrd="0" presId="urn:microsoft.com/office/officeart/2005/8/layout/orgChart1"/>
    <dgm:cxn modelId="{9CC1323B-7C70-449B-B293-E72946CCFFF1}" type="presOf" srcId="{B7066AE4-0558-4D08-8F44-60D4E2A9827C}" destId="{618912E5-060A-4BC5-809B-3C29CE1429DD}" srcOrd="1" destOrd="0" presId="urn:microsoft.com/office/officeart/2005/8/layout/orgChart1"/>
    <dgm:cxn modelId="{B3873F3B-9308-46B8-AAEF-131D38850BAC}" type="presOf" srcId="{F226CC95-FD25-4EBC-8C65-28F81CC28EC0}" destId="{25BAE859-04A4-4B09-B312-4C8D5A4996E1}" srcOrd="0" destOrd="0" presId="urn:microsoft.com/office/officeart/2005/8/layout/orgChart1"/>
    <dgm:cxn modelId="{B2D2713B-11B9-4E8A-BA63-D6D19FE39DBF}" type="presOf" srcId="{095F1C08-25F1-461B-A2C0-9C81F2FD36BA}" destId="{2AD82BA3-349F-4F96-9C9D-E2DAC87CA349}" srcOrd="0" destOrd="0" presId="urn:microsoft.com/office/officeart/2005/8/layout/orgChart1"/>
    <dgm:cxn modelId="{C554D83B-4D85-411B-8564-53ED4B11C18A}" type="presOf" srcId="{855D1E5B-9296-4EAE-8343-881755CD8BD8}" destId="{D41847F8-A290-4AE9-9728-2CCC36FBC561}" srcOrd="1" destOrd="0" presId="urn:microsoft.com/office/officeart/2005/8/layout/orgChart1"/>
    <dgm:cxn modelId="{B001493E-3636-4226-9ED9-F50F6384DFBC}" type="presOf" srcId="{D904A4A8-A52A-434E-9CB9-B1CD87AD69D1}" destId="{F6F70596-404F-423F-AC40-F4EF83467B87}" srcOrd="1" destOrd="0" presId="urn:microsoft.com/office/officeart/2005/8/layout/orgChart1"/>
    <dgm:cxn modelId="{CA269B5F-684F-4FCA-8D0D-9470583A3E4C}" type="presOf" srcId="{8954122D-525D-4608-B76C-57EBAA9732FF}" destId="{4F941574-88BA-400A-AD6A-E9B7DC95341F}" srcOrd="0" destOrd="0" presId="urn:microsoft.com/office/officeart/2005/8/layout/orgChart1"/>
    <dgm:cxn modelId="{47BFE760-DDF7-47C3-8997-55CF0F508E08}" type="presOf" srcId="{F226CC95-FD25-4EBC-8C65-28F81CC28EC0}" destId="{C370D5D3-01AB-447D-ACD8-FAF26E6B139B}" srcOrd="1" destOrd="0" presId="urn:microsoft.com/office/officeart/2005/8/layout/orgChart1"/>
    <dgm:cxn modelId="{D6AFBD41-9D8A-4B09-8661-ECA076464662}" type="presOf" srcId="{1A4D8FA8-AA55-48FA-B121-7AEF892C77C1}" destId="{E7DADF9E-5E8D-491E-BD2C-427F7CE213B8}" srcOrd="0" destOrd="0" presId="urn:microsoft.com/office/officeart/2005/8/layout/orgChart1"/>
    <dgm:cxn modelId="{54359F42-CD11-489F-B30A-FBCE4C27F764}" type="presOf" srcId="{24D9856E-EB5D-46E2-961D-DA0EEFF06E3B}" destId="{79FED076-6817-42B9-8729-FB0B83922145}" srcOrd="0" destOrd="0" presId="urn:microsoft.com/office/officeart/2005/8/layout/orgChart1"/>
    <dgm:cxn modelId="{CA8F5C43-0976-490A-A8B4-D754431DCE8E}" srcId="{B19B56C3-61F5-47AF-B508-6E649DF9D214}" destId="{67B252A3-A149-46A6-9324-488FE7106C11}" srcOrd="1" destOrd="0" parTransId="{EAA93D8B-C9BB-41B4-B0A8-7E39E77E4447}" sibTransId="{C16339DC-1839-4808-BF62-87A0EDBB5B7B}"/>
    <dgm:cxn modelId="{98A39063-952B-4504-8E7D-550B044722F1}" type="presOf" srcId="{D904A4A8-A52A-434E-9CB9-B1CD87AD69D1}" destId="{A9AA7563-F92E-4645-892D-47A7CE5B8F08}" srcOrd="0" destOrd="0" presId="urn:microsoft.com/office/officeart/2005/8/layout/orgChart1"/>
    <dgm:cxn modelId="{3EA72D64-2EA2-49B0-A2F8-C39F59AA83E1}" type="presOf" srcId="{B19B56C3-61F5-47AF-B508-6E649DF9D214}" destId="{A05AFE4B-6817-40BD-A5CB-6635CE2F523D}" srcOrd="0" destOrd="0" presId="urn:microsoft.com/office/officeart/2005/8/layout/orgChart1"/>
    <dgm:cxn modelId="{F1639E45-5F9B-4815-BC44-6E65A6A79A4F}" type="presOf" srcId="{5B1CFE35-77F2-4AD8-B62E-6A5BE238AE49}" destId="{20C6C4B9-9A5A-45C3-9807-209E4361EFA2}" srcOrd="0" destOrd="0" presId="urn:microsoft.com/office/officeart/2005/8/layout/orgChart1"/>
    <dgm:cxn modelId="{B829B465-C2D5-4134-832B-FA445BB5E247}" type="presOf" srcId="{6A59E961-95D7-4148-953F-100C981257AD}" destId="{3BA5BEB3-526A-4DD7-814A-600AE17D345D}" srcOrd="0" destOrd="0" presId="urn:microsoft.com/office/officeart/2005/8/layout/orgChart1"/>
    <dgm:cxn modelId="{25C3D766-174F-475C-98D3-B149319C43FE}" type="presOf" srcId="{5B1CFE35-77F2-4AD8-B62E-6A5BE238AE49}" destId="{BA2D4A18-C1EC-428E-95CC-5D64491F00BE}" srcOrd="1" destOrd="0" presId="urn:microsoft.com/office/officeart/2005/8/layout/orgChart1"/>
    <dgm:cxn modelId="{DA7D1F67-63FE-4CB3-B6A5-57C6854C971C}" srcId="{EED6CF0C-BA85-4172-84E7-AB726C3591BC}" destId="{54664A91-EC84-4935-81A0-E5B7295BC4BA}" srcOrd="2" destOrd="0" parTransId="{2340DFB4-3EF6-4AE4-B78E-64FC45AAEFF4}" sibTransId="{BA1127C5-FF6D-40E3-92A8-24FB12BBD842}"/>
    <dgm:cxn modelId="{76A3F149-B433-45DA-9EAD-459C6A52EAC7}" type="presOf" srcId="{4EA97FB1-A6AD-439E-A9C0-641F37FB6A67}" destId="{EC5E56BE-31F3-42DF-A27B-34178939EDE6}" srcOrd="0" destOrd="0" presId="urn:microsoft.com/office/officeart/2005/8/layout/orgChart1"/>
    <dgm:cxn modelId="{533C706B-29EA-4FED-ADDD-57B82EB195D4}" srcId="{4EA97FB1-A6AD-439E-A9C0-641F37FB6A67}" destId="{EED6CF0C-BA85-4172-84E7-AB726C3591BC}" srcOrd="1" destOrd="0" parTransId="{8DB60083-4349-4626-B2A0-1B96E4508549}" sibTransId="{EF3792C5-19C2-4BD2-8AD1-9CE41EDEB704}"/>
    <dgm:cxn modelId="{EC21A350-50B8-45E5-8264-7D470F78BECD}" type="presOf" srcId="{6A59E961-95D7-4148-953F-100C981257AD}" destId="{28EB22C9-F883-4E67-A9FC-8DDAEC56FFBE}" srcOrd="1" destOrd="0" presId="urn:microsoft.com/office/officeart/2005/8/layout/orgChart1"/>
    <dgm:cxn modelId="{DFE51272-DA42-4811-8B59-5EAAC44C1C38}" type="presOf" srcId="{B7066AE4-0558-4D08-8F44-60D4E2A9827C}" destId="{93E9B00D-4767-4A2C-9C94-6932CB151CBB}" srcOrd="0" destOrd="0" presId="urn:microsoft.com/office/officeart/2005/8/layout/orgChart1"/>
    <dgm:cxn modelId="{0324A052-F76D-404D-B781-53EFB632D50F}" type="presOf" srcId="{FAA6DE44-9088-42C2-9884-8B707CAC1D0D}" destId="{71A79520-8446-4B83-BE83-9B0937F12AEC}" srcOrd="1" destOrd="0" presId="urn:microsoft.com/office/officeart/2005/8/layout/orgChart1"/>
    <dgm:cxn modelId="{B6F5DD72-1A93-4389-8EB1-1C220C45E5CB}" type="presOf" srcId="{13577321-CAAE-4129-936B-5D488481ACC1}" destId="{CE448795-BE47-459F-A538-3160AB63BB43}" srcOrd="1" destOrd="0" presId="urn:microsoft.com/office/officeart/2005/8/layout/orgChart1"/>
    <dgm:cxn modelId="{8949D873-EB00-45DA-90A7-5A82A6B600F0}" type="presOf" srcId="{2340DFB4-3EF6-4AE4-B78E-64FC45AAEFF4}" destId="{6215E18D-827F-4004-9550-6662DF0B1FD5}" srcOrd="0" destOrd="0" presId="urn:microsoft.com/office/officeart/2005/8/layout/orgChart1"/>
    <dgm:cxn modelId="{16356376-8030-428F-A6AD-9EB71E492435}" srcId="{CA74FF67-B93D-43F8-8629-1DA4B0CCCE9A}" destId="{24D9856E-EB5D-46E2-961D-DA0EEFF06E3B}" srcOrd="1" destOrd="0" parTransId="{FAFBF896-B700-4C76-8869-A4A9EFD00D56}" sibTransId="{8FDD3518-7B9E-43B7-B291-9D397BCF3729}"/>
    <dgm:cxn modelId="{56661178-D67B-43AF-A36E-7BEC5122A97A}" type="presOf" srcId="{0ED981E5-8C9B-4958-9A12-003F139EB33B}" destId="{E8D67A08-814A-41E3-BFDE-CF69333176FE}" srcOrd="1" destOrd="0" presId="urn:microsoft.com/office/officeart/2005/8/layout/orgChart1"/>
    <dgm:cxn modelId="{247BDB78-70FA-42E7-A31F-5531D2B279E3}" type="presOf" srcId="{FE3C781F-63B5-4F29-A4F7-F41A66B1EEE3}" destId="{E1931599-E0AC-45FD-907F-BEDBF9473B9E}" srcOrd="0" destOrd="0" presId="urn:microsoft.com/office/officeart/2005/8/layout/orgChart1"/>
    <dgm:cxn modelId="{A3501A59-7E7D-457C-9CF2-0C396F1392AA}" type="presOf" srcId="{1D764992-25A4-4334-8EB2-9CBF744EAD6C}" destId="{FD650382-6235-44C4-AFDC-13B7D5A2F7D2}" srcOrd="0" destOrd="0" presId="urn:microsoft.com/office/officeart/2005/8/layout/orgChart1"/>
    <dgm:cxn modelId="{8D2E5B7B-8392-4017-82A6-3C390AC41577}" type="presOf" srcId="{F933E6F2-11D4-47AD-A3CB-D04F8BBBC2B6}" destId="{0161E30F-4093-4997-B3F1-1201673578E1}" srcOrd="0" destOrd="0" presId="urn:microsoft.com/office/officeart/2005/8/layout/orgChart1"/>
    <dgm:cxn modelId="{CC5A077D-1644-4657-861E-4CD0FFCE3BB4}" type="presOf" srcId="{67B252A3-A149-46A6-9324-488FE7106C11}" destId="{3A863F37-C3AC-4458-8574-3AD003DD6F56}" srcOrd="0" destOrd="0" presId="urn:microsoft.com/office/officeart/2005/8/layout/orgChart1"/>
    <dgm:cxn modelId="{72491A7D-D5C8-45A2-A45B-268909064128}" type="presOf" srcId="{DA23A61C-2545-4DBF-85C9-9D23566CE311}" destId="{34DA6619-D447-4776-8A9D-41EC9F3B43F6}" srcOrd="1" destOrd="0" presId="urn:microsoft.com/office/officeart/2005/8/layout/orgChart1"/>
    <dgm:cxn modelId="{D021AD7D-1117-4D50-B1C5-129A3F90103E}" type="presOf" srcId="{DA23A61C-2545-4DBF-85C9-9D23566CE311}" destId="{FE30A760-6930-4324-9383-4652061B8625}" srcOrd="0" destOrd="0" presId="urn:microsoft.com/office/officeart/2005/8/layout/orgChart1"/>
    <dgm:cxn modelId="{1E15BB7D-7D90-4DD2-A5E9-E081B6B1A792}" type="presOf" srcId="{6FCD9B5F-CE74-49D1-ACE3-4ED57E8F6EC5}" destId="{3E1FFD9D-62C1-4398-A1E9-537E84CFCBCD}" srcOrd="0" destOrd="0" presId="urn:microsoft.com/office/officeart/2005/8/layout/orgChart1"/>
    <dgm:cxn modelId="{03C94D7E-CFBA-403F-9246-3F1FA9611DF4}" srcId="{EED6CF0C-BA85-4172-84E7-AB726C3591BC}" destId="{D904A4A8-A52A-434E-9CB9-B1CD87AD69D1}" srcOrd="1" destOrd="0" parTransId="{13C7D31C-FE17-4F8E-BE11-4FC1CAF2FB4A}" sibTransId="{06D19B95-D16D-4405-A9FD-DA200797C2FA}"/>
    <dgm:cxn modelId="{2CAAC77E-A4FC-4918-8890-7D61FCFD4658}" type="presOf" srcId="{62FA7DCC-0D13-45B8-96BD-4DABF1240805}" destId="{4B501979-9FF3-4740-9FA6-2CAF6E40F362}" srcOrd="0" destOrd="0" presId="urn:microsoft.com/office/officeart/2005/8/layout/orgChart1"/>
    <dgm:cxn modelId="{E00EA47F-8D77-4C73-BF97-0E1577005459}" type="presOf" srcId="{48CFFD06-BD0A-4762-9F27-DBCF337B781B}" destId="{8E08C326-D8DC-4980-A876-C3AB46095263}" srcOrd="0" destOrd="0" presId="urn:microsoft.com/office/officeart/2005/8/layout/orgChart1"/>
    <dgm:cxn modelId="{AEE7D081-F1E3-4A9F-B2F3-773637665E68}" type="presOf" srcId="{03A54369-761B-4146-A059-4A0E7A186879}" destId="{96C689CC-101E-4D63-B85A-82B19092B322}" srcOrd="0" destOrd="0" presId="urn:microsoft.com/office/officeart/2005/8/layout/orgChart1"/>
    <dgm:cxn modelId="{66C8AF83-A341-4805-93D2-EC974FAEDA3E}" type="presOf" srcId="{B3A30BCF-EEBD-48A3-97D2-5548BF2649BC}" destId="{BA318FA3-3732-47A2-BFDB-25B111F1CC72}" srcOrd="0" destOrd="0" presId="urn:microsoft.com/office/officeart/2005/8/layout/orgChart1"/>
    <dgm:cxn modelId="{11548C85-C1D9-4924-AA19-6B91E06D430D}" type="presOf" srcId="{D990DF9C-FFEC-4C96-9837-CE4D555B89E5}" destId="{74C1649D-EF19-49F0-9BF9-C6425D9F64B5}" srcOrd="0" destOrd="0" presId="urn:microsoft.com/office/officeart/2005/8/layout/orgChart1"/>
    <dgm:cxn modelId="{3C3D7F8A-15A3-4C3E-BA21-B98CAC2B126E}" srcId="{7DB34648-9297-461E-9A69-04BD09AA94CB}" destId="{F24D0663-8126-44EC-8857-3EFDD27F17FA}" srcOrd="3" destOrd="0" parTransId="{501731E0-710E-40BB-B702-57EACAD090F2}" sibTransId="{CD85C72E-FB4A-420D-82C7-53E7FCFB08C0}"/>
    <dgm:cxn modelId="{539B3991-B800-487F-A89B-113543297499}" type="presOf" srcId="{CA74FF67-B93D-43F8-8629-1DA4B0CCCE9A}" destId="{224F1475-BD95-4750-8850-2A573C3930E4}" srcOrd="0" destOrd="0" presId="urn:microsoft.com/office/officeart/2005/8/layout/orgChart1"/>
    <dgm:cxn modelId="{8F37CB91-8AF0-422D-9505-FB4F9B3164A9}" type="presOf" srcId="{10850C7C-D00A-4406-AC96-BE6D5E5093AA}" destId="{1B2BB266-D19F-4DBE-ADBE-D69D354D9284}" srcOrd="0" destOrd="0" presId="urn:microsoft.com/office/officeart/2005/8/layout/orgChart1"/>
    <dgm:cxn modelId="{A8287E96-C918-43F0-93F6-F0CE41638D23}" srcId="{EED6CF0C-BA85-4172-84E7-AB726C3591BC}" destId="{B3A30BCF-EEBD-48A3-97D2-5548BF2649BC}" srcOrd="0" destOrd="0" parTransId="{D990DF9C-FFEC-4C96-9837-CE4D555B89E5}" sibTransId="{D143F330-B953-4606-A27B-D75753B1919B}"/>
    <dgm:cxn modelId="{89556098-13A7-472F-8EBD-2A357C1A58DA}" type="presOf" srcId="{67B252A3-A149-46A6-9324-488FE7106C11}" destId="{30871230-B08E-4EBC-B074-6F43AA5D5AF4}" srcOrd="1" destOrd="0" presId="urn:microsoft.com/office/officeart/2005/8/layout/orgChart1"/>
    <dgm:cxn modelId="{6E13A599-89D8-4617-BFA3-D74DE8084926}" type="presOf" srcId="{13577321-CAAE-4129-936B-5D488481ACC1}" destId="{D5071D38-C833-4BE0-A908-01652DC46906}" srcOrd="0" destOrd="0" presId="urn:microsoft.com/office/officeart/2005/8/layout/orgChart1"/>
    <dgm:cxn modelId="{C704799B-37D1-454C-9AF0-4A2D3B3ADF65}" type="presOf" srcId="{3F1BDFFE-B50E-4EA0-8EFC-1AD33C4376E4}" destId="{FBF79D27-FB89-4CA2-B7B3-FDA4D830AC07}" srcOrd="0" destOrd="0" presId="urn:microsoft.com/office/officeart/2005/8/layout/orgChart1"/>
    <dgm:cxn modelId="{2F2C57A4-7439-412A-9CA3-B95FEBF63A72}" type="presOf" srcId="{2C51C8FF-9901-43E7-9841-AFD7C1B2DB4B}" destId="{8799E431-6FA9-405E-AFC0-FC474A0E47B7}" srcOrd="0" destOrd="0" presId="urn:microsoft.com/office/officeart/2005/8/layout/orgChart1"/>
    <dgm:cxn modelId="{998840A5-7120-47FA-8746-AC880205CCF9}" type="presOf" srcId="{ECAB780B-0320-478B-BA95-E67AEF6DB03E}" destId="{B5A96947-ABEF-401A-96D0-3836E812C03D}" srcOrd="0" destOrd="0" presId="urn:microsoft.com/office/officeart/2005/8/layout/orgChart1"/>
    <dgm:cxn modelId="{3D5C2CA8-E6D1-4118-974F-2DA5D6BB7AAB}" srcId="{FD8F31BE-621A-43D7-9D27-ABE74E82CE85}" destId="{B7066AE4-0558-4D08-8F44-60D4E2A9827C}" srcOrd="0" destOrd="0" parTransId="{4369AED3-4CBC-4915-AD77-DBA9DC91ADBC}" sibTransId="{80426A23-6C9E-484E-8921-19E869ABF9F7}"/>
    <dgm:cxn modelId="{BED7A8A9-A5EE-484F-B71E-CF26BA28998C}" type="presOf" srcId="{FD8F31BE-621A-43D7-9D27-ABE74E82CE85}" destId="{13058F2D-09B0-4690-888C-A5CCCE2380DE}" srcOrd="0" destOrd="0" presId="urn:microsoft.com/office/officeart/2005/8/layout/orgChart1"/>
    <dgm:cxn modelId="{F015A7AA-E293-4FCF-9A24-8D37A7B9CAD8}" srcId="{B7066AE4-0558-4D08-8F44-60D4E2A9827C}" destId="{6A59E961-95D7-4148-953F-100C981257AD}" srcOrd="0" destOrd="0" parTransId="{FE3C781F-63B5-4F29-A4F7-F41A66B1EEE3}" sibTransId="{08C7DEB6-4965-4EBA-9394-19D0852B919D}"/>
    <dgm:cxn modelId="{133400AC-0895-47BA-8432-C064B9E09550}" type="presOf" srcId="{54664A91-EC84-4935-81A0-E5B7295BC4BA}" destId="{58910E52-ADA4-4700-81E4-99471B02D1E1}" srcOrd="1" destOrd="0" presId="urn:microsoft.com/office/officeart/2005/8/layout/orgChart1"/>
    <dgm:cxn modelId="{1A8EB9AE-C36D-4E88-8238-0DD73343F5DC}" type="presOf" srcId="{4EA97FB1-A6AD-439E-A9C0-641F37FB6A67}" destId="{97527912-B1F6-4A6B-B117-847E82112F7B}" srcOrd="1" destOrd="0" presId="urn:microsoft.com/office/officeart/2005/8/layout/orgChart1"/>
    <dgm:cxn modelId="{6AE5AEAF-DA44-49DE-8E4C-6ABFB587D715}" type="presOf" srcId="{FAFBF896-B700-4C76-8869-A4A9EFD00D56}" destId="{4B59FA50-F8A6-42C2-AC1E-6ED95BA27309}" srcOrd="0" destOrd="0" presId="urn:microsoft.com/office/officeart/2005/8/layout/orgChart1"/>
    <dgm:cxn modelId="{BAB046B3-F273-4F54-B6CA-128680024ABA}" type="presOf" srcId="{B19B56C3-61F5-47AF-B508-6E649DF9D214}" destId="{540A3357-E396-47EA-9431-B3424B4F868A}" srcOrd="1" destOrd="0" presId="urn:microsoft.com/office/officeart/2005/8/layout/orgChart1"/>
    <dgm:cxn modelId="{C1CE7FB6-239A-4332-A927-113BB15A16BE}" type="presOf" srcId="{2C51C8FF-9901-43E7-9841-AFD7C1B2DB4B}" destId="{81BAF2C6-251E-4A70-A91D-76B8D24741FC}" srcOrd="1" destOrd="0" presId="urn:microsoft.com/office/officeart/2005/8/layout/orgChart1"/>
    <dgm:cxn modelId="{ED377CBA-7424-4BBB-901F-8C66AFAB0DB8}" type="presOf" srcId="{54664A91-EC84-4935-81A0-E5B7295BC4BA}" destId="{A8238D60-84C2-41B2-B134-97EF17FFCCA1}" srcOrd="0" destOrd="0" presId="urn:microsoft.com/office/officeart/2005/8/layout/orgChart1"/>
    <dgm:cxn modelId="{962228BC-70CC-468F-A4DA-FE7FD74ADF8E}" type="presOf" srcId="{EED6CF0C-BA85-4172-84E7-AB726C3591BC}" destId="{75427552-2D0A-4F1C-8079-4B4827973E52}" srcOrd="1" destOrd="0" presId="urn:microsoft.com/office/officeart/2005/8/layout/orgChart1"/>
    <dgm:cxn modelId="{18ED18C4-2A90-4C36-B73F-427887DC060F}" srcId="{CA74FF67-B93D-43F8-8629-1DA4B0CCCE9A}" destId="{FAA6DE44-9088-42C2-9884-8B707CAC1D0D}" srcOrd="3" destOrd="0" parTransId="{1A4D8FA8-AA55-48FA-B121-7AEF892C77C1}" sibTransId="{4E9623FA-87B9-4533-B211-FA9B32396B18}"/>
    <dgm:cxn modelId="{1A8BD4CD-F190-4498-89F6-8F56026A9E2C}" srcId="{7DB34648-9297-461E-9A69-04BD09AA94CB}" destId="{855D1E5B-9296-4EAE-8343-881755CD8BD8}" srcOrd="1" destOrd="0" parTransId="{ECAB780B-0320-478B-BA95-E67AEF6DB03E}" sibTransId="{FD441DE2-1456-4EEA-A1E4-9015F10B256F}"/>
    <dgm:cxn modelId="{3A0F5DCE-1CD3-44BA-9894-D11C2ADB10D2}" srcId="{7DB34648-9297-461E-9A69-04BD09AA94CB}" destId="{2C51C8FF-9901-43E7-9841-AFD7C1B2DB4B}" srcOrd="0" destOrd="0" parTransId="{F933E6F2-11D4-47AD-A3CB-D04F8BBBC2B6}" sibTransId="{018B484A-6B43-4E8F-AB2A-2CCB7B675B9E}"/>
    <dgm:cxn modelId="{6AE692D0-EBF7-484A-AB71-0266B21B1CC5}" type="presOf" srcId="{62FA7DCC-0D13-45B8-96BD-4DABF1240805}" destId="{573CFB7F-A4DC-4376-844F-80E9625D6CDD}" srcOrd="1" destOrd="0" presId="urn:microsoft.com/office/officeart/2005/8/layout/orgChart1"/>
    <dgm:cxn modelId="{AD3B5FD3-9C38-49BF-9934-ACF4525C6C57}" type="presOf" srcId="{855D1E5B-9296-4EAE-8343-881755CD8BD8}" destId="{116BC929-D6BC-4F34-9C09-1260A0B58BAA}" srcOrd="0" destOrd="0" presId="urn:microsoft.com/office/officeart/2005/8/layout/orgChart1"/>
    <dgm:cxn modelId="{E8B7F6DA-93A6-4A20-A534-4DFA36A6F115}" srcId="{6A59E961-95D7-4148-953F-100C981257AD}" destId="{CA74FF67-B93D-43F8-8629-1DA4B0CCCE9A}" srcOrd="0" destOrd="0" parTransId="{095F1C08-25F1-461B-A2C0-9C81F2FD36BA}" sibTransId="{3178AD97-6C50-4B70-BCBC-406D56585A5F}"/>
    <dgm:cxn modelId="{115B07DC-0C9D-4E3E-AC2A-C78D8BBB851B}" srcId="{B19B56C3-61F5-47AF-B508-6E649DF9D214}" destId="{13577321-CAAE-4129-936B-5D488481ACC1}" srcOrd="0" destOrd="0" parTransId="{1D764992-25A4-4334-8EB2-9CBF744EAD6C}" sibTransId="{7C55E22D-67BD-4B17-B1B6-A266667B8501}"/>
    <dgm:cxn modelId="{F2331DDE-D54A-4041-9BDF-AAD1A945E481}" type="presOf" srcId="{EAA93D8B-C9BB-41B4-B0A8-7E39E77E4447}" destId="{1C41F492-2990-4BE4-9314-EB48BD65514D}" srcOrd="0" destOrd="0" presId="urn:microsoft.com/office/officeart/2005/8/layout/orgChart1"/>
    <dgm:cxn modelId="{DBE03DE9-2003-425C-AC28-3A16EC3DB107}" srcId="{CA74FF67-B93D-43F8-8629-1DA4B0CCCE9A}" destId="{48CFFD06-BD0A-4762-9F27-DBCF337B781B}" srcOrd="0" destOrd="0" parTransId="{3F1BDFFE-B50E-4EA0-8EFC-1AD33C4376E4}" sibTransId="{C0286A3D-5AD6-4F9F-B164-76C112F9244C}"/>
    <dgm:cxn modelId="{AC4E99EB-B5F2-4BDE-A217-B3BC16F55407}" type="presOf" srcId="{EED6CF0C-BA85-4172-84E7-AB726C3591BC}" destId="{C6FAE481-67BA-4D7E-BD1A-F67ED416B205}" srcOrd="0" destOrd="0" presId="urn:microsoft.com/office/officeart/2005/8/layout/orgChart1"/>
    <dgm:cxn modelId="{0D0B10F2-791B-4B77-8AF6-90D5D0C1A4C7}" type="presOf" srcId="{735C0871-3635-4A1A-B614-A3B7F6F994DB}" destId="{E5AFC083-BCF8-480F-B757-C0A2903F35B9}" srcOrd="0" destOrd="0" presId="urn:microsoft.com/office/officeart/2005/8/layout/orgChart1"/>
    <dgm:cxn modelId="{4A1188F4-7383-4D61-A881-73AADD2DDAE9}" type="presOf" srcId="{37B35455-5607-448B-8706-F2BD939CBD8D}" destId="{14E59879-57CD-4221-ACB9-12A64F3024E2}" srcOrd="0" destOrd="0" presId="urn:microsoft.com/office/officeart/2005/8/layout/orgChart1"/>
    <dgm:cxn modelId="{74E3ACF6-DAB4-415D-ABB0-3431DF00D72C}" srcId="{B19B56C3-61F5-47AF-B508-6E649DF9D214}" destId="{0ED981E5-8C9B-4958-9A12-003F139EB33B}" srcOrd="3" destOrd="0" parTransId="{37B35455-5607-448B-8706-F2BD939CBD8D}" sibTransId="{F8CF9B1C-8E03-433D-A83D-4CA64BE05979}"/>
    <dgm:cxn modelId="{F8C10EF8-9B19-40E8-B216-2ED75123179E}" type="presOf" srcId="{0ED981E5-8C9B-4958-9A12-003F139EB33B}" destId="{7DE9F97D-F8F3-4B8A-9974-AB98AE76E03A}" srcOrd="0" destOrd="0" presId="urn:microsoft.com/office/officeart/2005/8/layout/orgChart1"/>
    <dgm:cxn modelId="{AE943AF9-C147-41A1-AE63-BFD60CC0C11F}" srcId="{7DB34648-9297-461E-9A69-04BD09AA94CB}" destId="{F226CC95-FD25-4EBC-8C65-28F81CC28EC0}" srcOrd="2" destOrd="0" parTransId="{10850C7C-D00A-4406-AC96-BE6D5E5093AA}" sibTransId="{E39A81D9-5DF4-4F2D-8E65-4FA1F42A3ABC}"/>
    <dgm:cxn modelId="{555B54FC-A7AA-4375-A542-F9A50EE4643D}" type="presOf" srcId="{FAA6DE44-9088-42C2-9884-8B707CAC1D0D}" destId="{F4ED83BB-C855-4493-A168-9505906B6127}" srcOrd="0" destOrd="0" presId="urn:microsoft.com/office/officeart/2005/8/layout/orgChart1"/>
    <dgm:cxn modelId="{E37018FF-DC33-44F4-91F7-C17494387DC5}" srcId="{EED6CF0C-BA85-4172-84E7-AB726C3591BC}" destId="{62FA7DCC-0D13-45B8-96BD-4DABF1240805}" srcOrd="3" destOrd="0" parTransId="{00450BEA-8855-4367-A37A-EF70F035D785}" sibTransId="{D8A4911F-2D58-4A54-85B6-6E6950630ABA}"/>
    <dgm:cxn modelId="{89756FFF-9DDD-4187-BD67-FCE223145DB5}" type="presOf" srcId="{F24D0663-8126-44EC-8857-3EFDD27F17FA}" destId="{3D6E0426-545E-47D1-BA7F-E34D2A728842}" srcOrd="0" destOrd="0" presId="urn:microsoft.com/office/officeart/2005/8/layout/orgChart1"/>
    <dgm:cxn modelId="{AB82FC31-5556-4E6C-8B45-0E8B98A123D7}" type="presParOf" srcId="{13058F2D-09B0-4690-888C-A5CCCE2380DE}" destId="{BDC7728D-98AB-4329-A51D-AD6DAB5133B8}" srcOrd="0" destOrd="0" presId="urn:microsoft.com/office/officeart/2005/8/layout/orgChart1"/>
    <dgm:cxn modelId="{0ADCF893-CB3E-4693-A9B6-4CBDF4975290}" type="presParOf" srcId="{BDC7728D-98AB-4329-A51D-AD6DAB5133B8}" destId="{D14DD66F-36F7-4ACD-B6E1-8294316CE96C}" srcOrd="0" destOrd="0" presId="urn:microsoft.com/office/officeart/2005/8/layout/orgChart1"/>
    <dgm:cxn modelId="{7BDDDCAE-3C4B-491F-A320-0CF376293BBA}" type="presParOf" srcId="{D14DD66F-36F7-4ACD-B6E1-8294316CE96C}" destId="{93E9B00D-4767-4A2C-9C94-6932CB151CBB}" srcOrd="0" destOrd="0" presId="urn:microsoft.com/office/officeart/2005/8/layout/orgChart1"/>
    <dgm:cxn modelId="{49EBF4D6-6189-4260-AA38-2C67A0F73295}" type="presParOf" srcId="{D14DD66F-36F7-4ACD-B6E1-8294316CE96C}" destId="{618912E5-060A-4BC5-809B-3C29CE1429DD}" srcOrd="1" destOrd="0" presId="urn:microsoft.com/office/officeart/2005/8/layout/orgChart1"/>
    <dgm:cxn modelId="{177FA4BC-DD88-463B-BBBB-3B50103EFA8F}" type="presParOf" srcId="{BDC7728D-98AB-4329-A51D-AD6DAB5133B8}" destId="{1C8057A3-F851-4E6B-A639-DAB61254C573}" srcOrd="1" destOrd="0" presId="urn:microsoft.com/office/officeart/2005/8/layout/orgChart1"/>
    <dgm:cxn modelId="{F3700B01-C5B4-4364-8C35-39FDD7A0D5E8}" type="presParOf" srcId="{1C8057A3-F851-4E6B-A639-DAB61254C573}" destId="{E1931599-E0AC-45FD-907F-BEDBF9473B9E}" srcOrd="0" destOrd="0" presId="urn:microsoft.com/office/officeart/2005/8/layout/orgChart1"/>
    <dgm:cxn modelId="{6A4FC1AF-882F-4D1F-A7CE-6FDA79A4D3C5}" type="presParOf" srcId="{1C8057A3-F851-4E6B-A639-DAB61254C573}" destId="{3B20DD31-089A-4988-B75E-075066A07206}" srcOrd="1" destOrd="0" presId="urn:microsoft.com/office/officeart/2005/8/layout/orgChart1"/>
    <dgm:cxn modelId="{F7A63686-E5C4-49CA-BDC9-536CBA7437FF}" type="presParOf" srcId="{3B20DD31-089A-4988-B75E-075066A07206}" destId="{04018FE8-255C-4131-AB78-039287E1F4E6}" srcOrd="0" destOrd="0" presId="urn:microsoft.com/office/officeart/2005/8/layout/orgChart1"/>
    <dgm:cxn modelId="{3DA31F5F-6EC1-4B19-94C1-8CD9E0C815A0}" type="presParOf" srcId="{04018FE8-255C-4131-AB78-039287E1F4E6}" destId="{3BA5BEB3-526A-4DD7-814A-600AE17D345D}" srcOrd="0" destOrd="0" presId="urn:microsoft.com/office/officeart/2005/8/layout/orgChart1"/>
    <dgm:cxn modelId="{DDAC9959-A7BC-4874-9EE7-EB0B324F1677}" type="presParOf" srcId="{04018FE8-255C-4131-AB78-039287E1F4E6}" destId="{28EB22C9-F883-4E67-A9FC-8DDAEC56FFBE}" srcOrd="1" destOrd="0" presId="urn:microsoft.com/office/officeart/2005/8/layout/orgChart1"/>
    <dgm:cxn modelId="{B4D11656-59A2-46D7-AC90-7CCD2F46959F}" type="presParOf" srcId="{3B20DD31-089A-4988-B75E-075066A07206}" destId="{1A49E759-F967-4D80-8242-304EDAD33641}" srcOrd="1" destOrd="0" presId="urn:microsoft.com/office/officeart/2005/8/layout/orgChart1"/>
    <dgm:cxn modelId="{39247FE2-C25C-421F-9559-D1279E9881E2}" type="presParOf" srcId="{1A49E759-F967-4D80-8242-304EDAD33641}" destId="{2AD82BA3-349F-4F96-9C9D-E2DAC87CA349}" srcOrd="0" destOrd="0" presId="urn:microsoft.com/office/officeart/2005/8/layout/orgChart1"/>
    <dgm:cxn modelId="{BC840BF5-4F09-42C2-8B75-961F1D83801C}" type="presParOf" srcId="{1A49E759-F967-4D80-8242-304EDAD33641}" destId="{6A82D0E9-0F75-4F66-9A81-0A8433E8FD00}" srcOrd="1" destOrd="0" presId="urn:microsoft.com/office/officeart/2005/8/layout/orgChart1"/>
    <dgm:cxn modelId="{D9D68FA3-C572-440D-977F-5460D4B6C3EF}" type="presParOf" srcId="{6A82D0E9-0F75-4F66-9A81-0A8433E8FD00}" destId="{590FB91A-0BF9-4C2F-B169-C2E7A0971F8A}" srcOrd="0" destOrd="0" presId="urn:microsoft.com/office/officeart/2005/8/layout/orgChart1"/>
    <dgm:cxn modelId="{5A6587C6-6201-4593-9359-90D3810036A6}" type="presParOf" srcId="{590FB91A-0BF9-4C2F-B169-C2E7A0971F8A}" destId="{224F1475-BD95-4750-8850-2A573C3930E4}" srcOrd="0" destOrd="0" presId="urn:microsoft.com/office/officeart/2005/8/layout/orgChart1"/>
    <dgm:cxn modelId="{0FA8D322-EEE2-4D00-8D4B-AD6CD3BC225F}" type="presParOf" srcId="{590FB91A-0BF9-4C2F-B169-C2E7A0971F8A}" destId="{D3BCC275-DB90-4AF1-B574-24EF660E0E96}" srcOrd="1" destOrd="0" presId="urn:microsoft.com/office/officeart/2005/8/layout/orgChart1"/>
    <dgm:cxn modelId="{B9C604BB-405B-47B1-AE0A-5AEEFCD5DA1C}" type="presParOf" srcId="{6A82D0E9-0F75-4F66-9A81-0A8433E8FD00}" destId="{EAB2876E-12FD-41F6-A558-84498290735D}" srcOrd="1" destOrd="0" presId="urn:microsoft.com/office/officeart/2005/8/layout/orgChart1"/>
    <dgm:cxn modelId="{BC0EA1C7-6872-4911-9266-9B06C61E4D79}" type="presParOf" srcId="{EAB2876E-12FD-41F6-A558-84498290735D}" destId="{FBF79D27-FB89-4CA2-B7B3-FDA4D830AC07}" srcOrd="0" destOrd="0" presId="urn:microsoft.com/office/officeart/2005/8/layout/orgChart1"/>
    <dgm:cxn modelId="{116711DB-30C9-4492-9A18-54E9EFD0418F}" type="presParOf" srcId="{EAB2876E-12FD-41F6-A558-84498290735D}" destId="{EF35EE97-58C5-4C35-8F57-3CEDCDA77105}" srcOrd="1" destOrd="0" presId="urn:microsoft.com/office/officeart/2005/8/layout/orgChart1"/>
    <dgm:cxn modelId="{E11D3C06-36E8-40B3-AB6F-536663094F26}" type="presParOf" srcId="{EF35EE97-58C5-4C35-8F57-3CEDCDA77105}" destId="{5C81D6D6-FDC6-4007-BF6D-F486DAB2F64B}" srcOrd="0" destOrd="0" presId="urn:microsoft.com/office/officeart/2005/8/layout/orgChart1"/>
    <dgm:cxn modelId="{C5156F26-4CF1-4254-A82C-AB52B6A8A51F}" type="presParOf" srcId="{5C81D6D6-FDC6-4007-BF6D-F486DAB2F64B}" destId="{8E08C326-D8DC-4980-A876-C3AB46095263}" srcOrd="0" destOrd="0" presId="urn:microsoft.com/office/officeart/2005/8/layout/orgChart1"/>
    <dgm:cxn modelId="{9CA826C1-CED9-40B1-8928-C9E701145934}" type="presParOf" srcId="{5C81D6D6-FDC6-4007-BF6D-F486DAB2F64B}" destId="{53CFA682-8584-445A-BF6B-9FDCFB6F794F}" srcOrd="1" destOrd="0" presId="urn:microsoft.com/office/officeart/2005/8/layout/orgChart1"/>
    <dgm:cxn modelId="{EB6D497B-B967-4234-ACE5-D90C326FAC8A}" type="presParOf" srcId="{EF35EE97-58C5-4C35-8F57-3CEDCDA77105}" destId="{90E01B48-CC7A-48D6-9747-58BBF2B3BFE7}" srcOrd="1" destOrd="0" presId="urn:microsoft.com/office/officeart/2005/8/layout/orgChart1"/>
    <dgm:cxn modelId="{E926DF3F-FE07-44AA-8E0A-8FF9ADD25D20}" type="presParOf" srcId="{EF35EE97-58C5-4C35-8F57-3CEDCDA77105}" destId="{BEF2B4C6-418C-41E7-921B-363CCAEF1A74}" srcOrd="2" destOrd="0" presId="urn:microsoft.com/office/officeart/2005/8/layout/orgChart1"/>
    <dgm:cxn modelId="{F9DEAF80-5DB6-4566-98D6-03AD05DE2CC5}" type="presParOf" srcId="{EAB2876E-12FD-41F6-A558-84498290735D}" destId="{4B59FA50-F8A6-42C2-AC1E-6ED95BA27309}" srcOrd="2" destOrd="0" presId="urn:microsoft.com/office/officeart/2005/8/layout/orgChart1"/>
    <dgm:cxn modelId="{3D8D9E7C-5C36-4185-9574-3F552D061CDF}" type="presParOf" srcId="{EAB2876E-12FD-41F6-A558-84498290735D}" destId="{478CEBDD-369D-4E16-B47F-12DBC4E82AEC}" srcOrd="3" destOrd="0" presId="urn:microsoft.com/office/officeart/2005/8/layout/orgChart1"/>
    <dgm:cxn modelId="{8FEBF8A9-D550-4E81-90B1-24C37EECAAFD}" type="presParOf" srcId="{478CEBDD-369D-4E16-B47F-12DBC4E82AEC}" destId="{7C18BF91-9B26-4D01-BD6F-CD1466240E56}" srcOrd="0" destOrd="0" presId="urn:microsoft.com/office/officeart/2005/8/layout/orgChart1"/>
    <dgm:cxn modelId="{5B311CD5-C17A-4B72-BEF4-5B1D71D54247}" type="presParOf" srcId="{7C18BF91-9B26-4D01-BD6F-CD1466240E56}" destId="{79FED076-6817-42B9-8729-FB0B83922145}" srcOrd="0" destOrd="0" presId="urn:microsoft.com/office/officeart/2005/8/layout/orgChart1"/>
    <dgm:cxn modelId="{4C85E68A-23DA-49C2-A3D6-08FC52612721}" type="presParOf" srcId="{7C18BF91-9B26-4D01-BD6F-CD1466240E56}" destId="{556F94D4-18EF-424B-9F83-3C8924DF474D}" srcOrd="1" destOrd="0" presId="urn:microsoft.com/office/officeart/2005/8/layout/orgChart1"/>
    <dgm:cxn modelId="{E7B77047-38B2-4F49-B5AC-F3D5D7B6DE4E}" type="presParOf" srcId="{478CEBDD-369D-4E16-B47F-12DBC4E82AEC}" destId="{846DC8E0-D9C9-4F0F-AC07-D12039E4CA1B}" srcOrd="1" destOrd="0" presId="urn:microsoft.com/office/officeart/2005/8/layout/orgChart1"/>
    <dgm:cxn modelId="{3C324B0F-68AE-4C73-B589-25415EB7FB75}" type="presParOf" srcId="{478CEBDD-369D-4E16-B47F-12DBC4E82AEC}" destId="{6860D188-A783-4791-B97C-D133DC3F35D1}" srcOrd="2" destOrd="0" presId="urn:microsoft.com/office/officeart/2005/8/layout/orgChart1"/>
    <dgm:cxn modelId="{5A502DF4-AEB0-483B-A68A-7D235370B95C}" type="presParOf" srcId="{EAB2876E-12FD-41F6-A558-84498290735D}" destId="{DC1A4D81-B3F0-4911-B373-8ECDC92BCC33}" srcOrd="4" destOrd="0" presId="urn:microsoft.com/office/officeart/2005/8/layout/orgChart1"/>
    <dgm:cxn modelId="{34CB4F7C-A4EA-48BD-AF8D-7FBB05FD0D47}" type="presParOf" srcId="{EAB2876E-12FD-41F6-A558-84498290735D}" destId="{A8003868-7685-499A-9B88-69B049AB1467}" srcOrd="5" destOrd="0" presId="urn:microsoft.com/office/officeart/2005/8/layout/orgChart1"/>
    <dgm:cxn modelId="{A90C8A47-A71F-4E7A-90E5-4CC402FC05BB}" type="presParOf" srcId="{A8003868-7685-499A-9B88-69B049AB1467}" destId="{0DDC3DA0-0645-430E-98D3-9B18A1728F4A}" srcOrd="0" destOrd="0" presId="urn:microsoft.com/office/officeart/2005/8/layout/orgChart1"/>
    <dgm:cxn modelId="{0B9393BD-0E61-4B17-ADFC-59F3711CC29C}" type="presParOf" srcId="{0DDC3DA0-0645-430E-98D3-9B18A1728F4A}" destId="{FE30A760-6930-4324-9383-4652061B8625}" srcOrd="0" destOrd="0" presId="urn:microsoft.com/office/officeart/2005/8/layout/orgChart1"/>
    <dgm:cxn modelId="{9D5FF40D-84D7-4423-B131-DC00B42E6E1B}" type="presParOf" srcId="{0DDC3DA0-0645-430E-98D3-9B18A1728F4A}" destId="{34DA6619-D447-4776-8A9D-41EC9F3B43F6}" srcOrd="1" destOrd="0" presId="urn:microsoft.com/office/officeart/2005/8/layout/orgChart1"/>
    <dgm:cxn modelId="{C19E90F6-FF9F-4B2C-807A-C57956BAA801}" type="presParOf" srcId="{A8003868-7685-499A-9B88-69B049AB1467}" destId="{CD021F11-B0C4-44D7-A8EA-2CD9BAFAFB54}" srcOrd="1" destOrd="0" presId="urn:microsoft.com/office/officeart/2005/8/layout/orgChart1"/>
    <dgm:cxn modelId="{E49C111C-3F71-4FA4-B771-149AA7FCF585}" type="presParOf" srcId="{A8003868-7685-499A-9B88-69B049AB1467}" destId="{B904AA55-FE5F-4539-B13B-5C1C25F37ECF}" srcOrd="2" destOrd="0" presId="urn:microsoft.com/office/officeart/2005/8/layout/orgChart1"/>
    <dgm:cxn modelId="{CDBBAA71-192B-4899-AFC8-59C701E8EB28}" type="presParOf" srcId="{EAB2876E-12FD-41F6-A558-84498290735D}" destId="{E7DADF9E-5E8D-491E-BD2C-427F7CE213B8}" srcOrd="6" destOrd="0" presId="urn:microsoft.com/office/officeart/2005/8/layout/orgChart1"/>
    <dgm:cxn modelId="{29ABEB86-CB83-4BD3-83B7-4CB7B10A071D}" type="presParOf" srcId="{EAB2876E-12FD-41F6-A558-84498290735D}" destId="{ED300CCF-EC10-4CBD-B7D1-BCF4D66BC59E}" srcOrd="7" destOrd="0" presId="urn:microsoft.com/office/officeart/2005/8/layout/orgChart1"/>
    <dgm:cxn modelId="{0A99DD23-AC33-45A5-8D42-895CAADF5F11}" type="presParOf" srcId="{ED300CCF-EC10-4CBD-B7D1-BCF4D66BC59E}" destId="{BA14A92F-4086-4A2E-98FA-E64F9EAFDF35}" srcOrd="0" destOrd="0" presId="urn:microsoft.com/office/officeart/2005/8/layout/orgChart1"/>
    <dgm:cxn modelId="{CB73CBAE-8A24-453C-BDD8-E9CC7DD1365F}" type="presParOf" srcId="{BA14A92F-4086-4A2E-98FA-E64F9EAFDF35}" destId="{F4ED83BB-C855-4493-A168-9505906B6127}" srcOrd="0" destOrd="0" presId="urn:microsoft.com/office/officeart/2005/8/layout/orgChart1"/>
    <dgm:cxn modelId="{15EFE7B8-D2B3-48B8-B295-4759B217CC4F}" type="presParOf" srcId="{BA14A92F-4086-4A2E-98FA-E64F9EAFDF35}" destId="{71A79520-8446-4B83-BE83-9B0937F12AEC}" srcOrd="1" destOrd="0" presId="urn:microsoft.com/office/officeart/2005/8/layout/orgChart1"/>
    <dgm:cxn modelId="{ADF8BD00-7756-4033-850E-FD2120B4BE50}" type="presParOf" srcId="{ED300CCF-EC10-4CBD-B7D1-BCF4D66BC59E}" destId="{76B4EF7D-A117-46F1-93B6-8A8FD5CB723D}" srcOrd="1" destOrd="0" presId="urn:microsoft.com/office/officeart/2005/8/layout/orgChart1"/>
    <dgm:cxn modelId="{07DDBD4F-CD3F-40BA-9F78-2A399C128650}" type="presParOf" srcId="{ED300CCF-EC10-4CBD-B7D1-BCF4D66BC59E}" destId="{8D256B50-E01B-41A6-A396-40679628EF23}" srcOrd="2" destOrd="0" presId="urn:microsoft.com/office/officeart/2005/8/layout/orgChart1"/>
    <dgm:cxn modelId="{79A85617-F85D-4CF7-97B1-3330E9F9996E}" type="presParOf" srcId="{6A82D0E9-0F75-4F66-9A81-0A8433E8FD00}" destId="{801F8D1C-5347-4CE9-BCBC-633F7D7199DF}" srcOrd="2" destOrd="0" presId="urn:microsoft.com/office/officeart/2005/8/layout/orgChart1"/>
    <dgm:cxn modelId="{6FE6BE45-C7D2-44FF-BB44-B226409437A1}" type="presParOf" srcId="{1A49E759-F967-4D80-8242-304EDAD33641}" destId="{E5AFC083-BCF8-480F-B757-C0A2903F35B9}" srcOrd="2" destOrd="0" presId="urn:microsoft.com/office/officeart/2005/8/layout/orgChart1"/>
    <dgm:cxn modelId="{301D98AE-A8AD-47B7-8440-E7EB6FCECE1D}" type="presParOf" srcId="{1A49E759-F967-4D80-8242-304EDAD33641}" destId="{1FD15002-7EAF-4B27-A23A-A25054CD379C}" srcOrd="3" destOrd="0" presId="urn:microsoft.com/office/officeart/2005/8/layout/orgChart1"/>
    <dgm:cxn modelId="{37762C7A-9B09-4315-91F6-E1A489043C50}" type="presParOf" srcId="{1FD15002-7EAF-4B27-A23A-A25054CD379C}" destId="{E85786AD-E057-459F-AB6A-5AD3EFBD5C72}" srcOrd="0" destOrd="0" presId="urn:microsoft.com/office/officeart/2005/8/layout/orgChart1"/>
    <dgm:cxn modelId="{9519DE6B-EC96-48D0-92CC-27752B745BC5}" type="presParOf" srcId="{E85786AD-E057-459F-AB6A-5AD3EFBD5C72}" destId="{A05AFE4B-6817-40BD-A5CB-6635CE2F523D}" srcOrd="0" destOrd="0" presId="urn:microsoft.com/office/officeart/2005/8/layout/orgChart1"/>
    <dgm:cxn modelId="{DB14EEF1-79E4-4068-9911-524CF34325B6}" type="presParOf" srcId="{E85786AD-E057-459F-AB6A-5AD3EFBD5C72}" destId="{540A3357-E396-47EA-9431-B3424B4F868A}" srcOrd="1" destOrd="0" presId="urn:microsoft.com/office/officeart/2005/8/layout/orgChart1"/>
    <dgm:cxn modelId="{78BACC7D-9B5D-4F07-B9D9-A5A98A65F45B}" type="presParOf" srcId="{1FD15002-7EAF-4B27-A23A-A25054CD379C}" destId="{B63D8EE2-3097-4226-96C1-CE2E8A116CE6}" srcOrd="1" destOrd="0" presId="urn:microsoft.com/office/officeart/2005/8/layout/orgChart1"/>
    <dgm:cxn modelId="{7B2D2980-D261-44CD-8DA8-EA42FCF2B643}" type="presParOf" srcId="{B63D8EE2-3097-4226-96C1-CE2E8A116CE6}" destId="{FD650382-6235-44C4-AFDC-13B7D5A2F7D2}" srcOrd="0" destOrd="0" presId="urn:microsoft.com/office/officeart/2005/8/layout/orgChart1"/>
    <dgm:cxn modelId="{F54D05C1-70D8-4C8F-9BE9-D90E60F89D85}" type="presParOf" srcId="{B63D8EE2-3097-4226-96C1-CE2E8A116CE6}" destId="{63312E14-CA10-45A4-B8D7-C17556C4A9D5}" srcOrd="1" destOrd="0" presId="urn:microsoft.com/office/officeart/2005/8/layout/orgChart1"/>
    <dgm:cxn modelId="{1EF3EADD-CA26-42D7-B15C-2EDD50C5E4E5}" type="presParOf" srcId="{63312E14-CA10-45A4-B8D7-C17556C4A9D5}" destId="{6FC9A80D-3E6E-4D55-8A31-09CEA26DABFA}" srcOrd="0" destOrd="0" presId="urn:microsoft.com/office/officeart/2005/8/layout/orgChart1"/>
    <dgm:cxn modelId="{A3312C41-85B1-441E-A33E-3F8B86D596AB}" type="presParOf" srcId="{6FC9A80D-3E6E-4D55-8A31-09CEA26DABFA}" destId="{D5071D38-C833-4BE0-A908-01652DC46906}" srcOrd="0" destOrd="0" presId="urn:microsoft.com/office/officeart/2005/8/layout/orgChart1"/>
    <dgm:cxn modelId="{ADEA088B-0CCA-45BD-BC07-ED05AF3EF085}" type="presParOf" srcId="{6FC9A80D-3E6E-4D55-8A31-09CEA26DABFA}" destId="{CE448795-BE47-459F-A538-3160AB63BB43}" srcOrd="1" destOrd="0" presId="urn:microsoft.com/office/officeart/2005/8/layout/orgChart1"/>
    <dgm:cxn modelId="{D0E56D79-852F-446A-82C0-8A994EC51E57}" type="presParOf" srcId="{63312E14-CA10-45A4-B8D7-C17556C4A9D5}" destId="{88A2C421-B3DF-435F-B6CE-60AE9788F4AF}" srcOrd="1" destOrd="0" presId="urn:microsoft.com/office/officeart/2005/8/layout/orgChart1"/>
    <dgm:cxn modelId="{8871546C-625E-46F2-A7AA-7F4DC026F379}" type="presParOf" srcId="{63312E14-CA10-45A4-B8D7-C17556C4A9D5}" destId="{12756C8E-B856-41B2-BB81-E25C71502A35}" srcOrd="2" destOrd="0" presId="urn:microsoft.com/office/officeart/2005/8/layout/orgChart1"/>
    <dgm:cxn modelId="{357EF606-24DD-4402-B1A1-7C3805727BED}" type="presParOf" srcId="{B63D8EE2-3097-4226-96C1-CE2E8A116CE6}" destId="{1C41F492-2990-4BE4-9314-EB48BD65514D}" srcOrd="2" destOrd="0" presId="urn:microsoft.com/office/officeart/2005/8/layout/orgChart1"/>
    <dgm:cxn modelId="{0934158A-A315-4438-9E89-B2A4F1E11036}" type="presParOf" srcId="{B63D8EE2-3097-4226-96C1-CE2E8A116CE6}" destId="{096F7EC8-C31A-41C1-B6C2-A454881F621C}" srcOrd="3" destOrd="0" presId="urn:microsoft.com/office/officeart/2005/8/layout/orgChart1"/>
    <dgm:cxn modelId="{222C2315-33A8-480F-BDB6-213C7FE97C5E}" type="presParOf" srcId="{096F7EC8-C31A-41C1-B6C2-A454881F621C}" destId="{1BE4FAAC-2982-481D-A140-4C683C737802}" srcOrd="0" destOrd="0" presId="urn:microsoft.com/office/officeart/2005/8/layout/orgChart1"/>
    <dgm:cxn modelId="{E930B537-C406-4DF0-ACA5-EAD5642FB940}" type="presParOf" srcId="{1BE4FAAC-2982-481D-A140-4C683C737802}" destId="{3A863F37-C3AC-4458-8574-3AD003DD6F56}" srcOrd="0" destOrd="0" presId="urn:microsoft.com/office/officeart/2005/8/layout/orgChart1"/>
    <dgm:cxn modelId="{88632F4E-DBF5-4ED6-95DB-29D0F86123AD}" type="presParOf" srcId="{1BE4FAAC-2982-481D-A140-4C683C737802}" destId="{30871230-B08E-4EBC-B074-6F43AA5D5AF4}" srcOrd="1" destOrd="0" presId="urn:microsoft.com/office/officeart/2005/8/layout/orgChart1"/>
    <dgm:cxn modelId="{F6A77BBE-FCC7-4EC1-9FBE-072D70D4456B}" type="presParOf" srcId="{096F7EC8-C31A-41C1-B6C2-A454881F621C}" destId="{7986CAFF-483B-4DBE-8C03-9B5D1A12525C}" srcOrd="1" destOrd="0" presId="urn:microsoft.com/office/officeart/2005/8/layout/orgChart1"/>
    <dgm:cxn modelId="{47C4D2A0-C8CC-4019-941C-EB56A922CE71}" type="presParOf" srcId="{096F7EC8-C31A-41C1-B6C2-A454881F621C}" destId="{920B338D-90F0-4681-9789-A1EBBEDC209A}" srcOrd="2" destOrd="0" presId="urn:microsoft.com/office/officeart/2005/8/layout/orgChart1"/>
    <dgm:cxn modelId="{5085ED7E-A964-4229-ACB1-7418A9AC1153}" type="presParOf" srcId="{B63D8EE2-3097-4226-96C1-CE2E8A116CE6}" destId="{4F941574-88BA-400A-AD6A-E9B7DC95341F}" srcOrd="4" destOrd="0" presId="urn:microsoft.com/office/officeart/2005/8/layout/orgChart1"/>
    <dgm:cxn modelId="{E376ECC6-E966-4A2E-8AE9-E61BD2642D74}" type="presParOf" srcId="{B63D8EE2-3097-4226-96C1-CE2E8A116CE6}" destId="{868DCC0F-8989-4BBB-A5D6-1CB131D3DD22}" srcOrd="5" destOrd="0" presId="urn:microsoft.com/office/officeart/2005/8/layout/orgChart1"/>
    <dgm:cxn modelId="{0D1BC0AA-C2D0-4865-90F4-50FBB74B8812}" type="presParOf" srcId="{868DCC0F-8989-4BBB-A5D6-1CB131D3DD22}" destId="{79CBED2B-81E4-4BE8-8B5F-8ADA7FE5AD17}" srcOrd="0" destOrd="0" presId="urn:microsoft.com/office/officeart/2005/8/layout/orgChart1"/>
    <dgm:cxn modelId="{834BA878-307A-4EFA-83BB-C05BE550353D}" type="presParOf" srcId="{79CBED2B-81E4-4BE8-8B5F-8ADA7FE5AD17}" destId="{20C6C4B9-9A5A-45C3-9807-209E4361EFA2}" srcOrd="0" destOrd="0" presId="urn:microsoft.com/office/officeart/2005/8/layout/orgChart1"/>
    <dgm:cxn modelId="{A874ED93-51E4-49E2-9381-103FC066FA3F}" type="presParOf" srcId="{79CBED2B-81E4-4BE8-8B5F-8ADA7FE5AD17}" destId="{BA2D4A18-C1EC-428E-95CC-5D64491F00BE}" srcOrd="1" destOrd="0" presId="urn:microsoft.com/office/officeart/2005/8/layout/orgChart1"/>
    <dgm:cxn modelId="{978E7335-4C99-4595-8B39-F6C37E8095F3}" type="presParOf" srcId="{868DCC0F-8989-4BBB-A5D6-1CB131D3DD22}" destId="{31CF4544-96E4-4663-82BA-834C7E886317}" srcOrd="1" destOrd="0" presId="urn:microsoft.com/office/officeart/2005/8/layout/orgChart1"/>
    <dgm:cxn modelId="{8E084E8D-92F8-4384-B3BA-44F75D940BE5}" type="presParOf" srcId="{868DCC0F-8989-4BBB-A5D6-1CB131D3DD22}" destId="{91394AF7-56E4-4E03-A549-5A91EF85ED30}" srcOrd="2" destOrd="0" presId="urn:microsoft.com/office/officeart/2005/8/layout/orgChart1"/>
    <dgm:cxn modelId="{72DB2205-1F36-42E4-B6A7-5BEFFB69A581}" type="presParOf" srcId="{B63D8EE2-3097-4226-96C1-CE2E8A116CE6}" destId="{14E59879-57CD-4221-ACB9-12A64F3024E2}" srcOrd="6" destOrd="0" presId="urn:microsoft.com/office/officeart/2005/8/layout/orgChart1"/>
    <dgm:cxn modelId="{B2C3B297-1A12-4993-B60B-D69EC0AC2609}" type="presParOf" srcId="{B63D8EE2-3097-4226-96C1-CE2E8A116CE6}" destId="{E296A00D-54E0-46D6-93F7-B6BA857080BE}" srcOrd="7" destOrd="0" presId="urn:microsoft.com/office/officeart/2005/8/layout/orgChart1"/>
    <dgm:cxn modelId="{08452369-6FF6-4937-96E1-54BBCD003A45}" type="presParOf" srcId="{E296A00D-54E0-46D6-93F7-B6BA857080BE}" destId="{12DF9719-3802-4A16-A9B2-3E5D504E442C}" srcOrd="0" destOrd="0" presId="urn:microsoft.com/office/officeart/2005/8/layout/orgChart1"/>
    <dgm:cxn modelId="{B079C094-096D-419E-B976-C3DADC6481FC}" type="presParOf" srcId="{12DF9719-3802-4A16-A9B2-3E5D504E442C}" destId="{7DE9F97D-F8F3-4B8A-9974-AB98AE76E03A}" srcOrd="0" destOrd="0" presId="urn:microsoft.com/office/officeart/2005/8/layout/orgChart1"/>
    <dgm:cxn modelId="{5BBEB42B-37C7-4A5F-AABA-47BCAFC9B296}" type="presParOf" srcId="{12DF9719-3802-4A16-A9B2-3E5D504E442C}" destId="{E8D67A08-814A-41E3-BFDE-CF69333176FE}" srcOrd="1" destOrd="0" presId="urn:microsoft.com/office/officeart/2005/8/layout/orgChart1"/>
    <dgm:cxn modelId="{BE9B0668-D602-465B-BEF0-E6F33EDE2D51}" type="presParOf" srcId="{E296A00D-54E0-46D6-93F7-B6BA857080BE}" destId="{72F6E5C8-D776-4523-8B5C-DB6A93C05A4B}" srcOrd="1" destOrd="0" presId="urn:microsoft.com/office/officeart/2005/8/layout/orgChart1"/>
    <dgm:cxn modelId="{EF212D63-A827-4A20-A751-94F284DDB56C}" type="presParOf" srcId="{E296A00D-54E0-46D6-93F7-B6BA857080BE}" destId="{A09F7F84-3BDF-45BF-B029-B47AE5F8FB3C}" srcOrd="2" destOrd="0" presId="urn:microsoft.com/office/officeart/2005/8/layout/orgChart1"/>
    <dgm:cxn modelId="{2769F8DC-D1DD-4DAA-8B38-21985903CE44}" type="presParOf" srcId="{1FD15002-7EAF-4B27-A23A-A25054CD379C}" destId="{64D187C2-D084-482D-8675-62EECCEAD20F}" srcOrd="2" destOrd="0" presId="urn:microsoft.com/office/officeart/2005/8/layout/orgChart1"/>
    <dgm:cxn modelId="{13100CE7-C57F-476D-8689-A33B99B97966}" type="presParOf" srcId="{3B20DD31-089A-4988-B75E-075066A07206}" destId="{BD82891E-F8CF-4B15-A4E8-28DB369D4CC0}" srcOrd="2" destOrd="0" presId="urn:microsoft.com/office/officeart/2005/8/layout/orgChart1"/>
    <dgm:cxn modelId="{AC86DC9C-15DE-4B0D-BDA2-B8AD19A034A7}" type="presParOf" srcId="{1C8057A3-F851-4E6B-A639-DAB61254C573}" destId="{3E1FFD9D-62C1-4398-A1E9-537E84CFCBCD}" srcOrd="2" destOrd="0" presId="urn:microsoft.com/office/officeart/2005/8/layout/orgChart1"/>
    <dgm:cxn modelId="{1BAC8EE1-A1DE-4A95-BC38-A951EBA1342E}" type="presParOf" srcId="{1C8057A3-F851-4E6B-A639-DAB61254C573}" destId="{03040226-A09D-40CF-A751-EC9B78C006A5}" srcOrd="3" destOrd="0" presId="urn:microsoft.com/office/officeart/2005/8/layout/orgChart1"/>
    <dgm:cxn modelId="{A188CFC5-2B43-474F-8111-96D0CCA6BE34}" type="presParOf" srcId="{03040226-A09D-40CF-A751-EC9B78C006A5}" destId="{F76D9B49-0233-49F0-8B09-F0B698FBB4AC}" srcOrd="0" destOrd="0" presId="urn:microsoft.com/office/officeart/2005/8/layout/orgChart1"/>
    <dgm:cxn modelId="{579473B1-4608-4067-ADBA-339A1D79FA1C}" type="presParOf" srcId="{F76D9B49-0233-49F0-8B09-F0B698FBB4AC}" destId="{EC5E56BE-31F3-42DF-A27B-34178939EDE6}" srcOrd="0" destOrd="0" presId="urn:microsoft.com/office/officeart/2005/8/layout/orgChart1"/>
    <dgm:cxn modelId="{712AF062-C575-4759-85D1-451E3D2D27BD}" type="presParOf" srcId="{F76D9B49-0233-49F0-8B09-F0B698FBB4AC}" destId="{97527912-B1F6-4A6B-B117-847E82112F7B}" srcOrd="1" destOrd="0" presId="urn:microsoft.com/office/officeart/2005/8/layout/orgChart1"/>
    <dgm:cxn modelId="{AFF70C1E-D642-4B60-BB5D-5433AB25354F}" type="presParOf" srcId="{03040226-A09D-40CF-A751-EC9B78C006A5}" destId="{4026DA88-E168-41C8-8108-9756040F8613}" srcOrd="1" destOrd="0" presId="urn:microsoft.com/office/officeart/2005/8/layout/orgChart1"/>
    <dgm:cxn modelId="{D8EFB229-70D5-4B38-A041-653E106B7B0B}" type="presParOf" srcId="{4026DA88-E168-41C8-8108-9756040F8613}" destId="{96C689CC-101E-4D63-B85A-82B19092B322}" srcOrd="0" destOrd="0" presId="urn:microsoft.com/office/officeart/2005/8/layout/orgChart1"/>
    <dgm:cxn modelId="{9D1F50E4-77EC-474C-A466-D40DDF02F97B}" type="presParOf" srcId="{4026DA88-E168-41C8-8108-9756040F8613}" destId="{57EBB9C7-5CC3-49E1-BDC0-B130F6BA7FEA}" srcOrd="1" destOrd="0" presId="urn:microsoft.com/office/officeart/2005/8/layout/orgChart1"/>
    <dgm:cxn modelId="{0729F6CD-E97D-4648-B140-C47EF69646FC}" type="presParOf" srcId="{57EBB9C7-5CC3-49E1-BDC0-B130F6BA7FEA}" destId="{DD0BFD81-FD40-4EB2-B13B-2857AA158B0B}" srcOrd="0" destOrd="0" presId="urn:microsoft.com/office/officeart/2005/8/layout/orgChart1"/>
    <dgm:cxn modelId="{D7EAC2BC-2C02-4208-9405-FB299DFAC8D6}" type="presParOf" srcId="{DD0BFD81-FD40-4EB2-B13B-2857AA158B0B}" destId="{F2F5AAF5-2142-4BE5-8DC1-0DFA7315EF63}" srcOrd="0" destOrd="0" presId="urn:microsoft.com/office/officeart/2005/8/layout/orgChart1"/>
    <dgm:cxn modelId="{9F3FB0A3-568F-4AB5-8ECD-446A88DE1259}" type="presParOf" srcId="{DD0BFD81-FD40-4EB2-B13B-2857AA158B0B}" destId="{B86FD87E-B3D2-4257-9F54-2C52D9DCE53B}" srcOrd="1" destOrd="0" presId="urn:microsoft.com/office/officeart/2005/8/layout/orgChart1"/>
    <dgm:cxn modelId="{5D96CBA5-589F-4AD7-AD60-C0F85D38367B}" type="presParOf" srcId="{57EBB9C7-5CC3-49E1-BDC0-B130F6BA7FEA}" destId="{391BA632-8698-44F1-AAD4-84082FFAE0F6}" srcOrd="1" destOrd="0" presId="urn:microsoft.com/office/officeart/2005/8/layout/orgChart1"/>
    <dgm:cxn modelId="{DD315712-52FB-4606-AB02-2F323B08BD49}" type="presParOf" srcId="{391BA632-8698-44F1-AAD4-84082FFAE0F6}" destId="{0161E30F-4093-4997-B3F1-1201673578E1}" srcOrd="0" destOrd="0" presId="urn:microsoft.com/office/officeart/2005/8/layout/orgChart1"/>
    <dgm:cxn modelId="{19AFB46E-0D77-4260-B2A7-9B2677EED375}" type="presParOf" srcId="{391BA632-8698-44F1-AAD4-84082FFAE0F6}" destId="{B00EAF69-B24E-4CA5-B026-59DD7700CD14}" srcOrd="1" destOrd="0" presId="urn:microsoft.com/office/officeart/2005/8/layout/orgChart1"/>
    <dgm:cxn modelId="{1D63FFEB-F66E-4282-9370-023131E08475}" type="presParOf" srcId="{B00EAF69-B24E-4CA5-B026-59DD7700CD14}" destId="{7849A711-94B7-4D03-B1DC-B24C6C5055A5}" srcOrd="0" destOrd="0" presId="urn:microsoft.com/office/officeart/2005/8/layout/orgChart1"/>
    <dgm:cxn modelId="{FDBB4FFE-4D86-4781-8AF8-4F1D6D5CB323}" type="presParOf" srcId="{7849A711-94B7-4D03-B1DC-B24C6C5055A5}" destId="{8799E431-6FA9-405E-AFC0-FC474A0E47B7}" srcOrd="0" destOrd="0" presId="urn:microsoft.com/office/officeart/2005/8/layout/orgChart1"/>
    <dgm:cxn modelId="{DE68AD70-8C80-427C-9678-A5B5281CFF51}" type="presParOf" srcId="{7849A711-94B7-4D03-B1DC-B24C6C5055A5}" destId="{81BAF2C6-251E-4A70-A91D-76B8D24741FC}" srcOrd="1" destOrd="0" presId="urn:microsoft.com/office/officeart/2005/8/layout/orgChart1"/>
    <dgm:cxn modelId="{957BC563-F4CC-424F-9E2E-F827E1696783}" type="presParOf" srcId="{B00EAF69-B24E-4CA5-B026-59DD7700CD14}" destId="{7F5AFD6E-4DCF-4A05-91FB-D97AB635CD92}" srcOrd="1" destOrd="0" presId="urn:microsoft.com/office/officeart/2005/8/layout/orgChart1"/>
    <dgm:cxn modelId="{CD5DFCFA-7DCF-44DF-B51B-D45CB21D1564}" type="presParOf" srcId="{B00EAF69-B24E-4CA5-B026-59DD7700CD14}" destId="{8EE34C08-0D33-463D-B0AF-37B972B1EEFB}" srcOrd="2" destOrd="0" presId="urn:microsoft.com/office/officeart/2005/8/layout/orgChart1"/>
    <dgm:cxn modelId="{2FFD560B-A2DE-49CB-BAFC-07AA84A0DA7C}" type="presParOf" srcId="{391BA632-8698-44F1-AAD4-84082FFAE0F6}" destId="{B5A96947-ABEF-401A-96D0-3836E812C03D}" srcOrd="2" destOrd="0" presId="urn:microsoft.com/office/officeart/2005/8/layout/orgChart1"/>
    <dgm:cxn modelId="{AE356ECD-B9AB-4A85-96CB-820D36BC51F4}" type="presParOf" srcId="{391BA632-8698-44F1-AAD4-84082FFAE0F6}" destId="{20CD56AD-225B-4B05-A81B-FE997AEC90FB}" srcOrd="3" destOrd="0" presId="urn:microsoft.com/office/officeart/2005/8/layout/orgChart1"/>
    <dgm:cxn modelId="{269AA6C5-9BD9-418E-812F-3CAB64D6DCAD}" type="presParOf" srcId="{20CD56AD-225B-4B05-A81B-FE997AEC90FB}" destId="{C9847241-A402-4ED9-B7DB-1BF7602D6049}" srcOrd="0" destOrd="0" presId="urn:microsoft.com/office/officeart/2005/8/layout/orgChart1"/>
    <dgm:cxn modelId="{DA279189-73FF-44BA-9345-618D408805AA}" type="presParOf" srcId="{C9847241-A402-4ED9-B7DB-1BF7602D6049}" destId="{116BC929-D6BC-4F34-9C09-1260A0B58BAA}" srcOrd="0" destOrd="0" presId="urn:microsoft.com/office/officeart/2005/8/layout/orgChart1"/>
    <dgm:cxn modelId="{775303B6-38E1-4674-B9FA-1A9D41BC545E}" type="presParOf" srcId="{C9847241-A402-4ED9-B7DB-1BF7602D6049}" destId="{D41847F8-A290-4AE9-9728-2CCC36FBC561}" srcOrd="1" destOrd="0" presId="urn:microsoft.com/office/officeart/2005/8/layout/orgChart1"/>
    <dgm:cxn modelId="{A0858429-FB48-45B8-85E3-93D066758D09}" type="presParOf" srcId="{20CD56AD-225B-4B05-A81B-FE997AEC90FB}" destId="{2D234E31-717A-4B2C-9686-21A338070B8C}" srcOrd="1" destOrd="0" presId="urn:microsoft.com/office/officeart/2005/8/layout/orgChart1"/>
    <dgm:cxn modelId="{CCBE827C-6560-477D-83D8-3A96133670E3}" type="presParOf" srcId="{20CD56AD-225B-4B05-A81B-FE997AEC90FB}" destId="{E9722A6E-B20E-4C57-AE18-F3144E2F5A41}" srcOrd="2" destOrd="0" presId="urn:microsoft.com/office/officeart/2005/8/layout/orgChart1"/>
    <dgm:cxn modelId="{DE379EFC-7128-409B-9827-88F57A49F3F6}" type="presParOf" srcId="{391BA632-8698-44F1-AAD4-84082FFAE0F6}" destId="{1B2BB266-D19F-4DBE-ADBE-D69D354D9284}" srcOrd="4" destOrd="0" presId="urn:microsoft.com/office/officeart/2005/8/layout/orgChart1"/>
    <dgm:cxn modelId="{923E34AB-B1CA-4C25-B482-9DB64305FE40}" type="presParOf" srcId="{391BA632-8698-44F1-AAD4-84082FFAE0F6}" destId="{0ECB1B7C-DFB5-4C86-B420-28E275522396}" srcOrd="5" destOrd="0" presId="urn:microsoft.com/office/officeart/2005/8/layout/orgChart1"/>
    <dgm:cxn modelId="{C4D998CB-42C8-40EF-8168-FB21E7C8865F}" type="presParOf" srcId="{0ECB1B7C-DFB5-4C86-B420-28E275522396}" destId="{C3B5747F-3DCC-4AFF-9351-07387C94B46B}" srcOrd="0" destOrd="0" presId="urn:microsoft.com/office/officeart/2005/8/layout/orgChart1"/>
    <dgm:cxn modelId="{E0606DF6-38E0-4F8B-8587-D293750BAADB}" type="presParOf" srcId="{C3B5747F-3DCC-4AFF-9351-07387C94B46B}" destId="{25BAE859-04A4-4B09-B312-4C8D5A4996E1}" srcOrd="0" destOrd="0" presId="urn:microsoft.com/office/officeart/2005/8/layout/orgChart1"/>
    <dgm:cxn modelId="{215671DD-E8CF-4429-8913-9AF47A21EBDD}" type="presParOf" srcId="{C3B5747F-3DCC-4AFF-9351-07387C94B46B}" destId="{C370D5D3-01AB-447D-ACD8-FAF26E6B139B}" srcOrd="1" destOrd="0" presId="urn:microsoft.com/office/officeart/2005/8/layout/orgChart1"/>
    <dgm:cxn modelId="{E2DF19FA-F8B7-467B-AC0E-D70B4B2DCBA5}" type="presParOf" srcId="{0ECB1B7C-DFB5-4C86-B420-28E275522396}" destId="{48B9D83B-0B5A-4697-B4F2-BD8461B3D97D}" srcOrd="1" destOrd="0" presId="urn:microsoft.com/office/officeart/2005/8/layout/orgChart1"/>
    <dgm:cxn modelId="{38FF3032-B036-4AE3-AC5D-619EB8797E57}" type="presParOf" srcId="{0ECB1B7C-DFB5-4C86-B420-28E275522396}" destId="{8224E776-4F76-4A49-BD99-57A0AF346242}" srcOrd="2" destOrd="0" presId="urn:microsoft.com/office/officeart/2005/8/layout/orgChart1"/>
    <dgm:cxn modelId="{DAE4DB2B-650A-4325-8DA6-511D2B459939}" type="presParOf" srcId="{391BA632-8698-44F1-AAD4-84082FFAE0F6}" destId="{B9EF1DAB-1A94-43A2-9C73-A55175EDB3FF}" srcOrd="6" destOrd="0" presId="urn:microsoft.com/office/officeart/2005/8/layout/orgChart1"/>
    <dgm:cxn modelId="{8C1094E3-BAEE-4D2E-B741-AE43EF17F406}" type="presParOf" srcId="{391BA632-8698-44F1-AAD4-84082FFAE0F6}" destId="{97FA0607-FCF7-4B17-BFF3-0336989E8DB9}" srcOrd="7" destOrd="0" presId="urn:microsoft.com/office/officeart/2005/8/layout/orgChart1"/>
    <dgm:cxn modelId="{BE3AA669-A39A-4EF4-9E56-56596F093003}" type="presParOf" srcId="{97FA0607-FCF7-4B17-BFF3-0336989E8DB9}" destId="{317AD701-B026-4A7F-81E5-F5741986C822}" srcOrd="0" destOrd="0" presId="urn:microsoft.com/office/officeart/2005/8/layout/orgChart1"/>
    <dgm:cxn modelId="{FF1EBCC9-E601-4D79-834A-3A149D399CAE}" type="presParOf" srcId="{317AD701-B026-4A7F-81E5-F5741986C822}" destId="{3D6E0426-545E-47D1-BA7F-E34D2A728842}" srcOrd="0" destOrd="0" presId="urn:microsoft.com/office/officeart/2005/8/layout/orgChart1"/>
    <dgm:cxn modelId="{455DCB56-AE8B-4E1D-913E-0A73C44DB6C6}" type="presParOf" srcId="{317AD701-B026-4A7F-81E5-F5741986C822}" destId="{B1427FC6-C4A1-416D-ABAB-4BC4B6327F3E}" srcOrd="1" destOrd="0" presId="urn:microsoft.com/office/officeart/2005/8/layout/orgChart1"/>
    <dgm:cxn modelId="{174A7546-5E9D-4756-9BB4-DE07AAA49D6B}" type="presParOf" srcId="{97FA0607-FCF7-4B17-BFF3-0336989E8DB9}" destId="{8B2E5D8F-AB7F-403B-8124-B8397D723689}" srcOrd="1" destOrd="0" presId="urn:microsoft.com/office/officeart/2005/8/layout/orgChart1"/>
    <dgm:cxn modelId="{31EC8B0B-AD28-4208-BCDB-0F03359FC7EC}" type="presParOf" srcId="{97FA0607-FCF7-4B17-BFF3-0336989E8DB9}" destId="{5DFD2E6B-2145-4A81-9EE9-E512D0294F8F}" srcOrd="2" destOrd="0" presId="urn:microsoft.com/office/officeart/2005/8/layout/orgChart1"/>
    <dgm:cxn modelId="{73DD12D1-4BF1-47AC-8379-228CDCB41A87}" type="presParOf" srcId="{57EBB9C7-5CC3-49E1-BDC0-B130F6BA7FEA}" destId="{5CD306DD-07BC-49D6-9F87-0A047228950D}" srcOrd="2" destOrd="0" presId="urn:microsoft.com/office/officeart/2005/8/layout/orgChart1"/>
    <dgm:cxn modelId="{C58541BB-BD20-4D70-8950-35F4CA192CF4}" type="presParOf" srcId="{4026DA88-E168-41C8-8108-9756040F8613}" destId="{1B49B9F1-5F91-4399-8FD0-E0C6C1FDD215}" srcOrd="2" destOrd="0" presId="urn:microsoft.com/office/officeart/2005/8/layout/orgChart1"/>
    <dgm:cxn modelId="{19B446F4-F5ED-4453-B30D-7D089651F81F}" type="presParOf" srcId="{4026DA88-E168-41C8-8108-9756040F8613}" destId="{BA5D766B-22DF-4BC3-8B3F-A9C8BCA0BF41}" srcOrd="3" destOrd="0" presId="urn:microsoft.com/office/officeart/2005/8/layout/orgChart1"/>
    <dgm:cxn modelId="{1F0C79F5-EA9F-44F4-A20E-A1204BEF8141}" type="presParOf" srcId="{BA5D766B-22DF-4BC3-8B3F-A9C8BCA0BF41}" destId="{DAB8C791-DD15-4907-BD77-823E61566150}" srcOrd="0" destOrd="0" presId="urn:microsoft.com/office/officeart/2005/8/layout/orgChart1"/>
    <dgm:cxn modelId="{F215B8A6-78E0-4E9F-A934-5B40EC9893FC}" type="presParOf" srcId="{DAB8C791-DD15-4907-BD77-823E61566150}" destId="{C6FAE481-67BA-4D7E-BD1A-F67ED416B205}" srcOrd="0" destOrd="0" presId="urn:microsoft.com/office/officeart/2005/8/layout/orgChart1"/>
    <dgm:cxn modelId="{762299CE-ACA3-4D98-9E16-0A70E7CBBA9D}" type="presParOf" srcId="{DAB8C791-DD15-4907-BD77-823E61566150}" destId="{75427552-2D0A-4F1C-8079-4B4827973E52}" srcOrd="1" destOrd="0" presId="urn:microsoft.com/office/officeart/2005/8/layout/orgChart1"/>
    <dgm:cxn modelId="{ABA03785-61B2-4F23-BA66-5D54D5B8C3C6}" type="presParOf" srcId="{BA5D766B-22DF-4BC3-8B3F-A9C8BCA0BF41}" destId="{C78131B2-9EE3-45DF-95B0-DBFB8B884303}" srcOrd="1" destOrd="0" presId="urn:microsoft.com/office/officeart/2005/8/layout/orgChart1"/>
    <dgm:cxn modelId="{A1F4615C-B46E-4BF1-8B64-BD5C96121568}" type="presParOf" srcId="{C78131B2-9EE3-45DF-95B0-DBFB8B884303}" destId="{74C1649D-EF19-49F0-9BF9-C6425D9F64B5}" srcOrd="0" destOrd="0" presId="urn:microsoft.com/office/officeart/2005/8/layout/orgChart1"/>
    <dgm:cxn modelId="{1D7D037C-E6BF-4C39-871D-98D79C70D252}" type="presParOf" srcId="{C78131B2-9EE3-45DF-95B0-DBFB8B884303}" destId="{3FC7A68F-AC8D-4566-9565-85F317217343}" srcOrd="1" destOrd="0" presId="urn:microsoft.com/office/officeart/2005/8/layout/orgChart1"/>
    <dgm:cxn modelId="{DA5C578E-8BC3-4E52-9961-1B39D021E21A}" type="presParOf" srcId="{3FC7A68F-AC8D-4566-9565-85F317217343}" destId="{61B599DB-8D90-42FB-AEAC-70920058FF2F}" srcOrd="0" destOrd="0" presId="urn:microsoft.com/office/officeart/2005/8/layout/orgChart1"/>
    <dgm:cxn modelId="{3B57A456-A12A-4BB9-BB79-272AF97DF0AC}" type="presParOf" srcId="{61B599DB-8D90-42FB-AEAC-70920058FF2F}" destId="{BA318FA3-3732-47A2-BFDB-25B111F1CC72}" srcOrd="0" destOrd="0" presId="urn:microsoft.com/office/officeart/2005/8/layout/orgChart1"/>
    <dgm:cxn modelId="{DE54DF4B-446F-41BA-AD2A-06C4E6015D16}" type="presParOf" srcId="{61B599DB-8D90-42FB-AEAC-70920058FF2F}" destId="{0199E8D5-030D-48B5-BA68-3A351492EA87}" srcOrd="1" destOrd="0" presId="urn:microsoft.com/office/officeart/2005/8/layout/orgChart1"/>
    <dgm:cxn modelId="{F82AEC56-5C9D-4D3F-A696-263B87CB1901}" type="presParOf" srcId="{3FC7A68F-AC8D-4566-9565-85F317217343}" destId="{C00C011B-E31D-48B3-B7DF-6B13E0AFFCC5}" srcOrd="1" destOrd="0" presId="urn:microsoft.com/office/officeart/2005/8/layout/orgChart1"/>
    <dgm:cxn modelId="{ADA31729-2F76-4296-A6D6-F874670A46E9}" type="presParOf" srcId="{3FC7A68F-AC8D-4566-9565-85F317217343}" destId="{9B633D3F-BBD4-43FB-B394-55AB66957496}" srcOrd="2" destOrd="0" presId="urn:microsoft.com/office/officeart/2005/8/layout/orgChart1"/>
    <dgm:cxn modelId="{B11A5DF5-BA65-4A73-9DCC-161C664723C3}" type="presParOf" srcId="{C78131B2-9EE3-45DF-95B0-DBFB8B884303}" destId="{C899FC0A-A3D9-4A60-8EB7-BCB8FD3B2E91}" srcOrd="2" destOrd="0" presId="urn:microsoft.com/office/officeart/2005/8/layout/orgChart1"/>
    <dgm:cxn modelId="{E1E5EA41-7E36-42F5-B4FD-074667D10590}" type="presParOf" srcId="{C78131B2-9EE3-45DF-95B0-DBFB8B884303}" destId="{F7118A62-5410-4FAE-91D8-DB03A73EDC00}" srcOrd="3" destOrd="0" presId="urn:microsoft.com/office/officeart/2005/8/layout/orgChart1"/>
    <dgm:cxn modelId="{8443A104-E05D-46AC-B5CA-1E8A35C3ED52}" type="presParOf" srcId="{F7118A62-5410-4FAE-91D8-DB03A73EDC00}" destId="{99757DE8-75E0-4A63-BBC9-80424FDA5AC3}" srcOrd="0" destOrd="0" presId="urn:microsoft.com/office/officeart/2005/8/layout/orgChart1"/>
    <dgm:cxn modelId="{C2809FF5-4CA8-4F82-B0EC-FEEA5A50373A}" type="presParOf" srcId="{99757DE8-75E0-4A63-BBC9-80424FDA5AC3}" destId="{A9AA7563-F92E-4645-892D-47A7CE5B8F08}" srcOrd="0" destOrd="0" presId="urn:microsoft.com/office/officeart/2005/8/layout/orgChart1"/>
    <dgm:cxn modelId="{305CBC89-EE85-47DA-934F-9F184DD87043}" type="presParOf" srcId="{99757DE8-75E0-4A63-BBC9-80424FDA5AC3}" destId="{F6F70596-404F-423F-AC40-F4EF83467B87}" srcOrd="1" destOrd="0" presId="urn:microsoft.com/office/officeart/2005/8/layout/orgChart1"/>
    <dgm:cxn modelId="{6BCDB936-1871-499D-91A2-56C140B906C7}" type="presParOf" srcId="{F7118A62-5410-4FAE-91D8-DB03A73EDC00}" destId="{93A75C0B-FE6B-4BEF-817B-E3F6E68DC628}" srcOrd="1" destOrd="0" presId="urn:microsoft.com/office/officeart/2005/8/layout/orgChart1"/>
    <dgm:cxn modelId="{75138556-C2AA-4123-A235-FF93597A3784}" type="presParOf" srcId="{F7118A62-5410-4FAE-91D8-DB03A73EDC00}" destId="{DB975C75-0FD1-48E7-BE9F-0688054D0B30}" srcOrd="2" destOrd="0" presId="urn:microsoft.com/office/officeart/2005/8/layout/orgChart1"/>
    <dgm:cxn modelId="{FA7BCABA-8C64-4F49-9C25-221CA82925B7}" type="presParOf" srcId="{C78131B2-9EE3-45DF-95B0-DBFB8B884303}" destId="{6215E18D-827F-4004-9550-6662DF0B1FD5}" srcOrd="4" destOrd="0" presId="urn:microsoft.com/office/officeart/2005/8/layout/orgChart1"/>
    <dgm:cxn modelId="{2D89F40A-F567-45E8-8D22-18DAD96EBB5F}" type="presParOf" srcId="{C78131B2-9EE3-45DF-95B0-DBFB8B884303}" destId="{B4C9983E-DDBE-481D-B4D9-5AB02BD01E5B}" srcOrd="5" destOrd="0" presId="urn:microsoft.com/office/officeart/2005/8/layout/orgChart1"/>
    <dgm:cxn modelId="{09F5FE74-4B59-4FD9-9CE3-64451398ED84}" type="presParOf" srcId="{B4C9983E-DDBE-481D-B4D9-5AB02BD01E5B}" destId="{8C17F6F2-9D28-4E09-A872-1D994DE8E47B}" srcOrd="0" destOrd="0" presId="urn:microsoft.com/office/officeart/2005/8/layout/orgChart1"/>
    <dgm:cxn modelId="{AD0A9406-2551-4E0E-9F78-E81361A5F52B}" type="presParOf" srcId="{8C17F6F2-9D28-4E09-A872-1D994DE8E47B}" destId="{A8238D60-84C2-41B2-B134-97EF17FFCCA1}" srcOrd="0" destOrd="0" presId="urn:microsoft.com/office/officeart/2005/8/layout/orgChart1"/>
    <dgm:cxn modelId="{3C3E2A08-810B-4B88-B101-0633F42ACCD9}" type="presParOf" srcId="{8C17F6F2-9D28-4E09-A872-1D994DE8E47B}" destId="{58910E52-ADA4-4700-81E4-99471B02D1E1}" srcOrd="1" destOrd="0" presId="urn:microsoft.com/office/officeart/2005/8/layout/orgChart1"/>
    <dgm:cxn modelId="{FFD17004-257D-4F79-A3EE-9E092FF05E22}" type="presParOf" srcId="{B4C9983E-DDBE-481D-B4D9-5AB02BD01E5B}" destId="{DB36443E-9512-4E9D-854B-6205A2458CF9}" srcOrd="1" destOrd="0" presId="urn:microsoft.com/office/officeart/2005/8/layout/orgChart1"/>
    <dgm:cxn modelId="{01F88D41-1155-4FB5-8865-477980830600}" type="presParOf" srcId="{B4C9983E-DDBE-481D-B4D9-5AB02BD01E5B}" destId="{9D6A31FB-1034-4F56-AC46-178FAF261A5A}" srcOrd="2" destOrd="0" presId="urn:microsoft.com/office/officeart/2005/8/layout/orgChart1"/>
    <dgm:cxn modelId="{27D08481-23F1-4A94-B589-5A169EBBEFC3}" type="presParOf" srcId="{C78131B2-9EE3-45DF-95B0-DBFB8B884303}" destId="{928DB27E-CC00-461B-8254-81AB6C10B6B5}" srcOrd="6" destOrd="0" presId="urn:microsoft.com/office/officeart/2005/8/layout/orgChart1"/>
    <dgm:cxn modelId="{9CE7ED63-6F3F-43BE-8E6E-D4E5188A4EBC}" type="presParOf" srcId="{C78131B2-9EE3-45DF-95B0-DBFB8B884303}" destId="{FEBED6C3-D8F9-4FEF-8757-D3F3592F9592}" srcOrd="7" destOrd="0" presId="urn:microsoft.com/office/officeart/2005/8/layout/orgChart1"/>
    <dgm:cxn modelId="{84823B91-E7AA-43AE-8D1D-C65C0C0421D1}" type="presParOf" srcId="{FEBED6C3-D8F9-4FEF-8757-D3F3592F9592}" destId="{3FED5C30-54DE-491F-854E-5190A7C99AA8}" srcOrd="0" destOrd="0" presId="urn:microsoft.com/office/officeart/2005/8/layout/orgChart1"/>
    <dgm:cxn modelId="{9A353D48-87D7-4C1B-A3D7-7A3155C12763}" type="presParOf" srcId="{3FED5C30-54DE-491F-854E-5190A7C99AA8}" destId="{4B501979-9FF3-4740-9FA6-2CAF6E40F362}" srcOrd="0" destOrd="0" presId="urn:microsoft.com/office/officeart/2005/8/layout/orgChart1"/>
    <dgm:cxn modelId="{F55D0D4A-C05C-4863-BC28-1BB54E27D67C}" type="presParOf" srcId="{3FED5C30-54DE-491F-854E-5190A7C99AA8}" destId="{573CFB7F-A4DC-4376-844F-80E9625D6CDD}" srcOrd="1" destOrd="0" presId="urn:microsoft.com/office/officeart/2005/8/layout/orgChart1"/>
    <dgm:cxn modelId="{9AB99C63-40CC-4682-9761-37899F37BF2F}" type="presParOf" srcId="{FEBED6C3-D8F9-4FEF-8757-D3F3592F9592}" destId="{979EF6AB-B5D7-4BAF-9035-2793B1C01131}" srcOrd="1" destOrd="0" presId="urn:microsoft.com/office/officeart/2005/8/layout/orgChart1"/>
    <dgm:cxn modelId="{3B2CF905-C4FB-4DEE-B979-E3E1F5E5A2DF}" type="presParOf" srcId="{FEBED6C3-D8F9-4FEF-8757-D3F3592F9592}" destId="{7C083399-6238-48E0-9E35-BB0700DD935B}" srcOrd="2" destOrd="0" presId="urn:microsoft.com/office/officeart/2005/8/layout/orgChart1"/>
    <dgm:cxn modelId="{84A9E968-DCDB-4D9B-8685-37A64DF65285}" type="presParOf" srcId="{BA5D766B-22DF-4BC3-8B3F-A9C8BCA0BF41}" destId="{BBA35DC0-AC7C-4B50-B04D-0B2A1D91FA0E}" srcOrd="2" destOrd="0" presId="urn:microsoft.com/office/officeart/2005/8/layout/orgChart1"/>
    <dgm:cxn modelId="{78342D88-08CC-46BF-81D1-AC15C328B85E}" type="presParOf" srcId="{03040226-A09D-40CF-A751-EC9B78C006A5}" destId="{E4A34329-6BB1-4205-AC0B-B26B211D9C68}" srcOrd="2" destOrd="0" presId="urn:microsoft.com/office/officeart/2005/8/layout/orgChart1"/>
    <dgm:cxn modelId="{9DDE3186-F5DA-4C33-B44C-30BF88090ADB}" type="presParOf" srcId="{BDC7728D-98AB-4329-A51D-AD6DAB5133B8}" destId="{263935F3-C9C4-419A-9CF8-34E721114DAC}"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ACE4B8-3D9C-483E-98B7-292FF4075AED}">
      <dsp:nvSpPr>
        <dsp:cNvPr id="0" name=""/>
        <dsp:cNvSpPr/>
      </dsp:nvSpPr>
      <dsp:spPr>
        <a:xfrm>
          <a:off x="114293" y="546098"/>
          <a:ext cx="3063252" cy="2108202"/>
        </a:xfrm>
        <a:prstGeom prst="ellipse">
          <a:avLst/>
        </a:prstGeom>
        <a:solidFill>
          <a:srgbClr val="FFFF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2: Parent in treatment for SUD</a:t>
          </a:r>
        </a:p>
      </dsp:txBody>
      <dsp:txXfrm>
        <a:off x="542045" y="794700"/>
        <a:ext cx="1766199" cy="1610998"/>
      </dsp:txXfrm>
    </dsp:sp>
    <dsp:sp modelId="{F82A61E8-777F-4916-BAB4-CA93790FAD09}">
      <dsp:nvSpPr>
        <dsp:cNvPr id="0" name=""/>
        <dsp:cNvSpPr/>
      </dsp:nvSpPr>
      <dsp:spPr>
        <a:xfrm>
          <a:off x="2308853" y="546098"/>
          <a:ext cx="3063252" cy="210820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3: Family receiving early help/ statutory child welfare support</a:t>
          </a:r>
        </a:p>
      </dsp:txBody>
      <dsp:txXfrm>
        <a:off x="3178155" y="794700"/>
        <a:ext cx="1766199" cy="16109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D2F0CC-2628-4EEF-B4CF-8A2FCB2DEEF9}">
      <dsp:nvSpPr>
        <dsp:cNvPr id="0" name=""/>
        <dsp:cNvSpPr/>
      </dsp:nvSpPr>
      <dsp:spPr>
        <a:xfrm>
          <a:off x="2531105" y="1731133"/>
          <a:ext cx="206408" cy="393308"/>
        </a:xfrm>
        <a:custGeom>
          <a:avLst/>
          <a:gdLst/>
          <a:ahLst/>
          <a:cxnLst/>
          <a:rect l="0" t="0" r="0" b="0"/>
          <a:pathLst>
            <a:path>
              <a:moveTo>
                <a:pt x="0" y="0"/>
              </a:moveTo>
              <a:lnTo>
                <a:pt x="103204" y="0"/>
              </a:lnTo>
              <a:lnTo>
                <a:pt x="103204" y="393308"/>
              </a:lnTo>
              <a:lnTo>
                <a:pt x="206408" y="39330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623205" y="1916683"/>
        <a:ext cx="22208" cy="22208"/>
      </dsp:txXfrm>
    </dsp:sp>
    <dsp:sp modelId="{5DABD05C-DBED-417C-989D-FF6FEAA053A4}">
      <dsp:nvSpPr>
        <dsp:cNvPr id="0" name=""/>
        <dsp:cNvSpPr/>
      </dsp:nvSpPr>
      <dsp:spPr>
        <a:xfrm>
          <a:off x="2531105" y="1685413"/>
          <a:ext cx="206408" cy="91440"/>
        </a:xfrm>
        <a:custGeom>
          <a:avLst/>
          <a:gdLst/>
          <a:ahLst/>
          <a:cxnLst/>
          <a:rect l="0" t="0" r="0" b="0"/>
          <a:pathLst>
            <a:path>
              <a:moveTo>
                <a:pt x="0" y="45720"/>
              </a:moveTo>
              <a:lnTo>
                <a:pt x="206408"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629149" y="1725973"/>
        <a:ext cx="10320" cy="10320"/>
      </dsp:txXfrm>
    </dsp:sp>
    <dsp:sp modelId="{AFE74104-37EC-4198-9038-F127CEA9F44E}">
      <dsp:nvSpPr>
        <dsp:cNvPr id="0" name=""/>
        <dsp:cNvSpPr/>
      </dsp:nvSpPr>
      <dsp:spPr>
        <a:xfrm>
          <a:off x="2531105" y="1337825"/>
          <a:ext cx="206408" cy="393308"/>
        </a:xfrm>
        <a:custGeom>
          <a:avLst/>
          <a:gdLst/>
          <a:ahLst/>
          <a:cxnLst/>
          <a:rect l="0" t="0" r="0" b="0"/>
          <a:pathLst>
            <a:path>
              <a:moveTo>
                <a:pt x="0" y="393308"/>
              </a:moveTo>
              <a:lnTo>
                <a:pt x="103204" y="393308"/>
              </a:lnTo>
              <a:lnTo>
                <a:pt x="103204" y="0"/>
              </a:lnTo>
              <a:lnTo>
                <a:pt x="20640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623205" y="1523374"/>
        <a:ext cx="22208" cy="22208"/>
      </dsp:txXfrm>
    </dsp:sp>
    <dsp:sp modelId="{C5F4FEA3-E53D-4061-8BFD-EE09EF6C1D1E}">
      <dsp:nvSpPr>
        <dsp:cNvPr id="0" name=""/>
        <dsp:cNvSpPr/>
      </dsp:nvSpPr>
      <dsp:spPr>
        <a:xfrm>
          <a:off x="1292656" y="1141171"/>
          <a:ext cx="206408" cy="589962"/>
        </a:xfrm>
        <a:custGeom>
          <a:avLst/>
          <a:gdLst/>
          <a:ahLst/>
          <a:cxnLst/>
          <a:rect l="0" t="0" r="0" b="0"/>
          <a:pathLst>
            <a:path>
              <a:moveTo>
                <a:pt x="0" y="0"/>
              </a:moveTo>
              <a:lnTo>
                <a:pt x="103204" y="0"/>
              </a:lnTo>
              <a:lnTo>
                <a:pt x="103204" y="589962"/>
              </a:lnTo>
              <a:lnTo>
                <a:pt x="206408" y="58996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380234" y="1420526"/>
        <a:ext cx="31251" cy="31251"/>
      </dsp:txXfrm>
    </dsp:sp>
    <dsp:sp modelId="{13435F3B-4CF4-42E3-BF1C-878A527FBF82}">
      <dsp:nvSpPr>
        <dsp:cNvPr id="0" name=""/>
        <dsp:cNvSpPr/>
      </dsp:nvSpPr>
      <dsp:spPr>
        <a:xfrm>
          <a:off x="2531105" y="551208"/>
          <a:ext cx="206408" cy="393308"/>
        </a:xfrm>
        <a:custGeom>
          <a:avLst/>
          <a:gdLst/>
          <a:ahLst/>
          <a:cxnLst/>
          <a:rect l="0" t="0" r="0" b="0"/>
          <a:pathLst>
            <a:path>
              <a:moveTo>
                <a:pt x="0" y="0"/>
              </a:moveTo>
              <a:lnTo>
                <a:pt x="103204" y="0"/>
              </a:lnTo>
              <a:lnTo>
                <a:pt x="103204" y="393308"/>
              </a:lnTo>
              <a:lnTo>
                <a:pt x="206408" y="39330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623205" y="736758"/>
        <a:ext cx="22208" cy="22208"/>
      </dsp:txXfrm>
    </dsp:sp>
    <dsp:sp modelId="{6F1CABFF-0E5F-4843-A19A-B2F806AC1FB0}">
      <dsp:nvSpPr>
        <dsp:cNvPr id="0" name=""/>
        <dsp:cNvSpPr/>
      </dsp:nvSpPr>
      <dsp:spPr>
        <a:xfrm>
          <a:off x="2531105" y="505488"/>
          <a:ext cx="206408" cy="91440"/>
        </a:xfrm>
        <a:custGeom>
          <a:avLst/>
          <a:gdLst/>
          <a:ahLst/>
          <a:cxnLst/>
          <a:rect l="0" t="0" r="0" b="0"/>
          <a:pathLst>
            <a:path>
              <a:moveTo>
                <a:pt x="0" y="45720"/>
              </a:moveTo>
              <a:lnTo>
                <a:pt x="206408"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629149" y="546048"/>
        <a:ext cx="10320" cy="10320"/>
      </dsp:txXfrm>
    </dsp:sp>
    <dsp:sp modelId="{B3875A89-EE6C-4D71-8B2D-4287147A92AA}">
      <dsp:nvSpPr>
        <dsp:cNvPr id="0" name=""/>
        <dsp:cNvSpPr/>
      </dsp:nvSpPr>
      <dsp:spPr>
        <a:xfrm>
          <a:off x="2531105" y="157900"/>
          <a:ext cx="206408" cy="393308"/>
        </a:xfrm>
        <a:custGeom>
          <a:avLst/>
          <a:gdLst/>
          <a:ahLst/>
          <a:cxnLst/>
          <a:rect l="0" t="0" r="0" b="0"/>
          <a:pathLst>
            <a:path>
              <a:moveTo>
                <a:pt x="0" y="393308"/>
              </a:moveTo>
              <a:lnTo>
                <a:pt x="103204" y="393308"/>
              </a:lnTo>
              <a:lnTo>
                <a:pt x="103204" y="0"/>
              </a:lnTo>
              <a:lnTo>
                <a:pt x="20640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623205" y="343449"/>
        <a:ext cx="22208" cy="22208"/>
      </dsp:txXfrm>
    </dsp:sp>
    <dsp:sp modelId="{1D2653C7-3C38-49AD-A1FB-6CEFE077CADB}">
      <dsp:nvSpPr>
        <dsp:cNvPr id="0" name=""/>
        <dsp:cNvSpPr/>
      </dsp:nvSpPr>
      <dsp:spPr>
        <a:xfrm>
          <a:off x="1292656" y="551208"/>
          <a:ext cx="206408" cy="589962"/>
        </a:xfrm>
        <a:custGeom>
          <a:avLst/>
          <a:gdLst/>
          <a:ahLst/>
          <a:cxnLst/>
          <a:rect l="0" t="0" r="0" b="0"/>
          <a:pathLst>
            <a:path>
              <a:moveTo>
                <a:pt x="0" y="589962"/>
              </a:moveTo>
              <a:lnTo>
                <a:pt x="103204" y="589962"/>
              </a:lnTo>
              <a:lnTo>
                <a:pt x="103204" y="0"/>
              </a:lnTo>
              <a:lnTo>
                <a:pt x="20640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380234" y="830564"/>
        <a:ext cx="31251" cy="31251"/>
      </dsp:txXfrm>
    </dsp:sp>
    <dsp:sp modelId="{482DBC39-3462-42A7-8932-571515CA8141}">
      <dsp:nvSpPr>
        <dsp:cNvPr id="0" name=""/>
        <dsp:cNvSpPr/>
      </dsp:nvSpPr>
      <dsp:spPr>
        <a:xfrm rot="16200000">
          <a:off x="307315" y="983847"/>
          <a:ext cx="1656035" cy="314646"/>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Parent living with children (n=18,161)</a:t>
          </a:r>
        </a:p>
      </dsp:txBody>
      <dsp:txXfrm>
        <a:off x="307315" y="983847"/>
        <a:ext cx="1656035" cy="314646"/>
      </dsp:txXfrm>
    </dsp:sp>
    <dsp:sp modelId="{6E3A908B-A319-44E3-8BAA-85DD071C1F98}">
      <dsp:nvSpPr>
        <dsp:cNvPr id="0" name=""/>
        <dsp:cNvSpPr/>
      </dsp:nvSpPr>
      <dsp:spPr>
        <a:xfrm>
          <a:off x="1499064" y="393885"/>
          <a:ext cx="1032041" cy="314646"/>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Mothers (n=9,125)</a:t>
          </a:r>
        </a:p>
      </dsp:txBody>
      <dsp:txXfrm>
        <a:off x="1499064" y="393885"/>
        <a:ext cx="1032041" cy="314646"/>
      </dsp:txXfrm>
    </dsp:sp>
    <dsp:sp modelId="{08F78B88-1BA5-4BD6-AE91-6E991E116F15}">
      <dsp:nvSpPr>
        <dsp:cNvPr id="0" name=""/>
        <dsp:cNvSpPr/>
      </dsp:nvSpPr>
      <dsp:spPr>
        <a:xfrm>
          <a:off x="2737514" y="576"/>
          <a:ext cx="1032041" cy="314646"/>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OUs (n=1617)</a:t>
          </a:r>
        </a:p>
      </dsp:txBody>
      <dsp:txXfrm>
        <a:off x="2737514" y="576"/>
        <a:ext cx="1032041" cy="314646"/>
      </dsp:txXfrm>
    </dsp:sp>
    <dsp:sp modelId="{14CDE22E-9876-46A1-A838-1A087847F07C}">
      <dsp:nvSpPr>
        <dsp:cNvPr id="0" name=""/>
        <dsp:cNvSpPr/>
      </dsp:nvSpPr>
      <dsp:spPr>
        <a:xfrm>
          <a:off x="2737514" y="393885"/>
          <a:ext cx="1032041" cy="314646"/>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Non-OUs (n=2540)</a:t>
          </a:r>
        </a:p>
      </dsp:txBody>
      <dsp:txXfrm>
        <a:off x="2737514" y="393885"/>
        <a:ext cx="1032041" cy="314646"/>
      </dsp:txXfrm>
    </dsp:sp>
    <dsp:sp modelId="{D159E6E8-109C-4060-9AC4-57C77974A5D7}">
      <dsp:nvSpPr>
        <dsp:cNvPr id="0" name=""/>
        <dsp:cNvSpPr/>
      </dsp:nvSpPr>
      <dsp:spPr>
        <a:xfrm>
          <a:off x="2737514" y="787193"/>
          <a:ext cx="1032041" cy="314646"/>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Alcohol only (n=4967)</a:t>
          </a:r>
        </a:p>
      </dsp:txBody>
      <dsp:txXfrm>
        <a:off x="2737514" y="787193"/>
        <a:ext cx="1032041" cy="314646"/>
      </dsp:txXfrm>
    </dsp:sp>
    <dsp:sp modelId="{A0100F67-0EE4-4F08-9454-AF52FCEF7EC9}">
      <dsp:nvSpPr>
        <dsp:cNvPr id="0" name=""/>
        <dsp:cNvSpPr/>
      </dsp:nvSpPr>
      <dsp:spPr>
        <a:xfrm>
          <a:off x="1499064" y="1573810"/>
          <a:ext cx="1032041" cy="314646"/>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Fathers (n=9,036)</a:t>
          </a:r>
        </a:p>
      </dsp:txBody>
      <dsp:txXfrm>
        <a:off x="1499064" y="1573810"/>
        <a:ext cx="1032041" cy="314646"/>
      </dsp:txXfrm>
    </dsp:sp>
    <dsp:sp modelId="{C6C969CA-9C83-43B0-BABC-6D3F70940153}">
      <dsp:nvSpPr>
        <dsp:cNvPr id="0" name=""/>
        <dsp:cNvSpPr/>
      </dsp:nvSpPr>
      <dsp:spPr>
        <a:xfrm>
          <a:off x="2737514" y="1180501"/>
          <a:ext cx="1032041" cy="314646"/>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OUs (n=1931)</a:t>
          </a:r>
        </a:p>
      </dsp:txBody>
      <dsp:txXfrm>
        <a:off x="2737514" y="1180501"/>
        <a:ext cx="1032041" cy="314646"/>
      </dsp:txXfrm>
    </dsp:sp>
    <dsp:sp modelId="{F3854056-126D-4B4A-A048-9B85B81828EA}">
      <dsp:nvSpPr>
        <dsp:cNvPr id="0" name=""/>
        <dsp:cNvSpPr/>
      </dsp:nvSpPr>
      <dsp:spPr>
        <a:xfrm>
          <a:off x="2737514" y="1573810"/>
          <a:ext cx="1032041" cy="314646"/>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Non-OUs (n=3148)</a:t>
          </a:r>
        </a:p>
      </dsp:txBody>
      <dsp:txXfrm>
        <a:off x="2737514" y="1573810"/>
        <a:ext cx="1032041" cy="314646"/>
      </dsp:txXfrm>
    </dsp:sp>
    <dsp:sp modelId="{572B6D34-C659-4688-B19A-D3A1E3F16C39}">
      <dsp:nvSpPr>
        <dsp:cNvPr id="0" name=""/>
        <dsp:cNvSpPr/>
      </dsp:nvSpPr>
      <dsp:spPr>
        <a:xfrm>
          <a:off x="2737514" y="1967118"/>
          <a:ext cx="1032041" cy="314646"/>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Alcohol only (n=3957)</a:t>
          </a:r>
        </a:p>
      </dsp:txBody>
      <dsp:txXfrm>
        <a:off x="2737514" y="1967118"/>
        <a:ext cx="1032041" cy="3146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95F010-FBCC-4E8A-AB00-1C9C1012FCC3}">
      <dsp:nvSpPr>
        <dsp:cNvPr id="0" name=""/>
        <dsp:cNvSpPr/>
      </dsp:nvSpPr>
      <dsp:spPr>
        <a:xfrm>
          <a:off x="2417712" y="1892040"/>
          <a:ext cx="225593" cy="429865"/>
        </a:xfrm>
        <a:custGeom>
          <a:avLst/>
          <a:gdLst/>
          <a:ahLst/>
          <a:cxnLst/>
          <a:rect l="0" t="0" r="0" b="0"/>
          <a:pathLst>
            <a:path>
              <a:moveTo>
                <a:pt x="0" y="0"/>
              </a:moveTo>
              <a:lnTo>
                <a:pt x="112796" y="0"/>
              </a:lnTo>
              <a:lnTo>
                <a:pt x="112796" y="429865"/>
              </a:lnTo>
              <a:lnTo>
                <a:pt x="225593" y="42986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endParaRPr>
        </a:p>
      </dsp:txBody>
      <dsp:txXfrm>
        <a:off x="2518373" y="2094836"/>
        <a:ext cx="24273" cy="24273"/>
      </dsp:txXfrm>
    </dsp:sp>
    <dsp:sp modelId="{F0A53B71-1C06-457E-A701-D55F22087B15}">
      <dsp:nvSpPr>
        <dsp:cNvPr id="0" name=""/>
        <dsp:cNvSpPr/>
      </dsp:nvSpPr>
      <dsp:spPr>
        <a:xfrm>
          <a:off x="2417712" y="1846320"/>
          <a:ext cx="225593" cy="91440"/>
        </a:xfrm>
        <a:custGeom>
          <a:avLst/>
          <a:gdLst/>
          <a:ahLst/>
          <a:cxnLst/>
          <a:rect l="0" t="0" r="0" b="0"/>
          <a:pathLst>
            <a:path>
              <a:moveTo>
                <a:pt x="0" y="45720"/>
              </a:moveTo>
              <a:lnTo>
                <a:pt x="225593"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endParaRPr>
        </a:p>
      </dsp:txBody>
      <dsp:txXfrm>
        <a:off x="2524869" y="1886400"/>
        <a:ext cx="11279" cy="11279"/>
      </dsp:txXfrm>
    </dsp:sp>
    <dsp:sp modelId="{47941432-9F59-454B-A6E2-A7AA2DA5E651}">
      <dsp:nvSpPr>
        <dsp:cNvPr id="0" name=""/>
        <dsp:cNvSpPr/>
      </dsp:nvSpPr>
      <dsp:spPr>
        <a:xfrm>
          <a:off x="2417712" y="1462174"/>
          <a:ext cx="225593" cy="429865"/>
        </a:xfrm>
        <a:custGeom>
          <a:avLst/>
          <a:gdLst/>
          <a:ahLst/>
          <a:cxnLst/>
          <a:rect l="0" t="0" r="0" b="0"/>
          <a:pathLst>
            <a:path>
              <a:moveTo>
                <a:pt x="0" y="429865"/>
              </a:moveTo>
              <a:lnTo>
                <a:pt x="112796" y="429865"/>
              </a:lnTo>
              <a:lnTo>
                <a:pt x="112796" y="0"/>
              </a:lnTo>
              <a:lnTo>
                <a:pt x="225593"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endParaRPr>
        </a:p>
      </dsp:txBody>
      <dsp:txXfrm>
        <a:off x="2518373" y="1664970"/>
        <a:ext cx="24273" cy="24273"/>
      </dsp:txXfrm>
    </dsp:sp>
    <dsp:sp modelId="{A85419E1-20A8-4575-9835-60FC8F573D3B}">
      <dsp:nvSpPr>
        <dsp:cNvPr id="0" name=""/>
        <dsp:cNvSpPr/>
      </dsp:nvSpPr>
      <dsp:spPr>
        <a:xfrm>
          <a:off x="1064151" y="1247241"/>
          <a:ext cx="225593" cy="644798"/>
        </a:xfrm>
        <a:custGeom>
          <a:avLst/>
          <a:gdLst/>
          <a:ahLst/>
          <a:cxnLst/>
          <a:rect l="0" t="0" r="0" b="0"/>
          <a:pathLst>
            <a:path>
              <a:moveTo>
                <a:pt x="0" y="0"/>
              </a:moveTo>
              <a:lnTo>
                <a:pt x="112796" y="0"/>
              </a:lnTo>
              <a:lnTo>
                <a:pt x="112796" y="644798"/>
              </a:lnTo>
              <a:lnTo>
                <a:pt x="225593" y="64479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endParaRPr>
        </a:p>
      </dsp:txBody>
      <dsp:txXfrm>
        <a:off x="1159869" y="1552562"/>
        <a:ext cx="34156" cy="34156"/>
      </dsp:txXfrm>
    </dsp:sp>
    <dsp:sp modelId="{6E8D820F-FE07-449B-9EC7-BD4E54C23C4F}">
      <dsp:nvSpPr>
        <dsp:cNvPr id="0" name=""/>
        <dsp:cNvSpPr/>
      </dsp:nvSpPr>
      <dsp:spPr>
        <a:xfrm>
          <a:off x="2417712" y="602442"/>
          <a:ext cx="225593" cy="429865"/>
        </a:xfrm>
        <a:custGeom>
          <a:avLst/>
          <a:gdLst/>
          <a:ahLst/>
          <a:cxnLst/>
          <a:rect l="0" t="0" r="0" b="0"/>
          <a:pathLst>
            <a:path>
              <a:moveTo>
                <a:pt x="0" y="0"/>
              </a:moveTo>
              <a:lnTo>
                <a:pt x="112796" y="0"/>
              </a:lnTo>
              <a:lnTo>
                <a:pt x="112796" y="429865"/>
              </a:lnTo>
              <a:lnTo>
                <a:pt x="225593" y="42986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endParaRPr>
        </a:p>
      </dsp:txBody>
      <dsp:txXfrm>
        <a:off x="2518373" y="805238"/>
        <a:ext cx="24273" cy="24273"/>
      </dsp:txXfrm>
    </dsp:sp>
    <dsp:sp modelId="{EF168338-8A44-4CAD-B0DD-543C2723AE40}">
      <dsp:nvSpPr>
        <dsp:cNvPr id="0" name=""/>
        <dsp:cNvSpPr/>
      </dsp:nvSpPr>
      <dsp:spPr>
        <a:xfrm>
          <a:off x="2417712" y="556722"/>
          <a:ext cx="225593" cy="91440"/>
        </a:xfrm>
        <a:custGeom>
          <a:avLst/>
          <a:gdLst/>
          <a:ahLst/>
          <a:cxnLst/>
          <a:rect l="0" t="0" r="0" b="0"/>
          <a:pathLst>
            <a:path>
              <a:moveTo>
                <a:pt x="0" y="45720"/>
              </a:moveTo>
              <a:lnTo>
                <a:pt x="225593"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endParaRPr>
        </a:p>
      </dsp:txBody>
      <dsp:txXfrm>
        <a:off x="2524869" y="596802"/>
        <a:ext cx="11279" cy="11279"/>
      </dsp:txXfrm>
    </dsp:sp>
    <dsp:sp modelId="{06724DD0-21D3-46F2-83AC-684B3DA9BA2D}">
      <dsp:nvSpPr>
        <dsp:cNvPr id="0" name=""/>
        <dsp:cNvSpPr/>
      </dsp:nvSpPr>
      <dsp:spPr>
        <a:xfrm>
          <a:off x="2417712" y="172576"/>
          <a:ext cx="225593" cy="429865"/>
        </a:xfrm>
        <a:custGeom>
          <a:avLst/>
          <a:gdLst/>
          <a:ahLst/>
          <a:cxnLst/>
          <a:rect l="0" t="0" r="0" b="0"/>
          <a:pathLst>
            <a:path>
              <a:moveTo>
                <a:pt x="0" y="429865"/>
              </a:moveTo>
              <a:lnTo>
                <a:pt x="112796" y="429865"/>
              </a:lnTo>
              <a:lnTo>
                <a:pt x="112796" y="0"/>
              </a:lnTo>
              <a:lnTo>
                <a:pt x="225593"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endParaRPr>
        </a:p>
      </dsp:txBody>
      <dsp:txXfrm>
        <a:off x="2518373" y="375373"/>
        <a:ext cx="24273" cy="24273"/>
      </dsp:txXfrm>
    </dsp:sp>
    <dsp:sp modelId="{648CC1C0-F883-4925-9C9F-5DEFB92FAE2B}">
      <dsp:nvSpPr>
        <dsp:cNvPr id="0" name=""/>
        <dsp:cNvSpPr/>
      </dsp:nvSpPr>
      <dsp:spPr>
        <a:xfrm>
          <a:off x="1064151" y="602442"/>
          <a:ext cx="225593" cy="644798"/>
        </a:xfrm>
        <a:custGeom>
          <a:avLst/>
          <a:gdLst/>
          <a:ahLst/>
          <a:cxnLst/>
          <a:rect l="0" t="0" r="0" b="0"/>
          <a:pathLst>
            <a:path>
              <a:moveTo>
                <a:pt x="0" y="644798"/>
              </a:moveTo>
              <a:lnTo>
                <a:pt x="112796" y="644798"/>
              </a:lnTo>
              <a:lnTo>
                <a:pt x="112796" y="0"/>
              </a:lnTo>
              <a:lnTo>
                <a:pt x="225593"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endParaRPr>
        </a:p>
      </dsp:txBody>
      <dsp:txXfrm>
        <a:off x="1159869" y="907763"/>
        <a:ext cx="34156" cy="34156"/>
      </dsp:txXfrm>
    </dsp:sp>
    <dsp:sp modelId="{5D1C24BE-E27C-4987-BEE5-5A88430D0D8B}">
      <dsp:nvSpPr>
        <dsp:cNvPr id="0" name=""/>
        <dsp:cNvSpPr/>
      </dsp:nvSpPr>
      <dsp:spPr>
        <a:xfrm rot="16200000">
          <a:off x="-12776" y="1075295"/>
          <a:ext cx="1809961" cy="343892"/>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Parents not living with children (n=39,368)</a:t>
          </a:r>
        </a:p>
      </dsp:txBody>
      <dsp:txXfrm>
        <a:off x="-12776" y="1075295"/>
        <a:ext cx="1809961" cy="343892"/>
      </dsp:txXfrm>
    </dsp:sp>
    <dsp:sp modelId="{D361BF51-0A93-4DF1-8553-0CFCD668C2A6}">
      <dsp:nvSpPr>
        <dsp:cNvPr id="0" name=""/>
        <dsp:cNvSpPr/>
      </dsp:nvSpPr>
      <dsp:spPr>
        <a:xfrm>
          <a:off x="1289744" y="430496"/>
          <a:ext cx="1127968" cy="343892"/>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Mothers (n=11,473)</a:t>
          </a:r>
        </a:p>
      </dsp:txBody>
      <dsp:txXfrm>
        <a:off x="1289744" y="430496"/>
        <a:ext cx="1127968" cy="343892"/>
      </dsp:txXfrm>
    </dsp:sp>
    <dsp:sp modelId="{4E3587E4-274B-4C32-B169-0CFD167AC631}">
      <dsp:nvSpPr>
        <dsp:cNvPr id="0" name=""/>
        <dsp:cNvSpPr/>
      </dsp:nvSpPr>
      <dsp:spPr>
        <a:xfrm>
          <a:off x="2643306" y="630"/>
          <a:ext cx="1127968" cy="343892"/>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OUs (n=4826)</a:t>
          </a:r>
        </a:p>
      </dsp:txBody>
      <dsp:txXfrm>
        <a:off x="2643306" y="630"/>
        <a:ext cx="1127968" cy="343892"/>
      </dsp:txXfrm>
    </dsp:sp>
    <dsp:sp modelId="{BBC6225B-8420-44A8-8CA7-2F4F72923871}">
      <dsp:nvSpPr>
        <dsp:cNvPr id="0" name=""/>
        <dsp:cNvSpPr/>
      </dsp:nvSpPr>
      <dsp:spPr>
        <a:xfrm>
          <a:off x="2643306" y="430496"/>
          <a:ext cx="1127968" cy="343892"/>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Non-OUs (n=2273)</a:t>
          </a:r>
        </a:p>
      </dsp:txBody>
      <dsp:txXfrm>
        <a:off x="2643306" y="430496"/>
        <a:ext cx="1127968" cy="343892"/>
      </dsp:txXfrm>
    </dsp:sp>
    <dsp:sp modelId="{E66CB799-25FD-4B7C-A2C2-44C33CB9AC3B}">
      <dsp:nvSpPr>
        <dsp:cNvPr id="0" name=""/>
        <dsp:cNvSpPr/>
      </dsp:nvSpPr>
      <dsp:spPr>
        <a:xfrm>
          <a:off x="2643306" y="860362"/>
          <a:ext cx="1127968" cy="343892"/>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Alcohol only (n=4374)</a:t>
          </a:r>
        </a:p>
      </dsp:txBody>
      <dsp:txXfrm>
        <a:off x="2643306" y="860362"/>
        <a:ext cx="1127968" cy="343892"/>
      </dsp:txXfrm>
    </dsp:sp>
    <dsp:sp modelId="{33147521-E19F-4DDE-9A5F-2F346E506260}">
      <dsp:nvSpPr>
        <dsp:cNvPr id="0" name=""/>
        <dsp:cNvSpPr/>
      </dsp:nvSpPr>
      <dsp:spPr>
        <a:xfrm>
          <a:off x="1289744" y="1720094"/>
          <a:ext cx="1127968" cy="343892"/>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Fathers (n=27,895)</a:t>
          </a:r>
        </a:p>
      </dsp:txBody>
      <dsp:txXfrm>
        <a:off x="1289744" y="1720094"/>
        <a:ext cx="1127968" cy="343892"/>
      </dsp:txXfrm>
    </dsp:sp>
    <dsp:sp modelId="{F54DAD30-07EB-4EA1-A96E-7B6C428D2F90}">
      <dsp:nvSpPr>
        <dsp:cNvPr id="0" name=""/>
        <dsp:cNvSpPr/>
      </dsp:nvSpPr>
      <dsp:spPr>
        <a:xfrm>
          <a:off x="2643306" y="1290228"/>
          <a:ext cx="1127968" cy="343892"/>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OUs (n=11669)</a:t>
          </a:r>
        </a:p>
      </dsp:txBody>
      <dsp:txXfrm>
        <a:off x="2643306" y="1290228"/>
        <a:ext cx="1127968" cy="343892"/>
      </dsp:txXfrm>
    </dsp:sp>
    <dsp:sp modelId="{9FE88F21-6518-4386-A839-179994B02568}">
      <dsp:nvSpPr>
        <dsp:cNvPr id="0" name=""/>
        <dsp:cNvSpPr/>
      </dsp:nvSpPr>
      <dsp:spPr>
        <a:xfrm>
          <a:off x="2643306" y="1720094"/>
          <a:ext cx="1127968" cy="343892"/>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Non-OUs (n=7624)</a:t>
          </a:r>
        </a:p>
      </dsp:txBody>
      <dsp:txXfrm>
        <a:off x="2643306" y="1720094"/>
        <a:ext cx="1127968" cy="343892"/>
      </dsp:txXfrm>
    </dsp:sp>
    <dsp:sp modelId="{B3EE84AE-D338-412E-A2BC-23A78E2C6D12}">
      <dsp:nvSpPr>
        <dsp:cNvPr id="0" name=""/>
        <dsp:cNvSpPr/>
      </dsp:nvSpPr>
      <dsp:spPr>
        <a:xfrm>
          <a:off x="2643306" y="2149959"/>
          <a:ext cx="1127968" cy="343892"/>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Alcohol only (n=8602)</a:t>
          </a:r>
        </a:p>
      </dsp:txBody>
      <dsp:txXfrm>
        <a:off x="2643306" y="2149959"/>
        <a:ext cx="1127968" cy="3438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15E18D-827F-4004-9550-6662DF0B1FD5}">
      <dsp:nvSpPr>
        <dsp:cNvPr id="0" name=""/>
        <dsp:cNvSpPr/>
      </dsp:nvSpPr>
      <dsp:spPr>
        <a:xfrm>
          <a:off x="4127061" y="1877373"/>
          <a:ext cx="146663" cy="1838183"/>
        </a:xfrm>
        <a:custGeom>
          <a:avLst/>
          <a:gdLst/>
          <a:ahLst/>
          <a:cxnLst/>
          <a:rect l="0" t="0" r="0" b="0"/>
          <a:pathLst>
            <a:path>
              <a:moveTo>
                <a:pt x="0" y="0"/>
              </a:moveTo>
              <a:lnTo>
                <a:pt x="0" y="1838183"/>
              </a:lnTo>
              <a:lnTo>
                <a:pt x="146663" y="183818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99FC0A-A3D9-4A60-8EB7-BCB8FD3B2E91}">
      <dsp:nvSpPr>
        <dsp:cNvPr id="0" name=""/>
        <dsp:cNvSpPr/>
      </dsp:nvSpPr>
      <dsp:spPr>
        <a:xfrm>
          <a:off x="4127061" y="1877373"/>
          <a:ext cx="146663" cy="1143975"/>
        </a:xfrm>
        <a:custGeom>
          <a:avLst/>
          <a:gdLst/>
          <a:ahLst/>
          <a:cxnLst/>
          <a:rect l="0" t="0" r="0" b="0"/>
          <a:pathLst>
            <a:path>
              <a:moveTo>
                <a:pt x="0" y="0"/>
              </a:moveTo>
              <a:lnTo>
                <a:pt x="0" y="1143975"/>
              </a:lnTo>
              <a:lnTo>
                <a:pt x="146663" y="11439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C1649D-EF19-49F0-9BF9-C6425D9F64B5}">
      <dsp:nvSpPr>
        <dsp:cNvPr id="0" name=""/>
        <dsp:cNvSpPr/>
      </dsp:nvSpPr>
      <dsp:spPr>
        <a:xfrm>
          <a:off x="4127061" y="1877373"/>
          <a:ext cx="146663" cy="449768"/>
        </a:xfrm>
        <a:custGeom>
          <a:avLst/>
          <a:gdLst/>
          <a:ahLst/>
          <a:cxnLst/>
          <a:rect l="0" t="0" r="0" b="0"/>
          <a:pathLst>
            <a:path>
              <a:moveTo>
                <a:pt x="0" y="0"/>
              </a:moveTo>
              <a:lnTo>
                <a:pt x="0" y="449768"/>
              </a:lnTo>
              <a:lnTo>
                <a:pt x="146663" y="44976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9B9F1-5F91-4399-8FD0-E0C6C1FDD215}">
      <dsp:nvSpPr>
        <dsp:cNvPr id="0" name=""/>
        <dsp:cNvSpPr/>
      </dsp:nvSpPr>
      <dsp:spPr>
        <a:xfrm>
          <a:off x="3926621" y="1183165"/>
          <a:ext cx="591542" cy="205328"/>
        </a:xfrm>
        <a:custGeom>
          <a:avLst/>
          <a:gdLst/>
          <a:ahLst/>
          <a:cxnLst/>
          <a:rect l="0" t="0" r="0" b="0"/>
          <a:pathLst>
            <a:path>
              <a:moveTo>
                <a:pt x="0" y="0"/>
              </a:moveTo>
              <a:lnTo>
                <a:pt x="0" y="102664"/>
              </a:lnTo>
              <a:lnTo>
                <a:pt x="591542" y="102664"/>
              </a:lnTo>
              <a:lnTo>
                <a:pt x="591542" y="2053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2BB266-D19F-4DBE-ADBE-D69D354D9284}">
      <dsp:nvSpPr>
        <dsp:cNvPr id="0" name=""/>
        <dsp:cNvSpPr/>
      </dsp:nvSpPr>
      <dsp:spPr>
        <a:xfrm>
          <a:off x="2943975" y="1877373"/>
          <a:ext cx="146663" cy="1838183"/>
        </a:xfrm>
        <a:custGeom>
          <a:avLst/>
          <a:gdLst/>
          <a:ahLst/>
          <a:cxnLst/>
          <a:rect l="0" t="0" r="0" b="0"/>
          <a:pathLst>
            <a:path>
              <a:moveTo>
                <a:pt x="0" y="0"/>
              </a:moveTo>
              <a:lnTo>
                <a:pt x="0" y="1838183"/>
              </a:lnTo>
              <a:lnTo>
                <a:pt x="146663" y="183818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A96947-ABEF-401A-96D0-3836E812C03D}">
      <dsp:nvSpPr>
        <dsp:cNvPr id="0" name=""/>
        <dsp:cNvSpPr/>
      </dsp:nvSpPr>
      <dsp:spPr>
        <a:xfrm>
          <a:off x="2943975" y="1877373"/>
          <a:ext cx="146663" cy="1143975"/>
        </a:xfrm>
        <a:custGeom>
          <a:avLst/>
          <a:gdLst/>
          <a:ahLst/>
          <a:cxnLst/>
          <a:rect l="0" t="0" r="0" b="0"/>
          <a:pathLst>
            <a:path>
              <a:moveTo>
                <a:pt x="0" y="0"/>
              </a:moveTo>
              <a:lnTo>
                <a:pt x="0" y="1143975"/>
              </a:lnTo>
              <a:lnTo>
                <a:pt x="146663" y="11439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61E30F-4093-4997-B3F1-1201673578E1}">
      <dsp:nvSpPr>
        <dsp:cNvPr id="0" name=""/>
        <dsp:cNvSpPr/>
      </dsp:nvSpPr>
      <dsp:spPr>
        <a:xfrm>
          <a:off x="2943975" y="1877373"/>
          <a:ext cx="146663" cy="449768"/>
        </a:xfrm>
        <a:custGeom>
          <a:avLst/>
          <a:gdLst/>
          <a:ahLst/>
          <a:cxnLst/>
          <a:rect l="0" t="0" r="0" b="0"/>
          <a:pathLst>
            <a:path>
              <a:moveTo>
                <a:pt x="0" y="0"/>
              </a:moveTo>
              <a:lnTo>
                <a:pt x="0" y="449768"/>
              </a:lnTo>
              <a:lnTo>
                <a:pt x="146663" y="44976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C689CC-101E-4D63-B85A-82B19092B322}">
      <dsp:nvSpPr>
        <dsp:cNvPr id="0" name=""/>
        <dsp:cNvSpPr/>
      </dsp:nvSpPr>
      <dsp:spPr>
        <a:xfrm>
          <a:off x="3335078" y="1183165"/>
          <a:ext cx="591542" cy="205328"/>
        </a:xfrm>
        <a:custGeom>
          <a:avLst/>
          <a:gdLst/>
          <a:ahLst/>
          <a:cxnLst/>
          <a:rect l="0" t="0" r="0" b="0"/>
          <a:pathLst>
            <a:path>
              <a:moveTo>
                <a:pt x="591542" y="0"/>
              </a:moveTo>
              <a:lnTo>
                <a:pt x="591542" y="102664"/>
              </a:lnTo>
              <a:lnTo>
                <a:pt x="0" y="102664"/>
              </a:lnTo>
              <a:lnTo>
                <a:pt x="0" y="2053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FFD9D-62C1-4398-A1E9-537E84CFCBCD}">
      <dsp:nvSpPr>
        <dsp:cNvPr id="0" name=""/>
        <dsp:cNvSpPr/>
      </dsp:nvSpPr>
      <dsp:spPr>
        <a:xfrm>
          <a:off x="2786368" y="488958"/>
          <a:ext cx="1140252" cy="205328"/>
        </a:xfrm>
        <a:custGeom>
          <a:avLst/>
          <a:gdLst/>
          <a:ahLst/>
          <a:cxnLst/>
          <a:rect l="0" t="0" r="0" b="0"/>
          <a:pathLst>
            <a:path>
              <a:moveTo>
                <a:pt x="0" y="0"/>
              </a:moveTo>
              <a:lnTo>
                <a:pt x="0" y="102664"/>
              </a:lnTo>
              <a:lnTo>
                <a:pt x="1140252" y="102664"/>
              </a:lnTo>
              <a:lnTo>
                <a:pt x="1140252" y="2053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941574-88BA-400A-AD6A-E9B7DC95341F}">
      <dsp:nvSpPr>
        <dsp:cNvPr id="0" name=""/>
        <dsp:cNvSpPr/>
      </dsp:nvSpPr>
      <dsp:spPr>
        <a:xfrm>
          <a:off x="1760889" y="1877373"/>
          <a:ext cx="146663" cy="1838183"/>
        </a:xfrm>
        <a:custGeom>
          <a:avLst/>
          <a:gdLst/>
          <a:ahLst/>
          <a:cxnLst/>
          <a:rect l="0" t="0" r="0" b="0"/>
          <a:pathLst>
            <a:path>
              <a:moveTo>
                <a:pt x="0" y="0"/>
              </a:moveTo>
              <a:lnTo>
                <a:pt x="0" y="1838183"/>
              </a:lnTo>
              <a:lnTo>
                <a:pt x="146663" y="183818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41F492-2990-4BE4-9314-EB48BD65514D}">
      <dsp:nvSpPr>
        <dsp:cNvPr id="0" name=""/>
        <dsp:cNvSpPr/>
      </dsp:nvSpPr>
      <dsp:spPr>
        <a:xfrm>
          <a:off x="1760889" y="1877373"/>
          <a:ext cx="146663" cy="1143975"/>
        </a:xfrm>
        <a:custGeom>
          <a:avLst/>
          <a:gdLst/>
          <a:ahLst/>
          <a:cxnLst/>
          <a:rect l="0" t="0" r="0" b="0"/>
          <a:pathLst>
            <a:path>
              <a:moveTo>
                <a:pt x="0" y="0"/>
              </a:moveTo>
              <a:lnTo>
                <a:pt x="0" y="1143975"/>
              </a:lnTo>
              <a:lnTo>
                <a:pt x="146663" y="11439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650382-6235-44C4-AFDC-13B7D5A2F7D2}">
      <dsp:nvSpPr>
        <dsp:cNvPr id="0" name=""/>
        <dsp:cNvSpPr/>
      </dsp:nvSpPr>
      <dsp:spPr>
        <a:xfrm>
          <a:off x="1760889" y="1877373"/>
          <a:ext cx="146663" cy="449768"/>
        </a:xfrm>
        <a:custGeom>
          <a:avLst/>
          <a:gdLst/>
          <a:ahLst/>
          <a:cxnLst/>
          <a:rect l="0" t="0" r="0" b="0"/>
          <a:pathLst>
            <a:path>
              <a:moveTo>
                <a:pt x="0" y="0"/>
              </a:moveTo>
              <a:lnTo>
                <a:pt x="0" y="449768"/>
              </a:lnTo>
              <a:lnTo>
                <a:pt x="146663" y="44976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AFC083-BCF8-480F-B757-C0A2903F35B9}">
      <dsp:nvSpPr>
        <dsp:cNvPr id="0" name=""/>
        <dsp:cNvSpPr/>
      </dsp:nvSpPr>
      <dsp:spPr>
        <a:xfrm>
          <a:off x="1560449" y="1183165"/>
          <a:ext cx="591542" cy="205328"/>
        </a:xfrm>
        <a:custGeom>
          <a:avLst/>
          <a:gdLst/>
          <a:ahLst/>
          <a:cxnLst/>
          <a:rect l="0" t="0" r="0" b="0"/>
          <a:pathLst>
            <a:path>
              <a:moveTo>
                <a:pt x="0" y="0"/>
              </a:moveTo>
              <a:lnTo>
                <a:pt x="0" y="102664"/>
              </a:lnTo>
              <a:lnTo>
                <a:pt x="591542" y="102664"/>
              </a:lnTo>
              <a:lnTo>
                <a:pt x="591542" y="2053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1A4D81-B3F0-4911-B373-8ECDC92BCC33}">
      <dsp:nvSpPr>
        <dsp:cNvPr id="0" name=""/>
        <dsp:cNvSpPr/>
      </dsp:nvSpPr>
      <dsp:spPr>
        <a:xfrm>
          <a:off x="577803" y="1877373"/>
          <a:ext cx="146663" cy="1838183"/>
        </a:xfrm>
        <a:custGeom>
          <a:avLst/>
          <a:gdLst/>
          <a:ahLst/>
          <a:cxnLst/>
          <a:rect l="0" t="0" r="0" b="0"/>
          <a:pathLst>
            <a:path>
              <a:moveTo>
                <a:pt x="0" y="0"/>
              </a:moveTo>
              <a:lnTo>
                <a:pt x="0" y="1838183"/>
              </a:lnTo>
              <a:lnTo>
                <a:pt x="146663" y="183818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59FA50-F8A6-42C2-AC1E-6ED95BA27309}">
      <dsp:nvSpPr>
        <dsp:cNvPr id="0" name=""/>
        <dsp:cNvSpPr/>
      </dsp:nvSpPr>
      <dsp:spPr>
        <a:xfrm>
          <a:off x="577803" y="1877373"/>
          <a:ext cx="146663" cy="1143975"/>
        </a:xfrm>
        <a:custGeom>
          <a:avLst/>
          <a:gdLst/>
          <a:ahLst/>
          <a:cxnLst/>
          <a:rect l="0" t="0" r="0" b="0"/>
          <a:pathLst>
            <a:path>
              <a:moveTo>
                <a:pt x="0" y="0"/>
              </a:moveTo>
              <a:lnTo>
                <a:pt x="0" y="1143975"/>
              </a:lnTo>
              <a:lnTo>
                <a:pt x="146663" y="11439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F79D27-FB89-4CA2-B7B3-FDA4D830AC07}">
      <dsp:nvSpPr>
        <dsp:cNvPr id="0" name=""/>
        <dsp:cNvSpPr/>
      </dsp:nvSpPr>
      <dsp:spPr>
        <a:xfrm>
          <a:off x="577803" y="1877373"/>
          <a:ext cx="146663" cy="449768"/>
        </a:xfrm>
        <a:custGeom>
          <a:avLst/>
          <a:gdLst/>
          <a:ahLst/>
          <a:cxnLst/>
          <a:rect l="0" t="0" r="0" b="0"/>
          <a:pathLst>
            <a:path>
              <a:moveTo>
                <a:pt x="0" y="0"/>
              </a:moveTo>
              <a:lnTo>
                <a:pt x="0" y="449768"/>
              </a:lnTo>
              <a:lnTo>
                <a:pt x="146663" y="44976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D82BA3-349F-4F96-9C9D-E2DAC87CA349}">
      <dsp:nvSpPr>
        <dsp:cNvPr id="0" name=""/>
        <dsp:cNvSpPr/>
      </dsp:nvSpPr>
      <dsp:spPr>
        <a:xfrm>
          <a:off x="968906" y="1183165"/>
          <a:ext cx="591542" cy="205328"/>
        </a:xfrm>
        <a:custGeom>
          <a:avLst/>
          <a:gdLst/>
          <a:ahLst/>
          <a:cxnLst/>
          <a:rect l="0" t="0" r="0" b="0"/>
          <a:pathLst>
            <a:path>
              <a:moveTo>
                <a:pt x="591542" y="0"/>
              </a:moveTo>
              <a:lnTo>
                <a:pt x="591542" y="102664"/>
              </a:lnTo>
              <a:lnTo>
                <a:pt x="0" y="102664"/>
              </a:lnTo>
              <a:lnTo>
                <a:pt x="0" y="2053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931599-E0AC-45FD-907F-BEDBF9473B9E}">
      <dsp:nvSpPr>
        <dsp:cNvPr id="0" name=""/>
        <dsp:cNvSpPr/>
      </dsp:nvSpPr>
      <dsp:spPr>
        <a:xfrm>
          <a:off x="1560449" y="488958"/>
          <a:ext cx="1225919" cy="205328"/>
        </a:xfrm>
        <a:custGeom>
          <a:avLst/>
          <a:gdLst/>
          <a:ahLst/>
          <a:cxnLst/>
          <a:rect l="0" t="0" r="0" b="0"/>
          <a:pathLst>
            <a:path>
              <a:moveTo>
                <a:pt x="1225919" y="0"/>
              </a:moveTo>
              <a:lnTo>
                <a:pt x="1225919" y="102664"/>
              </a:lnTo>
              <a:lnTo>
                <a:pt x="0" y="102664"/>
              </a:lnTo>
              <a:lnTo>
                <a:pt x="0" y="2053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9B00D-4767-4A2C-9C94-6932CB151CBB}">
      <dsp:nvSpPr>
        <dsp:cNvPr id="0" name=""/>
        <dsp:cNvSpPr/>
      </dsp:nvSpPr>
      <dsp:spPr>
        <a:xfrm>
          <a:off x="1831940" y="79"/>
          <a:ext cx="1908855"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Parents/ carers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(n=48,169)</a:t>
          </a:r>
        </a:p>
      </dsp:txBody>
      <dsp:txXfrm>
        <a:off x="1831940" y="79"/>
        <a:ext cx="1908855" cy="488878"/>
      </dsp:txXfrm>
    </dsp:sp>
    <dsp:sp modelId="{3BA5BEB3-526A-4DD7-814A-600AE17D345D}">
      <dsp:nvSpPr>
        <dsp:cNvPr id="0" name=""/>
        <dsp:cNvSpPr/>
      </dsp:nvSpPr>
      <dsp:spPr>
        <a:xfrm>
          <a:off x="1071570" y="694287"/>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Living with children (n=14,475)</a:t>
          </a:r>
        </a:p>
      </dsp:txBody>
      <dsp:txXfrm>
        <a:off x="1071570" y="694287"/>
        <a:ext cx="977756" cy="488878"/>
      </dsp:txXfrm>
    </dsp:sp>
    <dsp:sp modelId="{224F1475-BD95-4750-8850-2A573C3930E4}">
      <dsp:nvSpPr>
        <dsp:cNvPr id="0" name=""/>
        <dsp:cNvSpPr/>
      </dsp:nvSpPr>
      <dsp:spPr>
        <a:xfrm>
          <a:off x="480027" y="1388494"/>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Mothers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(n=6,588)</a:t>
          </a:r>
        </a:p>
      </dsp:txBody>
      <dsp:txXfrm>
        <a:off x="480027" y="1388494"/>
        <a:ext cx="977756" cy="488878"/>
      </dsp:txXfrm>
    </dsp:sp>
    <dsp:sp modelId="{8E08C326-D8DC-4980-A876-C3AB46095263}">
      <dsp:nvSpPr>
        <dsp:cNvPr id="0" name=""/>
        <dsp:cNvSpPr/>
      </dsp:nvSpPr>
      <dsp:spPr>
        <a:xfrm>
          <a:off x="724467" y="2082701"/>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Opiate users (OUs, n=1,178 )</a:t>
          </a:r>
        </a:p>
      </dsp:txBody>
      <dsp:txXfrm>
        <a:off x="724467" y="2082701"/>
        <a:ext cx="977756" cy="488878"/>
      </dsp:txXfrm>
    </dsp:sp>
    <dsp:sp modelId="{79FED076-6817-42B9-8729-FB0B83922145}">
      <dsp:nvSpPr>
        <dsp:cNvPr id="0" name=""/>
        <dsp:cNvSpPr/>
      </dsp:nvSpPr>
      <dsp:spPr>
        <a:xfrm>
          <a:off x="724467" y="2776909"/>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Non-OUs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(n=1,538)</a:t>
          </a:r>
        </a:p>
      </dsp:txBody>
      <dsp:txXfrm>
        <a:off x="724467" y="2776909"/>
        <a:ext cx="977756" cy="488878"/>
      </dsp:txXfrm>
    </dsp:sp>
    <dsp:sp modelId="{FE30A760-6930-4324-9383-4652061B8625}">
      <dsp:nvSpPr>
        <dsp:cNvPr id="0" name=""/>
        <dsp:cNvSpPr/>
      </dsp:nvSpPr>
      <dsp:spPr>
        <a:xfrm>
          <a:off x="724467" y="3471116"/>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Alcohol only</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(n=3,872)</a:t>
          </a:r>
        </a:p>
      </dsp:txBody>
      <dsp:txXfrm>
        <a:off x="724467" y="3471116"/>
        <a:ext cx="977756" cy="488878"/>
      </dsp:txXfrm>
    </dsp:sp>
    <dsp:sp modelId="{A05AFE4B-6817-40BD-A5CB-6635CE2F523D}">
      <dsp:nvSpPr>
        <dsp:cNvPr id="0" name=""/>
        <dsp:cNvSpPr/>
      </dsp:nvSpPr>
      <dsp:spPr>
        <a:xfrm>
          <a:off x="1663113" y="1388494"/>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Fathers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(n=7,887)</a:t>
          </a:r>
        </a:p>
      </dsp:txBody>
      <dsp:txXfrm>
        <a:off x="1663113" y="1388494"/>
        <a:ext cx="977756" cy="488878"/>
      </dsp:txXfrm>
    </dsp:sp>
    <dsp:sp modelId="{D5071D38-C833-4BE0-A908-01652DC46906}">
      <dsp:nvSpPr>
        <dsp:cNvPr id="0" name=""/>
        <dsp:cNvSpPr/>
      </dsp:nvSpPr>
      <dsp:spPr>
        <a:xfrm>
          <a:off x="1907553" y="2082701"/>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OUs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(n=1,736)</a:t>
          </a:r>
        </a:p>
      </dsp:txBody>
      <dsp:txXfrm>
        <a:off x="1907553" y="2082701"/>
        <a:ext cx="977756" cy="488878"/>
      </dsp:txXfrm>
    </dsp:sp>
    <dsp:sp modelId="{3A863F37-C3AC-4458-8574-3AD003DD6F56}">
      <dsp:nvSpPr>
        <dsp:cNvPr id="0" name=""/>
        <dsp:cNvSpPr/>
      </dsp:nvSpPr>
      <dsp:spPr>
        <a:xfrm>
          <a:off x="1907553" y="2776909"/>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Non-OUs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(n=2,626)</a:t>
          </a:r>
        </a:p>
      </dsp:txBody>
      <dsp:txXfrm>
        <a:off x="1907553" y="2776909"/>
        <a:ext cx="977756" cy="488878"/>
      </dsp:txXfrm>
    </dsp:sp>
    <dsp:sp modelId="{20C6C4B9-9A5A-45C3-9807-209E4361EFA2}">
      <dsp:nvSpPr>
        <dsp:cNvPr id="0" name=""/>
        <dsp:cNvSpPr/>
      </dsp:nvSpPr>
      <dsp:spPr>
        <a:xfrm>
          <a:off x="1907553" y="3471116"/>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Alcohol only</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(n=3,525)</a:t>
          </a:r>
        </a:p>
      </dsp:txBody>
      <dsp:txXfrm>
        <a:off x="1907553" y="3471116"/>
        <a:ext cx="977756" cy="488878"/>
      </dsp:txXfrm>
    </dsp:sp>
    <dsp:sp modelId="{EC5E56BE-31F3-42DF-A27B-34178939EDE6}">
      <dsp:nvSpPr>
        <dsp:cNvPr id="0" name=""/>
        <dsp:cNvSpPr/>
      </dsp:nvSpPr>
      <dsp:spPr>
        <a:xfrm>
          <a:off x="3352076" y="694287"/>
          <a:ext cx="1149089"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Not living with their children (n=33,694)</a:t>
          </a:r>
        </a:p>
      </dsp:txBody>
      <dsp:txXfrm>
        <a:off x="3352076" y="694287"/>
        <a:ext cx="1149089" cy="488878"/>
      </dsp:txXfrm>
    </dsp:sp>
    <dsp:sp modelId="{F2F5AAF5-2142-4BE5-8DC1-0DFA7315EF63}">
      <dsp:nvSpPr>
        <dsp:cNvPr id="0" name=""/>
        <dsp:cNvSpPr/>
      </dsp:nvSpPr>
      <dsp:spPr>
        <a:xfrm>
          <a:off x="2846199" y="1388494"/>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Mothers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(n=8,541)</a:t>
          </a:r>
        </a:p>
      </dsp:txBody>
      <dsp:txXfrm>
        <a:off x="2846199" y="1388494"/>
        <a:ext cx="977756" cy="488878"/>
      </dsp:txXfrm>
    </dsp:sp>
    <dsp:sp modelId="{8799E431-6FA9-405E-AFC0-FC474A0E47B7}">
      <dsp:nvSpPr>
        <dsp:cNvPr id="0" name=""/>
        <dsp:cNvSpPr/>
      </dsp:nvSpPr>
      <dsp:spPr>
        <a:xfrm>
          <a:off x="3090639" y="2082701"/>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OUs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(n=3,609)</a:t>
          </a:r>
        </a:p>
      </dsp:txBody>
      <dsp:txXfrm>
        <a:off x="3090639" y="2082701"/>
        <a:ext cx="977756" cy="488878"/>
      </dsp:txXfrm>
    </dsp:sp>
    <dsp:sp modelId="{116BC929-D6BC-4F34-9C09-1260A0B58BAA}">
      <dsp:nvSpPr>
        <dsp:cNvPr id="0" name=""/>
        <dsp:cNvSpPr/>
      </dsp:nvSpPr>
      <dsp:spPr>
        <a:xfrm>
          <a:off x="3090639" y="2776909"/>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Non-OUs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(n=1,347)</a:t>
          </a:r>
        </a:p>
      </dsp:txBody>
      <dsp:txXfrm>
        <a:off x="3090639" y="2776909"/>
        <a:ext cx="977756" cy="488878"/>
      </dsp:txXfrm>
    </dsp:sp>
    <dsp:sp modelId="{25BAE859-04A4-4B09-B312-4C8D5A4996E1}">
      <dsp:nvSpPr>
        <dsp:cNvPr id="0" name=""/>
        <dsp:cNvSpPr/>
      </dsp:nvSpPr>
      <dsp:spPr>
        <a:xfrm>
          <a:off x="3090639" y="3471116"/>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Alcohol only</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(n=3,585)</a:t>
          </a:r>
        </a:p>
      </dsp:txBody>
      <dsp:txXfrm>
        <a:off x="3090639" y="3471116"/>
        <a:ext cx="977756" cy="488878"/>
      </dsp:txXfrm>
    </dsp:sp>
    <dsp:sp modelId="{C6FAE481-67BA-4D7E-BD1A-F67ED416B205}">
      <dsp:nvSpPr>
        <dsp:cNvPr id="0" name=""/>
        <dsp:cNvSpPr/>
      </dsp:nvSpPr>
      <dsp:spPr>
        <a:xfrm>
          <a:off x="4029285" y="1388494"/>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Fathers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(n=25,153)</a:t>
          </a:r>
        </a:p>
      </dsp:txBody>
      <dsp:txXfrm>
        <a:off x="4029285" y="1388494"/>
        <a:ext cx="977756" cy="488878"/>
      </dsp:txXfrm>
    </dsp:sp>
    <dsp:sp modelId="{BA318FA3-3732-47A2-BFDB-25B111F1CC72}">
      <dsp:nvSpPr>
        <dsp:cNvPr id="0" name=""/>
        <dsp:cNvSpPr/>
      </dsp:nvSpPr>
      <dsp:spPr>
        <a:xfrm>
          <a:off x="4273725" y="2082701"/>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OUs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(n=10,608)</a:t>
          </a:r>
        </a:p>
      </dsp:txBody>
      <dsp:txXfrm>
        <a:off x="4273725" y="2082701"/>
        <a:ext cx="977756" cy="488878"/>
      </dsp:txXfrm>
    </dsp:sp>
    <dsp:sp modelId="{A9AA7563-F92E-4645-892D-47A7CE5B8F08}">
      <dsp:nvSpPr>
        <dsp:cNvPr id="0" name=""/>
        <dsp:cNvSpPr/>
      </dsp:nvSpPr>
      <dsp:spPr>
        <a:xfrm>
          <a:off x="4273725" y="2776909"/>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Non-OUs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(n=6,527)</a:t>
          </a:r>
        </a:p>
      </dsp:txBody>
      <dsp:txXfrm>
        <a:off x="4273725" y="2776909"/>
        <a:ext cx="977756" cy="488878"/>
      </dsp:txXfrm>
    </dsp:sp>
    <dsp:sp modelId="{A8238D60-84C2-41B2-B134-97EF17FFCCA1}">
      <dsp:nvSpPr>
        <dsp:cNvPr id="0" name=""/>
        <dsp:cNvSpPr/>
      </dsp:nvSpPr>
      <dsp:spPr>
        <a:xfrm>
          <a:off x="4273725" y="3471116"/>
          <a:ext cx="977756" cy="4888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Alcohol only</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(n=8,018)</a:t>
          </a:r>
        </a:p>
      </dsp:txBody>
      <dsp:txXfrm>
        <a:off x="4273725" y="3471116"/>
        <a:ext cx="977756" cy="4888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8DB27E-CC00-461B-8254-81AB6C10B6B5}">
      <dsp:nvSpPr>
        <dsp:cNvPr id="0" name=""/>
        <dsp:cNvSpPr/>
      </dsp:nvSpPr>
      <dsp:spPr>
        <a:xfrm>
          <a:off x="4436271" y="1799212"/>
          <a:ext cx="140517" cy="2426272"/>
        </a:xfrm>
        <a:custGeom>
          <a:avLst/>
          <a:gdLst/>
          <a:ahLst/>
          <a:cxnLst/>
          <a:rect l="0" t="0" r="0" b="0"/>
          <a:pathLst>
            <a:path>
              <a:moveTo>
                <a:pt x="0" y="0"/>
              </a:moveTo>
              <a:lnTo>
                <a:pt x="0" y="2426272"/>
              </a:lnTo>
              <a:lnTo>
                <a:pt x="140517" y="24262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15E18D-827F-4004-9550-6662DF0B1FD5}">
      <dsp:nvSpPr>
        <dsp:cNvPr id="0" name=""/>
        <dsp:cNvSpPr/>
      </dsp:nvSpPr>
      <dsp:spPr>
        <a:xfrm>
          <a:off x="4436271" y="1799212"/>
          <a:ext cx="140517" cy="1761155"/>
        </a:xfrm>
        <a:custGeom>
          <a:avLst/>
          <a:gdLst/>
          <a:ahLst/>
          <a:cxnLst/>
          <a:rect l="0" t="0" r="0" b="0"/>
          <a:pathLst>
            <a:path>
              <a:moveTo>
                <a:pt x="0" y="0"/>
              </a:moveTo>
              <a:lnTo>
                <a:pt x="0" y="1761155"/>
              </a:lnTo>
              <a:lnTo>
                <a:pt x="140517" y="17611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99FC0A-A3D9-4A60-8EB7-BCB8FD3B2E91}">
      <dsp:nvSpPr>
        <dsp:cNvPr id="0" name=""/>
        <dsp:cNvSpPr/>
      </dsp:nvSpPr>
      <dsp:spPr>
        <a:xfrm>
          <a:off x="4436271" y="1799212"/>
          <a:ext cx="140517" cy="1096038"/>
        </a:xfrm>
        <a:custGeom>
          <a:avLst/>
          <a:gdLst/>
          <a:ahLst/>
          <a:cxnLst/>
          <a:rect l="0" t="0" r="0" b="0"/>
          <a:pathLst>
            <a:path>
              <a:moveTo>
                <a:pt x="0" y="0"/>
              </a:moveTo>
              <a:lnTo>
                <a:pt x="0" y="1096038"/>
              </a:lnTo>
              <a:lnTo>
                <a:pt x="140517" y="10960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C1649D-EF19-49F0-9BF9-C6425D9F64B5}">
      <dsp:nvSpPr>
        <dsp:cNvPr id="0" name=""/>
        <dsp:cNvSpPr/>
      </dsp:nvSpPr>
      <dsp:spPr>
        <a:xfrm>
          <a:off x="4436271" y="1799212"/>
          <a:ext cx="140517" cy="430920"/>
        </a:xfrm>
        <a:custGeom>
          <a:avLst/>
          <a:gdLst/>
          <a:ahLst/>
          <a:cxnLst/>
          <a:rect l="0" t="0" r="0" b="0"/>
          <a:pathLst>
            <a:path>
              <a:moveTo>
                <a:pt x="0" y="0"/>
              </a:moveTo>
              <a:lnTo>
                <a:pt x="0" y="430920"/>
              </a:lnTo>
              <a:lnTo>
                <a:pt x="140517" y="4309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9B9F1-5F91-4399-8FD0-E0C6C1FDD215}">
      <dsp:nvSpPr>
        <dsp:cNvPr id="0" name=""/>
        <dsp:cNvSpPr/>
      </dsp:nvSpPr>
      <dsp:spPr>
        <a:xfrm>
          <a:off x="4244230" y="1134094"/>
          <a:ext cx="566754" cy="196724"/>
        </a:xfrm>
        <a:custGeom>
          <a:avLst/>
          <a:gdLst/>
          <a:ahLst/>
          <a:cxnLst/>
          <a:rect l="0" t="0" r="0" b="0"/>
          <a:pathLst>
            <a:path>
              <a:moveTo>
                <a:pt x="0" y="0"/>
              </a:moveTo>
              <a:lnTo>
                <a:pt x="0" y="98362"/>
              </a:lnTo>
              <a:lnTo>
                <a:pt x="566754" y="98362"/>
              </a:lnTo>
              <a:lnTo>
                <a:pt x="566754" y="19672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EF1DAB-1A94-43A2-9C73-A55175EDB3FF}">
      <dsp:nvSpPr>
        <dsp:cNvPr id="0" name=""/>
        <dsp:cNvSpPr/>
      </dsp:nvSpPr>
      <dsp:spPr>
        <a:xfrm>
          <a:off x="3302762" y="1799212"/>
          <a:ext cx="140517" cy="2426272"/>
        </a:xfrm>
        <a:custGeom>
          <a:avLst/>
          <a:gdLst/>
          <a:ahLst/>
          <a:cxnLst/>
          <a:rect l="0" t="0" r="0" b="0"/>
          <a:pathLst>
            <a:path>
              <a:moveTo>
                <a:pt x="0" y="0"/>
              </a:moveTo>
              <a:lnTo>
                <a:pt x="0" y="2426272"/>
              </a:lnTo>
              <a:lnTo>
                <a:pt x="140517" y="24262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2BB266-D19F-4DBE-ADBE-D69D354D9284}">
      <dsp:nvSpPr>
        <dsp:cNvPr id="0" name=""/>
        <dsp:cNvSpPr/>
      </dsp:nvSpPr>
      <dsp:spPr>
        <a:xfrm>
          <a:off x="3302762" y="1799212"/>
          <a:ext cx="140517" cy="1761155"/>
        </a:xfrm>
        <a:custGeom>
          <a:avLst/>
          <a:gdLst/>
          <a:ahLst/>
          <a:cxnLst/>
          <a:rect l="0" t="0" r="0" b="0"/>
          <a:pathLst>
            <a:path>
              <a:moveTo>
                <a:pt x="0" y="0"/>
              </a:moveTo>
              <a:lnTo>
                <a:pt x="0" y="1761155"/>
              </a:lnTo>
              <a:lnTo>
                <a:pt x="140517" y="17611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A96947-ABEF-401A-96D0-3836E812C03D}">
      <dsp:nvSpPr>
        <dsp:cNvPr id="0" name=""/>
        <dsp:cNvSpPr/>
      </dsp:nvSpPr>
      <dsp:spPr>
        <a:xfrm>
          <a:off x="3302762" y="1799212"/>
          <a:ext cx="140517" cy="1096038"/>
        </a:xfrm>
        <a:custGeom>
          <a:avLst/>
          <a:gdLst/>
          <a:ahLst/>
          <a:cxnLst/>
          <a:rect l="0" t="0" r="0" b="0"/>
          <a:pathLst>
            <a:path>
              <a:moveTo>
                <a:pt x="0" y="0"/>
              </a:moveTo>
              <a:lnTo>
                <a:pt x="0" y="1096038"/>
              </a:lnTo>
              <a:lnTo>
                <a:pt x="140517" y="10960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61E30F-4093-4997-B3F1-1201673578E1}">
      <dsp:nvSpPr>
        <dsp:cNvPr id="0" name=""/>
        <dsp:cNvSpPr/>
      </dsp:nvSpPr>
      <dsp:spPr>
        <a:xfrm>
          <a:off x="3302762" y="1799212"/>
          <a:ext cx="140517" cy="430920"/>
        </a:xfrm>
        <a:custGeom>
          <a:avLst/>
          <a:gdLst/>
          <a:ahLst/>
          <a:cxnLst/>
          <a:rect l="0" t="0" r="0" b="0"/>
          <a:pathLst>
            <a:path>
              <a:moveTo>
                <a:pt x="0" y="0"/>
              </a:moveTo>
              <a:lnTo>
                <a:pt x="0" y="430920"/>
              </a:lnTo>
              <a:lnTo>
                <a:pt x="140517" y="4309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C689CC-101E-4D63-B85A-82B19092B322}">
      <dsp:nvSpPr>
        <dsp:cNvPr id="0" name=""/>
        <dsp:cNvSpPr/>
      </dsp:nvSpPr>
      <dsp:spPr>
        <a:xfrm>
          <a:off x="3677476" y="1134094"/>
          <a:ext cx="566754" cy="196724"/>
        </a:xfrm>
        <a:custGeom>
          <a:avLst/>
          <a:gdLst/>
          <a:ahLst/>
          <a:cxnLst/>
          <a:rect l="0" t="0" r="0" b="0"/>
          <a:pathLst>
            <a:path>
              <a:moveTo>
                <a:pt x="566754" y="0"/>
              </a:moveTo>
              <a:lnTo>
                <a:pt x="566754" y="98362"/>
              </a:lnTo>
              <a:lnTo>
                <a:pt x="0" y="98362"/>
              </a:lnTo>
              <a:lnTo>
                <a:pt x="0" y="19672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FFD9D-62C1-4398-A1E9-537E84CFCBCD}">
      <dsp:nvSpPr>
        <dsp:cNvPr id="0" name=""/>
        <dsp:cNvSpPr/>
      </dsp:nvSpPr>
      <dsp:spPr>
        <a:xfrm>
          <a:off x="3151759" y="468977"/>
          <a:ext cx="1092471" cy="196724"/>
        </a:xfrm>
        <a:custGeom>
          <a:avLst/>
          <a:gdLst/>
          <a:ahLst/>
          <a:cxnLst/>
          <a:rect l="0" t="0" r="0" b="0"/>
          <a:pathLst>
            <a:path>
              <a:moveTo>
                <a:pt x="0" y="0"/>
              </a:moveTo>
              <a:lnTo>
                <a:pt x="0" y="98362"/>
              </a:lnTo>
              <a:lnTo>
                <a:pt x="1092471" y="98362"/>
              </a:lnTo>
              <a:lnTo>
                <a:pt x="1092471" y="1967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E59879-57CD-4221-ACB9-12A64F3024E2}">
      <dsp:nvSpPr>
        <dsp:cNvPr id="0" name=""/>
        <dsp:cNvSpPr/>
      </dsp:nvSpPr>
      <dsp:spPr>
        <a:xfrm>
          <a:off x="2169252" y="1799212"/>
          <a:ext cx="140517" cy="2426272"/>
        </a:xfrm>
        <a:custGeom>
          <a:avLst/>
          <a:gdLst/>
          <a:ahLst/>
          <a:cxnLst/>
          <a:rect l="0" t="0" r="0" b="0"/>
          <a:pathLst>
            <a:path>
              <a:moveTo>
                <a:pt x="0" y="0"/>
              </a:moveTo>
              <a:lnTo>
                <a:pt x="0" y="2426272"/>
              </a:lnTo>
              <a:lnTo>
                <a:pt x="140517" y="24262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941574-88BA-400A-AD6A-E9B7DC95341F}">
      <dsp:nvSpPr>
        <dsp:cNvPr id="0" name=""/>
        <dsp:cNvSpPr/>
      </dsp:nvSpPr>
      <dsp:spPr>
        <a:xfrm>
          <a:off x="2169252" y="1799212"/>
          <a:ext cx="140517" cy="1761155"/>
        </a:xfrm>
        <a:custGeom>
          <a:avLst/>
          <a:gdLst/>
          <a:ahLst/>
          <a:cxnLst/>
          <a:rect l="0" t="0" r="0" b="0"/>
          <a:pathLst>
            <a:path>
              <a:moveTo>
                <a:pt x="0" y="0"/>
              </a:moveTo>
              <a:lnTo>
                <a:pt x="0" y="1761155"/>
              </a:lnTo>
              <a:lnTo>
                <a:pt x="140517" y="17611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41F492-2990-4BE4-9314-EB48BD65514D}">
      <dsp:nvSpPr>
        <dsp:cNvPr id="0" name=""/>
        <dsp:cNvSpPr/>
      </dsp:nvSpPr>
      <dsp:spPr>
        <a:xfrm>
          <a:off x="2169252" y="1799212"/>
          <a:ext cx="140517" cy="1096038"/>
        </a:xfrm>
        <a:custGeom>
          <a:avLst/>
          <a:gdLst/>
          <a:ahLst/>
          <a:cxnLst/>
          <a:rect l="0" t="0" r="0" b="0"/>
          <a:pathLst>
            <a:path>
              <a:moveTo>
                <a:pt x="0" y="0"/>
              </a:moveTo>
              <a:lnTo>
                <a:pt x="0" y="1096038"/>
              </a:lnTo>
              <a:lnTo>
                <a:pt x="140517" y="10960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650382-6235-44C4-AFDC-13B7D5A2F7D2}">
      <dsp:nvSpPr>
        <dsp:cNvPr id="0" name=""/>
        <dsp:cNvSpPr/>
      </dsp:nvSpPr>
      <dsp:spPr>
        <a:xfrm>
          <a:off x="2169252" y="1799212"/>
          <a:ext cx="140517" cy="430920"/>
        </a:xfrm>
        <a:custGeom>
          <a:avLst/>
          <a:gdLst/>
          <a:ahLst/>
          <a:cxnLst/>
          <a:rect l="0" t="0" r="0" b="0"/>
          <a:pathLst>
            <a:path>
              <a:moveTo>
                <a:pt x="0" y="0"/>
              </a:moveTo>
              <a:lnTo>
                <a:pt x="0" y="430920"/>
              </a:lnTo>
              <a:lnTo>
                <a:pt x="140517" y="4309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AFC083-BCF8-480F-B757-C0A2903F35B9}">
      <dsp:nvSpPr>
        <dsp:cNvPr id="0" name=""/>
        <dsp:cNvSpPr/>
      </dsp:nvSpPr>
      <dsp:spPr>
        <a:xfrm>
          <a:off x="1977211" y="1134094"/>
          <a:ext cx="566754" cy="196724"/>
        </a:xfrm>
        <a:custGeom>
          <a:avLst/>
          <a:gdLst/>
          <a:ahLst/>
          <a:cxnLst/>
          <a:rect l="0" t="0" r="0" b="0"/>
          <a:pathLst>
            <a:path>
              <a:moveTo>
                <a:pt x="0" y="0"/>
              </a:moveTo>
              <a:lnTo>
                <a:pt x="0" y="98362"/>
              </a:lnTo>
              <a:lnTo>
                <a:pt x="566754" y="98362"/>
              </a:lnTo>
              <a:lnTo>
                <a:pt x="566754" y="19672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DADF9E-5E8D-491E-BD2C-427F7CE213B8}">
      <dsp:nvSpPr>
        <dsp:cNvPr id="0" name=""/>
        <dsp:cNvSpPr/>
      </dsp:nvSpPr>
      <dsp:spPr>
        <a:xfrm>
          <a:off x="1035743" y="1799212"/>
          <a:ext cx="140517" cy="2426272"/>
        </a:xfrm>
        <a:custGeom>
          <a:avLst/>
          <a:gdLst/>
          <a:ahLst/>
          <a:cxnLst/>
          <a:rect l="0" t="0" r="0" b="0"/>
          <a:pathLst>
            <a:path>
              <a:moveTo>
                <a:pt x="0" y="0"/>
              </a:moveTo>
              <a:lnTo>
                <a:pt x="0" y="2426272"/>
              </a:lnTo>
              <a:lnTo>
                <a:pt x="140517" y="24262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1A4D81-B3F0-4911-B373-8ECDC92BCC33}">
      <dsp:nvSpPr>
        <dsp:cNvPr id="0" name=""/>
        <dsp:cNvSpPr/>
      </dsp:nvSpPr>
      <dsp:spPr>
        <a:xfrm>
          <a:off x="1035743" y="1799212"/>
          <a:ext cx="140517" cy="1761155"/>
        </a:xfrm>
        <a:custGeom>
          <a:avLst/>
          <a:gdLst/>
          <a:ahLst/>
          <a:cxnLst/>
          <a:rect l="0" t="0" r="0" b="0"/>
          <a:pathLst>
            <a:path>
              <a:moveTo>
                <a:pt x="0" y="0"/>
              </a:moveTo>
              <a:lnTo>
                <a:pt x="0" y="1761155"/>
              </a:lnTo>
              <a:lnTo>
                <a:pt x="140517" y="17611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59FA50-F8A6-42C2-AC1E-6ED95BA27309}">
      <dsp:nvSpPr>
        <dsp:cNvPr id="0" name=""/>
        <dsp:cNvSpPr/>
      </dsp:nvSpPr>
      <dsp:spPr>
        <a:xfrm>
          <a:off x="1035743" y="1799212"/>
          <a:ext cx="140517" cy="1096038"/>
        </a:xfrm>
        <a:custGeom>
          <a:avLst/>
          <a:gdLst/>
          <a:ahLst/>
          <a:cxnLst/>
          <a:rect l="0" t="0" r="0" b="0"/>
          <a:pathLst>
            <a:path>
              <a:moveTo>
                <a:pt x="0" y="0"/>
              </a:moveTo>
              <a:lnTo>
                <a:pt x="0" y="1096038"/>
              </a:lnTo>
              <a:lnTo>
                <a:pt x="140517" y="10960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F79D27-FB89-4CA2-B7B3-FDA4D830AC07}">
      <dsp:nvSpPr>
        <dsp:cNvPr id="0" name=""/>
        <dsp:cNvSpPr/>
      </dsp:nvSpPr>
      <dsp:spPr>
        <a:xfrm>
          <a:off x="1035743" y="1799212"/>
          <a:ext cx="140517" cy="430920"/>
        </a:xfrm>
        <a:custGeom>
          <a:avLst/>
          <a:gdLst/>
          <a:ahLst/>
          <a:cxnLst/>
          <a:rect l="0" t="0" r="0" b="0"/>
          <a:pathLst>
            <a:path>
              <a:moveTo>
                <a:pt x="0" y="0"/>
              </a:moveTo>
              <a:lnTo>
                <a:pt x="0" y="430920"/>
              </a:lnTo>
              <a:lnTo>
                <a:pt x="140517" y="4309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D82BA3-349F-4F96-9C9D-E2DAC87CA349}">
      <dsp:nvSpPr>
        <dsp:cNvPr id="0" name=""/>
        <dsp:cNvSpPr/>
      </dsp:nvSpPr>
      <dsp:spPr>
        <a:xfrm>
          <a:off x="1410457" y="1134094"/>
          <a:ext cx="566754" cy="196724"/>
        </a:xfrm>
        <a:custGeom>
          <a:avLst/>
          <a:gdLst/>
          <a:ahLst/>
          <a:cxnLst/>
          <a:rect l="0" t="0" r="0" b="0"/>
          <a:pathLst>
            <a:path>
              <a:moveTo>
                <a:pt x="566754" y="0"/>
              </a:moveTo>
              <a:lnTo>
                <a:pt x="566754" y="98362"/>
              </a:lnTo>
              <a:lnTo>
                <a:pt x="0" y="98362"/>
              </a:lnTo>
              <a:lnTo>
                <a:pt x="0" y="19672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931599-E0AC-45FD-907F-BEDBF9473B9E}">
      <dsp:nvSpPr>
        <dsp:cNvPr id="0" name=""/>
        <dsp:cNvSpPr/>
      </dsp:nvSpPr>
      <dsp:spPr>
        <a:xfrm>
          <a:off x="1977211" y="468977"/>
          <a:ext cx="1174547" cy="196724"/>
        </a:xfrm>
        <a:custGeom>
          <a:avLst/>
          <a:gdLst/>
          <a:ahLst/>
          <a:cxnLst/>
          <a:rect l="0" t="0" r="0" b="0"/>
          <a:pathLst>
            <a:path>
              <a:moveTo>
                <a:pt x="1174547" y="0"/>
              </a:moveTo>
              <a:lnTo>
                <a:pt x="1174547" y="98362"/>
              </a:lnTo>
              <a:lnTo>
                <a:pt x="0" y="98362"/>
              </a:lnTo>
              <a:lnTo>
                <a:pt x="0" y="1967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9B00D-4767-4A2C-9C94-6932CB151CBB}">
      <dsp:nvSpPr>
        <dsp:cNvPr id="0" name=""/>
        <dsp:cNvSpPr/>
      </dsp:nvSpPr>
      <dsp:spPr>
        <a:xfrm>
          <a:off x="2683367" y="585"/>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Parents/ carers with an AUD (n=17,120)</a:t>
          </a:r>
        </a:p>
      </dsp:txBody>
      <dsp:txXfrm>
        <a:off x="2683367" y="585"/>
        <a:ext cx="936784" cy="468392"/>
      </dsp:txXfrm>
    </dsp:sp>
    <dsp:sp modelId="{3BA5BEB3-526A-4DD7-814A-600AE17D345D}">
      <dsp:nvSpPr>
        <dsp:cNvPr id="0" name=""/>
        <dsp:cNvSpPr/>
      </dsp:nvSpPr>
      <dsp:spPr>
        <a:xfrm>
          <a:off x="1508819" y="665702"/>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Living with children (n=6,332)</a:t>
          </a:r>
        </a:p>
      </dsp:txBody>
      <dsp:txXfrm>
        <a:off x="1508819" y="665702"/>
        <a:ext cx="936784" cy="468392"/>
      </dsp:txXfrm>
    </dsp:sp>
    <dsp:sp modelId="{224F1475-BD95-4750-8850-2A573C3930E4}">
      <dsp:nvSpPr>
        <dsp:cNvPr id="0" name=""/>
        <dsp:cNvSpPr/>
      </dsp:nvSpPr>
      <dsp:spPr>
        <a:xfrm>
          <a:off x="942064" y="1330819"/>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Women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(n=3,165)</a:t>
          </a:r>
        </a:p>
      </dsp:txBody>
      <dsp:txXfrm>
        <a:off x="942064" y="1330819"/>
        <a:ext cx="936784" cy="468392"/>
      </dsp:txXfrm>
    </dsp:sp>
    <dsp:sp modelId="{8E08C326-D8DC-4980-A876-C3AB46095263}">
      <dsp:nvSpPr>
        <dsp:cNvPr id="0" name=""/>
        <dsp:cNvSpPr/>
      </dsp:nvSpPr>
      <dsp:spPr>
        <a:xfrm>
          <a:off x="1176260" y="1995936"/>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18-24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(n=37)</a:t>
          </a:r>
        </a:p>
      </dsp:txBody>
      <dsp:txXfrm>
        <a:off x="1176260" y="1995936"/>
        <a:ext cx="936784" cy="468392"/>
      </dsp:txXfrm>
    </dsp:sp>
    <dsp:sp modelId="{79FED076-6817-42B9-8729-FB0B83922145}">
      <dsp:nvSpPr>
        <dsp:cNvPr id="0" name=""/>
        <dsp:cNvSpPr/>
      </dsp:nvSpPr>
      <dsp:spPr>
        <a:xfrm>
          <a:off x="1176260" y="2661053"/>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25-34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(n=455)</a:t>
          </a:r>
        </a:p>
      </dsp:txBody>
      <dsp:txXfrm>
        <a:off x="1176260" y="2661053"/>
        <a:ext cx="936784" cy="468392"/>
      </dsp:txXfrm>
    </dsp:sp>
    <dsp:sp modelId="{FE30A760-6930-4324-9383-4652061B8625}">
      <dsp:nvSpPr>
        <dsp:cNvPr id="0" name=""/>
        <dsp:cNvSpPr/>
      </dsp:nvSpPr>
      <dsp:spPr>
        <a:xfrm>
          <a:off x="1176260" y="3326171"/>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35-44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(n=927)</a:t>
          </a:r>
        </a:p>
      </dsp:txBody>
      <dsp:txXfrm>
        <a:off x="1176260" y="3326171"/>
        <a:ext cx="936784" cy="468392"/>
      </dsp:txXfrm>
    </dsp:sp>
    <dsp:sp modelId="{F4ED83BB-C855-4493-A168-9505906B6127}">
      <dsp:nvSpPr>
        <dsp:cNvPr id="0" name=""/>
        <dsp:cNvSpPr/>
      </dsp:nvSpPr>
      <dsp:spPr>
        <a:xfrm>
          <a:off x="1176260" y="3991288"/>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45+</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 (n=1,745)</a:t>
          </a:r>
        </a:p>
      </dsp:txBody>
      <dsp:txXfrm>
        <a:off x="1176260" y="3991288"/>
        <a:ext cx="936784" cy="468392"/>
      </dsp:txXfrm>
    </dsp:sp>
    <dsp:sp modelId="{A05AFE4B-6817-40BD-A5CB-6635CE2F523D}">
      <dsp:nvSpPr>
        <dsp:cNvPr id="0" name=""/>
        <dsp:cNvSpPr/>
      </dsp:nvSpPr>
      <dsp:spPr>
        <a:xfrm>
          <a:off x="2075574" y="1330819"/>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Men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(n=3,167)</a:t>
          </a:r>
        </a:p>
      </dsp:txBody>
      <dsp:txXfrm>
        <a:off x="2075574" y="1330819"/>
        <a:ext cx="936784" cy="468392"/>
      </dsp:txXfrm>
    </dsp:sp>
    <dsp:sp modelId="{D5071D38-C833-4BE0-A908-01652DC46906}">
      <dsp:nvSpPr>
        <dsp:cNvPr id="0" name=""/>
        <dsp:cNvSpPr/>
      </dsp:nvSpPr>
      <dsp:spPr>
        <a:xfrm>
          <a:off x="2309770" y="1995936"/>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18-24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(n=25)</a:t>
          </a:r>
        </a:p>
      </dsp:txBody>
      <dsp:txXfrm>
        <a:off x="2309770" y="1995936"/>
        <a:ext cx="936784" cy="468392"/>
      </dsp:txXfrm>
    </dsp:sp>
    <dsp:sp modelId="{3A863F37-C3AC-4458-8574-3AD003DD6F56}">
      <dsp:nvSpPr>
        <dsp:cNvPr id="0" name=""/>
        <dsp:cNvSpPr/>
      </dsp:nvSpPr>
      <dsp:spPr>
        <a:xfrm>
          <a:off x="2309770" y="2661053"/>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25-34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(n=538)</a:t>
          </a:r>
          <a:endParaRPr lang="en-GB" sz="1000" kern="1200"/>
        </a:p>
      </dsp:txBody>
      <dsp:txXfrm>
        <a:off x="2309770" y="2661053"/>
        <a:ext cx="936784" cy="468392"/>
      </dsp:txXfrm>
    </dsp:sp>
    <dsp:sp modelId="{20C6C4B9-9A5A-45C3-9807-209E4361EFA2}">
      <dsp:nvSpPr>
        <dsp:cNvPr id="0" name=""/>
        <dsp:cNvSpPr/>
      </dsp:nvSpPr>
      <dsp:spPr>
        <a:xfrm>
          <a:off x="2309770" y="3326171"/>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35-44</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 (n=1,288)</a:t>
          </a:r>
        </a:p>
      </dsp:txBody>
      <dsp:txXfrm>
        <a:off x="2309770" y="3326171"/>
        <a:ext cx="936784" cy="468392"/>
      </dsp:txXfrm>
    </dsp:sp>
    <dsp:sp modelId="{7DE9F97D-F8F3-4B8A-9974-AB98AE76E03A}">
      <dsp:nvSpPr>
        <dsp:cNvPr id="0" name=""/>
        <dsp:cNvSpPr/>
      </dsp:nvSpPr>
      <dsp:spPr>
        <a:xfrm>
          <a:off x="2309770" y="3991288"/>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45+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(n=1,316)</a:t>
          </a:r>
        </a:p>
      </dsp:txBody>
      <dsp:txXfrm>
        <a:off x="2309770" y="3991288"/>
        <a:ext cx="936784" cy="468392"/>
      </dsp:txXfrm>
    </dsp:sp>
    <dsp:sp modelId="{EC5E56BE-31F3-42DF-A27B-34178939EDE6}">
      <dsp:nvSpPr>
        <dsp:cNvPr id="0" name=""/>
        <dsp:cNvSpPr/>
      </dsp:nvSpPr>
      <dsp:spPr>
        <a:xfrm>
          <a:off x="3693762" y="665702"/>
          <a:ext cx="1100937"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Not living with their children (n=10,788)</a:t>
          </a:r>
        </a:p>
      </dsp:txBody>
      <dsp:txXfrm>
        <a:off x="3693762" y="665702"/>
        <a:ext cx="1100937" cy="468392"/>
      </dsp:txXfrm>
    </dsp:sp>
    <dsp:sp modelId="{F2F5AAF5-2142-4BE5-8DC1-0DFA7315EF63}">
      <dsp:nvSpPr>
        <dsp:cNvPr id="0" name=""/>
        <dsp:cNvSpPr/>
      </dsp:nvSpPr>
      <dsp:spPr>
        <a:xfrm>
          <a:off x="3209083" y="1330819"/>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Women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(n=3,259)</a:t>
          </a:r>
        </a:p>
      </dsp:txBody>
      <dsp:txXfrm>
        <a:off x="3209083" y="1330819"/>
        <a:ext cx="936784" cy="468392"/>
      </dsp:txXfrm>
    </dsp:sp>
    <dsp:sp modelId="{8799E431-6FA9-405E-AFC0-FC474A0E47B7}">
      <dsp:nvSpPr>
        <dsp:cNvPr id="0" name=""/>
        <dsp:cNvSpPr/>
      </dsp:nvSpPr>
      <dsp:spPr>
        <a:xfrm>
          <a:off x="3443279" y="1995936"/>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18-24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(n=39)</a:t>
          </a:r>
        </a:p>
      </dsp:txBody>
      <dsp:txXfrm>
        <a:off x="3443279" y="1995936"/>
        <a:ext cx="936784" cy="468392"/>
      </dsp:txXfrm>
    </dsp:sp>
    <dsp:sp modelId="{116BC929-D6BC-4F34-9C09-1260A0B58BAA}">
      <dsp:nvSpPr>
        <dsp:cNvPr id="0" name=""/>
        <dsp:cNvSpPr/>
      </dsp:nvSpPr>
      <dsp:spPr>
        <a:xfrm>
          <a:off x="3443279" y="2661053"/>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25-34</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 (n=468)</a:t>
          </a:r>
        </a:p>
      </dsp:txBody>
      <dsp:txXfrm>
        <a:off x="3443279" y="2661053"/>
        <a:ext cx="936784" cy="468392"/>
      </dsp:txXfrm>
    </dsp:sp>
    <dsp:sp modelId="{25BAE859-04A4-4B09-B312-4C8D5A4996E1}">
      <dsp:nvSpPr>
        <dsp:cNvPr id="0" name=""/>
        <dsp:cNvSpPr/>
      </dsp:nvSpPr>
      <dsp:spPr>
        <a:xfrm>
          <a:off x="3443279" y="3326171"/>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35-44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(n=954)</a:t>
          </a:r>
        </a:p>
      </dsp:txBody>
      <dsp:txXfrm>
        <a:off x="3443279" y="3326171"/>
        <a:ext cx="936784" cy="468392"/>
      </dsp:txXfrm>
    </dsp:sp>
    <dsp:sp modelId="{3D6E0426-545E-47D1-BA7F-E34D2A728842}">
      <dsp:nvSpPr>
        <dsp:cNvPr id="0" name=""/>
        <dsp:cNvSpPr/>
      </dsp:nvSpPr>
      <dsp:spPr>
        <a:xfrm>
          <a:off x="3443279" y="3991288"/>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45+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(n=1,798)</a:t>
          </a:r>
        </a:p>
      </dsp:txBody>
      <dsp:txXfrm>
        <a:off x="3443279" y="3991288"/>
        <a:ext cx="936784" cy="468392"/>
      </dsp:txXfrm>
    </dsp:sp>
    <dsp:sp modelId="{C6FAE481-67BA-4D7E-BD1A-F67ED416B205}">
      <dsp:nvSpPr>
        <dsp:cNvPr id="0" name=""/>
        <dsp:cNvSpPr/>
      </dsp:nvSpPr>
      <dsp:spPr>
        <a:xfrm>
          <a:off x="4342593" y="1330819"/>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Men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(n=7,529)</a:t>
          </a:r>
        </a:p>
      </dsp:txBody>
      <dsp:txXfrm>
        <a:off x="4342593" y="1330819"/>
        <a:ext cx="936784" cy="468392"/>
      </dsp:txXfrm>
    </dsp:sp>
    <dsp:sp modelId="{BA318FA3-3732-47A2-BFDB-25B111F1CC72}">
      <dsp:nvSpPr>
        <dsp:cNvPr id="0" name=""/>
        <dsp:cNvSpPr/>
      </dsp:nvSpPr>
      <dsp:spPr>
        <a:xfrm>
          <a:off x="4576789" y="1995936"/>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18-24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(n=89)</a:t>
          </a:r>
        </a:p>
      </dsp:txBody>
      <dsp:txXfrm>
        <a:off x="4576789" y="1995936"/>
        <a:ext cx="936784" cy="468392"/>
      </dsp:txXfrm>
    </dsp:sp>
    <dsp:sp modelId="{A9AA7563-F92E-4645-892D-47A7CE5B8F08}">
      <dsp:nvSpPr>
        <dsp:cNvPr id="0" name=""/>
        <dsp:cNvSpPr/>
      </dsp:nvSpPr>
      <dsp:spPr>
        <a:xfrm>
          <a:off x="4576789" y="2661053"/>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25-34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(n=1,082)</a:t>
          </a:r>
        </a:p>
      </dsp:txBody>
      <dsp:txXfrm>
        <a:off x="4576789" y="2661053"/>
        <a:ext cx="936784" cy="468392"/>
      </dsp:txXfrm>
    </dsp:sp>
    <dsp:sp modelId="{A8238D60-84C2-41B2-B134-97EF17FFCCA1}">
      <dsp:nvSpPr>
        <dsp:cNvPr id="0" name=""/>
        <dsp:cNvSpPr/>
      </dsp:nvSpPr>
      <dsp:spPr>
        <a:xfrm>
          <a:off x="4576789" y="3326171"/>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35-44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(n=2,204)</a:t>
          </a:r>
        </a:p>
      </dsp:txBody>
      <dsp:txXfrm>
        <a:off x="4576789" y="3326171"/>
        <a:ext cx="936784" cy="468392"/>
      </dsp:txXfrm>
    </dsp:sp>
    <dsp:sp modelId="{4B501979-9FF3-4740-9FA6-2CAF6E40F362}">
      <dsp:nvSpPr>
        <dsp:cNvPr id="0" name=""/>
        <dsp:cNvSpPr/>
      </dsp:nvSpPr>
      <dsp:spPr>
        <a:xfrm>
          <a:off x="4576789" y="3991288"/>
          <a:ext cx="936784" cy="468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45+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(n=4,154)</a:t>
          </a:r>
        </a:p>
      </dsp:txBody>
      <dsp:txXfrm>
        <a:off x="4576789" y="3991288"/>
        <a:ext cx="936784" cy="46839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0.66778</cdr:x>
      <cdr:y>0.11132</cdr:y>
    </cdr:from>
    <cdr:to>
      <cdr:x>1</cdr:x>
      <cdr:y>0.33494</cdr:y>
    </cdr:to>
    <cdr:sp macro="" textlink="">
      <cdr:nvSpPr>
        <cdr:cNvPr id="3" name="TextBox 2">
          <a:extLst xmlns:a="http://schemas.openxmlformats.org/drawingml/2006/main">
            <a:ext uri="{FF2B5EF4-FFF2-40B4-BE49-F238E27FC236}">
              <a16:creationId xmlns:a16="http://schemas.microsoft.com/office/drawing/2014/main" id="{1838993A-1EC8-B72E-BD54-A4F388E2A460}"/>
            </a:ext>
          </a:extLst>
        </cdr:cNvPr>
        <cdr:cNvSpPr txBox="1"/>
      </cdr:nvSpPr>
      <cdr:spPr>
        <a:xfrm xmlns:a="http://schemas.openxmlformats.org/drawingml/2006/main">
          <a:off x="3228230" y="480589"/>
          <a:ext cx="1606025" cy="9654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ICER (health) =£26,108</a:t>
          </a:r>
        </a:p>
      </cdr:txBody>
    </cdr:sp>
  </cdr:relSizeAnchor>
</c:userShapes>
</file>

<file path=word/drawings/drawing2.xml><?xml version="1.0" encoding="utf-8"?>
<c:userShapes xmlns:c="http://schemas.openxmlformats.org/drawingml/2006/chart">
  <cdr:relSizeAnchor xmlns:cdr="http://schemas.openxmlformats.org/drawingml/2006/chartDrawing">
    <cdr:from>
      <cdr:x>0.67958</cdr:x>
      <cdr:y>0.08369</cdr:y>
    </cdr:from>
    <cdr:to>
      <cdr:x>1</cdr:x>
      <cdr:y>0.30731</cdr:y>
    </cdr:to>
    <cdr:sp macro="" textlink="">
      <cdr:nvSpPr>
        <cdr:cNvPr id="3" name="TextBox 2">
          <a:extLst xmlns:a="http://schemas.openxmlformats.org/drawingml/2006/main">
            <a:ext uri="{FF2B5EF4-FFF2-40B4-BE49-F238E27FC236}">
              <a16:creationId xmlns:a16="http://schemas.microsoft.com/office/drawing/2014/main" id="{1838993A-1EC8-B72E-BD54-A4F388E2A460}"/>
            </a:ext>
          </a:extLst>
        </cdr:cNvPr>
        <cdr:cNvSpPr txBox="1"/>
      </cdr:nvSpPr>
      <cdr:spPr>
        <a:xfrm xmlns:a="http://schemas.openxmlformats.org/drawingml/2006/main">
          <a:off x="3419061" y="372268"/>
          <a:ext cx="1612044" cy="994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cost per QALY (public</a:t>
          </a:r>
          <a:r>
            <a:rPr lang="en-GB" sz="1100" baseline="0"/>
            <a:t> sector</a:t>
          </a:r>
          <a:r>
            <a:rPr lang="en-GB" sz="1100"/>
            <a:t>) = £6,023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90E7842F46084DB1770F2BEA6629F4" ma:contentTypeVersion="6" ma:contentTypeDescription="Create a new document." ma:contentTypeScope="" ma:versionID="ebb6a3d5925a26257199737a00e543e4">
  <xsd:schema xmlns:xsd="http://www.w3.org/2001/XMLSchema" xmlns:xs="http://www.w3.org/2001/XMLSchema" xmlns:p="http://schemas.microsoft.com/office/2006/metadata/properties" xmlns:ns2="d02bdbe0-e0f4-4043-92c3-f9533ce64ae7" xmlns:ns3="23585cd3-ae38-4735-a3e8-98336e5ca98d" targetNamespace="http://schemas.microsoft.com/office/2006/metadata/properties" ma:root="true" ma:fieldsID="2e8dcb0a92e46291c5ee3e38b803345e" ns2:_="" ns3:_="">
    <xsd:import namespace="d02bdbe0-e0f4-4043-92c3-f9533ce64ae7"/>
    <xsd:import namespace="23585cd3-ae38-4735-a3e8-98336e5ca9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bdbe0-e0f4-4043-92c3-f9533ce64a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585cd3-ae38-4735-a3e8-98336e5ca98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73F12-B72A-4AE4-B60F-487D84429C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21327F-EA71-4227-9B8E-EF70F6AB27C5}">
  <ds:schemaRefs>
    <ds:schemaRef ds:uri="http://schemas.microsoft.com/sharepoint/v3/contenttype/forms"/>
  </ds:schemaRefs>
</ds:datastoreItem>
</file>

<file path=customXml/itemProps3.xml><?xml version="1.0" encoding="utf-8"?>
<ds:datastoreItem xmlns:ds="http://schemas.openxmlformats.org/officeDocument/2006/customXml" ds:itemID="{6791C83A-E8B1-4880-BF53-9B185E8AA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bdbe0-e0f4-4043-92c3-f9533ce64ae7"/>
    <ds:schemaRef ds:uri="23585cd3-ae38-4735-a3e8-98336e5ca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F1040C-E16C-49D5-9A9E-F17556252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227</Pages>
  <Words>137359</Words>
  <Characters>782952</Characters>
  <Application>Microsoft Office Word</Application>
  <DocSecurity>0</DocSecurity>
  <Lines>6524</Lines>
  <Paragraphs>1836</Paragraphs>
  <ScaleCrop>false</ScaleCrop>
  <Company>University of Sheffield</Company>
  <LinksUpToDate>false</LinksUpToDate>
  <CharactersWithSpaces>918475</CharactersWithSpaces>
  <SharedDoc>false</SharedDoc>
  <HLinks>
    <vt:vector size="2256" baseType="variant">
      <vt:variant>
        <vt:i4>7798850</vt:i4>
      </vt:variant>
      <vt:variant>
        <vt:i4>2894</vt:i4>
      </vt:variant>
      <vt:variant>
        <vt:i4>0</vt:i4>
      </vt:variant>
      <vt:variant>
        <vt:i4>5</vt:i4>
      </vt:variant>
      <vt:variant>
        <vt:lpwstr>http://www.euro.who.int/__data/assets/pdf_file/0005/351284/resilience-report-20171004-h1635.pdf</vt:lpwstr>
      </vt:variant>
      <vt:variant>
        <vt:lpwstr/>
      </vt:variant>
      <vt:variant>
        <vt:i4>3801138</vt:i4>
      </vt:variant>
      <vt:variant>
        <vt:i4>2891</vt:i4>
      </vt:variant>
      <vt:variant>
        <vt:i4>0</vt:i4>
      </vt:variant>
      <vt:variant>
        <vt:i4>5</vt:i4>
      </vt:variant>
      <vt:variant>
        <vt:lpwstr>https://doi.org/10.1016/j.genhosppsych.2012.06.002</vt:lpwstr>
      </vt:variant>
      <vt:variant>
        <vt:lpwstr/>
      </vt:variant>
      <vt:variant>
        <vt:i4>393301</vt:i4>
      </vt:variant>
      <vt:variant>
        <vt:i4>2888</vt:i4>
      </vt:variant>
      <vt:variant>
        <vt:i4>0</vt:i4>
      </vt:variant>
      <vt:variant>
        <vt:i4>5</vt:i4>
      </vt:variant>
      <vt:variant>
        <vt:lpwstr>https://doi.org/https://dx.doi.org/10.1186/s12884-017-1260-5</vt:lpwstr>
      </vt:variant>
      <vt:variant>
        <vt:lpwstr/>
      </vt:variant>
      <vt:variant>
        <vt:i4>29</vt:i4>
      </vt:variant>
      <vt:variant>
        <vt:i4>2885</vt:i4>
      </vt:variant>
      <vt:variant>
        <vt:i4>0</vt:i4>
      </vt:variant>
      <vt:variant>
        <vt:i4>5</vt:i4>
      </vt:variant>
      <vt:variant>
        <vt:lpwstr>https://doi.org/10.1186/s12913-015-1091-x</vt:lpwstr>
      </vt:variant>
      <vt:variant>
        <vt:lpwstr/>
      </vt:variant>
      <vt:variant>
        <vt:i4>786497</vt:i4>
      </vt:variant>
      <vt:variant>
        <vt:i4>2882</vt:i4>
      </vt:variant>
      <vt:variant>
        <vt:i4>0</vt:i4>
      </vt:variant>
      <vt:variant>
        <vt:i4>5</vt:i4>
      </vt:variant>
      <vt:variant>
        <vt:lpwstr>https://doi.org/doi:10.1002/car.1045</vt:lpwstr>
      </vt:variant>
      <vt:variant>
        <vt:lpwstr/>
      </vt:variant>
      <vt:variant>
        <vt:i4>5177413</vt:i4>
      </vt:variant>
      <vt:variant>
        <vt:i4>2879</vt:i4>
      </vt:variant>
      <vt:variant>
        <vt:i4>0</vt:i4>
      </vt:variant>
      <vt:variant>
        <vt:i4>5</vt:i4>
      </vt:variant>
      <vt:variant>
        <vt:lpwstr>https://doi.org/10.1002/hup.2275</vt:lpwstr>
      </vt:variant>
      <vt:variant>
        <vt:lpwstr/>
      </vt:variant>
      <vt:variant>
        <vt:i4>2621498</vt:i4>
      </vt:variant>
      <vt:variant>
        <vt:i4>2876</vt:i4>
      </vt:variant>
      <vt:variant>
        <vt:i4>0</vt:i4>
      </vt:variant>
      <vt:variant>
        <vt:i4>5</vt:i4>
      </vt:variant>
      <vt:variant>
        <vt:lpwstr>https://doi.org/10.1016/j.jsat.2007.09.006</vt:lpwstr>
      </vt:variant>
      <vt:variant>
        <vt:lpwstr/>
      </vt:variant>
      <vt:variant>
        <vt:i4>4194305</vt:i4>
      </vt:variant>
      <vt:variant>
        <vt:i4>2873</vt:i4>
      </vt:variant>
      <vt:variant>
        <vt:i4>0</vt:i4>
      </vt:variant>
      <vt:variant>
        <vt:i4>5</vt:i4>
      </vt:variant>
      <vt:variant>
        <vt:lpwstr>https://doi.org/https://doi.org/10.1016/j.drugalcdep.2016.01.020</vt:lpwstr>
      </vt:variant>
      <vt:variant>
        <vt:lpwstr/>
      </vt:variant>
      <vt:variant>
        <vt:i4>4259908</vt:i4>
      </vt:variant>
      <vt:variant>
        <vt:i4>2870</vt:i4>
      </vt:variant>
      <vt:variant>
        <vt:i4>0</vt:i4>
      </vt:variant>
      <vt:variant>
        <vt:i4>5</vt:i4>
      </vt:variant>
      <vt:variant>
        <vt:lpwstr>https://www.who.int/news/item/27-04-2020-who-timeline---covid-19</vt:lpwstr>
      </vt:variant>
      <vt:variant>
        <vt:lpwstr/>
      </vt:variant>
      <vt:variant>
        <vt:i4>2818148</vt:i4>
      </vt:variant>
      <vt:variant>
        <vt:i4>2867</vt:i4>
      </vt:variant>
      <vt:variant>
        <vt:i4>0</vt:i4>
      </vt:variant>
      <vt:variant>
        <vt:i4>5</vt:i4>
      </vt:variant>
      <vt:variant>
        <vt:lpwstr>https://www.who.int/en/news-room/fact-sheets/detail/child-maltreatment</vt:lpwstr>
      </vt:variant>
      <vt:variant>
        <vt:lpwstr/>
      </vt:variant>
      <vt:variant>
        <vt:i4>1572957</vt:i4>
      </vt:variant>
      <vt:variant>
        <vt:i4>2864</vt:i4>
      </vt:variant>
      <vt:variant>
        <vt:i4>0</vt:i4>
      </vt:variant>
      <vt:variant>
        <vt:i4>5</vt:i4>
      </vt:variant>
      <vt:variant>
        <vt:lpwstr>https://doi.org/10.1177/0091450920941267</vt:lpwstr>
      </vt:variant>
      <vt:variant>
        <vt:lpwstr/>
      </vt:variant>
      <vt:variant>
        <vt:i4>1179729</vt:i4>
      </vt:variant>
      <vt:variant>
        <vt:i4>2861</vt:i4>
      </vt:variant>
      <vt:variant>
        <vt:i4>0</vt:i4>
      </vt:variant>
      <vt:variant>
        <vt:i4>5</vt:i4>
      </vt:variant>
      <vt:variant>
        <vt:lpwstr>https://doi.org/10.3310/YOWK7214</vt:lpwstr>
      </vt:variant>
      <vt:variant>
        <vt:lpwstr/>
      </vt:variant>
      <vt:variant>
        <vt:i4>6029389</vt:i4>
      </vt:variant>
      <vt:variant>
        <vt:i4>2858</vt:i4>
      </vt:variant>
      <vt:variant>
        <vt:i4>0</vt:i4>
      </vt:variant>
      <vt:variant>
        <vt:i4>5</vt:i4>
      </vt:variant>
      <vt:variant>
        <vt:lpwstr>https://doi.org/10.1002/car.1050</vt:lpwstr>
      </vt:variant>
      <vt:variant>
        <vt:lpwstr/>
      </vt:variant>
      <vt:variant>
        <vt:i4>1900636</vt:i4>
      </vt:variant>
      <vt:variant>
        <vt:i4>2855</vt:i4>
      </vt:variant>
      <vt:variant>
        <vt:i4>0</vt:i4>
      </vt:variant>
      <vt:variant>
        <vt:i4>5</vt:i4>
      </vt:variant>
      <vt:variant>
        <vt:lpwstr>https://doi.org/10.1177/0049124117747303</vt:lpwstr>
      </vt:variant>
      <vt:variant>
        <vt:lpwstr/>
      </vt:variant>
      <vt:variant>
        <vt:i4>65562</vt:i4>
      </vt:variant>
      <vt:variant>
        <vt:i4>2852</vt:i4>
      </vt:variant>
      <vt:variant>
        <vt:i4>0</vt:i4>
      </vt:variant>
      <vt:variant>
        <vt:i4>5</vt:i4>
      </vt:variant>
      <vt:variant>
        <vt:lpwstr>https://doi.org/10.1192/apt.bp.114.014449</vt:lpwstr>
      </vt:variant>
      <vt:variant>
        <vt:lpwstr/>
      </vt:variant>
      <vt:variant>
        <vt:i4>589853</vt:i4>
      </vt:variant>
      <vt:variant>
        <vt:i4>2849</vt:i4>
      </vt:variant>
      <vt:variant>
        <vt:i4>0</vt:i4>
      </vt:variant>
      <vt:variant>
        <vt:i4>5</vt:i4>
      </vt:variant>
      <vt:variant>
        <vt:lpwstr>https://doi.org/10.1192/apt.bp.106.002386</vt:lpwstr>
      </vt:variant>
      <vt:variant>
        <vt:lpwstr/>
      </vt:variant>
      <vt:variant>
        <vt:i4>1507356</vt:i4>
      </vt:variant>
      <vt:variant>
        <vt:i4>2846</vt:i4>
      </vt:variant>
      <vt:variant>
        <vt:i4>0</vt:i4>
      </vt:variant>
      <vt:variant>
        <vt:i4>5</vt:i4>
      </vt:variant>
      <vt:variant>
        <vt:lpwstr>https://doi.org/https://doi.org/10.4324/9780203727690</vt:lpwstr>
      </vt:variant>
      <vt:variant>
        <vt:lpwstr/>
      </vt:variant>
      <vt:variant>
        <vt:i4>983133</vt:i4>
      </vt:variant>
      <vt:variant>
        <vt:i4>2843</vt:i4>
      </vt:variant>
      <vt:variant>
        <vt:i4>0</vt:i4>
      </vt:variant>
      <vt:variant>
        <vt:i4>5</vt:i4>
      </vt:variant>
      <vt:variant>
        <vt:lpwstr>https://doi.org/https://www.acpjournals.org/doi/10.7326/M16-2607</vt:lpwstr>
      </vt:variant>
      <vt:variant>
        <vt:lpwstr/>
      </vt:variant>
      <vt:variant>
        <vt:i4>4784203</vt:i4>
      </vt:variant>
      <vt:variant>
        <vt:i4>2840</vt:i4>
      </vt:variant>
      <vt:variant>
        <vt:i4>0</vt:i4>
      </vt:variant>
      <vt:variant>
        <vt:i4>5</vt:i4>
      </vt:variant>
      <vt:variant>
        <vt:lpwstr>https://doi.org/10.1136/bmj.331.7516.541</vt:lpwstr>
      </vt:variant>
      <vt:variant>
        <vt:lpwstr/>
      </vt:variant>
      <vt:variant>
        <vt:i4>4980811</vt:i4>
      </vt:variant>
      <vt:variant>
        <vt:i4>2837</vt:i4>
      </vt:variant>
      <vt:variant>
        <vt:i4>0</vt:i4>
      </vt:variant>
      <vt:variant>
        <vt:i4>5</vt:i4>
      </vt:variant>
      <vt:variant>
        <vt:lpwstr>https://doi.org/10.1136/bmj.331.7516.544</vt:lpwstr>
      </vt:variant>
      <vt:variant>
        <vt:lpwstr/>
      </vt:variant>
      <vt:variant>
        <vt:i4>655437</vt:i4>
      </vt:variant>
      <vt:variant>
        <vt:i4>2834</vt:i4>
      </vt:variant>
      <vt:variant>
        <vt:i4>0</vt:i4>
      </vt:variant>
      <vt:variant>
        <vt:i4>5</vt:i4>
      </vt:variant>
      <vt:variant>
        <vt:lpwstr>https://doi.org/10.3109/00952990.2011.643977</vt:lpwstr>
      </vt:variant>
      <vt:variant>
        <vt:lpwstr/>
      </vt:variant>
      <vt:variant>
        <vt:i4>4653058</vt:i4>
      </vt:variant>
      <vt:variant>
        <vt:i4>2831</vt:i4>
      </vt:variant>
      <vt:variant>
        <vt:i4>0</vt:i4>
      </vt:variant>
      <vt:variant>
        <vt:i4>5</vt:i4>
      </vt:variant>
      <vt:variant>
        <vt:lpwstr>https://doi.org/https://doi.org/10.1016/j.drugalcdep.2014.03.035</vt:lpwstr>
      </vt:variant>
      <vt:variant>
        <vt:lpwstr/>
      </vt:variant>
      <vt:variant>
        <vt:i4>3276902</vt:i4>
      </vt:variant>
      <vt:variant>
        <vt:i4>2828</vt:i4>
      </vt:variant>
      <vt:variant>
        <vt:i4>0</vt:i4>
      </vt:variant>
      <vt:variant>
        <vt:i4>5</vt:i4>
      </vt:variant>
      <vt:variant>
        <vt:lpwstr>https://assets.publishing.service.gov.uk/government/uploads/system/uploads/attachment_data/file/1017944/The_myth_of_invisible_men_safeguarding_children_under_1_from_non-accidental_injury_caused_by_male_carers.pdf</vt:lpwstr>
      </vt:variant>
      <vt:variant>
        <vt:lpwstr/>
      </vt:variant>
      <vt:variant>
        <vt:i4>262234</vt:i4>
      </vt:variant>
      <vt:variant>
        <vt:i4>2825</vt:i4>
      </vt:variant>
      <vt:variant>
        <vt:i4>0</vt:i4>
      </vt:variant>
      <vt:variant>
        <vt:i4>5</vt:i4>
      </vt:variant>
      <vt:variant>
        <vt:lpwstr>https://doi.org/https://dx.doi.org/10.1007/s10488-014-0537-5</vt:lpwstr>
      </vt:variant>
      <vt:variant>
        <vt:lpwstr/>
      </vt:variant>
      <vt:variant>
        <vt:i4>786445</vt:i4>
      </vt:variant>
      <vt:variant>
        <vt:i4>2822</vt:i4>
      </vt:variant>
      <vt:variant>
        <vt:i4>0</vt:i4>
      </vt:variant>
      <vt:variant>
        <vt:i4>5</vt:i4>
      </vt:variant>
      <vt:variant>
        <vt:lpwstr>https://www.actiononaddiction.org.uk/media/112/m-pact-evaluation-report-2006-18-draft-v7b.pdf?1563200966</vt:lpwstr>
      </vt:variant>
      <vt:variant>
        <vt:lpwstr/>
      </vt:variant>
      <vt:variant>
        <vt:i4>4063287</vt:i4>
      </vt:variant>
      <vt:variant>
        <vt:i4>2819</vt:i4>
      </vt:variant>
      <vt:variant>
        <vt:i4>0</vt:i4>
      </vt:variant>
      <vt:variant>
        <vt:i4>5</vt:i4>
      </vt:variant>
      <vt:variant>
        <vt:lpwstr>https://doi.org/10.1093/bjsw/bcl374</vt:lpwstr>
      </vt:variant>
      <vt:variant>
        <vt:lpwstr/>
      </vt:variant>
      <vt:variant>
        <vt:i4>1966154</vt:i4>
      </vt:variant>
      <vt:variant>
        <vt:i4>2816</vt:i4>
      </vt:variant>
      <vt:variant>
        <vt:i4>0</vt:i4>
      </vt:variant>
      <vt:variant>
        <vt:i4>5</vt:i4>
      </vt:variant>
      <vt:variant>
        <vt:lpwstr>http://www.jstor.org/stable/23720534</vt:lpwstr>
      </vt:variant>
      <vt:variant>
        <vt:lpwstr/>
      </vt:variant>
      <vt:variant>
        <vt:i4>1769542</vt:i4>
      </vt:variant>
      <vt:variant>
        <vt:i4>2813</vt:i4>
      </vt:variant>
      <vt:variant>
        <vt:i4>0</vt:i4>
      </vt:variant>
      <vt:variant>
        <vt:i4>5</vt:i4>
      </vt:variant>
      <vt:variant>
        <vt:lpwstr>https://www.gov.uk/government/publications/evaluation-of-the-children-of-alcohol-dependent-parents-programme-innovation-fund/evaluation-of-the-children-of-alcohol-dependent-parents-programme-innovation-fund-full-report</vt:lpwstr>
      </vt:variant>
      <vt:variant>
        <vt:lpwstr>conclusions-and-reflections</vt:lpwstr>
      </vt:variant>
      <vt:variant>
        <vt:i4>2424954</vt:i4>
      </vt:variant>
      <vt:variant>
        <vt:i4>2810</vt:i4>
      </vt:variant>
      <vt:variant>
        <vt:i4>0</vt:i4>
      </vt:variant>
      <vt:variant>
        <vt:i4>5</vt:i4>
      </vt:variant>
      <vt:variant>
        <vt:lpwstr>https://www.tavinstitute.org/news/life-during-covid-times/</vt:lpwstr>
      </vt:variant>
      <vt:variant>
        <vt:lpwstr/>
      </vt:variant>
      <vt:variant>
        <vt:i4>5373976</vt:i4>
      </vt:variant>
      <vt:variant>
        <vt:i4>2807</vt:i4>
      </vt:variant>
      <vt:variant>
        <vt:i4>0</vt:i4>
      </vt:variant>
      <vt:variant>
        <vt:i4>5</vt:i4>
      </vt:variant>
      <vt:variant>
        <vt:lpwstr>https://doi.org/https://doi.org/10.1016/j.chiabu.2013.01.003</vt:lpwstr>
      </vt:variant>
      <vt:variant>
        <vt:lpwstr/>
      </vt:variant>
      <vt:variant>
        <vt:i4>1769563</vt:i4>
      </vt:variant>
      <vt:variant>
        <vt:i4>2804</vt:i4>
      </vt:variant>
      <vt:variant>
        <vt:i4>0</vt:i4>
      </vt:variant>
      <vt:variant>
        <vt:i4>5</vt:i4>
      </vt:variant>
      <vt:variant>
        <vt:lpwstr>https://doi.org/10.1080/10826080701212121</vt:lpwstr>
      </vt:variant>
      <vt:variant>
        <vt:lpwstr/>
      </vt:variant>
      <vt:variant>
        <vt:i4>1572885</vt:i4>
      </vt:variant>
      <vt:variant>
        <vt:i4>2801</vt:i4>
      </vt:variant>
      <vt:variant>
        <vt:i4>0</vt:i4>
      </vt:variant>
      <vt:variant>
        <vt:i4>5</vt:i4>
      </vt:variant>
      <vt:variant>
        <vt:lpwstr>https://doi.org/10.1017/S0954579417000220</vt:lpwstr>
      </vt:variant>
      <vt:variant>
        <vt:lpwstr/>
      </vt:variant>
      <vt:variant>
        <vt:i4>655434</vt:i4>
      </vt:variant>
      <vt:variant>
        <vt:i4>2798</vt:i4>
      </vt:variant>
      <vt:variant>
        <vt:i4>0</vt:i4>
      </vt:variant>
      <vt:variant>
        <vt:i4>5</vt:i4>
      </vt:variant>
      <vt:variant>
        <vt:lpwstr>https://doi.org/10.1080/14616734.2010.501983</vt:lpwstr>
      </vt:variant>
      <vt:variant>
        <vt:lpwstr/>
      </vt:variant>
      <vt:variant>
        <vt:i4>2883710</vt:i4>
      </vt:variant>
      <vt:variant>
        <vt:i4>2795</vt:i4>
      </vt:variant>
      <vt:variant>
        <vt:i4>0</vt:i4>
      </vt:variant>
      <vt:variant>
        <vt:i4>5</vt:i4>
      </vt:variant>
      <vt:variant>
        <vt:lpwstr>https://doi.org/https://doi.org/10.1016/j.jsat.2017.11.006</vt:lpwstr>
      </vt:variant>
      <vt:variant>
        <vt:lpwstr/>
      </vt:variant>
      <vt:variant>
        <vt:i4>5701650</vt:i4>
      </vt:variant>
      <vt:variant>
        <vt:i4>2792</vt:i4>
      </vt:variant>
      <vt:variant>
        <vt:i4>0</vt:i4>
      </vt:variant>
      <vt:variant>
        <vt:i4>5</vt:i4>
      </vt:variant>
      <vt:variant>
        <vt:lpwstr>https://doi.org/https://doi.org/10.1111/add.12904</vt:lpwstr>
      </vt:variant>
      <vt:variant>
        <vt:lpwstr/>
      </vt:variant>
      <vt:variant>
        <vt:i4>2228276</vt:i4>
      </vt:variant>
      <vt:variant>
        <vt:i4>2789</vt:i4>
      </vt:variant>
      <vt:variant>
        <vt:i4>0</vt:i4>
      </vt:variant>
      <vt:variant>
        <vt:i4>5</vt:i4>
      </vt:variant>
      <vt:variant>
        <vt:lpwstr>https://doi.org/10.1016/j.jsat.2019.07.003</vt:lpwstr>
      </vt:variant>
      <vt:variant>
        <vt:lpwstr/>
      </vt:variant>
      <vt:variant>
        <vt:i4>2228276</vt:i4>
      </vt:variant>
      <vt:variant>
        <vt:i4>2786</vt:i4>
      </vt:variant>
      <vt:variant>
        <vt:i4>0</vt:i4>
      </vt:variant>
      <vt:variant>
        <vt:i4>5</vt:i4>
      </vt:variant>
      <vt:variant>
        <vt:lpwstr>https://doi.org/10.1016/j.jsat.2019.07.003</vt:lpwstr>
      </vt:variant>
      <vt:variant>
        <vt:lpwstr/>
      </vt:variant>
      <vt:variant>
        <vt:i4>5308489</vt:i4>
      </vt:variant>
      <vt:variant>
        <vt:i4>2783</vt:i4>
      </vt:variant>
      <vt:variant>
        <vt:i4>0</vt:i4>
      </vt:variant>
      <vt:variant>
        <vt:i4>5</vt:i4>
      </vt:variant>
      <vt:variant>
        <vt:lpwstr>https://doi.org/10.1002/car.2528</vt:lpwstr>
      </vt:variant>
      <vt:variant>
        <vt:lpwstr/>
      </vt:variant>
      <vt:variant>
        <vt:i4>3473534</vt:i4>
      </vt:variant>
      <vt:variant>
        <vt:i4>2780</vt:i4>
      </vt:variant>
      <vt:variant>
        <vt:i4>0</vt:i4>
      </vt:variant>
      <vt:variant>
        <vt:i4>5</vt:i4>
      </vt:variant>
      <vt:variant>
        <vt:lpwstr>https://doi.org/10.1111/famp.12136</vt:lpwstr>
      </vt:variant>
      <vt:variant>
        <vt:lpwstr/>
      </vt:variant>
      <vt:variant>
        <vt:i4>4259935</vt:i4>
      </vt:variant>
      <vt:variant>
        <vt:i4>2777</vt:i4>
      </vt:variant>
      <vt:variant>
        <vt:i4>0</vt:i4>
      </vt:variant>
      <vt:variant>
        <vt:i4>5</vt:i4>
      </vt:variant>
      <vt:variant>
        <vt:lpwstr>https://doi.org/https://doi.org/10.1016/j.avb.2006.03.006</vt:lpwstr>
      </vt:variant>
      <vt:variant>
        <vt:lpwstr/>
      </vt:variant>
      <vt:variant>
        <vt:i4>5308496</vt:i4>
      </vt:variant>
      <vt:variant>
        <vt:i4>2774</vt:i4>
      </vt:variant>
      <vt:variant>
        <vt:i4>0</vt:i4>
      </vt:variant>
      <vt:variant>
        <vt:i4>5</vt:i4>
      </vt:variant>
      <vt:variant>
        <vt:lpwstr>https://doi.org/https://doi.org/10.1111/j.1365-2206.2012.00888.x</vt:lpwstr>
      </vt:variant>
      <vt:variant>
        <vt:lpwstr/>
      </vt:variant>
      <vt:variant>
        <vt:i4>2752568</vt:i4>
      </vt:variant>
      <vt:variant>
        <vt:i4>2771</vt:i4>
      </vt:variant>
      <vt:variant>
        <vt:i4>0</vt:i4>
      </vt:variant>
      <vt:variant>
        <vt:i4>5</vt:i4>
      </vt:variant>
      <vt:variant>
        <vt:lpwstr>https://doi.org/10.1007/s10198-021-01313-0</vt:lpwstr>
      </vt:variant>
      <vt:variant>
        <vt:lpwstr/>
      </vt:variant>
      <vt:variant>
        <vt:i4>2949183</vt:i4>
      </vt:variant>
      <vt:variant>
        <vt:i4>2768</vt:i4>
      </vt:variant>
      <vt:variant>
        <vt:i4>0</vt:i4>
      </vt:variant>
      <vt:variant>
        <vt:i4>5</vt:i4>
      </vt:variant>
      <vt:variant>
        <vt:lpwstr>https://doi.org/10.1007/s10198-019-01157-9</vt:lpwstr>
      </vt:variant>
      <vt:variant>
        <vt:lpwstr/>
      </vt:variant>
      <vt:variant>
        <vt:i4>2687025</vt:i4>
      </vt:variant>
      <vt:variant>
        <vt:i4>2765</vt:i4>
      </vt:variant>
      <vt:variant>
        <vt:i4>0</vt:i4>
      </vt:variant>
      <vt:variant>
        <vt:i4>5</vt:i4>
      </vt:variant>
      <vt:variant>
        <vt:lpwstr>https://doi.org/10.1002/14651858.CD007361.pub2</vt:lpwstr>
      </vt:variant>
      <vt:variant>
        <vt:lpwstr/>
      </vt:variant>
      <vt:variant>
        <vt:i4>8126567</vt:i4>
      </vt:variant>
      <vt:variant>
        <vt:i4>2762</vt:i4>
      </vt:variant>
      <vt:variant>
        <vt:i4>0</vt:i4>
      </vt:variant>
      <vt:variant>
        <vt:i4>5</vt:i4>
      </vt:variant>
      <vt:variant>
        <vt:lpwstr>https://doi.org/10.1037/adb0000199</vt:lpwstr>
      </vt:variant>
      <vt:variant>
        <vt:lpwstr/>
      </vt:variant>
      <vt:variant>
        <vt:i4>4390935</vt:i4>
      </vt:variant>
      <vt:variant>
        <vt:i4>2759</vt:i4>
      </vt:variant>
      <vt:variant>
        <vt:i4>0</vt:i4>
      </vt:variant>
      <vt:variant>
        <vt:i4>5</vt:i4>
      </vt:variant>
      <vt:variant>
        <vt:lpwstr>https://doi.org/https://doi.org/10.1016/j.addbeh.2014.02.003</vt:lpwstr>
      </vt:variant>
      <vt:variant>
        <vt:lpwstr/>
      </vt:variant>
      <vt:variant>
        <vt:i4>2818110</vt:i4>
      </vt:variant>
      <vt:variant>
        <vt:i4>2756</vt:i4>
      </vt:variant>
      <vt:variant>
        <vt:i4>0</vt:i4>
      </vt:variant>
      <vt:variant>
        <vt:i4>5</vt:i4>
      </vt:variant>
      <vt:variant>
        <vt:lpwstr>https://doi.org/10.1016/j.jsat.2013.05.008</vt:lpwstr>
      </vt:variant>
      <vt:variant>
        <vt:lpwstr/>
      </vt:variant>
      <vt:variant>
        <vt:i4>3735614</vt:i4>
      </vt:variant>
      <vt:variant>
        <vt:i4>2753</vt:i4>
      </vt:variant>
      <vt:variant>
        <vt:i4>0</vt:i4>
      </vt:variant>
      <vt:variant>
        <vt:i4>5</vt:i4>
      </vt:variant>
      <vt:variant>
        <vt:lpwstr>https://doi.org/10.1016/j.jval.2012.06.014</vt:lpwstr>
      </vt:variant>
      <vt:variant>
        <vt:lpwstr/>
      </vt:variant>
      <vt:variant>
        <vt:i4>2687035</vt:i4>
      </vt:variant>
      <vt:variant>
        <vt:i4>2750</vt:i4>
      </vt:variant>
      <vt:variant>
        <vt:i4>0</vt:i4>
      </vt:variant>
      <vt:variant>
        <vt:i4>5</vt:i4>
      </vt:variant>
      <vt:variant>
        <vt:lpwstr>https://seriouscasereviews.rip.org.uk/wp-content/uploads/Triennial_Analysis_of_SCRs_2011-2014_Pathways_to_harm_and_protection_299616.pdf</vt:lpwstr>
      </vt:variant>
      <vt:variant>
        <vt:lpwstr/>
      </vt:variant>
      <vt:variant>
        <vt:i4>2752561</vt:i4>
      </vt:variant>
      <vt:variant>
        <vt:i4>2747</vt:i4>
      </vt:variant>
      <vt:variant>
        <vt:i4>0</vt:i4>
      </vt:variant>
      <vt:variant>
        <vt:i4>5</vt:i4>
      </vt:variant>
      <vt:variant>
        <vt:lpwstr>https://doi.org/10.1007/s11469-023-01065-3</vt:lpwstr>
      </vt:variant>
      <vt:variant>
        <vt:lpwstr/>
      </vt:variant>
      <vt:variant>
        <vt:i4>3342390</vt:i4>
      </vt:variant>
      <vt:variant>
        <vt:i4>2744</vt:i4>
      </vt:variant>
      <vt:variant>
        <vt:i4>0</vt:i4>
      </vt:variant>
      <vt:variant>
        <vt:i4>5</vt:i4>
      </vt:variant>
      <vt:variant>
        <vt:lpwstr>https://doi.org/10.2188/jea.JE20210145</vt:lpwstr>
      </vt:variant>
      <vt:variant>
        <vt:lpwstr/>
      </vt:variant>
      <vt:variant>
        <vt:i4>5701716</vt:i4>
      </vt:variant>
      <vt:variant>
        <vt:i4>2741</vt:i4>
      </vt:variant>
      <vt:variant>
        <vt:i4>0</vt:i4>
      </vt:variant>
      <vt:variant>
        <vt:i4>5</vt:i4>
      </vt:variant>
      <vt:variant>
        <vt:lpwstr>https://www.ncjrs.gov/pdffiles/171676.pdf</vt:lpwstr>
      </vt:variant>
      <vt:variant>
        <vt:lpwstr/>
      </vt:variant>
      <vt:variant>
        <vt:i4>4653120</vt:i4>
      </vt:variant>
      <vt:variant>
        <vt:i4>2738</vt:i4>
      </vt:variant>
      <vt:variant>
        <vt:i4>0</vt:i4>
      </vt:variant>
      <vt:variant>
        <vt:i4>5</vt:i4>
      </vt:variant>
      <vt:variant>
        <vt:lpwstr>https://doi.org/10.1016/j.drugalcdep.2011.02.019</vt:lpwstr>
      </vt:variant>
      <vt:variant>
        <vt:lpwstr/>
      </vt:variant>
      <vt:variant>
        <vt:i4>1245265</vt:i4>
      </vt:variant>
      <vt:variant>
        <vt:i4>2735</vt:i4>
      </vt:variant>
      <vt:variant>
        <vt:i4>0</vt:i4>
      </vt:variant>
      <vt:variant>
        <vt:i4>5</vt:i4>
      </vt:variant>
      <vt:variant>
        <vt:lpwstr>https://doi.org/10.1136/archdischild-2020-320435</vt:lpwstr>
      </vt:variant>
      <vt:variant>
        <vt:lpwstr/>
      </vt:variant>
      <vt:variant>
        <vt:i4>5242904</vt:i4>
      </vt:variant>
      <vt:variant>
        <vt:i4>2732</vt:i4>
      </vt:variant>
      <vt:variant>
        <vt:i4>0</vt:i4>
      </vt:variant>
      <vt:variant>
        <vt:i4>5</vt:i4>
      </vt:variant>
      <vt:variant>
        <vt:lpwstr>https://doi.org/https://doi.org/10.1016/j.chiabu.2013.04.004</vt:lpwstr>
      </vt:variant>
      <vt:variant>
        <vt:lpwstr/>
      </vt:variant>
      <vt:variant>
        <vt:i4>2490424</vt:i4>
      </vt:variant>
      <vt:variant>
        <vt:i4>2729</vt:i4>
      </vt:variant>
      <vt:variant>
        <vt:i4>0</vt:i4>
      </vt:variant>
      <vt:variant>
        <vt:i4>5</vt:i4>
      </vt:variant>
      <vt:variant>
        <vt:lpwstr>http://dx.doi.org/10.1787/9789264181069-en</vt:lpwstr>
      </vt:variant>
      <vt:variant>
        <vt:lpwstr/>
      </vt:variant>
      <vt:variant>
        <vt:i4>6684734</vt:i4>
      </vt:variant>
      <vt:variant>
        <vt:i4>2726</vt:i4>
      </vt:variant>
      <vt:variant>
        <vt:i4>0</vt:i4>
      </vt:variant>
      <vt:variant>
        <vt:i4>5</vt:i4>
      </vt:variant>
      <vt:variant>
        <vt:lpwstr>https://doi.org/10.1007/s00787-022-01969-w</vt:lpwstr>
      </vt:variant>
      <vt:variant>
        <vt:lpwstr/>
      </vt:variant>
      <vt:variant>
        <vt:i4>7602222</vt:i4>
      </vt:variant>
      <vt:variant>
        <vt:i4>2723</vt:i4>
      </vt:variant>
      <vt:variant>
        <vt:i4>0</vt:i4>
      </vt:variant>
      <vt:variant>
        <vt:i4>5</vt:i4>
      </vt:variant>
      <vt:variant>
        <vt:lpwstr>https://doi.org/https://doi.org/10.1093/swr/30.2.95</vt:lpwstr>
      </vt:variant>
      <vt:variant>
        <vt:lpwstr/>
      </vt:variant>
      <vt:variant>
        <vt:i4>4849751</vt:i4>
      </vt:variant>
      <vt:variant>
        <vt:i4>2720</vt:i4>
      </vt:variant>
      <vt:variant>
        <vt:i4>0</vt:i4>
      </vt:variant>
      <vt:variant>
        <vt:i4>5</vt:i4>
      </vt:variant>
      <vt:variant>
        <vt:lpwstr>https://doi.org/DOI:10.1002/9780470316696</vt:lpwstr>
      </vt:variant>
      <vt:variant>
        <vt:lpwstr/>
      </vt:variant>
      <vt:variant>
        <vt:i4>6160462</vt:i4>
      </vt:variant>
      <vt:variant>
        <vt:i4>2717</vt:i4>
      </vt:variant>
      <vt:variant>
        <vt:i4>0</vt:i4>
      </vt:variant>
      <vt:variant>
        <vt:i4>5</vt:i4>
      </vt:variant>
      <vt:variant>
        <vt:lpwstr>https://doi.org/10.1111/dar.12319</vt:lpwstr>
      </vt:variant>
      <vt:variant>
        <vt:lpwstr/>
      </vt:variant>
      <vt:variant>
        <vt:i4>2097208</vt:i4>
      </vt:variant>
      <vt:variant>
        <vt:i4>2714</vt:i4>
      </vt:variant>
      <vt:variant>
        <vt:i4>0</vt:i4>
      </vt:variant>
      <vt:variant>
        <vt:i4>5</vt:i4>
      </vt:variant>
      <vt:variant>
        <vt:lpwstr>https://doi.org/10.1186/s12889-021-12219-0</vt:lpwstr>
      </vt:variant>
      <vt:variant>
        <vt:lpwstr/>
      </vt:variant>
      <vt:variant>
        <vt:i4>6619176</vt:i4>
      </vt:variant>
      <vt:variant>
        <vt:i4>2711</vt:i4>
      </vt:variant>
      <vt:variant>
        <vt:i4>0</vt:i4>
      </vt:variant>
      <vt:variant>
        <vt:i4>5</vt:i4>
      </vt:variant>
      <vt:variant>
        <vt:lpwstr>https://www.mdpi.com/2076-0817/9/6/432</vt:lpwstr>
      </vt:variant>
      <vt:variant>
        <vt:lpwstr/>
      </vt:variant>
      <vt:variant>
        <vt:i4>7340047</vt:i4>
      </vt:variant>
      <vt:variant>
        <vt:i4>2708</vt:i4>
      </vt:variant>
      <vt:variant>
        <vt:i4>0</vt:i4>
      </vt:variant>
      <vt:variant>
        <vt:i4>5</vt:i4>
      </vt:variant>
      <vt:variant>
        <vt:lpwstr>https://assets.publishing.service.gov.uk/government/uploads/system/uploads/attachment_data/file/785198/NDTMS_adult_drug_and_alcohol_treatment_business_definitions_CDS-O.pdf</vt:lpwstr>
      </vt:variant>
      <vt:variant>
        <vt:lpwstr/>
      </vt:variant>
      <vt:variant>
        <vt:i4>7798823</vt:i4>
      </vt:variant>
      <vt:variant>
        <vt:i4>2705</vt:i4>
      </vt:variant>
      <vt:variant>
        <vt:i4>0</vt:i4>
      </vt:variant>
      <vt:variant>
        <vt:i4>5</vt:i4>
      </vt:variant>
      <vt:variant>
        <vt:lpwstr>https://www.gov.uk/government/statistics/substance-misuse-treatment-for-adults-statistics-2019-to-2020/adult-substance-misuse-treatment-statistics-2019-to-2020-report</vt:lpwstr>
      </vt:variant>
      <vt:variant>
        <vt:lpwstr/>
      </vt:variant>
      <vt:variant>
        <vt:i4>5374053</vt:i4>
      </vt:variant>
      <vt:variant>
        <vt:i4>2702</vt:i4>
      </vt:variant>
      <vt:variant>
        <vt:i4>0</vt:i4>
      </vt:variant>
      <vt:variant>
        <vt:i4>5</vt:i4>
      </vt:variant>
      <vt:variant>
        <vt:lpwstr>https://www.ndtms.net/resources/public/NDTMS_annual_report-Quality_methodology.pdf</vt:lpwstr>
      </vt:variant>
      <vt:variant>
        <vt:lpwstr/>
      </vt:variant>
      <vt:variant>
        <vt:i4>7340047</vt:i4>
      </vt:variant>
      <vt:variant>
        <vt:i4>2699</vt:i4>
      </vt:variant>
      <vt:variant>
        <vt:i4>0</vt:i4>
      </vt:variant>
      <vt:variant>
        <vt:i4>5</vt:i4>
      </vt:variant>
      <vt:variant>
        <vt:lpwstr>https://assets.publishing.service.gov.uk/government/uploads/system/uploads/attachment_data/file/785198/NDTMS_adult_drug_and_alcohol_treatment_business_definitions_CDS-O.pdf</vt:lpwstr>
      </vt:variant>
      <vt:variant>
        <vt:lpwstr/>
      </vt:variant>
      <vt:variant>
        <vt:i4>19</vt:i4>
      </vt:variant>
      <vt:variant>
        <vt:i4>2696</vt:i4>
      </vt:variant>
      <vt:variant>
        <vt:i4>0</vt:i4>
      </vt:variant>
      <vt:variant>
        <vt:i4>5</vt:i4>
      </vt:variant>
      <vt:variant>
        <vt:lpwstr>https://www.pssru.ac.uk/unitcostsreport/</vt:lpwstr>
      </vt:variant>
      <vt:variant>
        <vt:lpwstr/>
      </vt:variant>
      <vt:variant>
        <vt:i4>2031699</vt:i4>
      </vt:variant>
      <vt:variant>
        <vt:i4>2693</vt:i4>
      </vt:variant>
      <vt:variant>
        <vt:i4>0</vt:i4>
      </vt:variant>
      <vt:variant>
        <vt:i4>5</vt:i4>
      </vt:variant>
      <vt:variant>
        <vt:lpwstr>https://doi.org/10.1177/10443894221145751</vt:lpwstr>
      </vt:variant>
      <vt:variant>
        <vt:lpwstr/>
      </vt:variant>
      <vt:variant>
        <vt:i4>917532</vt:i4>
      </vt:variant>
      <vt:variant>
        <vt:i4>2690</vt:i4>
      </vt:variant>
      <vt:variant>
        <vt:i4>0</vt:i4>
      </vt:variant>
      <vt:variant>
        <vt:i4>5</vt:i4>
      </vt:variant>
      <vt:variant>
        <vt:lpwstr>https://doi.org/10.1007/s10826-018-1061-0</vt:lpwstr>
      </vt:variant>
      <vt:variant>
        <vt:lpwstr/>
      </vt:variant>
      <vt:variant>
        <vt:i4>4456521</vt:i4>
      </vt:variant>
      <vt:variant>
        <vt:i4>2687</vt:i4>
      </vt:variant>
      <vt:variant>
        <vt:i4>0</vt:i4>
      </vt:variant>
      <vt:variant>
        <vt:i4>5</vt:i4>
      </vt:variant>
      <vt:variant>
        <vt:lpwstr>https://doi.org/10.1016/j.drugalcdep.2018.01.019</vt:lpwstr>
      </vt:variant>
      <vt:variant>
        <vt:lpwstr/>
      </vt:variant>
      <vt:variant>
        <vt:i4>458783</vt:i4>
      </vt:variant>
      <vt:variant>
        <vt:i4>2684</vt:i4>
      </vt:variant>
      <vt:variant>
        <vt:i4>0</vt:i4>
      </vt:variant>
      <vt:variant>
        <vt:i4>5</vt:i4>
      </vt:variant>
      <vt:variant>
        <vt:lpwstr>https://doi.org/10.1007/s40273-015-0295-6</vt:lpwstr>
      </vt:variant>
      <vt:variant>
        <vt:lpwstr/>
      </vt:variant>
      <vt:variant>
        <vt:i4>7471200</vt:i4>
      </vt:variant>
      <vt:variant>
        <vt:i4>2681</vt:i4>
      </vt:variant>
      <vt:variant>
        <vt:i4>0</vt:i4>
      </vt:variant>
      <vt:variant>
        <vt:i4>5</vt:i4>
      </vt:variant>
      <vt:variant>
        <vt:lpwstr>https://doi.org/http://dx.doi.org/10.1007/s10826-014-9930-7</vt:lpwstr>
      </vt:variant>
      <vt:variant>
        <vt:lpwstr/>
      </vt:variant>
      <vt:variant>
        <vt:i4>2556023</vt:i4>
      </vt:variant>
      <vt:variant>
        <vt:i4>2678</vt:i4>
      </vt:variant>
      <vt:variant>
        <vt:i4>0</vt:i4>
      </vt:variant>
      <vt:variant>
        <vt:i4>5</vt:i4>
      </vt:variant>
      <vt:variant>
        <vt:lpwstr>https://doi.org/10.1002/imhj.20100</vt:lpwstr>
      </vt:variant>
      <vt:variant>
        <vt:lpwstr/>
      </vt:variant>
      <vt:variant>
        <vt:i4>6750248</vt:i4>
      </vt:variant>
      <vt:variant>
        <vt:i4>2675</vt:i4>
      </vt:variant>
      <vt:variant>
        <vt:i4>0</vt:i4>
      </vt:variant>
      <vt:variant>
        <vt:i4>5</vt:i4>
      </vt:variant>
      <vt:variant>
        <vt:lpwstr>https://www.mdpi.com/1660-4601/21/1/63</vt:lpwstr>
      </vt:variant>
      <vt:variant>
        <vt:lpwstr/>
      </vt:variant>
      <vt:variant>
        <vt:i4>2752639</vt:i4>
      </vt:variant>
      <vt:variant>
        <vt:i4>2672</vt:i4>
      </vt:variant>
      <vt:variant>
        <vt:i4>0</vt:i4>
      </vt:variant>
      <vt:variant>
        <vt:i4>5</vt:i4>
      </vt:variant>
      <vt:variant>
        <vt:lpwstr>https://doi.org/https://doi.org/10.1016/j.jsat.2017.02.003</vt:lpwstr>
      </vt:variant>
      <vt:variant>
        <vt:lpwstr/>
      </vt:variant>
      <vt:variant>
        <vt:i4>4325435</vt:i4>
      </vt:variant>
      <vt:variant>
        <vt:i4>2669</vt:i4>
      </vt:variant>
      <vt:variant>
        <vt:i4>0</vt:i4>
      </vt:variant>
      <vt:variant>
        <vt:i4>5</vt:i4>
      </vt:variant>
      <vt:variant>
        <vt:lpwstr>https://doi.org/10.1207/s15374424jccp3402_9</vt:lpwstr>
      </vt:variant>
      <vt:variant>
        <vt:lpwstr/>
      </vt:variant>
      <vt:variant>
        <vt:i4>2424883</vt:i4>
      </vt:variant>
      <vt:variant>
        <vt:i4>2666</vt:i4>
      </vt:variant>
      <vt:variant>
        <vt:i4>0</vt:i4>
      </vt:variant>
      <vt:variant>
        <vt:i4>5</vt:i4>
      </vt:variant>
      <vt:variant>
        <vt:lpwstr>https://www.ndtms.net/</vt:lpwstr>
      </vt:variant>
      <vt:variant>
        <vt:lpwstr/>
      </vt:variant>
      <vt:variant>
        <vt:i4>3276849</vt:i4>
      </vt:variant>
      <vt:variant>
        <vt:i4>2663</vt:i4>
      </vt:variant>
      <vt:variant>
        <vt:i4>0</vt:i4>
      </vt:variant>
      <vt:variant>
        <vt:i4>5</vt:i4>
      </vt:variant>
      <vt:variant>
        <vt:lpwstr>https://www.gov.uk/government/consultations/uk-clinical-guidelines-for-alcohol-treatment/uk-clinical-guidelines-for-alcohol-treatment-core-elements-of-alcohol-treatment</vt:lpwstr>
      </vt:variant>
      <vt:variant>
        <vt:lpwstr>pharmacological-interventions-1</vt:lpwstr>
      </vt:variant>
      <vt:variant>
        <vt:i4>7929922</vt:i4>
      </vt:variant>
      <vt:variant>
        <vt:i4>2660</vt:i4>
      </vt:variant>
      <vt:variant>
        <vt:i4>0</vt:i4>
      </vt:variant>
      <vt:variant>
        <vt:i4>5</vt:i4>
      </vt:variant>
      <vt:variant>
        <vt:lpwstr>https://assets.publishing.service.gov.uk/government/uploads/system/uploads/attachment_data/file/722740/Older_children_neglect_FINAL_060718.pdf</vt:lpwstr>
      </vt:variant>
      <vt:variant>
        <vt:lpwstr/>
      </vt:variant>
      <vt:variant>
        <vt:i4>2556004</vt:i4>
      </vt:variant>
      <vt:variant>
        <vt:i4>2657</vt:i4>
      </vt:variant>
      <vt:variant>
        <vt:i4>0</vt:i4>
      </vt:variant>
      <vt:variant>
        <vt:i4>5</vt:i4>
      </vt:variant>
      <vt:variant>
        <vt:lpwstr>https://www.childrenscommissioner.gov.uk/resource/childhood-vulnerability-in-england-2019/</vt:lpwstr>
      </vt:variant>
      <vt:variant>
        <vt:lpwstr/>
      </vt:variant>
      <vt:variant>
        <vt:i4>4325444</vt:i4>
      </vt:variant>
      <vt:variant>
        <vt:i4>2654</vt:i4>
      </vt:variant>
      <vt:variant>
        <vt:i4>0</vt:i4>
      </vt:variant>
      <vt:variant>
        <vt:i4>5</vt:i4>
      </vt:variant>
      <vt:variant>
        <vt:lpwstr>https://learning.nspcc.org.uk/media/w2eh34r1/learning-from-case-reviews-parents-substance-use.pdf</vt:lpwstr>
      </vt:variant>
      <vt:variant>
        <vt:lpwstr/>
      </vt:variant>
      <vt:variant>
        <vt:i4>2555982</vt:i4>
      </vt:variant>
      <vt:variant>
        <vt:i4>2651</vt:i4>
      </vt:variant>
      <vt:variant>
        <vt:i4>0</vt:i4>
      </vt:variant>
      <vt:variant>
        <vt:i4>5</vt:i4>
      </vt:variant>
      <vt:variant>
        <vt:lpwstr>https://www.nspcc.org.uk/about-us/news-opinion/2021/parents-drug-and-alcohol-misuse-raises-concerns-as-reports-to-nspcc--soars-during-the-pandemic/?utm_source=Adestra&amp;utm_medium=email&amp;utm_content=Contacts%20to%20the%20NSPCC%20about%20drug%20and%20alcohol%20misuse%20among%20parents%20soar%20during%20the%20pandemic&amp;utm_campaign=20210222_KIS_CASPAR_February22</vt:lpwstr>
      </vt:variant>
      <vt:variant>
        <vt:lpwstr/>
      </vt:variant>
      <vt:variant>
        <vt:i4>8061025</vt:i4>
      </vt:variant>
      <vt:variant>
        <vt:i4>2648</vt:i4>
      </vt:variant>
      <vt:variant>
        <vt:i4>0</vt:i4>
      </vt:variant>
      <vt:variant>
        <vt:i4>5</vt:i4>
      </vt:variant>
      <vt:variant>
        <vt:lpwstr>https://learning.nspcc.org.uk/media/2241/impact-of-coronavirus-pandemic-on-child-welfare-domestic-abuse.pdf</vt:lpwstr>
      </vt:variant>
      <vt:variant>
        <vt:lpwstr/>
      </vt:variant>
      <vt:variant>
        <vt:i4>2949230</vt:i4>
      </vt:variant>
      <vt:variant>
        <vt:i4>2645</vt:i4>
      </vt:variant>
      <vt:variant>
        <vt:i4>0</vt:i4>
      </vt:variant>
      <vt:variant>
        <vt:i4>5</vt:i4>
      </vt:variant>
      <vt:variant>
        <vt:lpwstr>https://www.nice.org.uk/process/pmg4/chapter/incorporating-health-economics</vt:lpwstr>
      </vt:variant>
      <vt:variant>
        <vt:lpwstr/>
      </vt:variant>
      <vt:variant>
        <vt:i4>5177348</vt:i4>
      </vt:variant>
      <vt:variant>
        <vt:i4>2642</vt:i4>
      </vt:variant>
      <vt:variant>
        <vt:i4>0</vt:i4>
      </vt:variant>
      <vt:variant>
        <vt:i4>5</vt:i4>
      </vt:variant>
      <vt:variant>
        <vt:lpwstr>https://www.nice.org.uk/guidance/qs23</vt:lpwstr>
      </vt:variant>
      <vt:variant>
        <vt:lpwstr/>
      </vt:variant>
      <vt:variant>
        <vt:i4>7012385</vt:i4>
      </vt:variant>
      <vt:variant>
        <vt:i4>2639</vt:i4>
      </vt:variant>
      <vt:variant>
        <vt:i4>0</vt:i4>
      </vt:variant>
      <vt:variant>
        <vt:i4>5</vt:i4>
      </vt:variant>
      <vt:variant>
        <vt:lpwstr>https://www.nice.org.uk/guidance/cg115</vt:lpwstr>
      </vt:variant>
      <vt:variant>
        <vt:lpwstr/>
      </vt:variant>
      <vt:variant>
        <vt:i4>7340139</vt:i4>
      </vt:variant>
      <vt:variant>
        <vt:i4>2636</vt:i4>
      </vt:variant>
      <vt:variant>
        <vt:i4>0</vt:i4>
      </vt:variant>
      <vt:variant>
        <vt:i4>5</vt:i4>
      </vt:variant>
      <vt:variant>
        <vt:lpwstr>https://doi.org/10.1037/adb0000551</vt:lpwstr>
      </vt:variant>
      <vt:variant>
        <vt:lpwstr/>
      </vt:variant>
      <vt:variant>
        <vt:i4>2883640</vt:i4>
      </vt:variant>
      <vt:variant>
        <vt:i4>2633</vt:i4>
      </vt:variant>
      <vt:variant>
        <vt:i4>0</vt:i4>
      </vt:variant>
      <vt:variant>
        <vt:i4>5</vt:i4>
      </vt:variant>
      <vt:variant>
        <vt:lpwstr>https://doi.org/10.1007/s10826-021-02099-8</vt:lpwstr>
      </vt:variant>
      <vt:variant>
        <vt:lpwstr/>
      </vt:variant>
      <vt:variant>
        <vt:i4>524385</vt:i4>
      </vt:variant>
      <vt:variant>
        <vt:i4>2630</vt:i4>
      </vt:variant>
      <vt:variant>
        <vt:i4>0</vt:i4>
      </vt:variant>
      <vt:variant>
        <vt:i4>5</vt:i4>
      </vt:variant>
      <vt:variant>
        <vt:lpwstr>https://www.nao.org.uk/wp-content/uploads/2013/12/10331-001-Evaluation-in-government_NEW.pdf</vt:lpwstr>
      </vt:variant>
      <vt:variant>
        <vt:lpwstr/>
      </vt:variant>
      <vt:variant>
        <vt:i4>4390981</vt:i4>
      </vt:variant>
      <vt:variant>
        <vt:i4>2627</vt:i4>
      </vt:variant>
      <vt:variant>
        <vt:i4>0</vt:i4>
      </vt:variant>
      <vt:variant>
        <vt:i4>5</vt:i4>
      </vt:variant>
      <vt:variant>
        <vt:lpwstr>https://www.ndtms.net/VFM</vt:lpwstr>
      </vt:variant>
      <vt:variant>
        <vt:lpwstr/>
      </vt:variant>
      <vt:variant>
        <vt:i4>2031646</vt:i4>
      </vt:variant>
      <vt:variant>
        <vt:i4>2624</vt:i4>
      </vt:variant>
      <vt:variant>
        <vt:i4>0</vt:i4>
      </vt:variant>
      <vt:variant>
        <vt:i4>5</vt:i4>
      </vt:variant>
      <vt:variant>
        <vt:lpwstr>https://doi.org/10.1017/S0047279421000507</vt:lpwstr>
      </vt:variant>
      <vt:variant>
        <vt:lpwstr/>
      </vt:variant>
      <vt:variant>
        <vt:i4>8257599</vt:i4>
      </vt:variant>
      <vt:variant>
        <vt:i4>2621</vt:i4>
      </vt:variant>
      <vt:variant>
        <vt:i4>0</vt:i4>
      </vt:variant>
      <vt:variant>
        <vt:i4>5</vt:i4>
      </vt:variant>
      <vt:variant>
        <vt:lpwstr>https://doi.org/http://dx.doi.org/10.1080/15548732.2017.1340221</vt:lpwstr>
      </vt:variant>
      <vt:variant>
        <vt:lpwstr/>
      </vt:variant>
      <vt:variant>
        <vt:i4>655450</vt:i4>
      </vt:variant>
      <vt:variant>
        <vt:i4>2618</vt:i4>
      </vt:variant>
      <vt:variant>
        <vt:i4>0</vt:i4>
      </vt:variant>
      <vt:variant>
        <vt:i4>5</vt:i4>
      </vt:variant>
      <vt:variant>
        <vt:lpwstr>https://doi.org/10.2105/AJPH.2005.076380</vt:lpwstr>
      </vt:variant>
      <vt:variant>
        <vt:lpwstr/>
      </vt:variant>
      <vt:variant>
        <vt:i4>2097205</vt:i4>
      </vt:variant>
      <vt:variant>
        <vt:i4>2615</vt:i4>
      </vt:variant>
      <vt:variant>
        <vt:i4>0</vt:i4>
      </vt:variant>
      <vt:variant>
        <vt:i4>5</vt:i4>
      </vt:variant>
      <vt:variant>
        <vt:lpwstr>https://doi.org/10.1016/j.jsat.2018.03.005</vt:lpwstr>
      </vt:variant>
      <vt:variant>
        <vt:lpwstr/>
      </vt:variant>
      <vt:variant>
        <vt:i4>5111836</vt:i4>
      </vt:variant>
      <vt:variant>
        <vt:i4>2612</vt:i4>
      </vt:variant>
      <vt:variant>
        <vt:i4>0</vt:i4>
      </vt:variant>
      <vt:variant>
        <vt:i4>5</vt:i4>
      </vt:variant>
      <vt:variant>
        <vt:lpwstr>https://doi.org/https://doi.org/10.1016/j.childyouth.2021.106021</vt:lpwstr>
      </vt:variant>
      <vt:variant>
        <vt:lpwstr/>
      </vt:variant>
      <vt:variant>
        <vt:i4>4522072</vt:i4>
      </vt:variant>
      <vt:variant>
        <vt:i4>2609</vt:i4>
      </vt:variant>
      <vt:variant>
        <vt:i4>0</vt:i4>
      </vt:variant>
      <vt:variant>
        <vt:i4>5</vt:i4>
      </vt:variant>
      <vt:variant>
        <vt:lpwstr>https://learning.nspcc.org.uk/media/2488/still-here-for-children-sharing-experiences-nspcc-staff-during-covid-19.pdf</vt:lpwstr>
      </vt:variant>
      <vt:variant>
        <vt:lpwstr/>
      </vt:variant>
      <vt:variant>
        <vt:i4>2687032</vt:i4>
      </vt:variant>
      <vt:variant>
        <vt:i4>2606</vt:i4>
      </vt:variant>
      <vt:variant>
        <vt:i4>0</vt:i4>
      </vt:variant>
      <vt:variant>
        <vt:i4>5</vt:i4>
      </vt:variant>
      <vt:variant>
        <vt:lpwstr>https://doi.org/10.1002/14651858.CD006318.pub4</vt:lpwstr>
      </vt:variant>
      <vt:variant>
        <vt:lpwstr/>
      </vt:variant>
      <vt:variant>
        <vt:i4>4325381</vt:i4>
      </vt:variant>
      <vt:variant>
        <vt:i4>2603</vt:i4>
      </vt:variant>
      <vt:variant>
        <vt:i4>0</vt:i4>
      </vt:variant>
      <vt:variant>
        <vt:i4>5</vt:i4>
      </vt:variant>
      <vt:variant>
        <vt:lpwstr>https://doi.org/https://doi.org/10.1016/j.drugalcdep.2012.03.020</vt:lpwstr>
      </vt:variant>
      <vt:variant>
        <vt:lpwstr/>
      </vt:variant>
      <vt:variant>
        <vt:i4>4587590</vt:i4>
      </vt:variant>
      <vt:variant>
        <vt:i4>2600</vt:i4>
      </vt:variant>
      <vt:variant>
        <vt:i4>0</vt:i4>
      </vt:variant>
      <vt:variant>
        <vt:i4>5</vt:i4>
      </vt:variant>
      <vt:variant>
        <vt:lpwstr>https://doi.org/10.1016/j.jpsychires.2016.06.001</vt:lpwstr>
      </vt:variant>
      <vt:variant>
        <vt:lpwstr/>
      </vt:variant>
      <vt:variant>
        <vt:i4>5767261</vt:i4>
      </vt:variant>
      <vt:variant>
        <vt:i4>2597</vt:i4>
      </vt:variant>
      <vt:variant>
        <vt:i4>0</vt:i4>
      </vt:variant>
      <vt:variant>
        <vt:i4>5</vt:i4>
      </vt:variant>
      <vt:variant>
        <vt:lpwstr>https://doi.org/10.1111/add.15357</vt:lpwstr>
      </vt:variant>
      <vt:variant>
        <vt:lpwstr/>
      </vt:variant>
      <vt:variant>
        <vt:i4>5767191</vt:i4>
      </vt:variant>
      <vt:variant>
        <vt:i4>2594</vt:i4>
      </vt:variant>
      <vt:variant>
        <vt:i4>0</vt:i4>
      </vt:variant>
      <vt:variant>
        <vt:i4>5</vt:i4>
      </vt:variant>
      <vt:variant>
        <vt:lpwstr>https://doi.org/10.1111/j.1360-0443.2004.00786.x</vt:lpwstr>
      </vt:variant>
      <vt:variant>
        <vt:lpwstr/>
      </vt:variant>
      <vt:variant>
        <vt:i4>4718605</vt:i4>
      </vt:variant>
      <vt:variant>
        <vt:i4>2591</vt:i4>
      </vt:variant>
      <vt:variant>
        <vt:i4>0</vt:i4>
      </vt:variant>
      <vt:variant>
        <vt:i4>5</vt:i4>
      </vt:variant>
      <vt:variant>
        <vt:lpwstr>https://doi.org/https://doi.org/10.1016/0740-5472(92)90062-S</vt:lpwstr>
      </vt:variant>
      <vt:variant>
        <vt:lpwstr/>
      </vt:variant>
      <vt:variant>
        <vt:i4>2621497</vt:i4>
      </vt:variant>
      <vt:variant>
        <vt:i4>2588</vt:i4>
      </vt:variant>
      <vt:variant>
        <vt:i4>0</vt:i4>
      </vt:variant>
      <vt:variant>
        <vt:i4>5</vt:i4>
      </vt:variant>
      <vt:variant>
        <vt:lpwstr>https://doi.org/10.1002/14651858.CD012823.pub2</vt:lpwstr>
      </vt:variant>
      <vt:variant>
        <vt:lpwstr/>
      </vt:variant>
      <vt:variant>
        <vt:i4>5505043</vt:i4>
      </vt:variant>
      <vt:variant>
        <vt:i4>2585</vt:i4>
      </vt:variant>
      <vt:variant>
        <vt:i4>0</vt:i4>
      </vt:variant>
      <vt:variant>
        <vt:i4>5</vt:i4>
      </vt:variant>
      <vt:variant>
        <vt:lpwstr>https://doi.org/https://doi.org/10.1111/add.15846</vt:lpwstr>
      </vt:variant>
      <vt:variant>
        <vt:lpwstr/>
      </vt:variant>
      <vt:variant>
        <vt:i4>5308442</vt:i4>
      </vt:variant>
      <vt:variant>
        <vt:i4>2582</vt:i4>
      </vt:variant>
      <vt:variant>
        <vt:i4>0</vt:i4>
      </vt:variant>
      <vt:variant>
        <vt:i4>5</vt:i4>
      </vt:variant>
      <vt:variant>
        <vt:lpwstr>https://doi.org/https://doi.org/10.1111/add.16127</vt:lpwstr>
      </vt:variant>
      <vt:variant>
        <vt:lpwstr/>
      </vt:variant>
      <vt:variant>
        <vt:i4>4259864</vt:i4>
      </vt:variant>
      <vt:variant>
        <vt:i4>2579</vt:i4>
      </vt:variant>
      <vt:variant>
        <vt:i4>0</vt:i4>
      </vt:variant>
      <vt:variant>
        <vt:i4>5</vt:i4>
      </vt:variant>
      <vt:variant>
        <vt:lpwstr>https://doi.org/10.1002/14651858.CD012823</vt:lpwstr>
      </vt:variant>
      <vt:variant>
        <vt:lpwstr/>
      </vt:variant>
      <vt:variant>
        <vt:i4>4849667</vt:i4>
      </vt:variant>
      <vt:variant>
        <vt:i4>2576</vt:i4>
      </vt:variant>
      <vt:variant>
        <vt:i4>0</vt:i4>
      </vt:variant>
      <vt:variant>
        <vt:i4>5</vt:i4>
      </vt:variant>
      <vt:variant>
        <vt:lpwstr>https://doi.org/https://doi.org/10.1016/j.jpsychires.2024.01.024</vt:lpwstr>
      </vt:variant>
      <vt:variant>
        <vt:lpwstr/>
      </vt:variant>
      <vt:variant>
        <vt:i4>5242950</vt:i4>
      </vt:variant>
      <vt:variant>
        <vt:i4>2573</vt:i4>
      </vt:variant>
      <vt:variant>
        <vt:i4>0</vt:i4>
      </vt:variant>
      <vt:variant>
        <vt:i4>5</vt:i4>
      </vt:variant>
      <vt:variant>
        <vt:lpwstr>https://doi.org/10.1002/sim.5753</vt:lpwstr>
      </vt:variant>
      <vt:variant>
        <vt:lpwstr/>
      </vt:variant>
      <vt:variant>
        <vt:i4>7602276</vt:i4>
      </vt:variant>
      <vt:variant>
        <vt:i4>2570</vt:i4>
      </vt:variant>
      <vt:variant>
        <vt:i4>0</vt:i4>
      </vt:variant>
      <vt:variant>
        <vt:i4>5</vt:i4>
      </vt:variant>
      <vt:variant>
        <vt:lpwstr>https://childrenssocialcare.independent-review.uk/final-report/</vt:lpwstr>
      </vt:variant>
      <vt:variant>
        <vt:lpwstr/>
      </vt:variant>
      <vt:variant>
        <vt:i4>5439519</vt:i4>
      </vt:variant>
      <vt:variant>
        <vt:i4>2567</vt:i4>
      </vt:variant>
      <vt:variant>
        <vt:i4>0</vt:i4>
      </vt:variant>
      <vt:variant>
        <vt:i4>5</vt:i4>
      </vt:variant>
      <vt:variant>
        <vt:lpwstr>https://doi.org/10.1111/j.1365-2206.2012.00827.x</vt:lpwstr>
      </vt:variant>
      <vt:variant>
        <vt:lpwstr/>
      </vt:variant>
      <vt:variant>
        <vt:i4>6029403</vt:i4>
      </vt:variant>
      <vt:variant>
        <vt:i4>2564</vt:i4>
      </vt:variant>
      <vt:variant>
        <vt:i4>0</vt:i4>
      </vt:variant>
      <vt:variant>
        <vt:i4>5</vt:i4>
      </vt:variant>
      <vt:variant>
        <vt:lpwstr>https://doi.org/10.1097/ede.0000000000000864</vt:lpwstr>
      </vt:variant>
      <vt:variant>
        <vt:lpwstr/>
      </vt:variant>
      <vt:variant>
        <vt:i4>5898335</vt:i4>
      </vt:variant>
      <vt:variant>
        <vt:i4>2561</vt:i4>
      </vt:variant>
      <vt:variant>
        <vt:i4>0</vt:i4>
      </vt:variant>
      <vt:variant>
        <vt:i4>5</vt:i4>
      </vt:variant>
      <vt:variant>
        <vt:lpwstr>https://doi.org/https://doi.org/10.1111/j.1360-0443.2012.03971.x</vt:lpwstr>
      </vt:variant>
      <vt:variant>
        <vt:lpwstr/>
      </vt:variant>
      <vt:variant>
        <vt:i4>851976</vt:i4>
      </vt:variant>
      <vt:variant>
        <vt:i4>2558</vt:i4>
      </vt:variant>
      <vt:variant>
        <vt:i4>0</vt:i4>
      </vt:variant>
      <vt:variant>
        <vt:i4>5</vt:i4>
      </vt:variant>
      <vt:variant>
        <vt:lpwstr>https://doi.org/10.1016/s0140-6736(09)61420-3</vt:lpwstr>
      </vt:variant>
      <vt:variant>
        <vt:lpwstr/>
      </vt:variant>
      <vt:variant>
        <vt:i4>3014708</vt:i4>
      </vt:variant>
      <vt:variant>
        <vt:i4>2555</vt:i4>
      </vt:variant>
      <vt:variant>
        <vt:i4>0</vt:i4>
      </vt:variant>
      <vt:variant>
        <vt:i4>5</vt:i4>
      </vt:variant>
      <vt:variant>
        <vt:lpwstr>https://doi.org/10.1007/s40273-021-01031-8</vt:lpwstr>
      </vt:variant>
      <vt:variant>
        <vt:lpwstr/>
      </vt:variant>
      <vt:variant>
        <vt:i4>3014768</vt:i4>
      </vt:variant>
      <vt:variant>
        <vt:i4>2552</vt:i4>
      </vt:variant>
      <vt:variant>
        <vt:i4>0</vt:i4>
      </vt:variant>
      <vt:variant>
        <vt:i4>5</vt:i4>
      </vt:variant>
      <vt:variant>
        <vt:lpwstr>https://doi.org/10.1186/1471-2458-9-377</vt:lpwstr>
      </vt:variant>
      <vt:variant>
        <vt:lpwstr/>
      </vt:variant>
      <vt:variant>
        <vt:i4>1769503</vt:i4>
      </vt:variant>
      <vt:variant>
        <vt:i4>2549</vt:i4>
      </vt:variant>
      <vt:variant>
        <vt:i4>0</vt:i4>
      </vt:variant>
      <vt:variant>
        <vt:i4>5</vt:i4>
      </vt:variant>
      <vt:variant>
        <vt:lpwstr>https://doi.org/10.1017/S0954579418001700</vt:lpwstr>
      </vt:variant>
      <vt:variant>
        <vt:lpwstr/>
      </vt:variant>
      <vt:variant>
        <vt:i4>3080245</vt:i4>
      </vt:variant>
      <vt:variant>
        <vt:i4>2546</vt:i4>
      </vt:variant>
      <vt:variant>
        <vt:i4>0</vt:i4>
      </vt:variant>
      <vt:variant>
        <vt:i4>5</vt:i4>
      </vt:variant>
      <vt:variant>
        <vt:lpwstr>https://doi.org/10.1093/bjsw/bcr184</vt:lpwstr>
      </vt:variant>
      <vt:variant>
        <vt:lpwstr/>
      </vt:variant>
      <vt:variant>
        <vt:i4>1572881</vt:i4>
      </vt:variant>
      <vt:variant>
        <vt:i4>2543</vt:i4>
      </vt:variant>
      <vt:variant>
        <vt:i4>0</vt:i4>
      </vt:variant>
      <vt:variant>
        <vt:i4>5</vt:i4>
      </vt:variant>
      <vt:variant>
        <vt:lpwstr>https://doi.org/10.1017/S0954579407070137</vt:lpwstr>
      </vt:variant>
      <vt:variant>
        <vt:lpwstr/>
      </vt:variant>
      <vt:variant>
        <vt:i4>5046280</vt:i4>
      </vt:variant>
      <vt:variant>
        <vt:i4>2540</vt:i4>
      </vt:variant>
      <vt:variant>
        <vt:i4>0</vt:i4>
      </vt:variant>
      <vt:variant>
        <vt:i4>5</vt:i4>
      </vt:variant>
      <vt:variant>
        <vt:lpwstr>https://www.mdpi.com/1660-4601/20/19/6894</vt:lpwstr>
      </vt:variant>
      <vt:variant>
        <vt:lpwstr/>
      </vt:variant>
      <vt:variant>
        <vt:i4>655372</vt:i4>
      </vt:variant>
      <vt:variant>
        <vt:i4>2537</vt:i4>
      </vt:variant>
      <vt:variant>
        <vt:i4>0</vt:i4>
      </vt:variant>
      <vt:variant>
        <vt:i4>5</vt:i4>
      </vt:variant>
      <vt:variant>
        <vt:lpwstr>https://doi.org/10.7326/M17-1485</vt:lpwstr>
      </vt:variant>
      <vt:variant>
        <vt:lpwstr/>
      </vt:variant>
      <vt:variant>
        <vt:i4>3145848</vt:i4>
      </vt:variant>
      <vt:variant>
        <vt:i4>2534</vt:i4>
      </vt:variant>
      <vt:variant>
        <vt:i4>0</vt:i4>
      </vt:variant>
      <vt:variant>
        <vt:i4>5</vt:i4>
      </vt:variant>
      <vt:variant>
        <vt:lpwstr>https://doi.org/10.1080/01621459.1988.10478722</vt:lpwstr>
      </vt:variant>
      <vt:variant>
        <vt:lpwstr/>
      </vt:variant>
      <vt:variant>
        <vt:i4>5832794</vt:i4>
      </vt:variant>
      <vt:variant>
        <vt:i4>2531</vt:i4>
      </vt:variant>
      <vt:variant>
        <vt:i4>0</vt:i4>
      </vt:variant>
      <vt:variant>
        <vt:i4>5</vt:i4>
      </vt:variant>
      <vt:variant>
        <vt:lpwstr>https://doi.org/10.1177/1536867x20909696</vt:lpwstr>
      </vt:variant>
      <vt:variant>
        <vt:lpwstr/>
      </vt:variant>
      <vt:variant>
        <vt:i4>6815843</vt:i4>
      </vt:variant>
      <vt:variant>
        <vt:i4>2528</vt:i4>
      </vt:variant>
      <vt:variant>
        <vt:i4>0</vt:i4>
      </vt:variant>
      <vt:variant>
        <vt:i4>5</vt:i4>
      </vt:variant>
      <vt:variant>
        <vt:lpwstr>https://doi.org/10.1177/1536867X1301300407</vt:lpwstr>
      </vt:variant>
      <vt:variant>
        <vt:lpwstr/>
      </vt:variant>
      <vt:variant>
        <vt:i4>3866676</vt:i4>
      </vt:variant>
      <vt:variant>
        <vt:i4>2525</vt:i4>
      </vt:variant>
      <vt:variant>
        <vt:i4>0</vt:i4>
      </vt:variant>
      <vt:variant>
        <vt:i4>5</vt:i4>
      </vt:variant>
      <vt:variant>
        <vt:lpwstr>https://doi.org/https://doi.org/10.1016/j.etdah.2021.100015</vt:lpwstr>
      </vt:variant>
      <vt:variant>
        <vt:lpwstr/>
      </vt:variant>
      <vt:variant>
        <vt:i4>5308495</vt:i4>
      </vt:variant>
      <vt:variant>
        <vt:i4>2522</vt:i4>
      </vt:variant>
      <vt:variant>
        <vt:i4>0</vt:i4>
      </vt:variant>
      <vt:variant>
        <vt:i4>5</vt:i4>
      </vt:variant>
      <vt:variant>
        <vt:lpwstr>https://doi.org/10.1093/alcalc/agt004</vt:lpwstr>
      </vt:variant>
      <vt:variant>
        <vt:lpwstr/>
      </vt:variant>
      <vt:variant>
        <vt:i4>6619180</vt:i4>
      </vt:variant>
      <vt:variant>
        <vt:i4>2519</vt:i4>
      </vt:variant>
      <vt:variant>
        <vt:i4>0</vt:i4>
      </vt:variant>
      <vt:variant>
        <vt:i4>5</vt:i4>
      </vt:variant>
      <vt:variant>
        <vt:lpwstr>https://doi.org/http://dx.doi.org/10.1177/1077559509334091</vt:lpwstr>
      </vt:variant>
      <vt:variant>
        <vt:lpwstr/>
      </vt:variant>
      <vt:variant>
        <vt:i4>5505055</vt:i4>
      </vt:variant>
      <vt:variant>
        <vt:i4>2516</vt:i4>
      </vt:variant>
      <vt:variant>
        <vt:i4>0</vt:i4>
      </vt:variant>
      <vt:variant>
        <vt:i4>5</vt:i4>
      </vt:variant>
      <vt:variant>
        <vt:lpwstr>https://www.addaction.org.uk/sites/default/files/public/attachments/the_breaking_the_cycle_commission_2mb_0.pdf</vt:lpwstr>
      </vt:variant>
      <vt:variant>
        <vt:lpwstr/>
      </vt:variant>
      <vt:variant>
        <vt:i4>6029342</vt:i4>
      </vt:variant>
      <vt:variant>
        <vt:i4>2513</vt:i4>
      </vt:variant>
      <vt:variant>
        <vt:i4>0</vt:i4>
      </vt:variant>
      <vt:variant>
        <vt:i4>5</vt:i4>
      </vt:variant>
      <vt:variant>
        <vt:lpwstr>https://doi.org/10.1111/j.1365-2206.2004.00325.x</vt:lpwstr>
      </vt:variant>
      <vt:variant>
        <vt:lpwstr/>
      </vt:variant>
      <vt:variant>
        <vt:i4>262211</vt:i4>
      </vt:variant>
      <vt:variant>
        <vt:i4>2510</vt:i4>
      </vt:variant>
      <vt:variant>
        <vt:i4>0</vt:i4>
      </vt:variant>
      <vt:variant>
        <vt:i4>5</vt:i4>
      </vt:variant>
      <vt:variant>
        <vt:lpwstr>https://doi.org/10.3109/10826084.2013.824478</vt:lpwstr>
      </vt:variant>
      <vt:variant>
        <vt:lpwstr/>
      </vt:variant>
      <vt:variant>
        <vt:i4>7405639</vt:i4>
      </vt:variant>
      <vt:variant>
        <vt:i4>2507</vt:i4>
      </vt:variant>
      <vt:variant>
        <vt:i4>0</vt:i4>
      </vt:variant>
      <vt:variant>
        <vt:i4>5</vt:i4>
      </vt:variant>
      <vt:variant>
        <vt:lpwstr>https://assets.publishing.service.gov.uk/government/uploads/system/uploads/attachment_data/file/658056/Adult-statistics-from-the-national-drug-treatment-monitoring-system-2016-2017.pdf</vt:lpwstr>
      </vt:variant>
      <vt:variant>
        <vt:lpwstr/>
      </vt:variant>
      <vt:variant>
        <vt:i4>6946816</vt:i4>
      </vt:variant>
      <vt:variant>
        <vt:i4>2504</vt:i4>
      </vt:variant>
      <vt:variant>
        <vt:i4>0</vt:i4>
      </vt:variant>
      <vt:variant>
        <vt:i4>5</vt:i4>
      </vt:variant>
      <vt:variant>
        <vt:lpwstr>https://assets.publishing.service.gov.uk/government/uploads/system/uploads/attachment_data/file/752993/AdultSubstanceMisuseStatisticsfromNDTMS2017-18.pdf</vt:lpwstr>
      </vt:variant>
      <vt:variant>
        <vt:lpwstr/>
      </vt:variant>
      <vt:variant>
        <vt:i4>6029341</vt:i4>
      </vt:variant>
      <vt:variant>
        <vt:i4>2501</vt:i4>
      </vt:variant>
      <vt:variant>
        <vt:i4>0</vt:i4>
      </vt:variant>
      <vt:variant>
        <vt:i4>5</vt:i4>
      </vt:variant>
      <vt:variant>
        <vt:lpwstr>https://doi.org/https://doi.org/10.1016/j.chiabu.2017.09.015</vt:lpwstr>
      </vt:variant>
      <vt:variant>
        <vt:lpwstr/>
      </vt:variant>
      <vt:variant>
        <vt:i4>7536708</vt:i4>
      </vt:variant>
      <vt:variant>
        <vt:i4>2498</vt:i4>
      </vt:variant>
      <vt:variant>
        <vt:i4>0</vt:i4>
      </vt:variant>
      <vt:variant>
        <vt:i4>5</vt:i4>
      </vt:variant>
      <vt:variant>
        <vt:lpwstr>https://assets.publishing.service.gov.uk/government/uploads/system/uploads/attachment_data/file/181692/DFE-RR046.pdf</vt:lpwstr>
      </vt:variant>
      <vt:variant>
        <vt:lpwstr/>
      </vt:variant>
      <vt:variant>
        <vt:i4>720915</vt:i4>
      </vt:variant>
      <vt:variant>
        <vt:i4>2495</vt:i4>
      </vt:variant>
      <vt:variant>
        <vt:i4>0</vt:i4>
      </vt:variant>
      <vt:variant>
        <vt:i4>5</vt:i4>
      </vt:variant>
      <vt:variant>
        <vt:lpwstr>https://doi.org/doi:10.1111/j.1521-0391.2011.00119.x</vt:lpwstr>
      </vt:variant>
      <vt:variant>
        <vt:lpwstr/>
      </vt:variant>
      <vt:variant>
        <vt:i4>5177412</vt:i4>
      </vt:variant>
      <vt:variant>
        <vt:i4>2492</vt:i4>
      </vt:variant>
      <vt:variant>
        <vt:i4>0</vt:i4>
      </vt:variant>
      <vt:variant>
        <vt:i4>5</vt:i4>
      </vt:variant>
      <vt:variant>
        <vt:lpwstr>https://doi.org/10.1016/j.drugalcdep.2004.11.013</vt:lpwstr>
      </vt:variant>
      <vt:variant>
        <vt:lpwstr/>
      </vt:variant>
      <vt:variant>
        <vt:i4>4915241</vt:i4>
      </vt:variant>
      <vt:variant>
        <vt:i4>2489</vt:i4>
      </vt:variant>
      <vt:variant>
        <vt:i4>0</vt:i4>
      </vt:variant>
      <vt:variant>
        <vt:i4>5</vt:i4>
      </vt:variant>
      <vt:variant>
        <vt:lpwstr>https://doi.org/10.1300/J200v03n04_04</vt:lpwstr>
      </vt:variant>
      <vt:variant>
        <vt:lpwstr/>
      </vt:variant>
      <vt:variant>
        <vt:i4>5177410</vt:i4>
      </vt:variant>
      <vt:variant>
        <vt:i4>2486</vt:i4>
      </vt:variant>
      <vt:variant>
        <vt:i4>0</vt:i4>
      </vt:variant>
      <vt:variant>
        <vt:i4>5</vt:i4>
      </vt:variant>
      <vt:variant>
        <vt:lpwstr>https://doi.org/10.18637/jss.v038.i08</vt:lpwstr>
      </vt:variant>
      <vt:variant>
        <vt:lpwstr/>
      </vt:variant>
      <vt:variant>
        <vt:i4>327755</vt:i4>
      </vt:variant>
      <vt:variant>
        <vt:i4>2483</vt:i4>
      </vt:variant>
      <vt:variant>
        <vt:i4>0</vt:i4>
      </vt:variant>
      <vt:variant>
        <vt:i4>5</vt:i4>
      </vt:variant>
      <vt:variant>
        <vt:lpwstr>https://doi.org/10.3109/16066359.2015.1127358</vt:lpwstr>
      </vt:variant>
      <vt:variant>
        <vt:lpwstr/>
      </vt:variant>
      <vt:variant>
        <vt:i4>393283</vt:i4>
      </vt:variant>
      <vt:variant>
        <vt:i4>2480</vt:i4>
      </vt:variant>
      <vt:variant>
        <vt:i4>0</vt:i4>
      </vt:variant>
      <vt:variant>
        <vt:i4>5</vt:i4>
      </vt:variant>
      <vt:variant>
        <vt:lpwstr>https://doi.org/10.3109/16066359.2014.892930</vt:lpwstr>
      </vt:variant>
      <vt:variant>
        <vt:lpwstr/>
      </vt:variant>
      <vt:variant>
        <vt:i4>5832724</vt:i4>
      </vt:variant>
      <vt:variant>
        <vt:i4>2477</vt:i4>
      </vt:variant>
      <vt:variant>
        <vt:i4>0</vt:i4>
      </vt:variant>
      <vt:variant>
        <vt:i4>5</vt:i4>
      </vt:variant>
      <vt:variant>
        <vt:lpwstr>https://www.instituteforgovernment.org.uk/sites/default/files/2022-12/timeline-coronavirus-lockdown-december-2021.pdf</vt:lpwstr>
      </vt:variant>
      <vt:variant>
        <vt:lpwstr/>
      </vt:variant>
      <vt:variant>
        <vt:i4>3997730</vt:i4>
      </vt:variant>
      <vt:variant>
        <vt:i4>2474</vt:i4>
      </vt:variant>
      <vt:variant>
        <vt:i4>0</vt:i4>
      </vt:variant>
      <vt:variant>
        <vt:i4>5</vt:i4>
      </vt:variant>
      <vt:variant>
        <vt:lpwstr>https://doi.org/https://doi.org/10.1016/j.neubiorev.2021.09.001</vt:lpwstr>
      </vt:variant>
      <vt:variant>
        <vt:lpwstr/>
      </vt:variant>
      <vt:variant>
        <vt:i4>3080246</vt:i4>
      </vt:variant>
      <vt:variant>
        <vt:i4>2471</vt:i4>
      </vt:variant>
      <vt:variant>
        <vt:i4>0</vt:i4>
      </vt:variant>
      <vt:variant>
        <vt:i4>5</vt:i4>
      </vt:variant>
      <vt:variant>
        <vt:lpwstr>https://doi.org/10.1007/s10578-020-01112-3</vt:lpwstr>
      </vt:variant>
      <vt:variant>
        <vt:lpwstr/>
      </vt:variant>
      <vt:variant>
        <vt:i4>2359416</vt:i4>
      </vt:variant>
      <vt:variant>
        <vt:i4>2468</vt:i4>
      </vt:variant>
      <vt:variant>
        <vt:i4>0</vt:i4>
      </vt:variant>
      <vt:variant>
        <vt:i4>5</vt:i4>
      </vt:variant>
      <vt:variant>
        <vt:lpwstr>https://doi.org/10.1093/ije/dyz032</vt:lpwstr>
      </vt:variant>
      <vt:variant>
        <vt:lpwstr/>
      </vt:variant>
      <vt:variant>
        <vt:i4>6422629</vt:i4>
      </vt:variant>
      <vt:variant>
        <vt:i4>2465</vt:i4>
      </vt:variant>
      <vt:variant>
        <vt:i4>0</vt:i4>
      </vt:variant>
      <vt:variant>
        <vt:i4>5</vt:i4>
      </vt:variant>
      <vt:variant>
        <vt:lpwstr>https://doi.org/10.1136/bmjopen-2019-036374</vt:lpwstr>
      </vt:variant>
      <vt:variant>
        <vt:lpwstr/>
      </vt:variant>
      <vt:variant>
        <vt:i4>917506</vt:i4>
      </vt:variant>
      <vt:variant>
        <vt:i4>2462</vt:i4>
      </vt:variant>
      <vt:variant>
        <vt:i4>0</vt:i4>
      </vt:variant>
      <vt:variant>
        <vt:i4>5</vt:i4>
      </vt:variant>
      <vt:variant>
        <vt:lpwstr>https://doi.org/10.1016/s2468-2667(17)30118-4</vt:lpwstr>
      </vt:variant>
      <vt:variant>
        <vt:lpwstr/>
      </vt:variant>
      <vt:variant>
        <vt:i4>3276920</vt:i4>
      </vt:variant>
      <vt:variant>
        <vt:i4>2459</vt:i4>
      </vt:variant>
      <vt:variant>
        <vt:i4>0</vt:i4>
      </vt:variant>
      <vt:variant>
        <vt:i4>5</vt:i4>
      </vt:variant>
      <vt:variant>
        <vt:lpwstr>https://doi.org/10.1606/1044-3894.4223</vt:lpwstr>
      </vt:variant>
      <vt:variant>
        <vt:lpwstr/>
      </vt:variant>
      <vt:variant>
        <vt:i4>7471136</vt:i4>
      </vt:variant>
      <vt:variant>
        <vt:i4>2456</vt:i4>
      </vt:variant>
      <vt:variant>
        <vt:i4>0</vt:i4>
      </vt:variant>
      <vt:variant>
        <vt:i4>5</vt:i4>
      </vt:variant>
      <vt:variant>
        <vt:lpwstr>https://econpapers.repec.org/RePEc:eee:cysrev:v:33:y:2011:i:2:p:322-329</vt:lpwstr>
      </vt:variant>
      <vt:variant>
        <vt:lpwstr/>
      </vt:variant>
      <vt:variant>
        <vt:i4>852035</vt:i4>
      </vt:variant>
      <vt:variant>
        <vt:i4>2453</vt:i4>
      </vt:variant>
      <vt:variant>
        <vt:i4>0</vt:i4>
      </vt:variant>
      <vt:variant>
        <vt:i4>5</vt:i4>
      </vt:variant>
      <vt:variant>
        <vt:lpwstr>https://assets.publishing.service.gov.uk/media/5e96c443e90e071a13b0892e/Magenta_Book_supplementary_guide._Government_Analytical_Evaluation_Capabilities_Framework.pdf</vt:lpwstr>
      </vt:variant>
      <vt:variant>
        <vt:lpwstr/>
      </vt:variant>
      <vt:variant>
        <vt:i4>524378</vt:i4>
      </vt:variant>
      <vt:variant>
        <vt:i4>2450</vt:i4>
      </vt:variant>
      <vt:variant>
        <vt:i4>0</vt:i4>
      </vt:variant>
      <vt:variant>
        <vt:i4>5</vt:i4>
      </vt:variant>
      <vt:variant>
        <vt:lpwstr>https://assets.publishing.service.gov.uk/media/65cb4349a7ded0000c79e4e1/Working_together_to_safeguard_children_2023_-_statutory_guidance.pdf</vt:lpwstr>
      </vt:variant>
      <vt:variant>
        <vt:lpwstr/>
      </vt:variant>
      <vt:variant>
        <vt:i4>1114188</vt:i4>
      </vt:variant>
      <vt:variant>
        <vt:i4>2447</vt:i4>
      </vt:variant>
      <vt:variant>
        <vt:i4>0</vt:i4>
      </vt:variant>
      <vt:variant>
        <vt:i4>5</vt:i4>
      </vt:variant>
      <vt:variant>
        <vt:lpwstr>https://assets.publishing.service.gov.uk/government/uploads/system/uploads/attachment_data/file/779401/Working_Together_to_Safeguard-Children.pdf</vt:lpwstr>
      </vt:variant>
      <vt:variant>
        <vt:lpwstr/>
      </vt:variant>
      <vt:variant>
        <vt:i4>6881405</vt:i4>
      </vt:variant>
      <vt:variant>
        <vt:i4>2444</vt:i4>
      </vt:variant>
      <vt:variant>
        <vt:i4>0</vt:i4>
      </vt:variant>
      <vt:variant>
        <vt:i4>5</vt:i4>
      </vt:variant>
      <vt:variant>
        <vt:lpwstr>https://doi.org/10.1136/adc.2005.085639</vt:lpwstr>
      </vt:variant>
      <vt:variant>
        <vt:lpwstr/>
      </vt:variant>
      <vt:variant>
        <vt:i4>2424845</vt:i4>
      </vt:variant>
      <vt:variant>
        <vt:i4>2441</vt:i4>
      </vt:variant>
      <vt:variant>
        <vt:i4>0</vt:i4>
      </vt:variant>
      <vt:variant>
        <vt:i4>5</vt:i4>
      </vt:variant>
      <vt:variant>
        <vt:lpwstr>https://hmprg.org/wp-content/uploads/2018/07/ILARC_Parent-Child-Dyad-Report.pdf</vt:lpwstr>
      </vt:variant>
      <vt:variant>
        <vt:lpwstr/>
      </vt:variant>
      <vt:variant>
        <vt:i4>1114201</vt:i4>
      </vt:variant>
      <vt:variant>
        <vt:i4>2438</vt:i4>
      </vt:variant>
      <vt:variant>
        <vt:i4>0</vt:i4>
      </vt:variant>
      <vt:variant>
        <vt:i4>5</vt:i4>
      </vt:variant>
      <vt:variant>
        <vt:lpwstr>https://doi.org/10.1177/1178221817694038</vt:lpwstr>
      </vt:variant>
      <vt:variant>
        <vt:lpwstr/>
      </vt:variant>
      <vt:variant>
        <vt:i4>6029406</vt:i4>
      </vt:variant>
      <vt:variant>
        <vt:i4>2435</vt:i4>
      </vt:variant>
      <vt:variant>
        <vt:i4>0</vt:i4>
      </vt:variant>
      <vt:variant>
        <vt:i4>5</vt:i4>
      </vt:variant>
      <vt:variant>
        <vt:lpwstr>https://doi.org/10.1093/lawfam/eby006</vt:lpwstr>
      </vt:variant>
      <vt:variant>
        <vt:lpwstr/>
      </vt:variant>
      <vt:variant>
        <vt:i4>1966169</vt:i4>
      </vt:variant>
      <vt:variant>
        <vt:i4>2432</vt:i4>
      </vt:variant>
      <vt:variant>
        <vt:i4>0</vt:i4>
      </vt:variant>
      <vt:variant>
        <vt:i4>5</vt:i4>
      </vt:variant>
      <vt:variant>
        <vt:lpwstr>https://doi.org/10.1080/16066350701651214</vt:lpwstr>
      </vt:variant>
      <vt:variant>
        <vt:lpwstr/>
      </vt:variant>
      <vt:variant>
        <vt:i4>3014773</vt:i4>
      </vt:variant>
      <vt:variant>
        <vt:i4>2429</vt:i4>
      </vt:variant>
      <vt:variant>
        <vt:i4>0</vt:i4>
      </vt:variant>
      <vt:variant>
        <vt:i4>5</vt:i4>
      </vt:variant>
      <vt:variant>
        <vt:lpwstr>https://doi.org/10.1136/bmj.39489.470347.AD</vt:lpwstr>
      </vt:variant>
      <vt:variant>
        <vt:lpwstr/>
      </vt:variant>
      <vt:variant>
        <vt:i4>3080239</vt:i4>
      </vt:variant>
      <vt:variant>
        <vt:i4>2426</vt:i4>
      </vt:variant>
      <vt:variant>
        <vt:i4>0</vt:i4>
      </vt:variant>
      <vt:variant>
        <vt:i4>5</vt:i4>
      </vt:variant>
      <vt:variant>
        <vt:lpwstr>https://doi.org/10.1016/j.jclinepi.2010.09.011</vt:lpwstr>
      </vt:variant>
      <vt:variant>
        <vt:lpwstr/>
      </vt:variant>
      <vt:variant>
        <vt:i4>3670073</vt:i4>
      </vt:variant>
      <vt:variant>
        <vt:i4>2423</vt:i4>
      </vt:variant>
      <vt:variant>
        <vt:i4>0</vt:i4>
      </vt:variant>
      <vt:variant>
        <vt:i4>5</vt:i4>
      </vt:variant>
      <vt:variant>
        <vt:lpwstr>https://doi.org/https://doi.org/10.1111/famp.12413</vt:lpwstr>
      </vt:variant>
      <vt:variant>
        <vt:lpwstr/>
      </vt:variant>
      <vt:variant>
        <vt:i4>983051</vt:i4>
      </vt:variant>
      <vt:variant>
        <vt:i4>2420</vt:i4>
      </vt:variant>
      <vt:variant>
        <vt:i4>0</vt:i4>
      </vt:variant>
      <vt:variant>
        <vt:i4>5</vt:i4>
      </vt:variant>
      <vt:variant>
        <vt:lpwstr>https://doi.org/10.1016/S0140-6736(18)31310-2</vt:lpwstr>
      </vt:variant>
      <vt:variant>
        <vt:lpwstr/>
      </vt:variant>
      <vt:variant>
        <vt:i4>4784222</vt:i4>
      </vt:variant>
      <vt:variant>
        <vt:i4>2417</vt:i4>
      </vt:variant>
      <vt:variant>
        <vt:i4>0</vt:i4>
      </vt:variant>
      <vt:variant>
        <vt:i4>5</vt:i4>
      </vt:variant>
      <vt:variant>
        <vt:lpwstr>https://doi.org/10.7249/TLA570-1</vt:lpwstr>
      </vt:variant>
      <vt:variant>
        <vt:lpwstr/>
      </vt:variant>
      <vt:variant>
        <vt:i4>5963847</vt:i4>
      </vt:variant>
      <vt:variant>
        <vt:i4>2414</vt:i4>
      </vt:variant>
      <vt:variant>
        <vt:i4>0</vt:i4>
      </vt:variant>
      <vt:variant>
        <vt:i4>5</vt:i4>
      </vt:variant>
      <vt:variant>
        <vt:lpwstr>https://doi.org/10.1515/jci-2015-0026</vt:lpwstr>
      </vt:variant>
      <vt:variant>
        <vt:lpwstr/>
      </vt:variant>
      <vt:variant>
        <vt:i4>4784198</vt:i4>
      </vt:variant>
      <vt:variant>
        <vt:i4>2411</vt:i4>
      </vt:variant>
      <vt:variant>
        <vt:i4>0</vt:i4>
      </vt:variant>
      <vt:variant>
        <vt:i4>5</vt:i4>
      </vt:variant>
      <vt:variant>
        <vt:lpwstr>http://ovidsp.ovid.com/ovidweb.cgi?T=JS&amp;PAGE=reference&amp;D=med5&amp;NEWS=N&amp;AN=16406024</vt:lpwstr>
      </vt:variant>
      <vt:variant>
        <vt:lpwstr/>
      </vt:variant>
      <vt:variant>
        <vt:i4>4718670</vt:i4>
      </vt:variant>
      <vt:variant>
        <vt:i4>2408</vt:i4>
      </vt:variant>
      <vt:variant>
        <vt:i4>0</vt:i4>
      </vt:variant>
      <vt:variant>
        <vt:i4>5</vt:i4>
      </vt:variant>
      <vt:variant>
        <vt:lpwstr>https://doi.org/10.48550/arxiv.2106.10577</vt:lpwstr>
      </vt:variant>
      <vt:variant>
        <vt:lpwstr/>
      </vt:variant>
      <vt:variant>
        <vt:i4>6029394</vt:i4>
      </vt:variant>
      <vt:variant>
        <vt:i4>2405</vt:i4>
      </vt:variant>
      <vt:variant>
        <vt:i4>0</vt:i4>
      </vt:variant>
      <vt:variant>
        <vt:i4>5</vt:i4>
      </vt:variant>
      <vt:variant>
        <vt:lpwstr>https://doi.org/10.1097/ADM.0000000000000438</vt:lpwstr>
      </vt:variant>
      <vt:variant>
        <vt:lpwstr/>
      </vt:variant>
      <vt:variant>
        <vt:i4>1245195</vt:i4>
      </vt:variant>
      <vt:variant>
        <vt:i4>2402</vt:i4>
      </vt:variant>
      <vt:variant>
        <vt:i4>0</vt:i4>
      </vt:variant>
      <vt:variant>
        <vt:i4>5</vt:i4>
      </vt:variant>
      <vt:variant>
        <vt:lpwstr>https://doi.org/10.1037/a0036515</vt:lpwstr>
      </vt:variant>
      <vt:variant>
        <vt:lpwstr/>
      </vt:variant>
      <vt:variant>
        <vt:i4>1572947</vt:i4>
      </vt:variant>
      <vt:variant>
        <vt:i4>2399</vt:i4>
      </vt:variant>
      <vt:variant>
        <vt:i4>0</vt:i4>
      </vt:variant>
      <vt:variant>
        <vt:i4>5</vt:i4>
      </vt:variant>
      <vt:variant>
        <vt:lpwstr>https://doi.org/10.1177/1077559506296317</vt:lpwstr>
      </vt:variant>
      <vt:variant>
        <vt:lpwstr/>
      </vt:variant>
      <vt:variant>
        <vt:i4>852037</vt:i4>
      </vt:variant>
      <vt:variant>
        <vt:i4>2396</vt:i4>
      </vt:variant>
      <vt:variant>
        <vt:i4>0</vt:i4>
      </vt:variant>
      <vt:variant>
        <vt:i4>5</vt:i4>
      </vt:variant>
      <vt:variant>
        <vt:lpwstr>https://doi.org/</vt:lpwstr>
      </vt:variant>
      <vt:variant>
        <vt:lpwstr/>
      </vt:variant>
      <vt:variant>
        <vt:i4>4259869</vt:i4>
      </vt:variant>
      <vt:variant>
        <vt:i4>2393</vt:i4>
      </vt:variant>
      <vt:variant>
        <vt:i4>0</vt:i4>
      </vt:variant>
      <vt:variant>
        <vt:i4>5</vt:i4>
      </vt:variant>
      <vt:variant>
        <vt:lpwstr>https://doi.org/10.1081/JA-100106963</vt:lpwstr>
      </vt:variant>
      <vt:variant>
        <vt:lpwstr/>
      </vt:variant>
      <vt:variant>
        <vt:i4>983069</vt:i4>
      </vt:variant>
      <vt:variant>
        <vt:i4>2390</vt:i4>
      </vt:variant>
      <vt:variant>
        <vt:i4>0</vt:i4>
      </vt:variant>
      <vt:variant>
        <vt:i4>5</vt:i4>
      </vt:variant>
      <vt:variant>
        <vt:lpwstr>https://doi.org/10.1007/s11121-007-0070-9</vt:lpwstr>
      </vt:variant>
      <vt:variant>
        <vt:lpwstr/>
      </vt:variant>
      <vt:variant>
        <vt:i4>4325378</vt:i4>
      </vt:variant>
      <vt:variant>
        <vt:i4>2387</vt:i4>
      </vt:variant>
      <vt:variant>
        <vt:i4>0</vt:i4>
      </vt:variant>
      <vt:variant>
        <vt:i4>5</vt:i4>
      </vt:variant>
      <vt:variant>
        <vt:lpwstr>https://doi.org/https://doi.org/10.1016/j.drugalcdep.2005.01.023</vt:lpwstr>
      </vt:variant>
      <vt:variant>
        <vt:lpwstr/>
      </vt:variant>
      <vt:variant>
        <vt:i4>5439518</vt:i4>
      </vt:variant>
      <vt:variant>
        <vt:i4>2384</vt:i4>
      </vt:variant>
      <vt:variant>
        <vt:i4>0</vt:i4>
      </vt:variant>
      <vt:variant>
        <vt:i4>5</vt:i4>
      </vt:variant>
      <vt:variant>
        <vt:lpwstr>https://doi.org/https://doi.org/10.1016/j.chiabu.2014.03.010</vt:lpwstr>
      </vt:variant>
      <vt:variant>
        <vt:lpwstr/>
      </vt:variant>
      <vt:variant>
        <vt:i4>3080228</vt:i4>
      </vt:variant>
      <vt:variant>
        <vt:i4>2381</vt:i4>
      </vt:variant>
      <vt:variant>
        <vt:i4>0</vt:i4>
      </vt:variant>
      <vt:variant>
        <vt:i4>5</vt:i4>
      </vt:variant>
      <vt:variant>
        <vt:lpwstr>http://www.gov.scot/Publications/2011/03/18085806/0</vt:lpwstr>
      </vt:variant>
      <vt:variant>
        <vt:lpwstr/>
      </vt:variant>
      <vt:variant>
        <vt:i4>5111837</vt:i4>
      </vt:variant>
      <vt:variant>
        <vt:i4>2378</vt:i4>
      </vt:variant>
      <vt:variant>
        <vt:i4>0</vt:i4>
      </vt:variant>
      <vt:variant>
        <vt:i4>5</vt:i4>
      </vt:variant>
      <vt:variant>
        <vt:lpwstr>https://www.probonoeconomics.com/Handlers/Download.ashx?IDMF=64274c2e-73c3-4364-b995-4b31b6825dd8</vt:lpwstr>
      </vt:variant>
      <vt:variant>
        <vt:lpwstr/>
      </vt:variant>
      <vt:variant>
        <vt:i4>262172</vt:i4>
      </vt:variant>
      <vt:variant>
        <vt:i4>2375</vt:i4>
      </vt:variant>
      <vt:variant>
        <vt:i4>0</vt:i4>
      </vt:variant>
      <vt:variant>
        <vt:i4>5</vt:i4>
      </vt:variant>
      <vt:variant>
        <vt:lpwstr>https://researchbriefings.files.parliament.uk/documents/CBP-7585/CBP-7585.pdf</vt:lpwstr>
      </vt:variant>
      <vt:variant>
        <vt:lpwstr/>
      </vt:variant>
      <vt:variant>
        <vt:i4>786503</vt:i4>
      </vt:variant>
      <vt:variant>
        <vt:i4>2372</vt:i4>
      </vt:variant>
      <vt:variant>
        <vt:i4>0</vt:i4>
      </vt:variant>
      <vt:variant>
        <vt:i4>5</vt:i4>
      </vt:variant>
      <vt:variant>
        <vt:lpwstr>https://doi.org/doi:10.1111/cfs.12111</vt:lpwstr>
      </vt:variant>
      <vt:variant>
        <vt:lpwstr/>
      </vt:variant>
      <vt:variant>
        <vt:i4>5505112</vt:i4>
      </vt:variant>
      <vt:variant>
        <vt:i4>2369</vt:i4>
      </vt:variant>
      <vt:variant>
        <vt:i4>0</vt:i4>
      </vt:variant>
      <vt:variant>
        <vt:i4>5</vt:i4>
      </vt:variant>
      <vt:variant>
        <vt:lpwstr>https://doi.org/https://doi.org/10.1111/j.1365-2206.2006.00415.x</vt:lpwstr>
      </vt:variant>
      <vt:variant>
        <vt:lpwstr/>
      </vt:variant>
      <vt:variant>
        <vt:i4>5505100</vt:i4>
      </vt:variant>
      <vt:variant>
        <vt:i4>2366</vt:i4>
      </vt:variant>
      <vt:variant>
        <vt:i4>0</vt:i4>
      </vt:variant>
      <vt:variant>
        <vt:i4>5</vt:i4>
      </vt:variant>
      <vt:variant>
        <vt:lpwstr>https://doi.org/10.1002/car.1048</vt:lpwstr>
      </vt:variant>
      <vt:variant>
        <vt:lpwstr/>
      </vt:variant>
      <vt:variant>
        <vt:i4>2359400</vt:i4>
      </vt:variant>
      <vt:variant>
        <vt:i4>2363</vt:i4>
      </vt:variant>
      <vt:variant>
        <vt:i4>0</vt:i4>
      </vt:variant>
      <vt:variant>
        <vt:i4>5</vt:i4>
      </vt:variant>
      <vt:variant>
        <vt:lpwstr>https://doi.org/http://dx.doi.org/10.1111/j.1360-0443.2006.01321.x</vt:lpwstr>
      </vt:variant>
      <vt:variant>
        <vt:lpwstr/>
      </vt:variant>
      <vt:variant>
        <vt:i4>5701713</vt:i4>
      </vt:variant>
      <vt:variant>
        <vt:i4>2360</vt:i4>
      </vt:variant>
      <vt:variant>
        <vt:i4>0</vt:i4>
      </vt:variant>
      <vt:variant>
        <vt:i4>5</vt:i4>
      </vt:variant>
      <vt:variant>
        <vt:lpwstr>https://doi.org/https://doi.org/10.1111/j.1610-0387.2011.07699.x</vt:lpwstr>
      </vt:variant>
      <vt:variant>
        <vt:lpwstr/>
      </vt:variant>
      <vt:variant>
        <vt:i4>4390938</vt:i4>
      </vt:variant>
      <vt:variant>
        <vt:i4>2357</vt:i4>
      </vt:variant>
      <vt:variant>
        <vt:i4>0</vt:i4>
      </vt:variant>
      <vt:variant>
        <vt:i4>5</vt:i4>
      </vt:variant>
      <vt:variant>
        <vt:lpwstr>https://doi.org/https://doi.org/10.1016/j.childyouth.2020.105864</vt:lpwstr>
      </vt:variant>
      <vt:variant>
        <vt:lpwstr/>
      </vt:variant>
      <vt:variant>
        <vt:i4>4456530</vt:i4>
      </vt:variant>
      <vt:variant>
        <vt:i4>2354</vt:i4>
      </vt:variant>
      <vt:variant>
        <vt:i4>0</vt:i4>
      </vt:variant>
      <vt:variant>
        <vt:i4>5</vt:i4>
      </vt:variant>
      <vt:variant>
        <vt:lpwstr>https://doi.org/10.1108/JCS-02-2015-0005</vt:lpwstr>
      </vt:variant>
      <vt:variant>
        <vt:lpwstr/>
      </vt:variant>
      <vt:variant>
        <vt:i4>4980806</vt:i4>
      </vt:variant>
      <vt:variant>
        <vt:i4>2351</vt:i4>
      </vt:variant>
      <vt:variant>
        <vt:i4>0</vt:i4>
      </vt:variant>
      <vt:variant>
        <vt:i4>5</vt:i4>
      </vt:variant>
      <vt:variant>
        <vt:lpwstr>https://doi.org/10.1016/j.drugalcdep.2017.03.013</vt:lpwstr>
      </vt:variant>
      <vt:variant>
        <vt:lpwstr/>
      </vt:variant>
      <vt:variant>
        <vt:i4>2424885</vt:i4>
      </vt:variant>
      <vt:variant>
        <vt:i4>2348</vt:i4>
      </vt:variant>
      <vt:variant>
        <vt:i4>0</vt:i4>
      </vt:variant>
      <vt:variant>
        <vt:i4>5</vt:i4>
      </vt:variant>
      <vt:variant>
        <vt:lpwstr>https://doi.org/10.1016/j.jsat.2018.02.001</vt:lpwstr>
      </vt:variant>
      <vt:variant>
        <vt:lpwstr/>
      </vt:variant>
      <vt:variant>
        <vt:i4>7536747</vt:i4>
      </vt:variant>
      <vt:variant>
        <vt:i4>2345</vt:i4>
      </vt:variant>
      <vt:variant>
        <vt:i4>0</vt:i4>
      </vt:variant>
      <vt:variant>
        <vt:i4>5</vt:i4>
      </vt:variant>
      <vt:variant>
        <vt:lpwstr>https://kclpure.kcl.ac.uk/portal/en/studentTheses/the-long-term-impact-of-treatment-for-individuals-presenting-to-s</vt:lpwstr>
      </vt:variant>
      <vt:variant>
        <vt:lpwstr/>
      </vt:variant>
      <vt:variant>
        <vt:i4>6160459</vt:i4>
      </vt:variant>
      <vt:variant>
        <vt:i4>2342</vt:i4>
      </vt:variant>
      <vt:variant>
        <vt:i4>0</vt:i4>
      </vt:variant>
      <vt:variant>
        <vt:i4>5</vt:i4>
      </vt:variant>
      <vt:variant>
        <vt:lpwstr>https://doi.org/http://dx.doi.org/10.1016/j.jsat.2013.05.010</vt:lpwstr>
      </vt:variant>
      <vt:variant>
        <vt:lpwstr/>
      </vt:variant>
      <vt:variant>
        <vt:i4>1703944</vt:i4>
      </vt:variant>
      <vt:variant>
        <vt:i4>2339</vt:i4>
      </vt:variant>
      <vt:variant>
        <vt:i4>0</vt:i4>
      </vt:variant>
      <vt:variant>
        <vt:i4>5</vt:i4>
      </vt:variant>
      <vt:variant>
        <vt:lpwstr>https://doi.org/10.1037/a0036920</vt:lpwstr>
      </vt:variant>
      <vt:variant>
        <vt:lpwstr/>
      </vt:variant>
      <vt:variant>
        <vt:i4>8060973</vt:i4>
      </vt:variant>
      <vt:variant>
        <vt:i4>2336</vt:i4>
      </vt:variant>
      <vt:variant>
        <vt:i4>0</vt:i4>
      </vt:variant>
      <vt:variant>
        <vt:i4>5</vt:i4>
      </vt:variant>
      <vt:variant>
        <vt:lpwstr>https://explore-education-statistics.service.gov.uk/find-statistics/characteristics-of-children-in-need/2023</vt:lpwstr>
      </vt:variant>
      <vt:variant>
        <vt:lpwstr>explore-data-and-files</vt:lpwstr>
      </vt:variant>
      <vt:variant>
        <vt:i4>524381</vt:i4>
      </vt:variant>
      <vt:variant>
        <vt:i4>2333</vt:i4>
      </vt:variant>
      <vt:variant>
        <vt:i4>0</vt:i4>
      </vt:variant>
      <vt:variant>
        <vt:i4>5</vt:i4>
      </vt:variant>
      <vt:variant>
        <vt:lpwstr>https://assets.publishing.service.gov.uk/government/uploads/system/uploads/attachment_data/file/957499/Vulnerable_children_and_young_people_survey_-_waves_1_to_17_-_Feb_2021.pdf</vt:lpwstr>
      </vt:variant>
      <vt:variant>
        <vt:lpwstr/>
      </vt:variant>
      <vt:variant>
        <vt:i4>7209034</vt:i4>
      </vt:variant>
      <vt:variant>
        <vt:i4>2330</vt:i4>
      </vt:variant>
      <vt:variant>
        <vt:i4>0</vt:i4>
      </vt:variant>
      <vt:variant>
        <vt:i4>5</vt:i4>
      </vt:variant>
      <vt:variant>
        <vt:lpwstr>https://assets.publishing.service.gov.uk/government/uploads/system/uploads/attachment_data/file/673978/clinical_guidelines_2017.pdf</vt:lpwstr>
      </vt:variant>
      <vt:variant>
        <vt:lpwstr/>
      </vt:variant>
      <vt:variant>
        <vt:i4>131148</vt:i4>
      </vt:variant>
      <vt:variant>
        <vt:i4>2327</vt:i4>
      </vt:variant>
      <vt:variant>
        <vt:i4>0</vt:i4>
      </vt:variant>
      <vt:variant>
        <vt:i4>5</vt:i4>
      </vt:variant>
      <vt:variant>
        <vt:lpwstr>https://doi.org/https://doi.org/10.1016/S2215-0366(18)30337-7</vt:lpwstr>
      </vt:variant>
      <vt:variant>
        <vt:lpwstr/>
      </vt:variant>
      <vt:variant>
        <vt:i4>4587634</vt:i4>
      </vt:variant>
      <vt:variant>
        <vt:i4>2324</vt:i4>
      </vt:variant>
      <vt:variant>
        <vt:i4>0</vt:i4>
      </vt:variant>
      <vt:variant>
        <vt:i4>5</vt:i4>
      </vt:variant>
      <vt:variant>
        <vt:lpwstr>https://assets.publishing.service.gov.uk/government/uploads/system/uploads/attachment_data/file/66113/121214_Working_with_troubled_families_FINAL_v2.pdf</vt:lpwstr>
      </vt:variant>
      <vt:variant>
        <vt:lpwstr/>
      </vt:variant>
      <vt:variant>
        <vt:i4>5701712</vt:i4>
      </vt:variant>
      <vt:variant>
        <vt:i4>2321</vt:i4>
      </vt:variant>
      <vt:variant>
        <vt:i4>0</vt:i4>
      </vt:variant>
      <vt:variant>
        <vt:i4>5</vt:i4>
      </vt:variant>
      <vt:variant>
        <vt:lpwstr>https://doi.org/10.3310/hta24140</vt:lpwstr>
      </vt:variant>
      <vt:variant>
        <vt:lpwstr/>
      </vt:variant>
      <vt:variant>
        <vt:i4>5308510</vt:i4>
      </vt:variant>
      <vt:variant>
        <vt:i4>2318</vt:i4>
      </vt:variant>
      <vt:variant>
        <vt:i4>0</vt:i4>
      </vt:variant>
      <vt:variant>
        <vt:i4>5</vt:i4>
      </vt:variant>
      <vt:variant>
        <vt:lpwstr>https://doi.org/https://doi.org/10.1111/j.1530-0277.2007.00536.x</vt:lpwstr>
      </vt:variant>
      <vt:variant>
        <vt:lpwstr/>
      </vt:variant>
      <vt:variant>
        <vt:i4>786463</vt:i4>
      </vt:variant>
      <vt:variant>
        <vt:i4>2315</vt:i4>
      </vt:variant>
      <vt:variant>
        <vt:i4>0</vt:i4>
      </vt:variant>
      <vt:variant>
        <vt:i4>5</vt:i4>
      </vt:variant>
      <vt:variant>
        <vt:lpwstr>https://doi.org/10.1007/s10896-016-9821-3</vt:lpwstr>
      </vt:variant>
      <vt:variant>
        <vt:lpwstr/>
      </vt:variant>
      <vt:variant>
        <vt:i4>2359354</vt:i4>
      </vt:variant>
      <vt:variant>
        <vt:i4>2312</vt:i4>
      </vt:variant>
      <vt:variant>
        <vt:i4>0</vt:i4>
      </vt:variant>
      <vt:variant>
        <vt:i4>5</vt:i4>
      </vt:variant>
      <vt:variant>
        <vt:lpwstr>https://doi.org/10.1016/j.jsat.2006.10.003</vt:lpwstr>
      </vt:variant>
      <vt:variant>
        <vt:lpwstr/>
      </vt:variant>
      <vt:variant>
        <vt:i4>4128823</vt:i4>
      </vt:variant>
      <vt:variant>
        <vt:i4>2309</vt:i4>
      </vt:variant>
      <vt:variant>
        <vt:i4>0</vt:i4>
      </vt:variant>
      <vt:variant>
        <vt:i4>5</vt:i4>
      </vt:variant>
      <vt:variant>
        <vt:lpwstr>https://doi.org/http://dx.doi.org/10.1016/j.childyouth.2012.03.020</vt:lpwstr>
      </vt:variant>
      <vt:variant>
        <vt:lpwstr/>
      </vt:variant>
      <vt:variant>
        <vt:i4>5111837</vt:i4>
      </vt:variant>
      <vt:variant>
        <vt:i4>2306</vt:i4>
      </vt:variant>
      <vt:variant>
        <vt:i4>0</vt:i4>
      </vt:variant>
      <vt:variant>
        <vt:i4>5</vt:i4>
      </vt:variant>
      <vt:variant>
        <vt:lpwstr>https://doi.org/https://doi.org/10.1016/j.drugalcdep.2023.110944</vt:lpwstr>
      </vt:variant>
      <vt:variant>
        <vt:lpwstr/>
      </vt:variant>
      <vt:variant>
        <vt:i4>2621560</vt:i4>
      </vt:variant>
      <vt:variant>
        <vt:i4>2303</vt:i4>
      </vt:variant>
      <vt:variant>
        <vt:i4>0</vt:i4>
      </vt:variant>
      <vt:variant>
        <vt:i4>5</vt:i4>
      </vt:variant>
      <vt:variant>
        <vt:lpwstr>https://doi.org/https://doi.org/10.1016/j.jsat.2010.01.002</vt:lpwstr>
      </vt:variant>
      <vt:variant>
        <vt:lpwstr/>
      </vt:variant>
      <vt:variant>
        <vt:i4>2031644</vt:i4>
      </vt:variant>
      <vt:variant>
        <vt:i4>2300</vt:i4>
      </vt:variant>
      <vt:variant>
        <vt:i4>0</vt:i4>
      </vt:variant>
      <vt:variant>
        <vt:i4>5</vt:i4>
      </vt:variant>
      <vt:variant>
        <vt:lpwstr>https://doi.org/10.1017/S0954579409000546</vt:lpwstr>
      </vt:variant>
      <vt:variant>
        <vt:lpwstr/>
      </vt:variant>
      <vt:variant>
        <vt:i4>7077986</vt:i4>
      </vt:variant>
      <vt:variant>
        <vt:i4>2297</vt:i4>
      </vt:variant>
      <vt:variant>
        <vt:i4>0</vt:i4>
      </vt:variant>
      <vt:variant>
        <vt:i4>5</vt:i4>
      </vt:variant>
      <vt:variant>
        <vt:lpwstr>https://www.oasisproject.org.uk/wp-content/uploads/2020/12/Brighton-Oasis-evaluation-FINAL.pdf</vt:lpwstr>
      </vt:variant>
      <vt:variant>
        <vt:lpwstr/>
      </vt:variant>
      <vt:variant>
        <vt:i4>5374043</vt:i4>
      </vt:variant>
      <vt:variant>
        <vt:i4>2294</vt:i4>
      </vt:variant>
      <vt:variant>
        <vt:i4>0</vt:i4>
      </vt:variant>
      <vt:variant>
        <vt:i4>5</vt:i4>
      </vt:variant>
      <vt:variant>
        <vt:lpwstr>https://doi.org/https://doi.org/10.1111/j.1360-0443.2012.04040.x</vt:lpwstr>
      </vt:variant>
      <vt:variant>
        <vt:lpwstr/>
      </vt:variant>
      <vt:variant>
        <vt:i4>6226006</vt:i4>
      </vt:variant>
      <vt:variant>
        <vt:i4>2291</vt:i4>
      </vt:variant>
      <vt:variant>
        <vt:i4>0</vt:i4>
      </vt:variant>
      <vt:variant>
        <vt:i4>5</vt:i4>
      </vt:variant>
      <vt:variant>
        <vt:lpwstr>https://doi.org/10.1111/add.13842</vt:lpwstr>
      </vt:variant>
      <vt:variant>
        <vt:lpwstr/>
      </vt:variant>
      <vt:variant>
        <vt:i4>1048602</vt:i4>
      </vt:variant>
      <vt:variant>
        <vt:i4>2288</vt:i4>
      </vt:variant>
      <vt:variant>
        <vt:i4>0</vt:i4>
      </vt:variant>
      <vt:variant>
        <vt:i4>5</vt:i4>
      </vt:variant>
      <vt:variant>
        <vt:lpwstr>https://doi.org/https://doi.org/10.1080/09595230500302356</vt:lpwstr>
      </vt:variant>
      <vt:variant>
        <vt:lpwstr/>
      </vt:variant>
      <vt:variant>
        <vt:i4>8126567</vt:i4>
      </vt:variant>
      <vt:variant>
        <vt:i4>2285</vt:i4>
      </vt:variant>
      <vt:variant>
        <vt:i4>0</vt:i4>
      </vt:variant>
      <vt:variant>
        <vt:i4>5</vt:i4>
      </vt:variant>
      <vt:variant>
        <vt:lpwstr>https://doi.org/10.1037/emo0000504</vt:lpwstr>
      </vt:variant>
      <vt:variant>
        <vt:lpwstr/>
      </vt:variant>
      <vt:variant>
        <vt:i4>2162736</vt:i4>
      </vt:variant>
      <vt:variant>
        <vt:i4>2282</vt:i4>
      </vt:variant>
      <vt:variant>
        <vt:i4>0</vt:i4>
      </vt:variant>
      <vt:variant>
        <vt:i4>5</vt:i4>
      </vt:variant>
      <vt:variant>
        <vt:lpwstr>https://doi.org/10.1186/s12874-020-01053-4</vt:lpwstr>
      </vt:variant>
      <vt:variant>
        <vt:lpwstr/>
      </vt:variant>
      <vt:variant>
        <vt:i4>1310808</vt:i4>
      </vt:variant>
      <vt:variant>
        <vt:i4>2279</vt:i4>
      </vt:variant>
      <vt:variant>
        <vt:i4>0</vt:i4>
      </vt:variant>
      <vt:variant>
        <vt:i4>5</vt:i4>
      </vt:variant>
      <vt:variant>
        <vt:lpwstr>https://doi.org/10.1080/10826080802289762</vt:lpwstr>
      </vt:variant>
      <vt:variant>
        <vt:lpwstr/>
      </vt:variant>
      <vt:variant>
        <vt:i4>5701720</vt:i4>
      </vt:variant>
      <vt:variant>
        <vt:i4>2276</vt:i4>
      </vt:variant>
      <vt:variant>
        <vt:i4>0</vt:i4>
      </vt:variant>
      <vt:variant>
        <vt:i4>5</vt:i4>
      </vt:variant>
      <vt:variant>
        <vt:lpwstr>https://doi.org/10.1097/adm.0000000000000790</vt:lpwstr>
      </vt:variant>
      <vt:variant>
        <vt:lpwstr/>
      </vt:variant>
      <vt:variant>
        <vt:i4>4915204</vt:i4>
      </vt:variant>
      <vt:variant>
        <vt:i4>2273</vt:i4>
      </vt:variant>
      <vt:variant>
        <vt:i4>0</vt:i4>
      </vt:variant>
      <vt:variant>
        <vt:i4>5</vt:i4>
      </vt:variant>
      <vt:variant>
        <vt:lpwstr>https://doi.org/https://doi.org/10.1016/j.childyouth.2012.06.001</vt:lpwstr>
      </vt:variant>
      <vt:variant>
        <vt:lpwstr/>
      </vt:variant>
      <vt:variant>
        <vt:i4>6488121</vt:i4>
      </vt:variant>
      <vt:variant>
        <vt:i4>2270</vt:i4>
      </vt:variant>
      <vt:variant>
        <vt:i4>0</vt:i4>
      </vt:variant>
      <vt:variant>
        <vt:i4>5</vt:i4>
      </vt:variant>
      <vt:variant>
        <vt:lpwstr>https://assets.childrenscommissioner.gov.uk/wpuploads/2024/03/Childreninneedreport.pdf</vt:lpwstr>
      </vt:variant>
      <vt:variant>
        <vt:lpwstr/>
      </vt:variant>
      <vt:variant>
        <vt:i4>5046280</vt:i4>
      </vt:variant>
      <vt:variant>
        <vt:i4>2267</vt:i4>
      </vt:variant>
      <vt:variant>
        <vt:i4>0</vt:i4>
      </vt:variant>
      <vt:variant>
        <vt:i4>5</vt:i4>
      </vt:variant>
      <vt:variant>
        <vt:lpwstr>https://cran.r-project.org/web/packages/twang</vt:lpwstr>
      </vt:variant>
      <vt:variant>
        <vt:lpwstr/>
      </vt:variant>
      <vt:variant>
        <vt:i4>5242908</vt:i4>
      </vt:variant>
      <vt:variant>
        <vt:i4>2264</vt:i4>
      </vt:variant>
      <vt:variant>
        <vt:i4>0</vt:i4>
      </vt:variant>
      <vt:variant>
        <vt:i4>5</vt:i4>
      </vt:variant>
      <vt:variant>
        <vt:lpwstr>https://doi.org/https://doi.org/10.1016/j.chiabu.2017.05.005</vt:lpwstr>
      </vt:variant>
      <vt:variant>
        <vt:lpwstr/>
      </vt:variant>
      <vt:variant>
        <vt:i4>3014760</vt:i4>
      </vt:variant>
      <vt:variant>
        <vt:i4>2261</vt:i4>
      </vt:variant>
      <vt:variant>
        <vt:i4>0</vt:i4>
      </vt:variant>
      <vt:variant>
        <vt:i4>5</vt:i4>
      </vt:variant>
      <vt:variant>
        <vt:lpwstr>https://doi.org/https://doi.org/10.1016/j.jsat.2021.108365</vt:lpwstr>
      </vt:variant>
      <vt:variant>
        <vt:lpwstr/>
      </vt:variant>
      <vt:variant>
        <vt:i4>3080248</vt:i4>
      </vt:variant>
      <vt:variant>
        <vt:i4>2258</vt:i4>
      </vt:variant>
      <vt:variant>
        <vt:i4>0</vt:i4>
      </vt:variant>
      <vt:variant>
        <vt:i4>5</vt:i4>
      </vt:variant>
      <vt:variant>
        <vt:lpwstr>https://assets.publishing.service.gov.uk/government/uploads/system/uploads/attachment_data/file/190984/Magenta_Book_quality_in_policy_impact_evaluation__QPIE_.pdf</vt:lpwstr>
      </vt:variant>
      <vt:variant>
        <vt:lpwstr/>
      </vt:variant>
      <vt:variant>
        <vt:i4>131104</vt:i4>
      </vt:variant>
      <vt:variant>
        <vt:i4>2255</vt:i4>
      </vt:variant>
      <vt:variant>
        <vt:i4>0</vt:i4>
      </vt:variant>
      <vt:variant>
        <vt:i4>5</vt:i4>
      </vt:variant>
      <vt:variant>
        <vt:lpwstr>https://assets.publishing.service.gov.uk/media/5b6c5703ed915d3119112af6/alcohol_public_health_burden_evidence_review_update_2018.pdf</vt:lpwstr>
      </vt:variant>
      <vt:variant>
        <vt:lpwstr/>
      </vt:variant>
      <vt:variant>
        <vt:i4>983042</vt:i4>
      </vt:variant>
      <vt:variant>
        <vt:i4>2252</vt:i4>
      </vt:variant>
      <vt:variant>
        <vt:i4>0</vt:i4>
      </vt:variant>
      <vt:variant>
        <vt:i4>5</vt:i4>
      </vt:variant>
      <vt:variant>
        <vt:lpwstr>https://doi.org/10.1016/S0140-6736(16)32420-5</vt:lpwstr>
      </vt:variant>
      <vt:variant>
        <vt:lpwstr/>
      </vt:variant>
      <vt:variant>
        <vt:i4>1310758</vt:i4>
      </vt:variant>
      <vt:variant>
        <vt:i4>2249</vt:i4>
      </vt:variant>
      <vt:variant>
        <vt:i4>0</vt:i4>
      </vt:variant>
      <vt:variant>
        <vt:i4>5</vt:i4>
      </vt:variant>
      <vt:variant>
        <vt:lpwstr>https://www.gov.uk/government/uploads/system/uploads/attachment_data/file/586111/PHE_Evidence_review_of_drug_treatment_outcomes.pdf</vt:lpwstr>
      </vt:variant>
      <vt:variant>
        <vt:lpwstr/>
      </vt:variant>
      <vt:variant>
        <vt:i4>5242955</vt:i4>
      </vt:variant>
      <vt:variant>
        <vt:i4>2246</vt:i4>
      </vt:variant>
      <vt:variant>
        <vt:i4>0</vt:i4>
      </vt:variant>
      <vt:variant>
        <vt:i4>5</vt:i4>
      </vt:variant>
      <vt:variant>
        <vt:lpwstr>https://cran.r-project.org/web/packages/twang/vignettes/mnps.pdf</vt:lpwstr>
      </vt:variant>
      <vt:variant>
        <vt:lpwstr/>
      </vt:variant>
      <vt:variant>
        <vt:i4>1048662</vt:i4>
      </vt:variant>
      <vt:variant>
        <vt:i4>2243</vt:i4>
      </vt:variant>
      <vt:variant>
        <vt:i4>0</vt:i4>
      </vt:variant>
      <vt:variant>
        <vt:i4>5</vt:i4>
      </vt:variant>
      <vt:variant>
        <vt:lpwstr>https://doi.org/10.1177/1077559512454216</vt:lpwstr>
      </vt:variant>
      <vt:variant>
        <vt:lpwstr/>
      </vt:variant>
      <vt:variant>
        <vt:i4>196639</vt:i4>
      </vt:variant>
      <vt:variant>
        <vt:i4>2240</vt:i4>
      </vt:variant>
      <vt:variant>
        <vt:i4>0</vt:i4>
      </vt:variant>
      <vt:variant>
        <vt:i4>5</vt:i4>
      </vt:variant>
      <vt:variant>
        <vt:lpwstr>https://doi.org/10.1007/s12671-018-1025-x</vt:lpwstr>
      </vt:variant>
      <vt:variant>
        <vt:lpwstr/>
      </vt:variant>
      <vt:variant>
        <vt:i4>1507415</vt:i4>
      </vt:variant>
      <vt:variant>
        <vt:i4>2237</vt:i4>
      </vt:variant>
      <vt:variant>
        <vt:i4>0</vt:i4>
      </vt:variant>
      <vt:variant>
        <vt:i4>5</vt:i4>
      </vt:variant>
      <vt:variant>
        <vt:lpwstr>https://doi.org/10.1177/1473325019893412</vt:lpwstr>
      </vt:variant>
      <vt:variant>
        <vt:lpwstr/>
      </vt:variant>
      <vt:variant>
        <vt:i4>5832798</vt:i4>
      </vt:variant>
      <vt:variant>
        <vt:i4>2234</vt:i4>
      </vt:variant>
      <vt:variant>
        <vt:i4>0</vt:i4>
      </vt:variant>
      <vt:variant>
        <vt:i4>5</vt:i4>
      </vt:variant>
      <vt:variant>
        <vt:lpwstr>https://doi.org/10.1177/0272989x03255922</vt:lpwstr>
      </vt:variant>
      <vt:variant>
        <vt:lpwstr/>
      </vt:variant>
      <vt:variant>
        <vt:i4>917590</vt:i4>
      </vt:variant>
      <vt:variant>
        <vt:i4>2231</vt:i4>
      </vt:variant>
      <vt:variant>
        <vt:i4>0</vt:i4>
      </vt:variant>
      <vt:variant>
        <vt:i4>5</vt:i4>
      </vt:variant>
      <vt:variant>
        <vt:lpwstr>https://doi.org/10.1186/1471-2458-11-803</vt:lpwstr>
      </vt:variant>
      <vt:variant>
        <vt:lpwstr/>
      </vt:variant>
      <vt:variant>
        <vt:i4>1114193</vt:i4>
      </vt:variant>
      <vt:variant>
        <vt:i4>2228</vt:i4>
      </vt:variant>
      <vt:variant>
        <vt:i4>0</vt:i4>
      </vt:variant>
      <vt:variant>
        <vt:i4>5</vt:i4>
      </vt:variant>
      <vt:variant>
        <vt:lpwstr>https://doi.org/10.1177/1077559507300643</vt:lpwstr>
      </vt:variant>
      <vt:variant>
        <vt:lpwstr/>
      </vt:variant>
      <vt:variant>
        <vt:i4>6815787</vt:i4>
      </vt:variant>
      <vt:variant>
        <vt:i4>2225</vt:i4>
      </vt:variant>
      <vt:variant>
        <vt:i4>0</vt:i4>
      </vt:variant>
      <vt:variant>
        <vt:i4>5</vt:i4>
      </vt:variant>
      <vt:variant>
        <vt:lpwstr>https://www.gov.uk/government/publications/review-of-drugs-phase-two-report</vt:lpwstr>
      </vt:variant>
      <vt:variant>
        <vt:lpwstr/>
      </vt:variant>
      <vt:variant>
        <vt:i4>7864416</vt:i4>
      </vt:variant>
      <vt:variant>
        <vt:i4>2222</vt:i4>
      </vt:variant>
      <vt:variant>
        <vt:i4>0</vt:i4>
      </vt:variant>
      <vt:variant>
        <vt:i4>5</vt:i4>
      </vt:variant>
      <vt:variant>
        <vt:lpwstr>https://doi.org/10.1093/oso/9780192896087.005.0006</vt:lpwstr>
      </vt:variant>
      <vt:variant>
        <vt:lpwstr/>
      </vt:variant>
      <vt:variant>
        <vt:i4>5439516</vt:i4>
      </vt:variant>
      <vt:variant>
        <vt:i4>2219</vt:i4>
      </vt:variant>
      <vt:variant>
        <vt:i4>0</vt:i4>
      </vt:variant>
      <vt:variant>
        <vt:i4>5</vt:i4>
      </vt:variant>
      <vt:variant>
        <vt:lpwstr>https://doi.org/https://doi.org/10.1111/add.15732</vt:lpwstr>
      </vt:variant>
      <vt:variant>
        <vt:lpwstr/>
      </vt:variant>
      <vt:variant>
        <vt:i4>2097207</vt:i4>
      </vt:variant>
      <vt:variant>
        <vt:i4>2216</vt:i4>
      </vt:variant>
      <vt:variant>
        <vt:i4>0</vt:i4>
      </vt:variant>
      <vt:variant>
        <vt:i4>5</vt:i4>
      </vt:variant>
      <vt:variant>
        <vt:lpwstr>https://doi.org/https://doi.org/10.1002/imhj.21348</vt:lpwstr>
      </vt:variant>
      <vt:variant>
        <vt:lpwstr/>
      </vt:variant>
      <vt:variant>
        <vt:i4>5111832</vt:i4>
      </vt:variant>
      <vt:variant>
        <vt:i4>2213</vt:i4>
      </vt:variant>
      <vt:variant>
        <vt:i4>0</vt:i4>
      </vt:variant>
      <vt:variant>
        <vt:i4>5</vt:i4>
      </vt:variant>
      <vt:variant>
        <vt:lpwstr>https://doi.org/http://dx.doi.org/10.1186/1741-7015-12-72</vt:lpwstr>
      </vt:variant>
      <vt:variant>
        <vt:lpwstr/>
      </vt:variant>
      <vt:variant>
        <vt:i4>2555938</vt:i4>
      </vt:variant>
      <vt:variant>
        <vt:i4>2210</vt:i4>
      </vt:variant>
      <vt:variant>
        <vt:i4>0</vt:i4>
      </vt:variant>
      <vt:variant>
        <vt:i4>5</vt:i4>
      </vt:variant>
      <vt:variant>
        <vt:lpwstr>https://doi.org/http://dx.doi.org/10.2471/BLT.13.129247</vt:lpwstr>
      </vt:variant>
      <vt:variant>
        <vt:lpwstr/>
      </vt:variant>
      <vt:variant>
        <vt:i4>6226001</vt:i4>
      </vt:variant>
      <vt:variant>
        <vt:i4>2207</vt:i4>
      </vt:variant>
      <vt:variant>
        <vt:i4>0</vt:i4>
      </vt:variant>
      <vt:variant>
        <vt:i4>5</vt:i4>
      </vt:variant>
      <vt:variant>
        <vt:lpwstr>https://doi.org/10.1111/j.1479-828X.2006.00628.x</vt:lpwstr>
      </vt:variant>
      <vt:variant>
        <vt:lpwstr/>
      </vt:variant>
      <vt:variant>
        <vt:i4>2228348</vt:i4>
      </vt:variant>
      <vt:variant>
        <vt:i4>2204</vt:i4>
      </vt:variant>
      <vt:variant>
        <vt:i4>0</vt:i4>
      </vt:variant>
      <vt:variant>
        <vt:i4>5</vt:i4>
      </vt:variant>
      <vt:variant>
        <vt:lpwstr>https://doi.org/https://doi.org/10.1016/j.jsat.2005.10.008</vt:lpwstr>
      </vt:variant>
      <vt:variant>
        <vt:lpwstr/>
      </vt:variant>
      <vt:variant>
        <vt:i4>5373965</vt:i4>
      </vt:variant>
      <vt:variant>
        <vt:i4>2201</vt:i4>
      </vt:variant>
      <vt:variant>
        <vt:i4>0</vt:i4>
      </vt:variant>
      <vt:variant>
        <vt:i4>5</vt:i4>
      </vt:variant>
      <vt:variant>
        <vt:lpwstr>https://doi.org/https://doi.org/10.1111/dar.12504</vt:lpwstr>
      </vt:variant>
      <vt:variant>
        <vt:lpwstr/>
      </vt:variant>
      <vt:variant>
        <vt:i4>6029337</vt:i4>
      </vt:variant>
      <vt:variant>
        <vt:i4>2198</vt:i4>
      </vt:variant>
      <vt:variant>
        <vt:i4>0</vt:i4>
      </vt:variant>
      <vt:variant>
        <vt:i4>5</vt:i4>
      </vt:variant>
      <vt:variant>
        <vt:lpwstr>https://doi.org/10.1111/j.1360-0443.2003.00664.x</vt:lpwstr>
      </vt:variant>
      <vt:variant>
        <vt:lpwstr/>
      </vt:variant>
      <vt:variant>
        <vt:i4>4194380</vt:i4>
      </vt:variant>
      <vt:variant>
        <vt:i4>2195</vt:i4>
      </vt:variant>
      <vt:variant>
        <vt:i4>0</vt:i4>
      </vt:variant>
      <vt:variant>
        <vt:i4>5</vt:i4>
      </vt:variant>
      <vt:variant>
        <vt:lpwstr>https://doi.org/10.1016/j.drugalcdep.2018.08.044</vt:lpwstr>
      </vt:variant>
      <vt:variant>
        <vt:lpwstr/>
      </vt:variant>
      <vt:variant>
        <vt:i4>7340081</vt:i4>
      </vt:variant>
      <vt:variant>
        <vt:i4>2192</vt:i4>
      </vt:variant>
      <vt:variant>
        <vt:i4>0</vt:i4>
      </vt:variant>
      <vt:variant>
        <vt:i4>5</vt:i4>
      </vt:variant>
      <vt:variant>
        <vt:lpwstr>https://doi.org/https://doi.org/10.1002/mpr.306</vt:lpwstr>
      </vt:variant>
      <vt:variant>
        <vt:lpwstr/>
      </vt:variant>
      <vt:variant>
        <vt:i4>1376378</vt:i4>
      </vt:variant>
      <vt:variant>
        <vt:i4>2189</vt:i4>
      </vt:variant>
      <vt:variant>
        <vt:i4>0</vt:i4>
      </vt:variant>
      <vt:variant>
        <vt:i4>5</vt:i4>
      </vt:variant>
      <vt:variant>
        <vt:lpwstr>https://doi.org/10.1176/appi.books.9780890425787.x16_Substance_Related_Disorders</vt:lpwstr>
      </vt:variant>
      <vt:variant>
        <vt:lpwstr/>
      </vt:variant>
      <vt:variant>
        <vt:i4>4915292</vt:i4>
      </vt:variant>
      <vt:variant>
        <vt:i4>2186</vt:i4>
      </vt:variant>
      <vt:variant>
        <vt:i4>0</vt:i4>
      </vt:variant>
      <vt:variant>
        <vt:i4>5</vt:i4>
      </vt:variant>
      <vt:variant>
        <vt:lpwstr>https://doi.org/10.1016/j.drugalcdep.2023.109793</vt:lpwstr>
      </vt:variant>
      <vt:variant>
        <vt:lpwstr/>
      </vt:variant>
      <vt:variant>
        <vt:i4>5832724</vt:i4>
      </vt:variant>
      <vt:variant>
        <vt:i4>2183</vt:i4>
      </vt:variant>
      <vt:variant>
        <vt:i4>0</vt:i4>
      </vt:variant>
      <vt:variant>
        <vt:i4>5</vt:i4>
      </vt:variant>
      <vt:variant>
        <vt:lpwstr>https://doi.org/10.1176/appi.ps.53.8.1001</vt:lpwstr>
      </vt:variant>
      <vt:variant>
        <vt:lpwstr/>
      </vt:variant>
      <vt:variant>
        <vt:i4>3539070</vt:i4>
      </vt:variant>
      <vt:variant>
        <vt:i4>2180</vt:i4>
      </vt:variant>
      <vt:variant>
        <vt:i4>0</vt:i4>
      </vt:variant>
      <vt:variant>
        <vt:i4>5</vt:i4>
      </vt:variant>
      <vt:variant>
        <vt:lpwstr>https://www.nuffieldfjo.org.uk/wp-content/uploads/2022/11/nfjo_eng_report_newborn_recurrence_20221111_final-1.pdf</vt:lpwstr>
      </vt:variant>
      <vt:variant>
        <vt:lpwstr/>
      </vt:variant>
      <vt:variant>
        <vt:i4>1048662</vt:i4>
      </vt:variant>
      <vt:variant>
        <vt:i4>2177</vt:i4>
      </vt:variant>
      <vt:variant>
        <vt:i4>0</vt:i4>
      </vt:variant>
      <vt:variant>
        <vt:i4>5</vt:i4>
      </vt:variant>
      <vt:variant>
        <vt:lpwstr>https://doi.org/10.1177/1077559517702743</vt:lpwstr>
      </vt:variant>
      <vt:variant>
        <vt:lpwstr/>
      </vt:variant>
      <vt:variant>
        <vt:i4>1507415</vt:i4>
      </vt:variant>
      <vt:variant>
        <vt:i4>2174</vt:i4>
      </vt:variant>
      <vt:variant>
        <vt:i4>0</vt:i4>
      </vt:variant>
      <vt:variant>
        <vt:i4>5</vt:i4>
      </vt:variant>
      <vt:variant>
        <vt:lpwstr>https://assets.publishing.service.gov.uk/media/5a756e6be5274a3edd9a4dcb/hidden-harm-full.pdf</vt:lpwstr>
      </vt:variant>
      <vt:variant>
        <vt:lpwstr/>
      </vt:variant>
      <vt:variant>
        <vt:i4>3932201</vt:i4>
      </vt:variant>
      <vt:variant>
        <vt:i4>827</vt:i4>
      </vt:variant>
      <vt:variant>
        <vt:i4>0</vt:i4>
      </vt:variant>
      <vt:variant>
        <vt:i4>5</vt:i4>
      </vt:variant>
      <vt:variant>
        <vt:lpwstr>https://www.sciencedirect.com/topics/neuroscience/sensation-of-hearing</vt:lpwstr>
      </vt:variant>
      <vt:variant>
        <vt:lpwstr/>
      </vt:variant>
      <vt:variant>
        <vt:i4>7929964</vt:i4>
      </vt:variant>
      <vt:variant>
        <vt:i4>824</vt:i4>
      </vt:variant>
      <vt:variant>
        <vt:i4>0</vt:i4>
      </vt:variant>
      <vt:variant>
        <vt:i4>5</vt:i4>
      </vt:variant>
      <vt:variant>
        <vt:lpwstr>https://www.sciencedirect.com/topics/neuroscience/face</vt:lpwstr>
      </vt:variant>
      <vt:variant>
        <vt:lpwstr/>
      </vt:variant>
      <vt:variant>
        <vt:i4>1048625</vt:i4>
      </vt:variant>
      <vt:variant>
        <vt:i4>785</vt:i4>
      </vt:variant>
      <vt:variant>
        <vt:i4>0</vt:i4>
      </vt:variant>
      <vt:variant>
        <vt:i4>5</vt:i4>
      </vt:variant>
      <vt:variant>
        <vt:lpwstr/>
      </vt:variant>
      <vt:variant>
        <vt:lpwstr>_Toc177223511</vt:lpwstr>
      </vt:variant>
      <vt:variant>
        <vt:i4>1048625</vt:i4>
      </vt:variant>
      <vt:variant>
        <vt:i4>779</vt:i4>
      </vt:variant>
      <vt:variant>
        <vt:i4>0</vt:i4>
      </vt:variant>
      <vt:variant>
        <vt:i4>5</vt:i4>
      </vt:variant>
      <vt:variant>
        <vt:lpwstr/>
      </vt:variant>
      <vt:variant>
        <vt:lpwstr>_Toc177223510</vt:lpwstr>
      </vt:variant>
      <vt:variant>
        <vt:i4>1114161</vt:i4>
      </vt:variant>
      <vt:variant>
        <vt:i4>773</vt:i4>
      </vt:variant>
      <vt:variant>
        <vt:i4>0</vt:i4>
      </vt:variant>
      <vt:variant>
        <vt:i4>5</vt:i4>
      </vt:variant>
      <vt:variant>
        <vt:lpwstr/>
      </vt:variant>
      <vt:variant>
        <vt:lpwstr>_Toc177223509</vt:lpwstr>
      </vt:variant>
      <vt:variant>
        <vt:i4>1114161</vt:i4>
      </vt:variant>
      <vt:variant>
        <vt:i4>767</vt:i4>
      </vt:variant>
      <vt:variant>
        <vt:i4>0</vt:i4>
      </vt:variant>
      <vt:variant>
        <vt:i4>5</vt:i4>
      </vt:variant>
      <vt:variant>
        <vt:lpwstr/>
      </vt:variant>
      <vt:variant>
        <vt:lpwstr>_Toc177223508</vt:lpwstr>
      </vt:variant>
      <vt:variant>
        <vt:i4>1114161</vt:i4>
      </vt:variant>
      <vt:variant>
        <vt:i4>761</vt:i4>
      </vt:variant>
      <vt:variant>
        <vt:i4>0</vt:i4>
      </vt:variant>
      <vt:variant>
        <vt:i4>5</vt:i4>
      </vt:variant>
      <vt:variant>
        <vt:lpwstr/>
      </vt:variant>
      <vt:variant>
        <vt:lpwstr>_Toc177223507</vt:lpwstr>
      </vt:variant>
      <vt:variant>
        <vt:i4>1114161</vt:i4>
      </vt:variant>
      <vt:variant>
        <vt:i4>755</vt:i4>
      </vt:variant>
      <vt:variant>
        <vt:i4>0</vt:i4>
      </vt:variant>
      <vt:variant>
        <vt:i4>5</vt:i4>
      </vt:variant>
      <vt:variant>
        <vt:lpwstr/>
      </vt:variant>
      <vt:variant>
        <vt:lpwstr>_Toc177223506</vt:lpwstr>
      </vt:variant>
      <vt:variant>
        <vt:i4>1114161</vt:i4>
      </vt:variant>
      <vt:variant>
        <vt:i4>749</vt:i4>
      </vt:variant>
      <vt:variant>
        <vt:i4>0</vt:i4>
      </vt:variant>
      <vt:variant>
        <vt:i4>5</vt:i4>
      </vt:variant>
      <vt:variant>
        <vt:lpwstr/>
      </vt:variant>
      <vt:variant>
        <vt:lpwstr>_Toc177223505</vt:lpwstr>
      </vt:variant>
      <vt:variant>
        <vt:i4>1114161</vt:i4>
      </vt:variant>
      <vt:variant>
        <vt:i4>743</vt:i4>
      </vt:variant>
      <vt:variant>
        <vt:i4>0</vt:i4>
      </vt:variant>
      <vt:variant>
        <vt:i4>5</vt:i4>
      </vt:variant>
      <vt:variant>
        <vt:lpwstr/>
      </vt:variant>
      <vt:variant>
        <vt:lpwstr>_Toc177223504</vt:lpwstr>
      </vt:variant>
      <vt:variant>
        <vt:i4>1114161</vt:i4>
      </vt:variant>
      <vt:variant>
        <vt:i4>737</vt:i4>
      </vt:variant>
      <vt:variant>
        <vt:i4>0</vt:i4>
      </vt:variant>
      <vt:variant>
        <vt:i4>5</vt:i4>
      </vt:variant>
      <vt:variant>
        <vt:lpwstr/>
      </vt:variant>
      <vt:variant>
        <vt:lpwstr>_Toc177223503</vt:lpwstr>
      </vt:variant>
      <vt:variant>
        <vt:i4>1114161</vt:i4>
      </vt:variant>
      <vt:variant>
        <vt:i4>731</vt:i4>
      </vt:variant>
      <vt:variant>
        <vt:i4>0</vt:i4>
      </vt:variant>
      <vt:variant>
        <vt:i4>5</vt:i4>
      </vt:variant>
      <vt:variant>
        <vt:lpwstr/>
      </vt:variant>
      <vt:variant>
        <vt:lpwstr>_Toc177223502</vt:lpwstr>
      </vt:variant>
      <vt:variant>
        <vt:i4>1114161</vt:i4>
      </vt:variant>
      <vt:variant>
        <vt:i4>725</vt:i4>
      </vt:variant>
      <vt:variant>
        <vt:i4>0</vt:i4>
      </vt:variant>
      <vt:variant>
        <vt:i4>5</vt:i4>
      </vt:variant>
      <vt:variant>
        <vt:lpwstr/>
      </vt:variant>
      <vt:variant>
        <vt:lpwstr>_Toc177223501</vt:lpwstr>
      </vt:variant>
      <vt:variant>
        <vt:i4>1114161</vt:i4>
      </vt:variant>
      <vt:variant>
        <vt:i4>716</vt:i4>
      </vt:variant>
      <vt:variant>
        <vt:i4>0</vt:i4>
      </vt:variant>
      <vt:variant>
        <vt:i4>5</vt:i4>
      </vt:variant>
      <vt:variant>
        <vt:lpwstr/>
      </vt:variant>
      <vt:variant>
        <vt:lpwstr>_Toc177223500</vt:lpwstr>
      </vt:variant>
      <vt:variant>
        <vt:i4>1572912</vt:i4>
      </vt:variant>
      <vt:variant>
        <vt:i4>710</vt:i4>
      </vt:variant>
      <vt:variant>
        <vt:i4>0</vt:i4>
      </vt:variant>
      <vt:variant>
        <vt:i4>5</vt:i4>
      </vt:variant>
      <vt:variant>
        <vt:lpwstr/>
      </vt:variant>
      <vt:variant>
        <vt:lpwstr>_Toc177223499</vt:lpwstr>
      </vt:variant>
      <vt:variant>
        <vt:i4>1572912</vt:i4>
      </vt:variant>
      <vt:variant>
        <vt:i4>704</vt:i4>
      </vt:variant>
      <vt:variant>
        <vt:i4>0</vt:i4>
      </vt:variant>
      <vt:variant>
        <vt:i4>5</vt:i4>
      </vt:variant>
      <vt:variant>
        <vt:lpwstr/>
      </vt:variant>
      <vt:variant>
        <vt:lpwstr>_Toc177223498</vt:lpwstr>
      </vt:variant>
      <vt:variant>
        <vt:i4>1572912</vt:i4>
      </vt:variant>
      <vt:variant>
        <vt:i4>698</vt:i4>
      </vt:variant>
      <vt:variant>
        <vt:i4>0</vt:i4>
      </vt:variant>
      <vt:variant>
        <vt:i4>5</vt:i4>
      </vt:variant>
      <vt:variant>
        <vt:lpwstr/>
      </vt:variant>
      <vt:variant>
        <vt:lpwstr>_Toc177223497</vt:lpwstr>
      </vt:variant>
      <vt:variant>
        <vt:i4>1572912</vt:i4>
      </vt:variant>
      <vt:variant>
        <vt:i4>692</vt:i4>
      </vt:variant>
      <vt:variant>
        <vt:i4>0</vt:i4>
      </vt:variant>
      <vt:variant>
        <vt:i4>5</vt:i4>
      </vt:variant>
      <vt:variant>
        <vt:lpwstr/>
      </vt:variant>
      <vt:variant>
        <vt:lpwstr>_Toc177223496</vt:lpwstr>
      </vt:variant>
      <vt:variant>
        <vt:i4>1572912</vt:i4>
      </vt:variant>
      <vt:variant>
        <vt:i4>686</vt:i4>
      </vt:variant>
      <vt:variant>
        <vt:i4>0</vt:i4>
      </vt:variant>
      <vt:variant>
        <vt:i4>5</vt:i4>
      </vt:variant>
      <vt:variant>
        <vt:lpwstr/>
      </vt:variant>
      <vt:variant>
        <vt:lpwstr>_Toc177223495</vt:lpwstr>
      </vt:variant>
      <vt:variant>
        <vt:i4>1572912</vt:i4>
      </vt:variant>
      <vt:variant>
        <vt:i4>680</vt:i4>
      </vt:variant>
      <vt:variant>
        <vt:i4>0</vt:i4>
      </vt:variant>
      <vt:variant>
        <vt:i4>5</vt:i4>
      </vt:variant>
      <vt:variant>
        <vt:lpwstr/>
      </vt:variant>
      <vt:variant>
        <vt:lpwstr>_Toc177223494</vt:lpwstr>
      </vt:variant>
      <vt:variant>
        <vt:i4>1572912</vt:i4>
      </vt:variant>
      <vt:variant>
        <vt:i4>674</vt:i4>
      </vt:variant>
      <vt:variant>
        <vt:i4>0</vt:i4>
      </vt:variant>
      <vt:variant>
        <vt:i4>5</vt:i4>
      </vt:variant>
      <vt:variant>
        <vt:lpwstr/>
      </vt:variant>
      <vt:variant>
        <vt:lpwstr>_Toc177223492</vt:lpwstr>
      </vt:variant>
      <vt:variant>
        <vt:i4>1572912</vt:i4>
      </vt:variant>
      <vt:variant>
        <vt:i4>668</vt:i4>
      </vt:variant>
      <vt:variant>
        <vt:i4>0</vt:i4>
      </vt:variant>
      <vt:variant>
        <vt:i4>5</vt:i4>
      </vt:variant>
      <vt:variant>
        <vt:lpwstr/>
      </vt:variant>
      <vt:variant>
        <vt:lpwstr>_Toc177223491</vt:lpwstr>
      </vt:variant>
      <vt:variant>
        <vt:i4>1572912</vt:i4>
      </vt:variant>
      <vt:variant>
        <vt:i4>662</vt:i4>
      </vt:variant>
      <vt:variant>
        <vt:i4>0</vt:i4>
      </vt:variant>
      <vt:variant>
        <vt:i4>5</vt:i4>
      </vt:variant>
      <vt:variant>
        <vt:lpwstr/>
      </vt:variant>
      <vt:variant>
        <vt:lpwstr>_Toc177223490</vt:lpwstr>
      </vt:variant>
      <vt:variant>
        <vt:i4>1638448</vt:i4>
      </vt:variant>
      <vt:variant>
        <vt:i4>656</vt:i4>
      </vt:variant>
      <vt:variant>
        <vt:i4>0</vt:i4>
      </vt:variant>
      <vt:variant>
        <vt:i4>5</vt:i4>
      </vt:variant>
      <vt:variant>
        <vt:lpwstr/>
      </vt:variant>
      <vt:variant>
        <vt:lpwstr>_Toc177223489</vt:lpwstr>
      </vt:variant>
      <vt:variant>
        <vt:i4>1638448</vt:i4>
      </vt:variant>
      <vt:variant>
        <vt:i4>650</vt:i4>
      </vt:variant>
      <vt:variant>
        <vt:i4>0</vt:i4>
      </vt:variant>
      <vt:variant>
        <vt:i4>5</vt:i4>
      </vt:variant>
      <vt:variant>
        <vt:lpwstr/>
      </vt:variant>
      <vt:variant>
        <vt:lpwstr>_Toc177223488</vt:lpwstr>
      </vt:variant>
      <vt:variant>
        <vt:i4>1638448</vt:i4>
      </vt:variant>
      <vt:variant>
        <vt:i4>644</vt:i4>
      </vt:variant>
      <vt:variant>
        <vt:i4>0</vt:i4>
      </vt:variant>
      <vt:variant>
        <vt:i4>5</vt:i4>
      </vt:variant>
      <vt:variant>
        <vt:lpwstr/>
      </vt:variant>
      <vt:variant>
        <vt:lpwstr>_Toc177223487</vt:lpwstr>
      </vt:variant>
      <vt:variant>
        <vt:i4>1638448</vt:i4>
      </vt:variant>
      <vt:variant>
        <vt:i4>638</vt:i4>
      </vt:variant>
      <vt:variant>
        <vt:i4>0</vt:i4>
      </vt:variant>
      <vt:variant>
        <vt:i4>5</vt:i4>
      </vt:variant>
      <vt:variant>
        <vt:lpwstr/>
      </vt:variant>
      <vt:variant>
        <vt:lpwstr>_Toc177223486</vt:lpwstr>
      </vt:variant>
      <vt:variant>
        <vt:i4>1638448</vt:i4>
      </vt:variant>
      <vt:variant>
        <vt:i4>632</vt:i4>
      </vt:variant>
      <vt:variant>
        <vt:i4>0</vt:i4>
      </vt:variant>
      <vt:variant>
        <vt:i4>5</vt:i4>
      </vt:variant>
      <vt:variant>
        <vt:lpwstr/>
      </vt:variant>
      <vt:variant>
        <vt:lpwstr>_Toc177223485</vt:lpwstr>
      </vt:variant>
      <vt:variant>
        <vt:i4>1638448</vt:i4>
      </vt:variant>
      <vt:variant>
        <vt:i4>626</vt:i4>
      </vt:variant>
      <vt:variant>
        <vt:i4>0</vt:i4>
      </vt:variant>
      <vt:variant>
        <vt:i4>5</vt:i4>
      </vt:variant>
      <vt:variant>
        <vt:lpwstr/>
      </vt:variant>
      <vt:variant>
        <vt:lpwstr>_Toc177223484</vt:lpwstr>
      </vt:variant>
      <vt:variant>
        <vt:i4>1638448</vt:i4>
      </vt:variant>
      <vt:variant>
        <vt:i4>620</vt:i4>
      </vt:variant>
      <vt:variant>
        <vt:i4>0</vt:i4>
      </vt:variant>
      <vt:variant>
        <vt:i4>5</vt:i4>
      </vt:variant>
      <vt:variant>
        <vt:lpwstr/>
      </vt:variant>
      <vt:variant>
        <vt:lpwstr>_Toc177223483</vt:lpwstr>
      </vt:variant>
      <vt:variant>
        <vt:i4>1638448</vt:i4>
      </vt:variant>
      <vt:variant>
        <vt:i4>614</vt:i4>
      </vt:variant>
      <vt:variant>
        <vt:i4>0</vt:i4>
      </vt:variant>
      <vt:variant>
        <vt:i4>5</vt:i4>
      </vt:variant>
      <vt:variant>
        <vt:lpwstr/>
      </vt:variant>
      <vt:variant>
        <vt:lpwstr>_Toc177223482</vt:lpwstr>
      </vt:variant>
      <vt:variant>
        <vt:i4>1638448</vt:i4>
      </vt:variant>
      <vt:variant>
        <vt:i4>608</vt:i4>
      </vt:variant>
      <vt:variant>
        <vt:i4>0</vt:i4>
      </vt:variant>
      <vt:variant>
        <vt:i4>5</vt:i4>
      </vt:variant>
      <vt:variant>
        <vt:lpwstr/>
      </vt:variant>
      <vt:variant>
        <vt:lpwstr>_Toc177223481</vt:lpwstr>
      </vt:variant>
      <vt:variant>
        <vt:i4>1638448</vt:i4>
      </vt:variant>
      <vt:variant>
        <vt:i4>602</vt:i4>
      </vt:variant>
      <vt:variant>
        <vt:i4>0</vt:i4>
      </vt:variant>
      <vt:variant>
        <vt:i4>5</vt:i4>
      </vt:variant>
      <vt:variant>
        <vt:lpwstr/>
      </vt:variant>
      <vt:variant>
        <vt:lpwstr>_Toc177223480</vt:lpwstr>
      </vt:variant>
      <vt:variant>
        <vt:i4>1441840</vt:i4>
      </vt:variant>
      <vt:variant>
        <vt:i4>596</vt:i4>
      </vt:variant>
      <vt:variant>
        <vt:i4>0</vt:i4>
      </vt:variant>
      <vt:variant>
        <vt:i4>5</vt:i4>
      </vt:variant>
      <vt:variant>
        <vt:lpwstr/>
      </vt:variant>
      <vt:variant>
        <vt:lpwstr>_Toc177223479</vt:lpwstr>
      </vt:variant>
      <vt:variant>
        <vt:i4>1441840</vt:i4>
      </vt:variant>
      <vt:variant>
        <vt:i4>590</vt:i4>
      </vt:variant>
      <vt:variant>
        <vt:i4>0</vt:i4>
      </vt:variant>
      <vt:variant>
        <vt:i4>5</vt:i4>
      </vt:variant>
      <vt:variant>
        <vt:lpwstr/>
      </vt:variant>
      <vt:variant>
        <vt:lpwstr>_Toc177223478</vt:lpwstr>
      </vt:variant>
      <vt:variant>
        <vt:i4>1441840</vt:i4>
      </vt:variant>
      <vt:variant>
        <vt:i4>584</vt:i4>
      </vt:variant>
      <vt:variant>
        <vt:i4>0</vt:i4>
      </vt:variant>
      <vt:variant>
        <vt:i4>5</vt:i4>
      </vt:variant>
      <vt:variant>
        <vt:lpwstr/>
      </vt:variant>
      <vt:variant>
        <vt:lpwstr>_Toc177223477</vt:lpwstr>
      </vt:variant>
      <vt:variant>
        <vt:i4>1441840</vt:i4>
      </vt:variant>
      <vt:variant>
        <vt:i4>578</vt:i4>
      </vt:variant>
      <vt:variant>
        <vt:i4>0</vt:i4>
      </vt:variant>
      <vt:variant>
        <vt:i4>5</vt:i4>
      </vt:variant>
      <vt:variant>
        <vt:lpwstr/>
      </vt:variant>
      <vt:variant>
        <vt:lpwstr>_Toc177223476</vt:lpwstr>
      </vt:variant>
      <vt:variant>
        <vt:i4>1441840</vt:i4>
      </vt:variant>
      <vt:variant>
        <vt:i4>572</vt:i4>
      </vt:variant>
      <vt:variant>
        <vt:i4>0</vt:i4>
      </vt:variant>
      <vt:variant>
        <vt:i4>5</vt:i4>
      </vt:variant>
      <vt:variant>
        <vt:lpwstr/>
      </vt:variant>
      <vt:variant>
        <vt:lpwstr>_Toc177223475</vt:lpwstr>
      </vt:variant>
      <vt:variant>
        <vt:i4>1441840</vt:i4>
      </vt:variant>
      <vt:variant>
        <vt:i4>563</vt:i4>
      </vt:variant>
      <vt:variant>
        <vt:i4>0</vt:i4>
      </vt:variant>
      <vt:variant>
        <vt:i4>5</vt:i4>
      </vt:variant>
      <vt:variant>
        <vt:lpwstr/>
      </vt:variant>
      <vt:variant>
        <vt:lpwstr>_Toc177223474</vt:lpwstr>
      </vt:variant>
      <vt:variant>
        <vt:i4>1441840</vt:i4>
      </vt:variant>
      <vt:variant>
        <vt:i4>557</vt:i4>
      </vt:variant>
      <vt:variant>
        <vt:i4>0</vt:i4>
      </vt:variant>
      <vt:variant>
        <vt:i4>5</vt:i4>
      </vt:variant>
      <vt:variant>
        <vt:lpwstr/>
      </vt:variant>
      <vt:variant>
        <vt:lpwstr>_Toc177223473</vt:lpwstr>
      </vt:variant>
      <vt:variant>
        <vt:i4>1441840</vt:i4>
      </vt:variant>
      <vt:variant>
        <vt:i4>551</vt:i4>
      </vt:variant>
      <vt:variant>
        <vt:i4>0</vt:i4>
      </vt:variant>
      <vt:variant>
        <vt:i4>5</vt:i4>
      </vt:variant>
      <vt:variant>
        <vt:lpwstr/>
      </vt:variant>
      <vt:variant>
        <vt:lpwstr>_Toc177223472</vt:lpwstr>
      </vt:variant>
      <vt:variant>
        <vt:i4>1441840</vt:i4>
      </vt:variant>
      <vt:variant>
        <vt:i4>545</vt:i4>
      </vt:variant>
      <vt:variant>
        <vt:i4>0</vt:i4>
      </vt:variant>
      <vt:variant>
        <vt:i4>5</vt:i4>
      </vt:variant>
      <vt:variant>
        <vt:lpwstr/>
      </vt:variant>
      <vt:variant>
        <vt:lpwstr>_Toc177223471</vt:lpwstr>
      </vt:variant>
      <vt:variant>
        <vt:i4>1441840</vt:i4>
      </vt:variant>
      <vt:variant>
        <vt:i4>539</vt:i4>
      </vt:variant>
      <vt:variant>
        <vt:i4>0</vt:i4>
      </vt:variant>
      <vt:variant>
        <vt:i4>5</vt:i4>
      </vt:variant>
      <vt:variant>
        <vt:lpwstr/>
      </vt:variant>
      <vt:variant>
        <vt:lpwstr>_Toc177223470</vt:lpwstr>
      </vt:variant>
      <vt:variant>
        <vt:i4>1507376</vt:i4>
      </vt:variant>
      <vt:variant>
        <vt:i4>533</vt:i4>
      </vt:variant>
      <vt:variant>
        <vt:i4>0</vt:i4>
      </vt:variant>
      <vt:variant>
        <vt:i4>5</vt:i4>
      </vt:variant>
      <vt:variant>
        <vt:lpwstr/>
      </vt:variant>
      <vt:variant>
        <vt:lpwstr>_Toc177223469</vt:lpwstr>
      </vt:variant>
      <vt:variant>
        <vt:i4>1507376</vt:i4>
      </vt:variant>
      <vt:variant>
        <vt:i4>527</vt:i4>
      </vt:variant>
      <vt:variant>
        <vt:i4>0</vt:i4>
      </vt:variant>
      <vt:variant>
        <vt:i4>5</vt:i4>
      </vt:variant>
      <vt:variant>
        <vt:lpwstr/>
      </vt:variant>
      <vt:variant>
        <vt:lpwstr>_Toc177223468</vt:lpwstr>
      </vt:variant>
      <vt:variant>
        <vt:i4>1507376</vt:i4>
      </vt:variant>
      <vt:variant>
        <vt:i4>521</vt:i4>
      </vt:variant>
      <vt:variant>
        <vt:i4>0</vt:i4>
      </vt:variant>
      <vt:variant>
        <vt:i4>5</vt:i4>
      </vt:variant>
      <vt:variant>
        <vt:lpwstr/>
      </vt:variant>
      <vt:variant>
        <vt:lpwstr>_Toc177223467</vt:lpwstr>
      </vt:variant>
      <vt:variant>
        <vt:i4>1507376</vt:i4>
      </vt:variant>
      <vt:variant>
        <vt:i4>515</vt:i4>
      </vt:variant>
      <vt:variant>
        <vt:i4>0</vt:i4>
      </vt:variant>
      <vt:variant>
        <vt:i4>5</vt:i4>
      </vt:variant>
      <vt:variant>
        <vt:lpwstr/>
      </vt:variant>
      <vt:variant>
        <vt:lpwstr>_Toc177223466</vt:lpwstr>
      </vt:variant>
      <vt:variant>
        <vt:i4>1507376</vt:i4>
      </vt:variant>
      <vt:variant>
        <vt:i4>509</vt:i4>
      </vt:variant>
      <vt:variant>
        <vt:i4>0</vt:i4>
      </vt:variant>
      <vt:variant>
        <vt:i4>5</vt:i4>
      </vt:variant>
      <vt:variant>
        <vt:lpwstr/>
      </vt:variant>
      <vt:variant>
        <vt:lpwstr>_Toc177223465</vt:lpwstr>
      </vt:variant>
      <vt:variant>
        <vt:i4>1507376</vt:i4>
      </vt:variant>
      <vt:variant>
        <vt:i4>503</vt:i4>
      </vt:variant>
      <vt:variant>
        <vt:i4>0</vt:i4>
      </vt:variant>
      <vt:variant>
        <vt:i4>5</vt:i4>
      </vt:variant>
      <vt:variant>
        <vt:lpwstr/>
      </vt:variant>
      <vt:variant>
        <vt:lpwstr>_Toc177223464</vt:lpwstr>
      </vt:variant>
      <vt:variant>
        <vt:i4>1507376</vt:i4>
      </vt:variant>
      <vt:variant>
        <vt:i4>497</vt:i4>
      </vt:variant>
      <vt:variant>
        <vt:i4>0</vt:i4>
      </vt:variant>
      <vt:variant>
        <vt:i4>5</vt:i4>
      </vt:variant>
      <vt:variant>
        <vt:lpwstr/>
      </vt:variant>
      <vt:variant>
        <vt:lpwstr>_Toc177223463</vt:lpwstr>
      </vt:variant>
      <vt:variant>
        <vt:i4>1507376</vt:i4>
      </vt:variant>
      <vt:variant>
        <vt:i4>491</vt:i4>
      </vt:variant>
      <vt:variant>
        <vt:i4>0</vt:i4>
      </vt:variant>
      <vt:variant>
        <vt:i4>5</vt:i4>
      </vt:variant>
      <vt:variant>
        <vt:lpwstr/>
      </vt:variant>
      <vt:variant>
        <vt:lpwstr>_Toc177223462</vt:lpwstr>
      </vt:variant>
      <vt:variant>
        <vt:i4>1507376</vt:i4>
      </vt:variant>
      <vt:variant>
        <vt:i4>485</vt:i4>
      </vt:variant>
      <vt:variant>
        <vt:i4>0</vt:i4>
      </vt:variant>
      <vt:variant>
        <vt:i4>5</vt:i4>
      </vt:variant>
      <vt:variant>
        <vt:lpwstr/>
      </vt:variant>
      <vt:variant>
        <vt:lpwstr>_Toc177223461</vt:lpwstr>
      </vt:variant>
      <vt:variant>
        <vt:i4>1507376</vt:i4>
      </vt:variant>
      <vt:variant>
        <vt:i4>479</vt:i4>
      </vt:variant>
      <vt:variant>
        <vt:i4>0</vt:i4>
      </vt:variant>
      <vt:variant>
        <vt:i4>5</vt:i4>
      </vt:variant>
      <vt:variant>
        <vt:lpwstr/>
      </vt:variant>
      <vt:variant>
        <vt:lpwstr>_Toc177223460</vt:lpwstr>
      </vt:variant>
      <vt:variant>
        <vt:i4>1310768</vt:i4>
      </vt:variant>
      <vt:variant>
        <vt:i4>473</vt:i4>
      </vt:variant>
      <vt:variant>
        <vt:i4>0</vt:i4>
      </vt:variant>
      <vt:variant>
        <vt:i4>5</vt:i4>
      </vt:variant>
      <vt:variant>
        <vt:lpwstr/>
      </vt:variant>
      <vt:variant>
        <vt:lpwstr>_Toc177223459</vt:lpwstr>
      </vt:variant>
      <vt:variant>
        <vt:i4>1310768</vt:i4>
      </vt:variant>
      <vt:variant>
        <vt:i4>467</vt:i4>
      </vt:variant>
      <vt:variant>
        <vt:i4>0</vt:i4>
      </vt:variant>
      <vt:variant>
        <vt:i4>5</vt:i4>
      </vt:variant>
      <vt:variant>
        <vt:lpwstr/>
      </vt:variant>
      <vt:variant>
        <vt:lpwstr>_Toc177223458</vt:lpwstr>
      </vt:variant>
      <vt:variant>
        <vt:i4>1310768</vt:i4>
      </vt:variant>
      <vt:variant>
        <vt:i4>461</vt:i4>
      </vt:variant>
      <vt:variant>
        <vt:i4>0</vt:i4>
      </vt:variant>
      <vt:variant>
        <vt:i4>5</vt:i4>
      </vt:variant>
      <vt:variant>
        <vt:lpwstr/>
      </vt:variant>
      <vt:variant>
        <vt:lpwstr>_Toc177223457</vt:lpwstr>
      </vt:variant>
      <vt:variant>
        <vt:i4>1310768</vt:i4>
      </vt:variant>
      <vt:variant>
        <vt:i4>455</vt:i4>
      </vt:variant>
      <vt:variant>
        <vt:i4>0</vt:i4>
      </vt:variant>
      <vt:variant>
        <vt:i4>5</vt:i4>
      </vt:variant>
      <vt:variant>
        <vt:lpwstr/>
      </vt:variant>
      <vt:variant>
        <vt:lpwstr>_Toc177223456</vt:lpwstr>
      </vt:variant>
      <vt:variant>
        <vt:i4>1310768</vt:i4>
      </vt:variant>
      <vt:variant>
        <vt:i4>449</vt:i4>
      </vt:variant>
      <vt:variant>
        <vt:i4>0</vt:i4>
      </vt:variant>
      <vt:variant>
        <vt:i4>5</vt:i4>
      </vt:variant>
      <vt:variant>
        <vt:lpwstr/>
      </vt:variant>
      <vt:variant>
        <vt:lpwstr>_Toc177223455</vt:lpwstr>
      </vt:variant>
      <vt:variant>
        <vt:i4>1310768</vt:i4>
      </vt:variant>
      <vt:variant>
        <vt:i4>443</vt:i4>
      </vt:variant>
      <vt:variant>
        <vt:i4>0</vt:i4>
      </vt:variant>
      <vt:variant>
        <vt:i4>5</vt:i4>
      </vt:variant>
      <vt:variant>
        <vt:lpwstr/>
      </vt:variant>
      <vt:variant>
        <vt:lpwstr>_Toc177223454</vt:lpwstr>
      </vt:variant>
      <vt:variant>
        <vt:i4>1310768</vt:i4>
      </vt:variant>
      <vt:variant>
        <vt:i4>437</vt:i4>
      </vt:variant>
      <vt:variant>
        <vt:i4>0</vt:i4>
      </vt:variant>
      <vt:variant>
        <vt:i4>5</vt:i4>
      </vt:variant>
      <vt:variant>
        <vt:lpwstr/>
      </vt:variant>
      <vt:variant>
        <vt:lpwstr>_Toc177223453</vt:lpwstr>
      </vt:variant>
      <vt:variant>
        <vt:i4>1310768</vt:i4>
      </vt:variant>
      <vt:variant>
        <vt:i4>431</vt:i4>
      </vt:variant>
      <vt:variant>
        <vt:i4>0</vt:i4>
      </vt:variant>
      <vt:variant>
        <vt:i4>5</vt:i4>
      </vt:variant>
      <vt:variant>
        <vt:lpwstr/>
      </vt:variant>
      <vt:variant>
        <vt:lpwstr>_Toc177223452</vt:lpwstr>
      </vt:variant>
      <vt:variant>
        <vt:i4>1310768</vt:i4>
      </vt:variant>
      <vt:variant>
        <vt:i4>425</vt:i4>
      </vt:variant>
      <vt:variant>
        <vt:i4>0</vt:i4>
      </vt:variant>
      <vt:variant>
        <vt:i4>5</vt:i4>
      </vt:variant>
      <vt:variant>
        <vt:lpwstr/>
      </vt:variant>
      <vt:variant>
        <vt:lpwstr>_Toc177223451</vt:lpwstr>
      </vt:variant>
      <vt:variant>
        <vt:i4>1310768</vt:i4>
      </vt:variant>
      <vt:variant>
        <vt:i4>419</vt:i4>
      </vt:variant>
      <vt:variant>
        <vt:i4>0</vt:i4>
      </vt:variant>
      <vt:variant>
        <vt:i4>5</vt:i4>
      </vt:variant>
      <vt:variant>
        <vt:lpwstr/>
      </vt:variant>
      <vt:variant>
        <vt:lpwstr>_Toc177223450</vt:lpwstr>
      </vt:variant>
      <vt:variant>
        <vt:i4>1376304</vt:i4>
      </vt:variant>
      <vt:variant>
        <vt:i4>413</vt:i4>
      </vt:variant>
      <vt:variant>
        <vt:i4>0</vt:i4>
      </vt:variant>
      <vt:variant>
        <vt:i4>5</vt:i4>
      </vt:variant>
      <vt:variant>
        <vt:lpwstr/>
      </vt:variant>
      <vt:variant>
        <vt:lpwstr>_Toc177223449</vt:lpwstr>
      </vt:variant>
      <vt:variant>
        <vt:i4>1376304</vt:i4>
      </vt:variant>
      <vt:variant>
        <vt:i4>407</vt:i4>
      </vt:variant>
      <vt:variant>
        <vt:i4>0</vt:i4>
      </vt:variant>
      <vt:variant>
        <vt:i4>5</vt:i4>
      </vt:variant>
      <vt:variant>
        <vt:lpwstr/>
      </vt:variant>
      <vt:variant>
        <vt:lpwstr>_Toc177223448</vt:lpwstr>
      </vt:variant>
      <vt:variant>
        <vt:i4>1376304</vt:i4>
      </vt:variant>
      <vt:variant>
        <vt:i4>401</vt:i4>
      </vt:variant>
      <vt:variant>
        <vt:i4>0</vt:i4>
      </vt:variant>
      <vt:variant>
        <vt:i4>5</vt:i4>
      </vt:variant>
      <vt:variant>
        <vt:lpwstr/>
      </vt:variant>
      <vt:variant>
        <vt:lpwstr>_Toc177223447</vt:lpwstr>
      </vt:variant>
      <vt:variant>
        <vt:i4>1376304</vt:i4>
      </vt:variant>
      <vt:variant>
        <vt:i4>395</vt:i4>
      </vt:variant>
      <vt:variant>
        <vt:i4>0</vt:i4>
      </vt:variant>
      <vt:variant>
        <vt:i4>5</vt:i4>
      </vt:variant>
      <vt:variant>
        <vt:lpwstr/>
      </vt:variant>
      <vt:variant>
        <vt:lpwstr>_Toc177223446</vt:lpwstr>
      </vt:variant>
      <vt:variant>
        <vt:i4>1376304</vt:i4>
      </vt:variant>
      <vt:variant>
        <vt:i4>389</vt:i4>
      </vt:variant>
      <vt:variant>
        <vt:i4>0</vt:i4>
      </vt:variant>
      <vt:variant>
        <vt:i4>5</vt:i4>
      </vt:variant>
      <vt:variant>
        <vt:lpwstr/>
      </vt:variant>
      <vt:variant>
        <vt:lpwstr>_Toc177223445</vt:lpwstr>
      </vt:variant>
      <vt:variant>
        <vt:i4>1376304</vt:i4>
      </vt:variant>
      <vt:variant>
        <vt:i4>383</vt:i4>
      </vt:variant>
      <vt:variant>
        <vt:i4>0</vt:i4>
      </vt:variant>
      <vt:variant>
        <vt:i4>5</vt:i4>
      </vt:variant>
      <vt:variant>
        <vt:lpwstr/>
      </vt:variant>
      <vt:variant>
        <vt:lpwstr>_Toc177223444</vt:lpwstr>
      </vt:variant>
      <vt:variant>
        <vt:i4>1376304</vt:i4>
      </vt:variant>
      <vt:variant>
        <vt:i4>377</vt:i4>
      </vt:variant>
      <vt:variant>
        <vt:i4>0</vt:i4>
      </vt:variant>
      <vt:variant>
        <vt:i4>5</vt:i4>
      </vt:variant>
      <vt:variant>
        <vt:lpwstr/>
      </vt:variant>
      <vt:variant>
        <vt:lpwstr>_Toc177223443</vt:lpwstr>
      </vt:variant>
      <vt:variant>
        <vt:i4>1376304</vt:i4>
      </vt:variant>
      <vt:variant>
        <vt:i4>371</vt:i4>
      </vt:variant>
      <vt:variant>
        <vt:i4>0</vt:i4>
      </vt:variant>
      <vt:variant>
        <vt:i4>5</vt:i4>
      </vt:variant>
      <vt:variant>
        <vt:lpwstr/>
      </vt:variant>
      <vt:variant>
        <vt:lpwstr>_Toc177223442</vt:lpwstr>
      </vt:variant>
      <vt:variant>
        <vt:i4>1376304</vt:i4>
      </vt:variant>
      <vt:variant>
        <vt:i4>365</vt:i4>
      </vt:variant>
      <vt:variant>
        <vt:i4>0</vt:i4>
      </vt:variant>
      <vt:variant>
        <vt:i4>5</vt:i4>
      </vt:variant>
      <vt:variant>
        <vt:lpwstr/>
      </vt:variant>
      <vt:variant>
        <vt:lpwstr>_Toc177223441</vt:lpwstr>
      </vt:variant>
      <vt:variant>
        <vt:i4>1376304</vt:i4>
      </vt:variant>
      <vt:variant>
        <vt:i4>359</vt:i4>
      </vt:variant>
      <vt:variant>
        <vt:i4>0</vt:i4>
      </vt:variant>
      <vt:variant>
        <vt:i4>5</vt:i4>
      </vt:variant>
      <vt:variant>
        <vt:lpwstr/>
      </vt:variant>
      <vt:variant>
        <vt:lpwstr>_Toc177223440</vt:lpwstr>
      </vt:variant>
      <vt:variant>
        <vt:i4>1179696</vt:i4>
      </vt:variant>
      <vt:variant>
        <vt:i4>353</vt:i4>
      </vt:variant>
      <vt:variant>
        <vt:i4>0</vt:i4>
      </vt:variant>
      <vt:variant>
        <vt:i4>5</vt:i4>
      </vt:variant>
      <vt:variant>
        <vt:lpwstr/>
      </vt:variant>
      <vt:variant>
        <vt:lpwstr>_Toc177223439</vt:lpwstr>
      </vt:variant>
      <vt:variant>
        <vt:i4>1179696</vt:i4>
      </vt:variant>
      <vt:variant>
        <vt:i4>347</vt:i4>
      </vt:variant>
      <vt:variant>
        <vt:i4>0</vt:i4>
      </vt:variant>
      <vt:variant>
        <vt:i4>5</vt:i4>
      </vt:variant>
      <vt:variant>
        <vt:lpwstr/>
      </vt:variant>
      <vt:variant>
        <vt:lpwstr>_Toc177223438</vt:lpwstr>
      </vt:variant>
      <vt:variant>
        <vt:i4>1179696</vt:i4>
      </vt:variant>
      <vt:variant>
        <vt:i4>341</vt:i4>
      </vt:variant>
      <vt:variant>
        <vt:i4>0</vt:i4>
      </vt:variant>
      <vt:variant>
        <vt:i4>5</vt:i4>
      </vt:variant>
      <vt:variant>
        <vt:lpwstr/>
      </vt:variant>
      <vt:variant>
        <vt:lpwstr>_Toc177223437</vt:lpwstr>
      </vt:variant>
      <vt:variant>
        <vt:i4>1179696</vt:i4>
      </vt:variant>
      <vt:variant>
        <vt:i4>335</vt:i4>
      </vt:variant>
      <vt:variant>
        <vt:i4>0</vt:i4>
      </vt:variant>
      <vt:variant>
        <vt:i4>5</vt:i4>
      </vt:variant>
      <vt:variant>
        <vt:lpwstr/>
      </vt:variant>
      <vt:variant>
        <vt:lpwstr>_Toc177223436</vt:lpwstr>
      </vt:variant>
      <vt:variant>
        <vt:i4>1179696</vt:i4>
      </vt:variant>
      <vt:variant>
        <vt:i4>329</vt:i4>
      </vt:variant>
      <vt:variant>
        <vt:i4>0</vt:i4>
      </vt:variant>
      <vt:variant>
        <vt:i4>5</vt:i4>
      </vt:variant>
      <vt:variant>
        <vt:lpwstr/>
      </vt:variant>
      <vt:variant>
        <vt:lpwstr>_Toc177223435</vt:lpwstr>
      </vt:variant>
      <vt:variant>
        <vt:i4>1179696</vt:i4>
      </vt:variant>
      <vt:variant>
        <vt:i4>323</vt:i4>
      </vt:variant>
      <vt:variant>
        <vt:i4>0</vt:i4>
      </vt:variant>
      <vt:variant>
        <vt:i4>5</vt:i4>
      </vt:variant>
      <vt:variant>
        <vt:lpwstr/>
      </vt:variant>
      <vt:variant>
        <vt:lpwstr>_Toc177223434</vt:lpwstr>
      </vt:variant>
      <vt:variant>
        <vt:i4>1179696</vt:i4>
      </vt:variant>
      <vt:variant>
        <vt:i4>317</vt:i4>
      </vt:variant>
      <vt:variant>
        <vt:i4>0</vt:i4>
      </vt:variant>
      <vt:variant>
        <vt:i4>5</vt:i4>
      </vt:variant>
      <vt:variant>
        <vt:lpwstr/>
      </vt:variant>
      <vt:variant>
        <vt:lpwstr>_Toc177223433</vt:lpwstr>
      </vt:variant>
      <vt:variant>
        <vt:i4>1179696</vt:i4>
      </vt:variant>
      <vt:variant>
        <vt:i4>311</vt:i4>
      </vt:variant>
      <vt:variant>
        <vt:i4>0</vt:i4>
      </vt:variant>
      <vt:variant>
        <vt:i4>5</vt:i4>
      </vt:variant>
      <vt:variant>
        <vt:lpwstr/>
      </vt:variant>
      <vt:variant>
        <vt:lpwstr>_Toc177223432</vt:lpwstr>
      </vt:variant>
      <vt:variant>
        <vt:i4>1179696</vt:i4>
      </vt:variant>
      <vt:variant>
        <vt:i4>305</vt:i4>
      </vt:variant>
      <vt:variant>
        <vt:i4>0</vt:i4>
      </vt:variant>
      <vt:variant>
        <vt:i4>5</vt:i4>
      </vt:variant>
      <vt:variant>
        <vt:lpwstr/>
      </vt:variant>
      <vt:variant>
        <vt:lpwstr>_Toc177223431</vt:lpwstr>
      </vt:variant>
      <vt:variant>
        <vt:i4>1179696</vt:i4>
      </vt:variant>
      <vt:variant>
        <vt:i4>299</vt:i4>
      </vt:variant>
      <vt:variant>
        <vt:i4>0</vt:i4>
      </vt:variant>
      <vt:variant>
        <vt:i4>5</vt:i4>
      </vt:variant>
      <vt:variant>
        <vt:lpwstr/>
      </vt:variant>
      <vt:variant>
        <vt:lpwstr>_Toc177223430</vt:lpwstr>
      </vt:variant>
      <vt:variant>
        <vt:i4>1245232</vt:i4>
      </vt:variant>
      <vt:variant>
        <vt:i4>293</vt:i4>
      </vt:variant>
      <vt:variant>
        <vt:i4>0</vt:i4>
      </vt:variant>
      <vt:variant>
        <vt:i4>5</vt:i4>
      </vt:variant>
      <vt:variant>
        <vt:lpwstr/>
      </vt:variant>
      <vt:variant>
        <vt:lpwstr>_Toc177223429</vt:lpwstr>
      </vt:variant>
      <vt:variant>
        <vt:i4>1245232</vt:i4>
      </vt:variant>
      <vt:variant>
        <vt:i4>287</vt:i4>
      </vt:variant>
      <vt:variant>
        <vt:i4>0</vt:i4>
      </vt:variant>
      <vt:variant>
        <vt:i4>5</vt:i4>
      </vt:variant>
      <vt:variant>
        <vt:lpwstr/>
      </vt:variant>
      <vt:variant>
        <vt:lpwstr>_Toc177223428</vt:lpwstr>
      </vt:variant>
      <vt:variant>
        <vt:i4>1245232</vt:i4>
      </vt:variant>
      <vt:variant>
        <vt:i4>281</vt:i4>
      </vt:variant>
      <vt:variant>
        <vt:i4>0</vt:i4>
      </vt:variant>
      <vt:variant>
        <vt:i4>5</vt:i4>
      </vt:variant>
      <vt:variant>
        <vt:lpwstr/>
      </vt:variant>
      <vt:variant>
        <vt:lpwstr>_Toc177223427</vt:lpwstr>
      </vt:variant>
      <vt:variant>
        <vt:i4>1245232</vt:i4>
      </vt:variant>
      <vt:variant>
        <vt:i4>275</vt:i4>
      </vt:variant>
      <vt:variant>
        <vt:i4>0</vt:i4>
      </vt:variant>
      <vt:variant>
        <vt:i4>5</vt:i4>
      </vt:variant>
      <vt:variant>
        <vt:lpwstr/>
      </vt:variant>
      <vt:variant>
        <vt:lpwstr>_Toc177223426</vt:lpwstr>
      </vt:variant>
      <vt:variant>
        <vt:i4>1245232</vt:i4>
      </vt:variant>
      <vt:variant>
        <vt:i4>269</vt:i4>
      </vt:variant>
      <vt:variant>
        <vt:i4>0</vt:i4>
      </vt:variant>
      <vt:variant>
        <vt:i4>5</vt:i4>
      </vt:variant>
      <vt:variant>
        <vt:lpwstr/>
      </vt:variant>
      <vt:variant>
        <vt:lpwstr>_Toc177223425</vt:lpwstr>
      </vt:variant>
      <vt:variant>
        <vt:i4>1245232</vt:i4>
      </vt:variant>
      <vt:variant>
        <vt:i4>263</vt:i4>
      </vt:variant>
      <vt:variant>
        <vt:i4>0</vt:i4>
      </vt:variant>
      <vt:variant>
        <vt:i4>5</vt:i4>
      </vt:variant>
      <vt:variant>
        <vt:lpwstr/>
      </vt:variant>
      <vt:variant>
        <vt:lpwstr>_Toc177223424</vt:lpwstr>
      </vt:variant>
      <vt:variant>
        <vt:i4>1245232</vt:i4>
      </vt:variant>
      <vt:variant>
        <vt:i4>257</vt:i4>
      </vt:variant>
      <vt:variant>
        <vt:i4>0</vt:i4>
      </vt:variant>
      <vt:variant>
        <vt:i4>5</vt:i4>
      </vt:variant>
      <vt:variant>
        <vt:lpwstr/>
      </vt:variant>
      <vt:variant>
        <vt:lpwstr>_Toc177223423</vt:lpwstr>
      </vt:variant>
      <vt:variant>
        <vt:i4>1245232</vt:i4>
      </vt:variant>
      <vt:variant>
        <vt:i4>251</vt:i4>
      </vt:variant>
      <vt:variant>
        <vt:i4>0</vt:i4>
      </vt:variant>
      <vt:variant>
        <vt:i4>5</vt:i4>
      </vt:variant>
      <vt:variant>
        <vt:lpwstr/>
      </vt:variant>
      <vt:variant>
        <vt:lpwstr>_Toc177223422</vt:lpwstr>
      </vt:variant>
      <vt:variant>
        <vt:i4>1245232</vt:i4>
      </vt:variant>
      <vt:variant>
        <vt:i4>245</vt:i4>
      </vt:variant>
      <vt:variant>
        <vt:i4>0</vt:i4>
      </vt:variant>
      <vt:variant>
        <vt:i4>5</vt:i4>
      </vt:variant>
      <vt:variant>
        <vt:lpwstr/>
      </vt:variant>
      <vt:variant>
        <vt:lpwstr>_Toc177223421</vt:lpwstr>
      </vt:variant>
      <vt:variant>
        <vt:i4>1245232</vt:i4>
      </vt:variant>
      <vt:variant>
        <vt:i4>239</vt:i4>
      </vt:variant>
      <vt:variant>
        <vt:i4>0</vt:i4>
      </vt:variant>
      <vt:variant>
        <vt:i4>5</vt:i4>
      </vt:variant>
      <vt:variant>
        <vt:lpwstr/>
      </vt:variant>
      <vt:variant>
        <vt:lpwstr>_Toc177223420</vt:lpwstr>
      </vt:variant>
      <vt:variant>
        <vt:i4>1048624</vt:i4>
      </vt:variant>
      <vt:variant>
        <vt:i4>233</vt:i4>
      </vt:variant>
      <vt:variant>
        <vt:i4>0</vt:i4>
      </vt:variant>
      <vt:variant>
        <vt:i4>5</vt:i4>
      </vt:variant>
      <vt:variant>
        <vt:lpwstr/>
      </vt:variant>
      <vt:variant>
        <vt:lpwstr>_Toc177223419</vt:lpwstr>
      </vt:variant>
      <vt:variant>
        <vt:i4>1048624</vt:i4>
      </vt:variant>
      <vt:variant>
        <vt:i4>227</vt:i4>
      </vt:variant>
      <vt:variant>
        <vt:i4>0</vt:i4>
      </vt:variant>
      <vt:variant>
        <vt:i4>5</vt:i4>
      </vt:variant>
      <vt:variant>
        <vt:lpwstr/>
      </vt:variant>
      <vt:variant>
        <vt:lpwstr>_Toc177223418</vt:lpwstr>
      </vt:variant>
      <vt:variant>
        <vt:i4>1048624</vt:i4>
      </vt:variant>
      <vt:variant>
        <vt:i4>221</vt:i4>
      </vt:variant>
      <vt:variant>
        <vt:i4>0</vt:i4>
      </vt:variant>
      <vt:variant>
        <vt:i4>5</vt:i4>
      </vt:variant>
      <vt:variant>
        <vt:lpwstr/>
      </vt:variant>
      <vt:variant>
        <vt:lpwstr>_Toc177223417</vt:lpwstr>
      </vt:variant>
      <vt:variant>
        <vt:i4>1048624</vt:i4>
      </vt:variant>
      <vt:variant>
        <vt:i4>215</vt:i4>
      </vt:variant>
      <vt:variant>
        <vt:i4>0</vt:i4>
      </vt:variant>
      <vt:variant>
        <vt:i4>5</vt:i4>
      </vt:variant>
      <vt:variant>
        <vt:lpwstr/>
      </vt:variant>
      <vt:variant>
        <vt:lpwstr>_Toc177223416</vt:lpwstr>
      </vt:variant>
      <vt:variant>
        <vt:i4>1048624</vt:i4>
      </vt:variant>
      <vt:variant>
        <vt:i4>209</vt:i4>
      </vt:variant>
      <vt:variant>
        <vt:i4>0</vt:i4>
      </vt:variant>
      <vt:variant>
        <vt:i4>5</vt:i4>
      </vt:variant>
      <vt:variant>
        <vt:lpwstr/>
      </vt:variant>
      <vt:variant>
        <vt:lpwstr>_Toc177223415</vt:lpwstr>
      </vt:variant>
      <vt:variant>
        <vt:i4>1048624</vt:i4>
      </vt:variant>
      <vt:variant>
        <vt:i4>203</vt:i4>
      </vt:variant>
      <vt:variant>
        <vt:i4>0</vt:i4>
      </vt:variant>
      <vt:variant>
        <vt:i4>5</vt:i4>
      </vt:variant>
      <vt:variant>
        <vt:lpwstr/>
      </vt:variant>
      <vt:variant>
        <vt:lpwstr>_Toc177223414</vt:lpwstr>
      </vt:variant>
      <vt:variant>
        <vt:i4>1048624</vt:i4>
      </vt:variant>
      <vt:variant>
        <vt:i4>197</vt:i4>
      </vt:variant>
      <vt:variant>
        <vt:i4>0</vt:i4>
      </vt:variant>
      <vt:variant>
        <vt:i4>5</vt:i4>
      </vt:variant>
      <vt:variant>
        <vt:lpwstr/>
      </vt:variant>
      <vt:variant>
        <vt:lpwstr>_Toc177223413</vt:lpwstr>
      </vt:variant>
      <vt:variant>
        <vt:i4>1048624</vt:i4>
      </vt:variant>
      <vt:variant>
        <vt:i4>191</vt:i4>
      </vt:variant>
      <vt:variant>
        <vt:i4>0</vt:i4>
      </vt:variant>
      <vt:variant>
        <vt:i4>5</vt:i4>
      </vt:variant>
      <vt:variant>
        <vt:lpwstr/>
      </vt:variant>
      <vt:variant>
        <vt:lpwstr>_Toc177223412</vt:lpwstr>
      </vt:variant>
      <vt:variant>
        <vt:i4>1048624</vt:i4>
      </vt:variant>
      <vt:variant>
        <vt:i4>185</vt:i4>
      </vt:variant>
      <vt:variant>
        <vt:i4>0</vt:i4>
      </vt:variant>
      <vt:variant>
        <vt:i4>5</vt:i4>
      </vt:variant>
      <vt:variant>
        <vt:lpwstr/>
      </vt:variant>
      <vt:variant>
        <vt:lpwstr>_Toc177223411</vt:lpwstr>
      </vt:variant>
      <vt:variant>
        <vt:i4>1048624</vt:i4>
      </vt:variant>
      <vt:variant>
        <vt:i4>179</vt:i4>
      </vt:variant>
      <vt:variant>
        <vt:i4>0</vt:i4>
      </vt:variant>
      <vt:variant>
        <vt:i4>5</vt:i4>
      </vt:variant>
      <vt:variant>
        <vt:lpwstr/>
      </vt:variant>
      <vt:variant>
        <vt:lpwstr>_Toc177223410</vt:lpwstr>
      </vt:variant>
      <vt:variant>
        <vt:i4>1114160</vt:i4>
      </vt:variant>
      <vt:variant>
        <vt:i4>173</vt:i4>
      </vt:variant>
      <vt:variant>
        <vt:i4>0</vt:i4>
      </vt:variant>
      <vt:variant>
        <vt:i4>5</vt:i4>
      </vt:variant>
      <vt:variant>
        <vt:lpwstr/>
      </vt:variant>
      <vt:variant>
        <vt:lpwstr>_Toc177223409</vt:lpwstr>
      </vt:variant>
      <vt:variant>
        <vt:i4>1114160</vt:i4>
      </vt:variant>
      <vt:variant>
        <vt:i4>167</vt:i4>
      </vt:variant>
      <vt:variant>
        <vt:i4>0</vt:i4>
      </vt:variant>
      <vt:variant>
        <vt:i4>5</vt:i4>
      </vt:variant>
      <vt:variant>
        <vt:lpwstr/>
      </vt:variant>
      <vt:variant>
        <vt:lpwstr>_Toc177223408</vt:lpwstr>
      </vt:variant>
      <vt:variant>
        <vt:i4>1114160</vt:i4>
      </vt:variant>
      <vt:variant>
        <vt:i4>161</vt:i4>
      </vt:variant>
      <vt:variant>
        <vt:i4>0</vt:i4>
      </vt:variant>
      <vt:variant>
        <vt:i4>5</vt:i4>
      </vt:variant>
      <vt:variant>
        <vt:lpwstr/>
      </vt:variant>
      <vt:variant>
        <vt:lpwstr>_Toc177223407</vt:lpwstr>
      </vt:variant>
      <vt:variant>
        <vt:i4>1114160</vt:i4>
      </vt:variant>
      <vt:variant>
        <vt:i4>155</vt:i4>
      </vt:variant>
      <vt:variant>
        <vt:i4>0</vt:i4>
      </vt:variant>
      <vt:variant>
        <vt:i4>5</vt:i4>
      </vt:variant>
      <vt:variant>
        <vt:lpwstr/>
      </vt:variant>
      <vt:variant>
        <vt:lpwstr>_Toc177223406</vt:lpwstr>
      </vt:variant>
      <vt:variant>
        <vt:i4>1114160</vt:i4>
      </vt:variant>
      <vt:variant>
        <vt:i4>149</vt:i4>
      </vt:variant>
      <vt:variant>
        <vt:i4>0</vt:i4>
      </vt:variant>
      <vt:variant>
        <vt:i4>5</vt:i4>
      </vt:variant>
      <vt:variant>
        <vt:lpwstr/>
      </vt:variant>
      <vt:variant>
        <vt:lpwstr>_Toc177223405</vt:lpwstr>
      </vt:variant>
      <vt:variant>
        <vt:i4>1114160</vt:i4>
      </vt:variant>
      <vt:variant>
        <vt:i4>143</vt:i4>
      </vt:variant>
      <vt:variant>
        <vt:i4>0</vt:i4>
      </vt:variant>
      <vt:variant>
        <vt:i4>5</vt:i4>
      </vt:variant>
      <vt:variant>
        <vt:lpwstr/>
      </vt:variant>
      <vt:variant>
        <vt:lpwstr>_Toc177223404</vt:lpwstr>
      </vt:variant>
      <vt:variant>
        <vt:i4>1114160</vt:i4>
      </vt:variant>
      <vt:variant>
        <vt:i4>137</vt:i4>
      </vt:variant>
      <vt:variant>
        <vt:i4>0</vt:i4>
      </vt:variant>
      <vt:variant>
        <vt:i4>5</vt:i4>
      </vt:variant>
      <vt:variant>
        <vt:lpwstr/>
      </vt:variant>
      <vt:variant>
        <vt:lpwstr>_Toc177223403</vt:lpwstr>
      </vt:variant>
      <vt:variant>
        <vt:i4>1114160</vt:i4>
      </vt:variant>
      <vt:variant>
        <vt:i4>131</vt:i4>
      </vt:variant>
      <vt:variant>
        <vt:i4>0</vt:i4>
      </vt:variant>
      <vt:variant>
        <vt:i4>5</vt:i4>
      </vt:variant>
      <vt:variant>
        <vt:lpwstr/>
      </vt:variant>
      <vt:variant>
        <vt:lpwstr>_Toc177223402</vt:lpwstr>
      </vt:variant>
      <vt:variant>
        <vt:i4>1114160</vt:i4>
      </vt:variant>
      <vt:variant>
        <vt:i4>125</vt:i4>
      </vt:variant>
      <vt:variant>
        <vt:i4>0</vt:i4>
      </vt:variant>
      <vt:variant>
        <vt:i4>5</vt:i4>
      </vt:variant>
      <vt:variant>
        <vt:lpwstr/>
      </vt:variant>
      <vt:variant>
        <vt:lpwstr>_Toc177223401</vt:lpwstr>
      </vt:variant>
      <vt:variant>
        <vt:i4>1114160</vt:i4>
      </vt:variant>
      <vt:variant>
        <vt:i4>119</vt:i4>
      </vt:variant>
      <vt:variant>
        <vt:i4>0</vt:i4>
      </vt:variant>
      <vt:variant>
        <vt:i4>5</vt:i4>
      </vt:variant>
      <vt:variant>
        <vt:lpwstr/>
      </vt:variant>
      <vt:variant>
        <vt:lpwstr>_Toc177223400</vt:lpwstr>
      </vt:variant>
      <vt:variant>
        <vt:i4>1572919</vt:i4>
      </vt:variant>
      <vt:variant>
        <vt:i4>113</vt:i4>
      </vt:variant>
      <vt:variant>
        <vt:i4>0</vt:i4>
      </vt:variant>
      <vt:variant>
        <vt:i4>5</vt:i4>
      </vt:variant>
      <vt:variant>
        <vt:lpwstr/>
      </vt:variant>
      <vt:variant>
        <vt:lpwstr>_Toc177223399</vt:lpwstr>
      </vt:variant>
      <vt:variant>
        <vt:i4>1572919</vt:i4>
      </vt:variant>
      <vt:variant>
        <vt:i4>107</vt:i4>
      </vt:variant>
      <vt:variant>
        <vt:i4>0</vt:i4>
      </vt:variant>
      <vt:variant>
        <vt:i4>5</vt:i4>
      </vt:variant>
      <vt:variant>
        <vt:lpwstr/>
      </vt:variant>
      <vt:variant>
        <vt:lpwstr>_Toc177223398</vt:lpwstr>
      </vt:variant>
      <vt:variant>
        <vt:i4>1572919</vt:i4>
      </vt:variant>
      <vt:variant>
        <vt:i4>101</vt:i4>
      </vt:variant>
      <vt:variant>
        <vt:i4>0</vt:i4>
      </vt:variant>
      <vt:variant>
        <vt:i4>5</vt:i4>
      </vt:variant>
      <vt:variant>
        <vt:lpwstr/>
      </vt:variant>
      <vt:variant>
        <vt:lpwstr>_Toc177223397</vt:lpwstr>
      </vt:variant>
      <vt:variant>
        <vt:i4>1572919</vt:i4>
      </vt:variant>
      <vt:variant>
        <vt:i4>95</vt:i4>
      </vt:variant>
      <vt:variant>
        <vt:i4>0</vt:i4>
      </vt:variant>
      <vt:variant>
        <vt:i4>5</vt:i4>
      </vt:variant>
      <vt:variant>
        <vt:lpwstr/>
      </vt:variant>
      <vt:variant>
        <vt:lpwstr>_Toc177223396</vt:lpwstr>
      </vt:variant>
      <vt:variant>
        <vt:i4>1572919</vt:i4>
      </vt:variant>
      <vt:variant>
        <vt:i4>89</vt:i4>
      </vt:variant>
      <vt:variant>
        <vt:i4>0</vt:i4>
      </vt:variant>
      <vt:variant>
        <vt:i4>5</vt:i4>
      </vt:variant>
      <vt:variant>
        <vt:lpwstr/>
      </vt:variant>
      <vt:variant>
        <vt:lpwstr>_Toc177223395</vt:lpwstr>
      </vt:variant>
      <vt:variant>
        <vt:i4>1572919</vt:i4>
      </vt:variant>
      <vt:variant>
        <vt:i4>83</vt:i4>
      </vt:variant>
      <vt:variant>
        <vt:i4>0</vt:i4>
      </vt:variant>
      <vt:variant>
        <vt:i4>5</vt:i4>
      </vt:variant>
      <vt:variant>
        <vt:lpwstr/>
      </vt:variant>
      <vt:variant>
        <vt:lpwstr>_Toc177223394</vt:lpwstr>
      </vt:variant>
      <vt:variant>
        <vt:i4>1572919</vt:i4>
      </vt:variant>
      <vt:variant>
        <vt:i4>77</vt:i4>
      </vt:variant>
      <vt:variant>
        <vt:i4>0</vt:i4>
      </vt:variant>
      <vt:variant>
        <vt:i4>5</vt:i4>
      </vt:variant>
      <vt:variant>
        <vt:lpwstr/>
      </vt:variant>
      <vt:variant>
        <vt:lpwstr>_Toc177223393</vt:lpwstr>
      </vt:variant>
      <vt:variant>
        <vt:i4>1572919</vt:i4>
      </vt:variant>
      <vt:variant>
        <vt:i4>71</vt:i4>
      </vt:variant>
      <vt:variant>
        <vt:i4>0</vt:i4>
      </vt:variant>
      <vt:variant>
        <vt:i4>5</vt:i4>
      </vt:variant>
      <vt:variant>
        <vt:lpwstr/>
      </vt:variant>
      <vt:variant>
        <vt:lpwstr>_Toc177223392</vt:lpwstr>
      </vt:variant>
      <vt:variant>
        <vt:i4>1572919</vt:i4>
      </vt:variant>
      <vt:variant>
        <vt:i4>65</vt:i4>
      </vt:variant>
      <vt:variant>
        <vt:i4>0</vt:i4>
      </vt:variant>
      <vt:variant>
        <vt:i4>5</vt:i4>
      </vt:variant>
      <vt:variant>
        <vt:lpwstr/>
      </vt:variant>
      <vt:variant>
        <vt:lpwstr>_Toc177223391</vt:lpwstr>
      </vt:variant>
      <vt:variant>
        <vt:i4>1572919</vt:i4>
      </vt:variant>
      <vt:variant>
        <vt:i4>59</vt:i4>
      </vt:variant>
      <vt:variant>
        <vt:i4>0</vt:i4>
      </vt:variant>
      <vt:variant>
        <vt:i4>5</vt:i4>
      </vt:variant>
      <vt:variant>
        <vt:lpwstr/>
      </vt:variant>
      <vt:variant>
        <vt:lpwstr>_Toc177223390</vt:lpwstr>
      </vt:variant>
      <vt:variant>
        <vt:i4>1638455</vt:i4>
      </vt:variant>
      <vt:variant>
        <vt:i4>53</vt:i4>
      </vt:variant>
      <vt:variant>
        <vt:i4>0</vt:i4>
      </vt:variant>
      <vt:variant>
        <vt:i4>5</vt:i4>
      </vt:variant>
      <vt:variant>
        <vt:lpwstr/>
      </vt:variant>
      <vt:variant>
        <vt:lpwstr>_Toc177223389</vt:lpwstr>
      </vt:variant>
      <vt:variant>
        <vt:i4>1638455</vt:i4>
      </vt:variant>
      <vt:variant>
        <vt:i4>47</vt:i4>
      </vt:variant>
      <vt:variant>
        <vt:i4>0</vt:i4>
      </vt:variant>
      <vt:variant>
        <vt:i4>5</vt:i4>
      </vt:variant>
      <vt:variant>
        <vt:lpwstr/>
      </vt:variant>
      <vt:variant>
        <vt:lpwstr>_Toc177223388</vt:lpwstr>
      </vt:variant>
      <vt:variant>
        <vt:i4>1638455</vt:i4>
      </vt:variant>
      <vt:variant>
        <vt:i4>41</vt:i4>
      </vt:variant>
      <vt:variant>
        <vt:i4>0</vt:i4>
      </vt:variant>
      <vt:variant>
        <vt:i4>5</vt:i4>
      </vt:variant>
      <vt:variant>
        <vt:lpwstr/>
      </vt:variant>
      <vt:variant>
        <vt:lpwstr>_Toc177223387</vt:lpwstr>
      </vt:variant>
      <vt:variant>
        <vt:i4>1638455</vt:i4>
      </vt:variant>
      <vt:variant>
        <vt:i4>35</vt:i4>
      </vt:variant>
      <vt:variant>
        <vt:i4>0</vt:i4>
      </vt:variant>
      <vt:variant>
        <vt:i4>5</vt:i4>
      </vt:variant>
      <vt:variant>
        <vt:lpwstr/>
      </vt:variant>
      <vt:variant>
        <vt:lpwstr>_Toc177223386</vt:lpwstr>
      </vt:variant>
      <vt:variant>
        <vt:i4>1638455</vt:i4>
      </vt:variant>
      <vt:variant>
        <vt:i4>29</vt:i4>
      </vt:variant>
      <vt:variant>
        <vt:i4>0</vt:i4>
      </vt:variant>
      <vt:variant>
        <vt:i4>5</vt:i4>
      </vt:variant>
      <vt:variant>
        <vt:lpwstr/>
      </vt:variant>
      <vt:variant>
        <vt:lpwstr>_Toc177223385</vt:lpwstr>
      </vt:variant>
      <vt:variant>
        <vt:i4>1638455</vt:i4>
      </vt:variant>
      <vt:variant>
        <vt:i4>23</vt:i4>
      </vt:variant>
      <vt:variant>
        <vt:i4>0</vt:i4>
      </vt:variant>
      <vt:variant>
        <vt:i4>5</vt:i4>
      </vt:variant>
      <vt:variant>
        <vt:lpwstr/>
      </vt:variant>
      <vt:variant>
        <vt:lpwstr>_Toc177223384</vt:lpwstr>
      </vt:variant>
      <vt:variant>
        <vt:i4>1638455</vt:i4>
      </vt:variant>
      <vt:variant>
        <vt:i4>17</vt:i4>
      </vt:variant>
      <vt:variant>
        <vt:i4>0</vt:i4>
      </vt:variant>
      <vt:variant>
        <vt:i4>5</vt:i4>
      </vt:variant>
      <vt:variant>
        <vt:lpwstr/>
      </vt:variant>
      <vt:variant>
        <vt:lpwstr>_Toc177223383</vt:lpwstr>
      </vt:variant>
      <vt:variant>
        <vt:i4>1638455</vt:i4>
      </vt:variant>
      <vt:variant>
        <vt:i4>11</vt:i4>
      </vt:variant>
      <vt:variant>
        <vt:i4>0</vt:i4>
      </vt:variant>
      <vt:variant>
        <vt:i4>5</vt:i4>
      </vt:variant>
      <vt:variant>
        <vt:lpwstr/>
      </vt:variant>
      <vt:variant>
        <vt:lpwstr>_Toc177223382</vt:lpwstr>
      </vt:variant>
      <vt:variant>
        <vt:i4>1638455</vt:i4>
      </vt:variant>
      <vt:variant>
        <vt:i4>5</vt:i4>
      </vt:variant>
      <vt:variant>
        <vt:i4>0</vt:i4>
      </vt:variant>
      <vt:variant>
        <vt:i4>5</vt:i4>
      </vt:variant>
      <vt:variant>
        <vt:lpwstr/>
      </vt:variant>
      <vt:variant>
        <vt:lpwstr>_Toc177223381</vt:lpwstr>
      </vt:variant>
      <vt:variant>
        <vt:i4>4784135</vt:i4>
      </vt:variant>
      <vt:variant>
        <vt:i4>0</vt:i4>
      </vt:variant>
      <vt:variant>
        <vt:i4>0</vt:i4>
      </vt:variant>
      <vt:variant>
        <vt:i4>5</vt:i4>
      </vt:variant>
      <vt:variant>
        <vt:lpwstr>http://www.sheffield.ac.uk/ssid/unfair-means</vt:lpwstr>
      </vt:variant>
      <vt:variant>
        <vt:lpwstr/>
      </vt:variant>
      <vt:variant>
        <vt:i4>7340153</vt:i4>
      </vt:variant>
      <vt:variant>
        <vt:i4>3</vt:i4>
      </vt:variant>
      <vt:variant>
        <vt:i4>0</vt:i4>
      </vt:variant>
      <vt:variant>
        <vt:i4>5</vt:i4>
      </vt:variant>
      <vt:variant>
        <vt:lpwstr>https://www.gov.uk/government/collections/family-hubs-and-start-for-life-programme</vt:lpwstr>
      </vt:variant>
      <vt:variant>
        <vt:lpwstr/>
      </vt:variant>
      <vt:variant>
        <vt:i4>5767186</vt:i4>
      </vt:variant>
      <vt:variant>
        <vt:i4>0</vt:i4>
      </vt:variant>
      <vt:variant>
        <vt:i4>0</vt:i4>
      </vt:variant>
      <vt:variant>
        <vt:i4>5</vt:i4>
      </vt:variant>
      <vt:variant>
        <vt:lpwstr>http://www.ndtms.net/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Arp10sm</dc:creator>
  <cp:keywords/>
  <dc:description/>
  <cp:lastModifiedBy>Wright, Virginia</cp:lastModifiedBy>
  <cp:revision>22</cp:revision>
  <cp:lastPrinted>2014-07-19T13:38:00Z</cp:lastPrinted>
  <dcterms:created xsi:type="dcterms:W3CDTF">2025-01-31T12:09:00Z</dcterms:created>
  <dcterms:modified xsi:type="dcterms:W3CDTF">2025-01-31T15:29:00Z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0x010100C990E7842F46084DB1770F2BEA6629F4</vt:lpwstr>
  </property>
</Properties>
</file>